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DE9F2B">
      <w:pPr>
        <w:spacing w:before="120" w:beforeLines="50" w:line="360" w:lineRule="auto"/>
        <w:jc w:val="center"/>
        <w:rPr>
          <w:rFonts w:ascii="宋体" w:hAnsi="宋体"/>
          <w:color w:val="000000" w:themeColor="text1"/>
          <w:sz w:val="52"/>
          <w:szCs w:val="52"/>
          <w:highlight w:val="none"/>
          <w14:textFill>
            <w14:solidFill>
              <w14:schemeClr w14:val="tx1"/>
            </w14:solidFill>
          </w14:textFill>
        </w:rPr>
      </w:pPr>
      <w:bookmarkStart w:id="734" w:name="_GoBack"/>
      <w:r>
        <w:rPr>
          <w:rFonts w:hint="eastAsia" w:ascii="华文新魏" w:hAnsi="宋体" w:eastAsia="华文新魏"/>
          <w:b/>
          <w:bCs/>
          <w:color w:val="000000" w:themeColor="text1"/>
          <w:sz w:val="72"/>
          <w:szCs w:val="72"/>
          <w:highlight w:val="none"/>
          <w14:textFill>
            <w14:solidFill>
              <w14:schemeClr w14:val="tx1"/>
            </w14:solidFill>
          </w14:textFill>
        </w:rPr>
        <w:drawing>
          <wp:anchor distT="0" distB="0" distL="114300" distR="114300" simplePos="0" relativeHeight="251660288" behindDoc="0" locked="0" layoutInCell="1" allowOverlap="1">
            <wp:simplePos x="0" y="0"/>
            <wp:positionH relativeFrom="column">
              <wp:posOffset>-954405</wp:posOffset>
            </wp:positionH>
            <wp:positionV relativeFrom="paragraph">
              <wp:posOffset>-951865</wp:posOffset>
            </wp:positionV>
            <wp:extent cx="7573010" cy="10702290"/>
            <wp:effectExtent l="0" t="0" r="8890" b="3810"/>
            <wp:wrapNone/>
            <wp:docPr id="7" name="图片 7" descr="采购文件-南宁市第一看守所及驻所武警基础设施维修08.31-终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采购文件-南宁市第一看守所及驻所武警基础设施维修08.31-终_01"/>
                    <pic:cNvPicPr>
                      <a:picLocks noChangeAspect="1"/>
                    </pic:cNvPicPr>
                  </pic:nvPicPr>
                  <pic:blipFill>
                    <a:blip r:embed="rId10"/>
                    <a:stretch>
                      <a:fillRect/>
                    </a:stretch>
                  </pic:blipFill>
                  <pic:spPr>
                    <a:xfrm>
                      <a:off x="0" y="0"/>
                      <a:ext cx="7573010" cy="10702290"/>
                    </a:xfrm>
                    <a:prstGeom prst="rect">
                      <a:avLst/>
                    </a:prstGeom>
                  </pic:spPr>
                </pic:pic>
              </a:graphicData>
            </a:graphic>
          </wp:anchor>
        </w:drawing>
      </w:r>
      <w:bookmarkEnd w:id="734"/>
      <w:r>
        <w:rPr>
          <w:rFonts w:hint="eastAsia" w:ascii="宋体" w:hAnsi="宋体"/>
          <w:color w:val="000000" w:themeColor="text1"/>
          <w:sz w:val="52"/>
          <w:szCs w:val="52"/>
          <w:highlight w:val="none"/>
          <w14:textFill>
            <w14:solidFill>
              <w14:schemeClr w14:val="tx1"/>
            </w14:solidFill>
          </w14:textFill>
        </w:rPr>
        <w:t>南宁市政府采购</w:t>
      </w:r>
    </w:p>
    <w:p w14:paraId="70F53D83">
      <w:pPr>
        <w:snapToGrid w:val="0"/>
        <w:spacing w:before="120" w:beforeLines="50" w:line="360" w:lineRule="auto"/>
        <w:jc w:val="center"/>
        <w:rPr>
          <w:rFonts w:hint="eastAsia" w:ascii="宋体" w:hAnsi="宋体"/>
          <w:color w:val="000000" w:themeColor="text1"/>
          <w:sz w:val="36"/>
          <w:szCs w:val="36"/>
          <w:highlight w:val="none"/>
          <w14:textFill>
            <w14:solidFill>
              <w14:schemeClr w14:val="tx1"/>
            </w14:solidFill>
          </w14:textFill>
        </w:rPr>
      </w:pPr>
    </w:p>
    <w:p w14:paraId="4C5DF644">
      <w:pPr>
        <w:snapToGrid w:val="0"/>
        <w:spacing w:before="120" w:beforeLines="50" w:line="360" w:lineRule="auto"/>
        <w:jc w:val="center"/>
        <w:rPr>
          <w:rFonts w:hint="eastAsia" w:ascii="华文新魏" w:hAnsi="宋体" w:eastAsia="华文新魏"/>
          <w:b/>
          <w:bCs/>
          <w:color w:val="000000" w:themeColor="text1"/>
          <w:sz w:val="72"/>
          <w:szCs w:val="72"/>
          <w:highlight w:val="none"/>
          <w14:textFill>
            <w14:solidFill>
              <w14:schemeClr w14:val="tx1"/>
            </w14:solidFill>
          </w14:textFill>
        </w:rPr>
      </w:pPr>
    </w:p>
    <w:p w14:paraId="0A2A4FEC">
      <w:pPr>
        <w:snapToGrid w:val="0"/>
        <w:spacing w:before="120" w:beforeLines="50" w:line="360" w:lineRule="auto"/>
        <w:jc w:val="center"/>
        <w:rPr>
          <w:rFonts w:hint="eastAsia" w:ascii="方正小标宋简体" w:hAnsi="方正小标宋简体" w:eastAsia="方正小标宋简体" w:cs="方正小标宋简体"/>
          <w:b/>
          <w:bCs/>
          <w:color w:val="000000" w:themeColor="text1"/>
          <w:sz w:val="44"/>
          <w:szCs w:val="44"/>
          <w:highlight w:val="none"/>
          <w14:textFill>
            <w14:solidFill>
              <w14:schemeClr w14:val="tx1"/>
            </w14:solidFill>
          </w14:textFill>
        </w:rPr>
      </w:pPr>
      <w:r>
        <w:rPr>
          <w:rFonts w:hint="eastAsia" w:ascii="华文新魏" w:hAnsi="宋体" w:eastAsia="华文新魏"/>
          <w:b/>
          <w:bCs/>
          <w:color w:val="000000" w:themeColor="text1"/>
          <w:sz w:val="72"/>
          <w:szCs w:val="72"/>
          <w:highlight w:val="none"/>
          <w14:textFill>
            <w14:solidFill>
              <w14:schemeClr w14:val="tx1"/>
            </w14:solidFill>
          </w14:textFill>
        </w:rPr>
        <w:t>竞争性谈判文件</w:t>
      </w:r>
    </w:p>
    <w:p w14:paraId="0CDAC706">
      <w:pPr>
        <w:spacing w:before="240" w:beforeLines="100" w:after="120" w:afterLines="50" w:line="36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（全流程电子化评标）</w:t>
      </w:r>
    </w:p>
    <w:p w14:paraId="45AC875C">
      <w:pPr>
        <w:spacing w:line="360" w:lineRule="auto"/>
        <w:rPr>
          <w:rFonts w:hint="eastAsia" w:ascii="宋体" w:hAnsi="宋体"/>
          <w:b/>
          <w:color w:val="000000" w:themeColor="text1"/>
          <w:sz w:val="32"/>
          <w:szCs w:val="32"/>
          <w:highlight w:val="none"/>
          <w14:textFill>
            <w14:solidFill>
              <w14:schemeClr w14:val="tx1"/>
            </w14:solidFill>
          </w14:textFill>
        </w:rPr>
      </w:pPr>
    </w:p>
    <w:p w14:paraId="5FBF6D5A">
      <w:pPr>
        <w:spacing w:line="360" w:lineRule="auto"/>
        <w:jc w:val="center"/>
        <w:rPr>
          <w:rFonts w:hint="eastAsia" w:ascii="宋体" w:hAnsi="宋体"/>
          <w:b/>
          <w:color w:val="000000" w:themeColor="text1"/>
          <w:sz w:val="32"/>
          <w:szCs w:val="32"/>
          <w:highlight w:val="none"/>
          <w14:textFill>
            <w14:solidFill>
              <w14:schemeClr w14:val="tx1"/>
            </w14:solidFill>
          </w14:textFill>
        </w:rPr>
      </w:pPr>
    </w:p>
    <w:p w14:paraId="126E2D0B">
      <w:pPr>
        <w:snapToGrid w:val="0"/>
        <w:spacing w:line="480" w:lineRule="auto"/>
        <w:ind w:firstLine="904" w:firstLineChars="300"/>
        <w:rPr>
          <w:rFonts w:hint="eastAsia" w:ascii="宋体" w:hAnsi="宋体" w:cs="宋体"/>
          <w:b/>
          <w:bCs/>
          <w:color w:val="000000" w:themeColor="text1"/>
          <w:kern w:val="0"/>
          <w:sz w:val="30"/>
          <w:szCs w:val="30"/>
          <w:highlight w:val="none"/>
          <w14:textFill>
            <w14:solidFill>
              <w14:schemeClr w14:val="tx1"/>
            </w14:solidFill>
          </w14:textFill>
        </w:rPr>
      </w:pPr>
    </w:p>
    <w:p w14:paraId="7F2312A6">
      <w:pPr>
        <w:snapToGrid w:val="0"/>
        <w:spacing w:line="480" w:lineRule="auto"/>
        <w:ind w:firstLine="904" w:firstLineChars="300"/>
        <w:rPr>
          <w:rFonts w:hint="default" w:ascii="宋体" w:hAnsi="宋体" w:eastAsia="宋体" w:cs="宋体"/>
          <w:b/>
          <w:bCs/>
          <w:color w:val="000000" w:themeColor="text1"/>
          <w:kern w:val="0"/>
          <w:sz w:val="30"/>
          <w:szCs w:val="30"/>
          <w:highlight w:val="none"/>
          <w:lang w:val="en-US" w:eastAsia="zh-CN"/>
          <w14:textFill>
            <w14:solidFill>
              <w14:schemeClr w14:val="tx1"/>
            </w14:solidFill>
          </w14:textFill>
        </w:rPr>
      </w:pPr>
      <w:r>
        <w:rPr>
          <w:rFonts w:hint="eastAsia" w:ascii="宋体" w:hAnsi="宋体" w:cs="宋体"/>
          <w:b/>
          <w:bCs/>
          <w:color w:val="000000" w:themeColor="text1"/>
          <w:kern w:val="0"/>
          <w:sz w:val="30"/>
          <w:szCs w:val="30"/>
          <w:highlight w:val="none"/>
          <w14:textFill>
            <w14:solidFill>
              <w14:schemeClr w14:val="tx1"/>
            </w14:solidFill>
          </w14:textFill>
        </w:rPr>
        <w:t>项目</w:t>
      </w:r>
      <w:r>
        <w:rPr>
          <w:rFonts w:hint="eastAsia" w:ascii="宋体" w:hAnsi="宋体" w:cs="宋体"/>
          <w:b/>
          <w:bCs/>
          <w:color w:val="000000" w:themeColor="text1"/>
          <w:w w:val="95"/>
          <w:kern w:val="0"/>
          <w:sz w:val="30"/>
          <w:szCs w:val="30"/>
          <w:highlight w:val="none"/>
          <w14:textFill>
            <w14:solidFill>
              <w14:schemeClr w14:val="tx1"/>
            </w14:solidFill>
          </w14:textFill>
        </w:rPr>
        <w:t>名称</w:t>
      </w:r>
      <w:r>
        <w:rPr>
          <w:rFonts w:hint="eastAsia" w:ascii="宋体" w:hAnsi="宋体" w:cs="宋体"/>
          <w:b/>
          <w:bCs/>
          <w:color w:val="000000" w:themeColor="text1"/>
          <w:kern w:val="0"/>
          <w:sz w:val="30"/>
          <w:szCs w:val="30"/>
          <w:highlight w:val="none"/>
          <w14:textFill>
            <w14:solidFill>
              <w14:schemeClr w14:val="tx1"/>
            </w14:solidFill>
          </w14:textFill>
        </w:rPr>
        <w:t>：</w:t>
      </w:r>
      <w:r>
        <w:rPr>
          <w:rFonts w:hint="eastAsia" w:ascii="宋体" w:hAnsi="宋体" w:cs="宋体"/>
          <w:b/>
          <w:bCs/>
          <w:color w:val="000000" w:themeColor="text1"/>
          <w:kern w:val="0"/>
          <w:sz w:val="30"/>
          <w:szCs w:val="30"/>
          <w:highlight w:val="none"/>
          <w:lang w:val="en-US" w:eastAsia="zh-CN"/>
          <w14:textFill>
            <w14:solidFill>
              <w14:schemeClr w14:val="tx1"/>
            </w14:solidFill>
          </w14:textFill>
        </w:rPr>
        <w:t>南宁市第一看守所及驻所武警基础设施维修</w:t>
      </w:r>
    </w:p>
    <w:p w14:paraId="57B081BC">
      <w:pPr>
        <w:snapToGrid w:val="0"/>
        <w:spacing w:line="480" w:lineRule="auto"/>
        <w:ind w:firstLine="904" w:firstLineChars="300"/>
        <w:rPr>
          <w:rFonts w:hint="eastAsia" w:ascii="宋体" w:hAnsi="宋体" w:eastAsia="宋体" w:cs="宋体"/>
          <w:b/>
          <w:bCs/>
          <w:color w:val="000000" w:themeColor="text1"/>
          <w:kern w:val="0"/>
          <w:sz w:val="30"/>
          <w:szCs w:val="30"/>
          <w:highlight w:val="none"/>
          <w:lang w:eastAsia="zh-CN"/>
          <w14:textFill>
            <w14:solidFill>
              <w14:schemeClr w14:val="tx1"/>
            </w14:solidFill>
          </w14:textFill>
        </w:rPr>
      </w:pPr>
      <w:r>
        <w:rPr>
          <w:rFonts w:hint="eastAsia" w:ascii="宋体" w:hAnsi="宋体" w:cs="宋体"/>
          <w:b/>
          <w:bCs/>
          <w:color w:val="000000" w:themeColor="text1"/>
          <w:kern w:val="0"/>
          <w:sz w:val="30"/>
          <w:szCs w:val="30"/>
          <w:highlight w:val="none"/>
          <w14:textFill>
            <w14:solidFill>
              <w14:schemeClr w14:val="tx1"/>
            </w14:solidFill>
          </w14:textFill>
        </w:rPr>
        <w:t>项目编号：NNZC2026-J2-990641-GXJT</w:t>
      </w:r>
    </w:p>
    <w:p w14:paraId="78629194">
      <w:pPr>
        <w:snapToGrid w:val="0"/>
        <w:spacing w:line="480" w:lineRule="auto"/>
        <w:ind w:firstLine="904" w:firstLineChars="300"/>
        <w:rPr>
          <w:rFonts w:hint="eastAsia" w:ascii="宋体" w:hAnsi="宋体" w:cs="宋体"/>
          <w:b/>
          <w:bCs/>
          <w:color w:val="000000" w:themeColor="text1"/>
          <w:sz w:val="30"/>
          <w:szCs w:val="48"/>
          <w:highlight w:val="none"/>
          <w14:textFill>
            <w14:solidFill>
              <w14:schemeClr w14:val="tx1"/>
            </w14:solidFill>
          </w14:textFill>
        </w:rPr>
      </w:pPr>
      <w:r>
        <w:rPr>
          <w:rFonts w:hint="eastAsia" w:ascii="宋体" w:hAnsi="宋体" w:cs="宋体"/>
          <w:b/>
          <w:bCs/>
          <w:color w:val="000000" w:themeColor="text1"/>
          <w:sz w:val="30"/>
          <w:szCs w:val="48"/>
          <w:highlight w:val="none"/>
          <w14:textFill>
            <w14:solidFill>
              <w14:schemeClr w14:val="tx1"/>
            </w14:solidFill>
          </w14:textFill>
        </w:rPr>
        <w:t>项目所属区划：南宁市本级</w:t>
      </w:r>
    </w:p>
    <w:p w14:paraId="61E47949">
      <w:pPr>
        <w:snapToGrid w:val="0"/>
        <w:spacing w:line="480" w:lineRule="auto"/>
        <w:ind w:firstLine="904" w:firstLineChars="300"/>
        <w:rPr>
          <w:rFonts w:hint="eastAsia" w:ascii="宋体" w:hAnsi="宋体" w:eastAsia="宋体" w:cs="宋体"/>
          <w:b/>
          <w:bCs/>
          <w:color w:val="000000" w:themeColor="text1"/>
          <w:kern w:val="0"/>
          <w:sz w:val="30"/>
          <w:szCs w:val="30"/>
          <w:highlight w:val="none"/>
          <w:lang w:eastAsia="zh-CN"/>
          <w14:textFill>
            <w14:solidFill>
              <w14:schemeClr w14:val="tx1"/>
            </w14:solidFill>
          </w14:textFill>
        </w:rPr>
      </w:pPr>
      <w:r>
        <w:rPr>
          <w:rFonts w:hint="eastAsia" w:ascii="宋体" w:hAnsi="宋体" w:cs="宋体"/>
          <w:b/>
          <w:bCs/>
          <w:color w:val="000000" w:themeColor="text1"/>
          <w:kern w:val="0"/>
          <w:sz w:val="30"/>
          <w:szCs w:val="30"/>
          <w:highlight w:val="none"/>
          <w14:textFill>
            <w14:solidFill>
              <w14:schemeClr w14:val="tx1"/>
            </w14:solidFill>
          </w14:textFill>
        </w:rPr>
        <w:t>采购人：</w:t>
      </w:r>
      <w:r>
        <w:rPr>
          <w:rFonts w:hint="eastAsia" w:ascii="宋体" w:hAnsi="宋体" w:cs="宋体"/>
          <w:b/>
          <w:bCs/>
          <w:color w:val="000000" w:themeColor="text1"/>
          <w:kern w:val="0"/>
          <w:sz w:val="30"/>
          <w:szCs w:val="30"/>
          <w:highlight w:val="none"/>
          <w:lang w:eastAsia="zh-CN"/>
          <w14:textFill>
            <w14:solidFill>
              <w14:schemeClr w14:val="tx1"/>
            </w14:solidFill>
          </w14:textFill>
        </w:rPr>
        <w:t>南宁市第一看守所</w:t>
      </w:r>
    </w:p>
    <w:p w14:paraId="3FACB677">
      <w:pPr>
        <w:snapToGrid w:val="0"/>
        <w:spacing w:line="480" w:lineRule="auto"/>
        <w:ind w:firstLine="904" w:firstLineChars="300"/>
        <w:rPr>
          <w:rFonts w:hint="eastAsia" w:ascii="宋体" w:hAnsi="宋体" w:cs="宋体"/>
          <w:b/>
          <w:bCs/>
          <w:color w:val="000000" w:themeColor="text1"/>
          <w:kern w:val="0"/>
          <w:sz w:val="30"/>
          <w:szCs w:val="30"/>
          <w:highlight w:val="none"/>
          <w14:textFill>
            <w14:solidFill>
              <w14:schemeClr w14:val="tx1"/>
            </w14:solidFill>
          </w14:textFill>
        </w:rPr>
      </w:pPr>
      <w:r>
        <w:rPr>
          <w:rFonts w:hint="eastAsia" w:ascii="宋体" w:hAnsi="宋体" w:cs="宋体"/>
          <w:b/>
          <w:bCs/>
          <w:color w:val="000000" w:themeColor="text1"/>
          <w:kern w:val="0"/>
          <w:sz w:val="30"/>
          <w:szCs w:val="30"/>
          <w:highlight w:val="none"/>
          <w14:textFill>
            <w14:solidFill>
              <w14:schemeClr w14:val="tx1"/>
            </w14:solidFill>
          </w14:textFill>
        </w:rPr>
        <w:t>采购代理机构：广西建通工程咨询有限责任公司</w:t>
      </w:r>
    </w:p>
    <w:p w14:paraId="1D2B7AB4">
      <w:pPr>
        <w:snapToGrid w:val="0"/>
        <w:spacing w:line="480" w:lineRule="auto"/>
        <w:ind w:firstLine="904" w:firstLineChars="300"/>
        <w:rPr>
          <w:rFonts w:hint="eastAsia" w:ascii="宋体" w:hAnsi="宋体" w:cs="宋体"/>
          <w:b/>
          <w:bCs/>
          <w:color w:val="000000" w:themeColor="text1"/>
          <w:kern w:val="0"/>
          <w:sz w:val="30"/>
          <w:szCs w:val="30"/>
          <w:highlight w:val="none"/>
          <w14:textFill>
            <w14:solidFill>
              <w14:schemeClr w14:val="tx1"/>
            </w14:solidFill>
          </w14:textFill>
        </w:rPr>
      </w:pPr>
    </w:p>
    <w:p w14:paraId="582126BF">
      <w:pPr>
        <w:spacing w:line="480" w:lineRule="auto"/>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2026年</w:t>
      </w:r>
      <w:r>
        <w:rPr>
          <w:rFonts w:hint="eastAsia" w:ascii="宋体" w:hAnsi="宋体" w:cs="宋体"/>
          <w:b/>
          <w:color w:val="000000" w:themeColor="text1"/>
          <w:sz w:val="32"/>
          <w:szCs w:val="32"/>
          <w:highlight w:val="none"/>
          <w:lang w:val="en-US" w:eastAsia="zh-CN"/>
          <w14:textFill>
            <w14:solidFill>
              <w14:schemeClr w14:val="tx1"/>
            </w14:solidFill>
          </w14:textFill>
        </w:rPr>
        <w:t>8</w:t>
      </w:r>
      <w:r>
        <w:rPr>
          <w:rFonts w:hint="eastAsia" w:ascii="宋体" w:hAnsi="宋体" w:cs="宋体"/>
          <w:b/>
          <w:color w:val="000000" w:themeColor="text1"/>
          <w:sz w:val="32"/>
          <w:szCs w:val="32"/>
          <w:highlight w:val="none"/>
          <w14:textFill>
            <w14:solidFill>
              <w14:schemeClr w14:val="tx1"/>
            </w14:solidFill>
          </w14:textFill>
        </w:rPr>
        <w:t>月</w:t>
      </w:r>
      <w:r>
        <w:rPr>
          <w:rFonts w:hint="eastAsia" w:ascii="宋体" w:hAnsi="宋体" w:cs="宋体"/>
          <w:b/>
          <w:color w:val="000000" w:themeColor="text1"/>
          <w:sz w:val="32"/>
          <w:szCs w:val="32"/>
          <w:highlight w:val="none"/>
          <w:lang w:val="en-US" w:eastAsia="zh-CN"/>
          <w14:textFill>
            <w14:solidFill>
              <w14:schemeClr w14:val="tx1"/>
            </w14:solidFill>
          </w14:textFill>
        </w:rPr>
        <w:t>31</w:t>
      </w:r>
      <w:r>
        <w:rPr>
          <w:rFonts w:hint="eastAsia" w:ascii="宋体" w:hAnsi="宋体" w:cs="宋体"/>
          <w:b/>
          <w:color w:val="000000" w:themeColor="text1"/>
          <w:sz w:val="32"/>
          <w:szCs w:val="32"/>
          <w:highlight w:val="none"/>
          <w14:textFill>
            <w14:solidFill>
              <w14:schemeClr w14:val="tx1"/>
            </w14:solidFill>
          </w14:textFill>
        </w:rPr>
        <w:t>日</w:t>
      </w:r>
    </w:p>
    <w:p w14:paraId="7815F369">
      <w:pPr>
        <w:spacing w:line="360" w:lineRule="auto"/>
        <w:jc w:val="center"/>
        <w:rPr>
          <w:rFonts w:hint="eastAsia" w:ascii="宋体" w:hAnsi="宋体"/>
          <w:b/>
          <w:color w:val="000000" w:themeColor="text1"/>
          <w:sz w:val="44"/>
          <w:szCs w:val="44"/>
          <w:highlight w:val="none"/>
          <w14:textFill>
            <w14:solidFill>
              <w14:schemeClr w14:val="tx1"/>
            </w14:solidFill>
          </w14:textFill>
        </w:rPr>
        <w:sectPr>
          <w:headerReference r:id="rId3" w:type="default"/>
          <w:pgSz w:w="11911" w:h="16838"/>
          <w:pgMar w:top="1519" w:right="1502" w:bottom="1247" w:left="1502" w:header="720" w:footer="720" w:gutter="0"/>
          <w:pgNumType w:start="0"/>
          <w:cols w:space="720" w:num="1"/>
          <w:docGrid w:linePitch="312" w:charSpace="0"/>
        </w:sectPr>
      </w:pPr>
    </w:p>
    <w:p w14:paraId="0964D7EE">
      <w:pPr>
        <w:spacing w:line="360" w:lineRule="auto"/>
        <w:jc w:val="center"/>
        <w:rPr>
          <w:rFonts w:hint="eastAsia"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目   录</w:t>
      </w:r>
    </w:p>
    <w:p w14:paraId="5EA5810F">
      <w:pPr>
        <w:spacing w:line="400" w:lineRule="exact"/>
        <w:jc w:val="center"/>
        <w:rPr>
          <w:rFonts w:hint="eastAsia" w:ascii="宋体" w:hAnsi="宋体"/>
          <w:b/>
          <w:color w:val="000000" w:themeColor="text1"/>
          <w:sz w:val="44"/>
          <w:szCs w:val="44"/>
          <w:highlight w:val="none"/>
          <w14:textFill>
            <w14:solidFill>
              <w14:schemeClr w14:val="tx1"/>
            </w14:solidFill>
          </w14:textFill>
        </w:rPr>
      </w:pPr>
    </w:p>
    <w:p w14:paraId="19AB4137">
      <w:pPr>
        <w:pStyle w:val="27"/>
        <w:keepNext w:val="0"/>
        <w:keepLines w:val="0"/>
        <w:pageBreakBefore w:val="0"/>
        <w:widowControl w:val="0"/>
        <w:tabs>
          <w:tab w:val="right" w:leader="dot" w:pos="8907"/>
        </w:tabs>
        <w:kinsoku/>
        <w:wordWrap/>
        <w:overflowPunct/>
        <w:topLinePunct w:val="0"/>
        <w:autoSpaceDE/>
        <w:autoSpaceDN/>
        <w:bidi w:val="0"/>
        <w:adjustRightInd/>
        <w:snapToGrid/>
        <w:spacing w:line="400" w:lineRule="exact"/>
        <w:textAlignment w:val="auto"/>
        <w:rPr>
          <w:rFonts w:hint="eastAsia" w:ascii="黑体" w:hAnsi="黑体" w:eastAsia="黑体" w:cs="黑体"/>
          <w:color w:val="000000" w:themeColor="text1"/>
          <w:sz w:val="24"/>
          <w:szCs w:val="24"/>
          <w:highlight w:val="none"/>
          <w14:textFill>
            <w14:solidFill>
              <w14:schemeClr w14:val="tx1"/>
            </w14:solidFill>
          </w14:textFill>
        </w:rPr>
      </w:pPr>
      <w:r>
        <w:rPr>
          <w:rStyle w:val="41"/>
          <w:rFonts w:hint="eastAsia" w:ascii="黑体" w:hAnsi="黑体" w:eastAsia="黑体" w:cs="黑体"/>
          <w:color w:val="000000" w:themeColor="text1"/>
          <w:sz w:val="24"/>
          <w:szCs w:val="24"/>
          <w:highlight w:val="none"/>
          <w14:textFill>
            <w14:solidFill>
              <w14:schemeClr w14:val="tx1"/>
            </w14:solidFill>
          </w14:textFill>
        </w:rPr>
        <w:fldChar w:fldCharType="begin"/>
      </w:r>
      <w:r>
        <w:rPr>
          <w:rStyle w:val="41"/>
          <w:rFonts w:hint="eastAsia" w:ascii="黑体" w:hAnsi="黑体" w:eastAsia="黑体" w:cs="黑体"/>
          <w:color w:val="000000" w:themeColor="text1"/>
          <w:sz w:val="24"/>
          <w:szCs w:val="24"/>
          <w:highlight w:val="none"/>
          <w14:textFill>
            <w14:solidFill>
              <w14:schemeClr w14:val="tx1"/>
            </w14:solidFill>
          </w14:textFill>
        </w:rPr>
        <w:instrText xml:space="preserve"> TOC \o "1-3" \h \z \u </w:instrText>
      </w:r>
      <w:r>
        <w:rPr>
          <w:rStyle w:val="41"/>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HYPERLINK \l _Toc12178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color w:val="000000" w:themeColor="text1"/>
          <w:sz w:val="24"/>
          <w:szCs w:val="24"/>
          <w:highlight w:val="none"/>
          <w14:textFill>
            <w14:solidFill>
              <w14:schemeClr w14:val="tx1"/>
            </w14:solidFill>
          </w14:textFill>
        </w:rPr>
        <w:t>第一章 竞争性谈判公告</w:t>
      </w:r>
      <w:r>
        <w:rPr>
          <w:rFonts w:hint="eastAsia" w:ascii="黑体" w:hAnsi="黑体" w:eastAsia="黑体" w:cs="黑体"/>
          <w:color w:val="000000" w:themeColor="text1"/>
          <w:sz w:val="24"/>
          <w:szCs w:val="24"/>
          <w:highlight w:val="none"/>
          <w14:textFill>
            <w14:solidFill>
              <w14:schemeClr w14:val="tx1"/>
            </w14:solidFill>
          </w14:textFill>
        </w:rPr>
        <w:tab/>
      </w: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PAGEREF _Toc12178 \h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color w:val="000000" w:themeColor="text1"/>
          <w:sz w:val="24"/>
          <w:szCs w:val="24"/>
          <w:highlight w:val="none"/>
          <w14:textFill>
            <w14:solidFill>
              <w14:schemeClr w14:val="tx1"/>
            </w14:solidFill>
          </w14:textFill>
        </w:rPr>
        <w:t>2</w:t>
      </w:r>
      <w:r>
        <w:rPr>
          <w:rFonts w:hint="eastAsia" w:ascii="黑体" w:hAnsi="黑体" w:eastAsia="黑体" w:cs="黑体"/>
          <w:color w:val="000000" w:themeColor="text1"/>
          <w:sz w:val="24"/>
          <w:szCs w:val="24"/>
          <w:highlight w:val="none"/>
          <w14:textFill>
            <w14:solidFill>
              <w14:schemeClr w14:val="tx1"/>
            </w14:solidFill>
          </w14:textFill>
        </w:rPr>
        <w:fldChar w:fldCharType="end"/>
      </w:r>
      <w:r>
        <w:rPr>
          <w:rFonts w:hint="eastAsia" w:ascii="黑体" w:hAnsi="黑体" w:eastAsia="黑体" w:cs="黑体"/>
          <w:color w:val="000000" w:themeColor="text1"/>
          <w:sz w:val="24"/>
          <w:szCs w:val="24"/>
          <w:highlight w:val="none"/>
          <w14:textFill>
            <w14:solidFill>
              <w14:schemeClr w14:val="tx1"/>
            </w14:solidFill>
          </w14:textFill>
        </w:rPr>
        <w:fldChar w:fldCharType="end"/>
      </w:r>
    </w:p>
    <w:p w14:paraId="2D0FA1F5">
      <w:pPr>
        <w:pStyle w:val="27"/>
        <w:keepNext w:val="0"/>
        <w:keepLines w:val="0"/>
        <w:pageBreakBefore w:val="0"/>
        <w:widowControl w:val="0"/>
        <w:tabs>
          <w:tab w:val="right" w:leader="dot" w:pos="8907"/>
        </w:tabs>
        <w:kinsoku/>
        <w:wordWrap/>
        <w:overflowPunct/>
        <w:topLinePunct w:val="0"/>
        <w:autoSpaceDE/>
        <w:autoSpaceDN/>
        <w:bidi w:val="0"/>
        <w:adjustRightInd/>
        <w:snapToGrid/>
        <w:spacing w:line="400" w:lineRule="exact"/>
        <w:textAlignment w:val="auto"/>
        <w:rPr>
          <w:rFonts w:hint="eastAsia" w:ascii="黑体" w:hAnsi="黑体" w:eastAsia="黑体" w:cs="黑体"/>
          <w:color w:val="000000" w:themeColor="text1"/>
          <w:sz w:val="24"/>
          <w:szCs w:val="24"/>
          <w:highlight w:val="none"/>
          <w14:textFill>
            <w14:solidFill>
              <w14:schemeClr w14:val="tx1"/>
            </w14:solidFill>
          </w14:textFill>
        </w:rPr>
      </w:pP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HYPERLINK \l _Toc25416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bCs w:val="0"/>
          <w:color w:val="000000" w:themeColor="text1"/>
          <w:sz w:val="24"/>
          <w:szCs w:val="24"/>
          <w:highlight w:val="none"/>
          <w14:textFill>
            <w14:solidFill>
              <w14:schemeClr w14:val="tx1"/>
            </w14:solidFill>
          </w14:textFill>
        </w:rPr>
        <w:t>第二章 采购需求</w:t>
      </w:r>
      <w:r>
        <w:rPr>
          <w:rFonts w:hint="eastAsia" w:ascii="黑体" w:hAnsi="黑体" w:eastAsia="黑体" w:cs="黑体"/>
          <w:color w:val="000000" w:themeColor="text1"/>
          <w:sz w:val="24"/>
          <w:szCs w:val="24"/>
          <w:highlight w:val="none"/>
          <w14:textFill>
            <w14:solidFill>
              <w14:schemeClr w14:val="tx1"/>
            </w14:solidFill>
          </w14:textFill>
        </w:rPr>
        <w:tab/>
      </w: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PAGEREF _Toc25416 \h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color w:val="000000" w:themeColor="text1"/>
          <w:sz w:val="24"/>
          <w:szCs w:val="24"/>
          <w:highlight w:val="none"/>
          <w14:textFill>
            <w14:solidFill>
              <w14:schemeClr w14:val="tx1"/>
            </w14:solidFill>
          </w14:textFill>
        </w:rPr>
        <w:t>6</w:t>
      </w:r>
      <w:r>
        <w:rPr>
          <w:rFonts w:hint="eastAsia" w:ascii="黑体" w:hAnsi="黑体" w:eastAsia="黑体" w:cs="黑体"/>
          <w:color w:val="000000" w:themeColor="text1"/>
          <w:sz w:val="24"/>
          <w:szCs w:val="24"/>
          <w:highlight w:val="none"/>
          <w14:textFill>
            <w14:solidFill>
              <w14:schemeClr w14:val="tx1"/>
            </w14:solidFill>
          </w14:textFill>
        </w:rPr>
        <w:fldChar w:fldCharType="end"/>
      </w:r>
      <w:r>
        <w:rPr>
          <w:rFonts w:hint="eastAsia" w:ascii="黑体" w:hAnsi="黑体" w:eastAsia="黑体" w:cs="黑体"/>
          <w:color w:val="000000" w:themeColor="text1"/>
          <w:sz w:val="24"/>
          <w:szCs w:val="24"/>
          <w:highlight w:val="none"/>
          <w14:textFill>
            <w14:solidFill>
              <w14:schemeClr w14:val="tx1"/>
            </w14:solidFill>
          </w14:textFill>
        </w:rPr>
        <w:fldChar w:fldCharType="end"/>
      </w:r>
    </w:p>
    <w:p w14:paraId="35D9457D">
      <w:pPr>
        <w:pStyle w:val="27"/>
        <w:keepNext w:val="0"/>
        <w:keepLines w:val="0"/>
        <w:pageBreakBefore w:val="0"/>
        <w:widowControl w:val="0"/>
        <w:tabs>
          <w:tab w:val="right" w:leader="dot" w:pos="8907"/>
        </w:tabs>
        <w:kinsoku/>
        <w:wordWrap/>
        <w:overflowPunct/>
        <w:topLinePunct w:val="0"/>
        <w:autoSpaceDE/>
        <w:autoSpaceDN/>
        <w:bidi w:val="0"/>
        <w:adjustRightInd/>
        <w:snapToGrid/>
        <w:spacing w:line="400" w:lineRule="exact"/>
        <w:textAlignment w:val="auto"/>
        <w:rPr>
          <w:rFonts w:hint="eastAsia" w:ascii="黑体" w:hAnsi="黑体" w:eastAsia="黑体" w:cs="黑体"/>
          <w:color w:val="000000" w:themeColor="text1"/>
          <w:sz w:val="24"/>
          <w:szCs w:val="24"/>
          <w:highlight w:val="none"/>
          <w14:textFill>
            <w14:solidFill>
              <w14:schemeClr w14:val="tx1"/>
            </w14:solidFill>
          </w14:textFill>
        </w:rPr>
      </w:pP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HYPERLINK \l _Toc1158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bCs w:val="0"/>
          <w:color w:val="000000" w:themeColor="text1"/>
          <w:sz w:val="24"/>
          <w:szCs w:val="24"/>
          <w:highlight w:val="none"/>
          <w14:textFill>
            <w14:solidFill>
              <w14:schemeClr w14:val="tx1"/>
            </w14:solidFill>
          </w14:textFill>
        </w:rPr>
        <w:t>第三章 供应商须知</w:t>
      </w:r>
      <w:r>
        <w:rPr>
          <w:rFonts w:hint="eastAsia" w:ascii="黑体" w:hAnsi="黑体" w:eastAsia="黑体" w:cs="黑体"/>
          <w:color w:val="000000" w:themeColor="text1"/>
          <w:sz w:val="24"/>
          <w:szCs w:val="24"/>
          <w:highlight w:val="none"/>
          <w14:textFill>
            <w14:solidFill>
              <w14:schemeClr w14:val="tx1"/>
            </w14:solidFill>
          </w14:textFill>
        </w:rPr>
        <w:tab/>
      </w: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PAGEREF _Toc1158 \h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color w:val="000000" w:themeColor="text1"/>
          <w:sz w:val="24"/>
          <w:szCs w:val="24"/>
          <w:highlight w:val="none"/>
          <w14:textFill>
            <w14:solidFill>
              <w14:schemeClr w14:val="tx1"/>
            </w14:solidFill>
          </w14:textFill>
        </w:rPr>
        <w:t>16</w:t>
      </w:r>
      <w:r>
        <w:rPr>
          <w:rFonts w:hint="eastAsia" w:ascii="黑体" w:hAnsi="黑体" w:eastAsia="黑体" w:cs="黑体"/>
          <w:color w:val="000000" w:themeColor="text1"/>
          <w:sz w:val="24"/>
          <w:szCs w:val="24"/>
          <w:highlight w:val="none"/>
          <w14:textFill>
            <w14:solidFill>
              <w14:schemeClr w14:val="tx1"/>
            </w14:solidFill>
          </w14:textFill>
        </w:rPr>
        <w:fldChar w:fldCharType="end"/>
      </w:r>
      <w:r>
        <w:rPr>
          <w:rFonts w:hint="eastAsia" w:ascii="黑体" w:hAnsi="黑体" w:eastAsia="黑体" w:cs="黑体"/>
          <w:color w:val="000000" w:themeColor="text1"/>
          <w:sz w:val="24"/>
          <w:szCs w:val="24"/>
          <w:highlight w:val="none"/>
          <w14:textFill>
            <w14:solidFill>
              <w14:schemeClr w14:val="tx1"/>
            </w14:solidFill>
          </w14:textFill>
        </w:rPr>
        <w:fldChar w:fldCharType="end"/>
      </w:r>
    </w:p>
    <w:p w14:paraId="21964409">
      <w:pPr>
        <w:pStyle w:val="30"/>
        <w:keepNext w:val="0"/>
        <w:keepLines w:val="0"/>
        <w:pageBreakBefore w:val="0"/>
        <w:widowControl w:val="0"/>
        <w:tabs>
          <w:tab w:val="right" w:leader="dot" w:pos="8907"/>
          <w:tab w:val="clear" w:pos="8296"/>
        </w:tabs>
        <w:kinsoku/>
        <w:wordWrap/>
        <w:overflowPunct/>
        <w:topLinePunct w:val="0"/>
        <w:autoSpaceDE/>
        <w:autoSpaceDN/>
        <w:bidi w:val="0"/>
        <w:adjustRightInd/>
        <w:snapToGrid/>
        <w:spacing w:line="400" w:lineRule="exact"/>
        <w:textAlignment w:val="auto"/>
        <w:rPr>
          <w:rFonts w:hint="eastAsia" w:ascii="黑体" w:hAnsi="黑体" w:eastAsia="黑体" w:cs="黑体"/>
          <w:color w:val="000000" w:themeColor="text1"/>
          <w:sz w:val="24"/>
          <w:szCs w:val="24"/>
          <w:highlight w:val="none"/>
          <w14:textFill>
            <w14:solidFill>
              <w14:schemeClr w14:val="tx1"/>
            </w14:solidFill>
          </w14:textFill>
        </w:rPr>
      </w:pP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HYPERLINK \l _Toc155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bCs/>
          <w:color w:val="000000" w:themeColor="text1"/>
          <w:sz w:val="24"/>
          <w:szCs w:val="24"/>
          <w:highlight w:val="none"/>
          <w14:textFill>
            <w14:solidFill>
              <w14:schemeClr w14:val="tx1"/>
            </w14:solidFill>
          </w14:textFill>
        </w:rPr>
        <w:t>第一节 供应商须知前附表</w:t>
      </w:r>
      <w:r>
        <w:rPr>
          <w:rFonts w:hint="eastAsia" w:ascii="黑体" w:hAnsi="黑体" w:eastAsia="黑体" w:cs="黑体"/>
          <w:color w:val="000000" w:themeColor="text1"/>
          <w:sz w:val="24"/>
          <w:szCs w:val="24"/>
          <w:highlight w:val="none"/>
          <w14:textFill>
            <w14:solidFill>
              <w14:schemeClr w14:val="tx1"/>
            </w14:solidFill>
          </w14:textFill>
        </w:rPr>
        <w:tab/>
      </w: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PAGEREF _Toc155 \h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color w:val="000000" w:themeColor="text1"/>
          <w:sz w:val="24"/>
          <w:szCs w:val="24"/>
          <w:highlight w:val="none"/>
          <w14:textFill>
            <w14:solidFill>
              <w14:schemeClr w14:val="tx1"/>
            </w14:solidFill>
          </w14:textFill>
        </w:rPr>
        <w:t>16</w:t>
      </w:r>
      <w:r>
        <w:rPr>
          <w:rFonts w:hint="eastAsia" w:ascii="黑体" w:hAnsi="黑体" w:eastAsia="黑体" w:cs="黑体"/>
          <w:color w:val="000000" w:themeColor="text1"/>
          <w:sz w:val="24"/>
          <w:szCs w:val="24"/>
          <w:highlight w:val="none"/>
          <w14:textFill>
            <w14:solidFill>
              <w14:schemeClr w14:val="tx1"/>
            </w14:solidFill>
          </w14:textFill>
        </w:rPr>
        <w:fldChar w:fldCharType="end"/>
      </w:r>
      <w:r>
        <w:rPr>
          <w:rFonts w:hint="eastAsia" w:ascii="黑体" w:hAnsi="黑体" w:eastAsia="黑体" w:cs="黑体"/>
          <w:color w:val="000000" w:themeColor="text1"/>
          <w:sz w:val="24"/>
          <w:szCs w:val="24"/>
          <w:highlight w:val="none"/>
          <w14:textFill>
            <w14:solidFill>
              <w14:schemeClr w14:val="tx1"/>
            </w14:solidFill>
          </w14:textFill>
        </w:rPr>
        <w:fldChar w:fldCharType="end"/>
      </w:r>
    </w:p>
    <w:p w14:paraId="60D80F72">
      <w:pPr>
        <w:pStyle w:val="30"/>
        <w:keepNext w:val="0"/>
        <w:keepLines w:val="0"/>
        <w:pageBreakBefore w:val="0"/>
        <w:widowControl w:val="0"/>
        <w:tabs>
          <w:tab w:val="right" w:leader="dot" w:pos="8907"/>
          <w:tab w:val="clear" w:pos="8296"/>
        </w:tabs>
        <w:kinsoku/>
        <w:wordWrap/>
        <w:overflowPunct/>
        <w:topLinePunct w:val="0"/>
        <w:autoSpaceDE/>
        <w:autoSpaceDN/>
        <w:bidi w:val="0"/>
        <w:adjustRightInd/>
        <w:snapToGrid/>
        <w:spacing w:line="400" w:lineRule="exact"/>
        <w:textAlignment w:val="auto"/>
        <w:rPr>
          <w:rFonts w:hint="eastAsia" w:ascii="黑体" w:hAnsi="黑体" w:eastAsia="黑体" w:cs="黑体"/>
          <w:color w:val="000000" w:themeColor="text1"/>
          <w:sz w:val="24"/>
          <w:szCs w:val="24"/>
          <w:highlight w:val="none"/>
          <w14:textFill>
            <w14:solidFill>
              <w14:schemeClr w14:val="tx1"/>
            </w14:solidFill>
          </w14:textFill>
        </w:rPr>
      </w:pP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HYPERLINK \l _Toc28191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bCs/>
          <w:color w:val="000000" w:themeColor="text1"/>
          <w:sz w:val="24"/>
          <w:szCs w:val="24"/>
          <w:highlight w:val="none"/>
          <w14:textFill>
            <w14:solidFill>
              <w14:schemeClr w14:val="tx1"/>
            </w14:solidFill>
          </w14:textFill>
        </w:rPr>
        <w:t>第二节 供应商须知正文</w:t>
      </w:r>
      <w:r>
        <w:rPr>
          <w:rFonts w:hint="eastAsia" w:ascii="黑体" w:hAnsi="黑体" w:eastAsia="黑体" w:cs="黑体"/>
          <w:color w:val="000000" w:themeColor="text1"/>
          <w:sz w:val="24"/>
          <w:szCs w:val="24"/>
          <w:highlight w:val="none"/>
          <w14:textFill>
            <w14:solidFill>
              <w14:schemeClr w14:val="tx1"/>
            </w14:solidFill>
          </w14:textFill>
        </w:rPr>
        <w:tab/>
      </w: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PAGEREF _Toc28191 \h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color w:val="000000" w:themeColor="text1"/>
          <w:sz w:val="24"/>
          <w:szCs w:val="24"/>
          <w:highlight w:val="none"/>
          <w14:textFill>
            <w14:solidFill>
              <w14:schemeClr w14:val="tx1"/>
            </w14:solidFill>
          </w14:textFill>
        </w:rPr>
        <w:t>22</w:t>
      </w:r>
      <w:r>
        <w:rPr>
          <w:rFonts w:hint="eastAsia" w:ascii="黑体" w:hAnsi="黑体" w:eastAsia="黑体" w:cs="黑体"/>
          <w:color w:val="000000" w:themeColor="text1"/>
          <w:sz w:val="24"/>
          <w:szCs w:val="24"/>
          <w:highlight w:val="none"/>
          <w14:textFill>
            <w14:solidFill>
              <w14:schemeClr w14:val="tx1"/>
            </w14:solidFill>
          </w14:textFill>
        </w:rPr>
        <w:fldChar w:fldCharType="end"/>
      </w:r>
      <w:r>
        <w:rPr>
          <w:rFonts w:hint="eastAsia" w:ascii="黑体" w:hAnsi="黑体" w:eastAsia="黑体" w:cs="黑体"/>
          <w:color w:val="000000" w:themeColor="text1"/>
          <w:sz w:val="24"/>
          <w:szCs w:val="24"/>
          <w:highlight w:val="none"/>
          <w14:textFill>
            <w14:solidFill>
              <w14:schemeClr w14:val="tx1"/>
            </w14:solidFill>
          </w14:textFill>
        </w:rPr>
        <w:fldChar w:fldCharType="end"/>
      </w:r>
    </w:p>
    <w:p w14:paraId="75EB5559">
      <w:pPr>
        <w:pStyle w:val="27"/>
        <w:keepNext w:val="0"/>
        <w:keepLines w:val="0"/>
        <w:pageBreakBefore w:val="0"/>
        <w:widowControl w:val="0"/>
        <w:tabs>
          <w:tab w:val="right" w:leader="dot" w:pos="8907"/>
        </w:tabs>
        <w:kinsoku/>
        <w:wordWrap/>
        <w:overflowPunct/>
        <w:topLinePunct w:val="0"/>
        <w:autoSpaceDE/>
        <w:autoSpaceDN/>
        <w:bidi w:val="0"/>
        <w:adjustRightInd/>
        <w:snapToGrid/>
        <w:spacing w:line="400" w:lineRule="exact"/>
        <w:textAlignment w:val="auto"/>
        <w:rPr>
          <w:rFonts w:hint="eastAsia" w:ascii="黑体" w:hAnsi="黑体" w:eastAsia="黑体" w:cs="黑体"/>
          <w:color w:val="000000" w:themeColor="text1"/>
          <w:sz w:val="24"/>
          <w:szCs w:val="24"/>
          <w:highlight w:val="none"/>
          <w14:textFill>
            <w14:solidFill>
              <w14:schemeClr w14:val="tx1"/>
            </w14:solidFill>
          </w14:textFill>
        </w:rPr>
      </w:pP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HYPERLINK \l _Toc13889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color w:val="000000" w:themeColor="text1"/>
          <w:sz w:val="24"/>
          <w:szCs w:val="24"/>
          <w:highlight w:val="none"/>
          <w14:textFill>
            <w14:solidFill>
              <w14:schemeClr w14:val="tx1"/>
            </w14:solidFill>
          </w14:textFill>
        </w:rPr>
        <w:t>第四章  评审程序、评审方法和成交标准</w:t>
      </w:r>
      <w:r>
        <w:rPr>
          <w:rFonts w:hint="eastAsia" w:ascii="黑体" w:hAnsi="黑体" w:eastAsia="黑体" w:cs="黑体"/>
          <w:color w:val="000000" w:themeColor="text1"/>
          <w:sz w:val="24"/>
          <w:szCs w:val="24"/>
          <w:highlight w:val="none"/>
          <w14:textFill>
            <w14:solidFill>
              <w14:schemeClr w14:val="tx1"/>
            </w14:solidFill>
          </w14:textFill>
        </w:rPr>
        <w:tab/>
      </w: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PAGEREF _Toc13889 \h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color w:val="000000" w:themeColor="text1"/>
          <w:sz w:val="24"/>
          <w:szCs w:val="24"/>
          <w:highlight w:val="none"/>
          <w14:textFill>
            <w14:solidFill>
              <w14:schemeClr w14:val="tx1"/>
            </w14:solidFill>
          </w14:textFill>
        </w:rPr>
        <w:t>34</w:t>
      </w:r>
      <w:r>
        <w:rPr>
          <w:rFonts w:hint="eastAsia" w:ascii="黑体" w:hAnsi="黑体" w:eastAsia="黑体" w:cs="黑体"/>
          <w:color w:val="000000" w:themeColor="text1"/>
          <w:sz w:val="24"/>
          <w:szCs w:val="24"/>
          <w:highlight w:val="none"/>
          <w14:textFill>
            <w14:solidFill>
              <w14:schemeClr w14:val="tx1"/>
            </w14:solidFill>
          </w14:textFill>
        </w:rPr>
        <w:fldChar w:fldCharType="end"/>
      </w:r>
      <w:r>
        <w:rPr>
          <w:rFonts w:hint="eastAsia" w:ascii="黑体" w:hAnsi="黑体" w:eastAsia="黑体" w:cs="黑体"/>
          <w:color w:val="000000" w:themeColor="text1"/>
          <w:sz w:val="24"/>
          <w:szCs w:val="24"/>
          <w:highlight w:val="none"/>
          <w14:textFill>
            <w14:solidFill>
              <w14:schemeClr w14:val="tx1"/>
            </w14:solidFill>
          </w14:textFill>
        </w:rPr>
        <w:fldChar w:fldCharType="end"/>
      </w:r>
    </w:p>
    <w:p w14:paraId="14D6BD49">
      <w:pPr>
        <w:pStyle w:val="30"/>
        <w:keepNext w:val="0"/>
        <w:keepLines w:val="0"/>
        <w:pageBreakBefore w:val="0"/>
        <w:widowControl w:val="0"/>
        <w:tabs>
          <w:tab w:val="right" w:leader="dot" w:pos="8907"/>
          <w:tab w:val="clear" w:pos="8296"/>
        </w:tabs>
        <w:kinsoku/>
        <w:wordWrap/>
        <w:overflowPunct/>
        <w:topLinePunct w:val="0"/>
        <w:autoSpaceDE/>
        <w:autoSpaceDN/>
        <w:bidi w:val="0"/>
        <w:adjustRightInd/>
        <w:snapToGrid/>
        <w:spacing w:line="400" w:lineRule="exact"/>
        <w:textAlignment w:val="auto"/>
        <w:rPr>
          <w:rFonts w:hint="eastAsia" w:ascii="黑体" w:hAnsi="黑体" w:eastAsia="黑体" w:cs="黑体"/>
          <w:color w:val="000000" w:themeColor="text1"/>
          <w:sz w:val="24"/>
          <w:szCs w:val="24"/>
          <w:highlight w:val="none"/>
          <w14:textFill>
            <w14:solidFill>
              <w14:schemeClr w14:val="tx1"/>
            </w14:solidFill>
          </w14:textFill>
        </w:rPr>
      </w:pP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HYPERLINK \l _Toc26722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bCs/>
          <w:color w:val="000000" w:themeColor="text1"/>
          <w:sz w:val="24"/>
          <w:szCs w:val="24"/>
          <w:highlight w:val="none"/>
          <w14:textFill>
            <w14:solidFill>
              <w14:schemeClr w14:val="tx1"/>
            </w14:solidFill>
          </w14:textFill>
        </w:rPr>
        <w:t>第一节 评审程序和评审方法</w:t>
      </w:r>
      <w:r>
        <w:rPr>
          <w:rFonts w:hint="eastAsia" w:ascii="黑体" w:hAnsi="黑体" w:eastAsia="黑体" w:cs="黑体"/>
          <w:color w:val="000000" w:themeColor="text1"/>
          <w:sz w:val="24"/>
          <w:szCs w:val="24"/>
          <w:highlight w:val="none"/>
          <w14:textFill>
            <w14:solidFill>
              <w14:schemeClr w14:val="tx1"/>
            </w14:solidFill>
          </w14:textFill>
        </w:rPr>
        <w:tab/>
      </w: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PAGEREF _Toc26722 \h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color w:val="000000" w:themeColor="text1"/>
          <w:sz w:val="24"/>
          <w:szCs w:val="24"/>
          <w:highlight w:val="none"/>
          <w14:textFill>
            <w14:solidFill>
              <w14:schemeClr w14:val="tx1"/>
            </w14:solidFill>
          </w14:textFill>
        </w:rPr>
        <w:t>34</w:t>
      </w:r>
      <w:r>
        <w:rPr>
          <w:rFonts w:hint="eastAsia" w:ascii="黑体" w:hAnsi="黑体" w:eastAsia="黑体" w:cs="黑体"/>
          <w:color w:val="000000" w:themeColor="text1"/>
          <w:sz w:val="24"/>
          <w:szCs w:val="24"/>
          <w:highlight w:val="none"/>
          <w14:textFill>
            <w14:solidFill>
              <w14:schemeClr w14:val="tx1"/>
            </w14:solidFill>
          </w14:textFill>
        </w:rPr>
        <w:fldChar w:fldCharType="end"/>
      </w:r>
      <w:r>
        <w:rPr>
          <w:rFonts w:hint="eastAsia" w:ascii="黑体" w:hAnsi="黑体" w:eastAsia="黑体" w:cs="黑体"/>
          <w:color w:val="000000" w:themeColor="text1"/>
          <w:sz w:val="24"/>
          <w:szCs w:val="24"/>
          <w:highlight w:val="none"/>
          <w14:textFill>
            <w14:solidFill>
              <w14:schemeClr w14:val="tx1"/>
            </w14:solidFill>
          </w14:textFill>
        </w:rPr>
        <w:fldChar w:fldCharType="end"/>
      </w:r>
    </w:p>
    <w:p w14:paraId="4545F708">
      <w:pPr>
        <w:pStyle w:val="30"/>
        <w:keepNext w:val="0"/>
        <w:keepLines w:val="0"/>
        <w:pageBreakBefore w:val="0"/>
        <w:widowControl w:val="0"/>
        <w:tabs>
          <w:tab w:val="right" w:leader="dot" w:pos="8907"/>
          <w:tab w:val="clear" w:pos="8296"/>
        </w:tabs>
        <w:kinsoku/>
        <w:wordWrap/>
        <w:overflowPunct/>
        <w:topLinePunct w:val="0"/>
        <w:autoSpaceDE/>
        <w:autoSpaceDN/>
        <w:bidi w:val="0"/>
        <w:adjustRightInd/>
        <w:snapToGrid/>
        <w:spacing w:line="400" w:lineRule="exact"/>
        <w:textAlignment w:val="auto"/>
        <w:rPr>
          <w:rFonts w:hint="eastAsia" w:ascii="黑体" w:hAnsi="黑体" w:eastAsia="黑体" w:cs="黑体"/>
          <w:color w:val="000000" w:themeColor="text1"/>
          <w:sz w:val="24"/>
          <w:szCs w:val="24"/>
          <w:highlight w:val="none"/>
          <w14:textFill>
            <w14:solidFill>
              <w14:schemeClr w14:val="tx1"/>
            </w14:solidFill>
          </w14:textFill>
        </w:rPr>
      </w:pP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HYPERLINK \l _Toc29556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bCs/>
          <w:color w:val="000000" w:themeColor="text1"/>
          <w:sz w:val="24"/>
          <w:szCs w:val="24"/>
          <w:highlight w:val="none"/>
          <w14:textFill>
            <w14:solidFill>
              <w14:schemeClr w14:val="tx1"/>
            </w14:solidFill>
          </w14:textFill>
        </w:rPr>
        <w:t>第二节 评审原则</w:t>
      </w:r>
      <w:r>
        <w:rPr>
          <w:rFonts w:hint="eastAsia" w:ascii="黑体" w:hAnsi="黑体" w:eastAsia="黑体" w:cs="黑体"/>
          <w:color w:val="000000" w:themeColor="text1"/>
          <w:sz w:val="24"/>
          <w:szCs w:val="24"/>
          <w:highlight w:val="none"/>
          <w14:textFill>
            <w14:solidFill>
              <w14:schemeClr w14:val="tx1"/>
            </w14:solidFill>
          </w14:textFill>
        </w:rPr>
        <w:tab/>
      </w: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PAGEREF _Toc29556 \h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color w:val="000000" w:themeColor="text1"/>
          <w:sz w:val="24"/>
          <w:szCs w:val="24"/>
          <w:highlight w:val="none"/>
          <w14:textFill>
            <w14:solidFill>
              <w14:schemeClr w14:val="tx1"/>
            </w14:solidFill>
          </w14:textFill>
        </w:rPr>
        <w:t>39</w:t>
      </w:r>
      <w:r>
        <w:rPr>
          <w:rFonts w:hint="eastAsia" w:ascii="黑体" w:hAnsi="黑体" w:eastAsia="黑体" w:cs="黑体"/>
          <w:color w:val="000000" w:themeColor="text1"/>
          <w:sz w:val="24"/>
          <w:szCs w:val="24"/>
          <w:highlight w:val="none"/>
          <w14:textFill>
            <w14:solidFill>
              <w14:schemeClr w14:val="tx1"/>
            </w14:solidFill>
          </w14:textFill>
        </w:rPr>
        <w:fldChar w:fldCharType="end"/>
      </w:r>
      <w:r>
        <w:rPr>
          <w:rFonts w:hint="eastAsia" w:ascii="黑体" w:hAnsi="黑体" w:eastAsia="黑体" w:cs="黑体"/>
          <w:color w:val="000000" w:themeColor="text1"/>
          <w:sz w:val="24"/>
          <w:szCs w:val="24"/>
          <w:highlight w:val="none"/>
          <w14:textFill>
            <w14:solidFill>
              <w14:schemeClr w14:val="tx1"/>
            </w14:solidFill>
          </w14:textFill>
        </w:rPr>
        <w:fldChar w:fldCharType="end"/>
      </w:r>
    </w:p>
    <w:p w14:paraId="56BB723D">
      <w:pPr>
        <w:pStyle w:val="30"/>
        <w:keepNext w:val="0"/>
        <w:keepLines w:val="0"/>
        <w:pageBreakBefore w:val="0"/>
        <w:widowControl w:val="0"/>
        <w:tabs>
          <w:tab w:val="right" w:leader="dot" w:pos="8907"/>
          <w:tab w:val="clear" w:pos="8296"/>
        </w:tabs>
        <w:kinsoku/>
        <w:wordWrap/>
        <w:overflowPunct/>
        <w:topLinePunct w:val="0"/>
        <w:autoSpaceDE/>
        <w:autoSpaceDN/>
        <w:bidi w:val="0"/>
        <w:adjustRightInd/>
        <w:snapToGrid/>
        <w:spacing w:line="400" w:lineRule="exact"/>
        <w:textAlignment w:val="auto"/>
        <w:rPr>
          <w:rFonts w:hint="eastAsia" w:ascii="黑体" w:hAnsi="黑体" w:eastAsia="黑体" w:cs="黑体"/>
          <w:color w:val="000000" w:themeColor="text1"/>
          <w:sz w:val="24"/>
          <w:szCs w:val="24"/>
          <w:highlight w:val="none"/>
          <w14:textFill>
            <w14:solidFill>
              <w14:schemeClr w14:val="tx1"/>
            </w14:solidFill>
          </w14:textFill>
        </w:rPr>
      </w:pP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HYPERLINK \l _Toc7182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bCs/>
          <w:color w:val="000000" w:themeColor="text1"/>
          <w:sz w:val="24"/>
          <w:szCs w:val="24"/>
          <w:highlight w:val="none"/>
          <w14:textFill>
            <w14:solidFill>
              <w14:schemeClr w14:val="tx1"/>
            </w14:solidFill>
          </w14:textFill>
        </w:rPr>
        <w:t>第三节 评标报告</w:t>
      </w:r>
      <w:r>
        <w:rPr>
          <w:rFonts w:hint="eastAsia" w:ascii="黑体" w:hAnsi="黑体" w:eastAsia="黑体" w:cs="黑体"/>
          <w:color w:val="000000" w:themeColor="text1"/>
          <w:sz w:val="24"/>
          <w:szCs w:val="24"/>
          <w:highlight w:val="none"/>
          <w14:textFill>
            <w14:solidFill>
              <w14:schemeClr w14:val="tx1"/>
            </w14:solidFill>
          </w14:textFill>
        </w:rPr>
        <w:tab/>
      </w: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PAGEREF _Toc7182 \h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color w:val="000000" w:themeColor="text1"/>
          <w:sz w:val="24"/>
          <w:szCs w:val="24"/>
          <w:highlight w:val="none"/>
          <w14:textFill>
            <w14:solidFill>
              <w14:schemeClr w14:val="tx1"/>
            </w14:solidFill>
          </w14:textFill>
        </w:rPr>
        <w:t>39</w:t>
      </w:r>
      <w:r>
        <w:rPr>
          <w:rFonts w:hint="eastAsia" w:ascii="黑体" w:hAnsi="黑体" w:eastAsia="黑体" w:cs="黑体"/>
          <w:color w:val="000000" w:themeColor="text1"/>
          <w:sz w:val="24"/>
          <w:szCs w:val="24"/>
          <w:highlight w:val="none"/>
          <w14:textFill>
            <w14:solidFill>
              <w14:schemeClr w14:val="tx1"/>
            </w14:solidFill>
          </w14:textFill>
        </w:rPr>
        <w:fldChar w:fldCharType="end"/>
      </w:r>
      <w:r>
        <w:rPr>
          <w:rFonts w:hint="eastAsia" w:ascii="黑体" w:hAnsi="黑体" w:eastAsia="黑体" w:cs="黑体"/>
          <w:color w:val="000000" w:themeColor="text1"/>
          <w:sz w:val="24"/>
          <w:szCs w:val="24"/>
          <w:highlight w:val="none"/>
          <w14:textFill>
            <w14:solidFill>
              <w14:schemeClr w14:val="tx1"/>
            </w14:solidFill>
          </w14:textFill>
        </w:rPr>
        <w:fldChar w:fldCharType="end"/>
      </w:r>
    </w:p>
    <w:p w14:paraId="60BD1772">
      <w:pPr>
        <w:pStyle w:val="30"/>
        <w:keepNext w:val="0"/>
        <w:keepLines w:val="0"/>
        <w:pageBreakBefore w:val="0"/>
        <w:widowControl w:val="0"/>
        <w:tabs>
          <w:tab w:val="right" w:leader="dot" w:pos="8907"/>
          <w:tab w:val="clear" w:pos="8296"/>
        </w:tabs>
        <w:kinsoku/>
        <w:wordWrap/>
        <w:overflowPunct/>
        <w:topLinePunct w:val="0"/>
        <w:autoSpaceDE/>
        <w:autoSpaceDN/>
        <w:bidi w:val="0"/>
        <w:adjustRightInd/>
        <w:snapToGrid/>
        <w:spacing w:line="400" w:lineRule="exact"/>
        <w:textAlignment w:val="auto"/>
        <w:rPr>
          <w:rFonts w:hint="eastAsia" w:ascii="黑体" w:hAnsi="黑体" w:eastAsia="黑体" w:cs="黑体"/>
          <w:color w:val="000000" w:themeColor="text1"/>
          <w:sz w:val="24"/>
          <w:szCs w:val="24"/>
          <w:highlight w:val="none"/>
          <w14:textFill>
            <w14:solidFill>
              <w14:schemeClr w14:val="tx1"/>
            </w14:solidFill>
          </w14:textFill>
        </w:rPr>
      </w:pP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HYPERLINK \l _Toc31300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bCs/>
          <w:color w:val="000000" w:themeColor="text1"/>
          <w:sz w:val="24"/>
          <w:szCs w:val="24"/>
          <w:highlight w:val="none"/>
          <w14:textFill>
            <w14:solidFill>
              <w14:schemeClr w14:val="tx1"/>
            </w14:solidFill>
          </w14:textFill>
        </w:rPr>
        <w:t>第四节 评审过程的保密与录像</w:t>
      </w:r>
      <w:r>
        <w:rPr>
          <w:rFonts w:hint="eastAsia" w:ascii="黑体" w:hAnsi="黑体" w:eastAsia="黑体" w:cs="黑体"/>
          <w:color w:val="000000" w:themeColor="text1"/>
          <w:sz w:val="24"/>
          <w:szCs w:val="24"/>
          <w:highlight w:val="none"/>
          <w14:textFill>
            <w14:solidFill>
              <w14:schemeClr w14:val="tx1"/>
            </w14:solidFill>
          </w14:textFill>
        </w:rPr>
        <w:tab/>
      </w: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PAGEREF _Toc31300 \h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color w:val="000000" w:themeColor="text1"/>
          <w:sz w:val="24"/>
          <w:szCs w:val="24"/>
          <w:highlight w:val="none"/>
          <w14:textFill>
            <w14:solidFill>
              <w14:schemeClr w14:val="tx1"/>
            </w14:solidFill>
          </w14:textFill>
        </w:rPr>
        <w:t>40</w:t>
      </w:r>
      <w:r>
        <w:rPr>
          <w:rFonts w:hint="eastAsia" w:ascii="黑体" w:hAnsi="黑体" w:eastAsia="黑体" w:cs="黑体"/>
          <w:color w:val="000000" w:themeColor="text1"/>
          <w:sz w:val="24"/>
          <w:szCs w:val="24"/>
          <w:highlight w:val="none"/>
          <w14:textFill>
            <w14:solidFill>
              <w14:schemeClr w14:val="tx1"/>
            </w14:solidFill>
          </w14:textFill>
        </w:rPr>
        <w:fldChar w:fldCharType="end"/>
      </w:r>
      <w:r>
        <w:rPr>
          <w:rFonts w:hint="eastAsia" w:ascii="黑体" w:hAnsi="黑体" w:eastAsia="黑体" w:cs="黑体"/>
          <w:color w:val="000000" w:themeColor="text1"/>
          <w:sz w:val="24"/>
          <w:szCs w:val="24"/>
          <w:highlight w:val="none"/>
          <w14:textFill>
            <w14:solidFill>
              <w14:schemeClr w14:val="tx1"/>
            </w14:solidFill>
          </w14:textFill>
        </w:rPr>
        <w:fldChar w:fldCharType="end"/>
      </w:r>
    </w:p>
    <w:p w14:paraId="1A28B3E1">
      <w:pPr>
        <w:pStyle w:val="27"/>
        <w:keepNext w:val="0"/>
        <w:keepLines w:val="0"/>
        <w:pageBreakBefore w:val="0"/>
        <w:widowControl w:val="0"/>
        <w:tabs>
          <w:tab w:val="right" w:leader="dot" w:pos="8907"/>
        </w:tabs>
        <w:kinsoku/>
        <w:wordWrap/>
        <w:overflowPunct/>
        <w:topLinePunct w:val="0"/>
        <w:autoSpaceDE/>
        <w:autoSpaceDN/>
        <w:bidi w:val="0"/>
        <w:adjustRightInd/>
        <w:snapToGrid/>
        <w:spacing w:line="400" w:lineRule="exact"/>
        <w:textAlignment w:val="auto"/>
        <w:rPr>
          <w:rFonts w:hint="eastAsia" w:ascii="黑体" w:hAnsi="黑体" w:eastAsia="黑体" w:cs="黑体"/>
          <w:color w:val="000000" w:themeColor="text1"/>
          <w:sz w:val="24"/>
          <w:szCs w:val="24"/>
          <w:highlight w:val="none"/>
          <w14:textFill>
            <w14:solidFill>
              <w14:schemeClr w14:val="tx1"/>
            </w14:solidFill>
          </w14:textFill>
        </w:rPr>
      </w:pP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HYPERLINK \l _Toc30533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color w:val="000000" w:themeColor="text1"/>
          <w:sz w:val="24"/>
          <w:szCs w:val="24"/>
          <w:highlight w:val="none"/>
          <w14:textFill>
            <w14:solidFill>
              <w14:schemeClr w14:val="tx1"/>
            </w14:solidFill>
          </w14:textFill>
        </w:rPr>
        <w:t>第五章 响应文件格式</w:t>
      </w:r>
      <w:r>
        <w:rPr>
          <w:rFonts w:hint="eastAsia" w:ascii="黑体" w:hAnsi="黑体" w:eastAsia="黑体" w:cs="黑体"/>
          <w:color w:val="000000" w:themeColor="text1"/>
          <w:sz w:val="24"/>
          <w:szCs w:val="24"/>
          <w:highlight w:val="none"/>
          <w14:textFill>
            <w14:solidFill>
              <w14:schemeClr w14:val="tx1"/>
            </w14:solidFill>
          </w14:textFill>
        </w:rPr>
        <w:tab/>
      </w: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PAGEREF _Toc30533 \h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color w:val="000000" w:themeColor="text1"/>
          <w:sz w:val="24"/>
          <w:szCs w:val="24"/>
          <w:highlight w:val="none"/>
          <w14:textFill>
            <w14:solidFill>
              <w14:schemeClr w14:val="tx1"/>
            </w14:solidFill>
          </w14:textFill>
        </w:rPr>
        <w:t>41</w:t>
      </w:r>
      <w:r>
        <w:rPr>
          <w:rFonts w:hint="eastAsia" w:ascii="黑体" w:hAnsi="黑体" w:eastAsia="黑体" w:cs="黑体"/>
          <w:color w:val="000000" w:themeColor="text1"/>
          <w:sz w:val="24"/>
          <w:szCs w:val="24"/>
          <w:highlight w:val="none"/>
          <w14:textFill>
            <w14:solidFill>
              <w14:schemeClr w14:val="tx1"/>
            </w14:solidFill>
          </w14:textFill>
        </w:rPr>
        <w:fldChar w:fldCharType="end"/>
      </w:r>
      <w:r>
        <w:rPr>
          <w:rFonts w:hint="eastAsia" w:ascii="黑体" w:hAnsi="黑体" w:eastAsia="黑体" w:cs="黑体"/>
          <w:color w:val="000000" w:themeColor="text1"/>
          <w:sz w:val="24"/>
          <w:szCs w:val="24"/>
          <w:highlight w:val="none"/>
          <w14:textFill>
            <w14:solidFill>
              <w14:schemeClr w14:val="tx1"/>
            </w14:solidFill>
          </w14:textFill>
        </w:rPr>
        <w:fldChar w:fldCharType="end"/>
      </w:r>
    </w:p>
    <w:p w14:paraId="1403D13E">
      <w:pPr>
        <w:pStyle w:val="30"/>
        <w:keepNext w:val="0"/>
        <w:keepLines w:val="0"/>
        <w:pageBreakBefore w:val="0"/>
        <w:widowControl w:val="0"/>
        <w:tabs>
          <w:tab w:val="right" w:leader="dot" w:pos="8907"/>
          <w:tab w:val="clear" w:pos="8296"/>
        </w:tabs>
        <w:kinsoku/>
        <w:wordWrap/>
        <w:overflowPunct/>
        <w:topLinePunct w:val="0"/>
        <w:autoSpaceDE/>
        <w:autoSpaceDN/>
        <w:bidi w:val="0"/>
        <w:adjustRightInd/>
        <w:snapToGrid/>
        <w:spacing w:line="400" w:lineRule="exact"/>
        <w:textAlignment w:val="auto"/>
        <w:rPr>
          <w:rFonts w:hint="eastAsia" w:ascii="黑体" w:hAnsi="黑体" w:eastAsia="黑体" w:cs="黑体"/>
          <w:color w:val="000000" w:themeColor="text1"/>
          <w:sz w:val="24"/>
          <w:szCs w:val="24"/>
          <w:highlight w:val="none"/>
          <w14:textFill>
            <w14:solidFill>
              <w14:schemeClr w14:val="tx1"/>
            </w14:solidFill>
          </w14:textFill>
        </w:rPr>
      </w:pP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HYPERLINK \l _Toc6728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bCs/>
          <w:color w:val="000000" w:themeColor="text1"/>
          <w:sz w:val="24"/>
          <w:szCs w:val="24"/>
          <w:highlight w:val="none"/>
          <w14:textFill>
            <w14:solidFill>
              <w14:schemeClr w14:val="tx1"/>
            </w14:solidFill>
          </w14:textFill>
        </w:rPr>
        <w:t>第一</w:t>
      </w:r>
      <w:r>
        <w:rPr>
          <w:rFonts w:hint="eastAsia" w:ascii="黑体" w:hAnsi="黑体" w:eastAsia="黑体" w:cs="黑体"/>
          <w:bCs/>
          <w:color w:val="000000" w:themeColor="text1"/>
          <w:spacing w:val="120"/>
          <w:sz w:val="24"/>
          <w:szCs w:val="24"/>
          <w:highlight w:val="none"/>
          <w14:textFill>
            <w14:solidFill>
              <w14:schemeClr w14:val="tx1"/>
            </w14:solidFill>
          </w14:textFill>
        </w:rPr>
        <w:t>节</w:t>
      </w:r>
      <w:r>
        <w:rPr>
          <w:rFonts w:hint="eastAsia" w:ascii="黑体" w:hAnsi="黑体" w:eastAsia="黑体" w:cs="黑体"/>
          <w:bCs/>
          <w:color w:val="000000" w:themeColor="text1"/>
          <w:sz w:val="24"/>
          <w:szCs w:val="24"/>
          <w:highlight w:val="none"/>
          <w14:textFill>
            <w14:solidFill>
              <w14:schemeClr w14:val="tx1"/>
            </w14:solidFill>
          </w14:textFill>
        </w:rPr>
        <w:t>封面格式</w:t>
      </w:r>
      <w:r>
        <w:rPr>
          <w:rFonts w:hint="eastAsia" w:ascii="黑体" w:hAnsi="黑体" w:eastAsia="黑体" w:cs="黑体"/>
          <w:color w:val="000000" w:themeColor="text1"/>
          <w:sz w:val="24"/>
          <w:szCs w:val="24"/>
          <w:highlight w:val="none"/>
          <w14:textFill>
            <w14:solidFill>
              <w14:schemeClr w14:val="tx1"/>
            </w14:solidFill>
          </w14:textFill>
        </w:rPr>
        <w:tab/>
      </w: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PAGEREF _Toc6728 \h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color w:val="000000" w:themeColor="text1"/>
          <w:sz w:val="24"/>
          <w:szCs w:val="24"/>
          <w:highlight w:val="none"/>
          <w14:textFill>
            <w14:solidFill>
              <w14:schemeClr w14:val="tx1"/>
            </w14:solidFill>
          </w14:textFill>
        </w:rPr>
        <w:t>42</w:t>
      </w:r>
      <w:r>
        <w:rPr>
          <w:rFonts w:hint="eastAsia" w:ascii="黑体" w:hAnsi="黑体" w:eastAsia="黑体" w:cs="黑体"/>
          <w:color w:val="000000" w:themeColor="text1"/>
          <w:sz w:val="24"/>
          <w:szCs w:val="24"/>
          <w:highlight w:val="none"/>
          <w14:textFill>
            <w14:solidFill>
              <w14:schemeClr w14:val="tx1"/>
            </w14:solidFill>
          </w14:textFill>
        </w:rPr>
        <w:fldChar w:fldCharType="end"/>
      </w:r>
      <w:r>
        <w:rPr>
          <w:rFonts w:hint="eastAsia" w:ascii="黑体" w:hAnsi="黑体" w:eastAsia="黑体" w:cs="黑体"/>
          <w:color w:val="000000" w:themeColor="text1"/>
          <w:sz w:val="24"/>
          <w:szCs w:val="24"/>
          <w:highlight w:val="none"/>
          <w14:textFill>
            <w14:solidFill>
              <w14:schemeClr w14:val="tx1"/>
            </w14:solidFill>
          </w14:textFill>
        </w:rPr>
        <w:fldChar w:fldCharType="end"/>
      </w:r>
    </w:p>
    <w:p w14:paraId="68D33110">
      <w:pPr>
        <w:pStyle w:val="30"/>
        <w:keepNext w:val="0"/>
        <w:keepLines w:val="0"/>
        <w:pageBreakBefore w:val="0"/>
        <w:widowControl w:val="0"/>
        <w:tabs>
          <w:tab w:val="right" w:leader="dot" w:pos="8907"/>
          <w:tab w:val="clear" w:pos="8296"/>
        </w:tabs>
        <w:kinsoku/>
        <w:wordWrap/>
        <w:overflowPunct/>
        <w:topLinePunct w:val="0"/>
        <w:autoSpaceDE/>
        <w:autoSpaceDN/>
        <w:bidi w:val="0"/>
        <w:adjustRightInd/>
        <w:snapToGrid/>
        <w:spacing w:line="400" w:lineRule="exact"/>
        <w:textAlignment w:val="auto"/>
        <w:rPr>
          <w:rFonts w:hint="eastAsia" w:ascii="黑体" w:hAnsi="黑体" w:eastAsia="黑体" w:cs="黑体"/>
          <w:color w:val="000000" w:themeColor="text1"/>
          <w:sz w:val="24"/>
          <w:szCs w:val="24"/>
          <w:highlight w:val="none"/>
          <w14:textFill>
            <w14:solidFill>
              <w14:schemeClr w14:val="tx1"/>
            </w14:solidFill>
          </w14:textFill>
        </w:rPr>
      </w:pP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HYPERLINK \l _Toc94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bCs/>
          <w:color w:val="000000" w:themeColor="text1"/>
          <w:sz w:val="24"/>
          <w:szCs w:val="24"/>
          <w:highlight w:val="none"/>
          <w14:textFill>
            <w14:solidFill>
              <w14:schemeClr w14:val="tx1"/>
            </w14:solidFill>
          </w14:textFill>
        </w:rPr>
        <w:t>第二</w:t>
      </w:r>
      <w:r>
        <w:rPr>
          <w:rFonts w:hint="eastAsia" w:ascii="黑体" w:hAnsi="黑体" w:eastAsia="黑体" w:cs="黑体"/>
          <w:bCs/>
          <w:color w:val="000000" w:themeColor="text1"/>
          <w:spacing w:val="120"/>
          <w:sz w:val="24"/>
          <w:szCs w:val="24"/>
          <w:highlight w:val="none"/>
          <w14:textFill>
            <w14:solidFill>
              <w14:schemeClr w14:val="tx1"/>
            </w14:solidFill>
          </w14:textFill>
        </w:rPr>
        <w:t>节</w:t>
      </w:r>
      <w:r>
        <w:rPr>
          <w:rFonts w:hint="eastAsia" w:ascii="黑体" w:hAnsi="黑体" w:eastAsia="黑体" w:cs="黑体"/>
          <w:bCs/>
          <w:color w:val="000000" w:themeColor="text1"/>
          <w:sz w:val="24"/>
          <w:szCs w:val="24"/>
          <w:highlight w:val="none"/>
          <w14:textFill>
            <w14:solidFill>
              <w14:schemeClr w14:val="tx1"/>
            </w14:solidFill>
          </w14:textFill>
        </w:rPr>
        <w:t>资格证明文件格式</w:t>
      </w:r>
      <w:r>
        <w:rPr>
          <w:rFonts w:hint="eastAsia" w:ascii="黑体" w:hAnsi="黑体" w:eastAsia="黑体" w:cs="黑体"/>
          <w:color w:val="000000" w:themeColor="text1"/>
          <w:sz w:val="24"/>
          <w:szCs w:val="24"/>
          <w:highlight w:val="none"/>
          <w14:textFill>
            <w14:solidFill>
              <w14:schemeClr w14:val="tx1"/>
            </w14:solidFill>
          </w14:textFill>
        </w:rPr>
        <w:tab/>
      </w: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PAGEREF _Toc94 \h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color w:val="000000" w:themeColor="text1"/>
          <w:sz w:val="24"/>
          <w:szCs w:val="24"/>
          <w:highlight w:val="none"/>
          <w14:textFill>
            <w14:solidFill>
              <w14:schemeClr w14:val="tx1"/>
            </w14:solidFill>
          </w14:textFill>
        </w:rPr>
        <w:t>43</w:t>
      </w:r>
      <w:r>
        <w:rPr>
          <w:rFonts w:hint="eastAsia" w:ascii="黑体" w:hAnsi="黑体" w:eastAsia="黑体" w:cs="黑体"/>
          <w:color w:val="000000" w:themeColor="text1"/>
          <w:sz w:val="24"/>
          <w:szCs w:val="24"/>
          <w:highlight w:val="none"/>
          <w14:textFill>
            <w14:solidFill>
              <w14:schemeClr w14:val="tx1"/>
            </w14:solidFill>
          </w14:textFill>
        </w:rPr>
        <w:fldChar w:fldCharType="end"/>
      </w:r>
      <w:r>
        <w:rPr>
          <w:rFonts w:hint="eastAsia" w:ascii="黑体" w:hAnsi="黑体" w:eastAsia="黑体" w:cs="黑体"/>
          <w:color w:val="000000" w:themeColor="text1"/>
          <w:sz w:val="24"/>
          <w:szCs w:val="24"/>
          <w:highlight w:val="none"/>
          <w14:textFill>
            <w14:solidFill>
              <w14:schemeClr w14:val="tx1"/>
            </w14:solidFill>
          </w14:textFill>
        </w:rPr>
        <w:fldChar w:fldCharType="end"/>
      </w:r>
    </w:p>
    <w:p w14:paraId="5833882B">
      <w:pPr>
        <w:pStyle w:val="30"/>
        <w:keepNext w:val="0"/>
        <w:keepLines w:val="0"/>
        <w:pageBreakBefore w:val="0"/>
        <w:widowControl w:val="0"/>
        <w:tabs>
          <w:tab w:val="right" w:leader="dot" w:pos="8907"/>
          <w:tab w:val="clear" w:pos="8296"/>
        </w:tabs>
        <w:kinsoku/>
        <w:wordWrap/>
        <w:overflowPunct/>
        <w:topLinePunct w:val="0"/>
        <w:autoSpaceDE/>
        <w:autoSpaceDN/>
        <w:bidi w:val="0"/>
        <w:adjustRightInd/>
        <w:snapToGrid/>
        <w:spacing w:line="400" w:lineRule="exact"/>
        <w:textAlignment w:val="auto"/>
        <w:rPr>
          <w:rFonts w:hint="eastAsia" w:ascii="黑体" w:hAnsi="黑体" w:eastAsia="黑体" w:cs="黑体"/>
          <w:color w:val="000000" w:themeColor="text1"/>
          <w:sz w:val="24"/>
          <w:szCs w:val="24"/>
          <w:highlight w:val="none"/>
          <w14:textFill>
            <w14:solidFill>
              <w14:schemeClr w14:val="tx1"/>
            </w14:solidFill>
          </w14:textFill>
        </w:rPr>
      </w:pP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HYPERLINK \l _Toc18734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bCs/>
          <w:color w:val="000000" w:themeColor="text1"/>
          <w:sz w:val="24"/>
          <w:szCs w:val="24"/>
          <w:highlight w:val="none"/>
          <w14:textFill>
            <w14:solidFill>
              <w14:schemeClr w14:val="tx1"/>
            </w14:solidFill>
          </w14:textFill>
        </w:rPr>
        <w:t>第三</w:t>
      </w:r>
      <w:r>
        <w:rPr>
          <w:rFonts w:hint="eastAsia" w:ascii="黑体" w:hAnsi="黑体" w:eastAsia="黑体" w:cs="黑体"/>
          <w:bCs/>
          <w:color w:val="000000" w:themeColor="text1"/>
          <w:spacing w:val="120"/>
          <w:sz w:val="24"/>
          <w:szCs w:val="24"/>
          <w:highlight w:val="none"/>
          <w14:textFill>
            <w14:solidFill>
              <w14:schemeClr w14:val="tx1"/>
            </w14:solidFill>
          </w14:textFill>
        </w:rPr>
        <w:t>节</w:t>
      </w:r>
      <w:r>
        <w:rPr>
          <w:rFonts w:hint="eastAsia" w:ascii="黑体" w:hAnsi="黑体" w:eastAsia="黑体" w:cs="黑体"/>
          <w:bCs/>
          <w:color w:val="000000" w:themeColor="text1"/>
          <w:sz w:val="24"/>
          <w:szCs w:val="24"/>
          <w:highlight w:val="none"/>
          <w14:textFill>
            <w14:solidFill>
              <w14:schemeClr w14:val="tx1"/>
            </w14:solidFill>
          </w14:textFill>
        </w:rPr>
        <w:t>商务技术文件格式</w:t>
      </w:r>
      <w:r>
        <w:rPr>
          <w:rFonts w:hint="eastAsia" w:ascii="黑体" w:hAnsi="黑体" w:eastAsia="黑体" w:cs="黑体"/>
          <w:color w:val="000000" w:themeColor="text1"/>
          <w:sz w:val="24"/>
          <w:szCs w:val="24"/>
          <w:highlight w:val="none"/>
          <w14:textFill>
            <w14:solidFill>
              <w14:schemeClr w14:val="tx1"/>
            </w14:solidFill>
          </w14:textFill>
        </w:rPr>
        <w:tab/>
      </w: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PAGEREF _Toc18734 \h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color w:val="000000" w:themeColor="text1"/>
          <w:sz w:val="24"/>
          <w:szCs w:val="24"/>
          <w:highlight w:val="none"/>
          <w14:textFill>
            <w14:solidFill>
              <w14:schemeClr w14:val="tx1"/>
            </w14:solidFill>
          </w14:textFill>
        </w:rPr>
        <w:t>57</w:t>
      </w:r>
      <w:r>
        <w:rPr>
          <w:rFonts w:hint="eastAsia" w:ascii="黑体" w:hAnsi="黑体" w:eastAsia="黑体" w:cs="黑体"/>
          <w:color w:val="000000" w:themeColor="text1"/>
          <w:sz w:val="24"/>
          <w:szCs w:val="24"/>
          <w:highlight w:val="none"/>
          <w14:textFill>
            <w14:solidFill>
              <w14:schemeClr w14:val="tx1"/>
            </w14:solidFill>
          </w14:textFill>
        </w:rPr>
        <w:fldChar w:fldCharType="end"/>
      </w:r>
      <w:r>
        <w:rPr>
          <w:rFonts w:hint="eastAsia" w:ascii="黑体" w:hAnsi="黑体" w:eastAsia="黑体" w:cs="黑体"/>
          <w:color w:val="000000" w:themeColor="text1"/>
          <w:sz w:val="24"/>
          <w:szCs w:val="24"/>
          <w:highlight w:val="none"/>
          <w14:textFill>
            <w14:solidFill>
              <w14:schemeClr w14:val="tx1"/>
            </w14:solidFill>
          </w14:textFill>
        </w:rPr>
        <w:fldChar w:fldCharType="end"/>
      </w:r>
    </w:p>
    <w:p w14:paraId="311AADB9">
      <w:pPr>
        <w:pStyle w:val="30"/>
        <w:keepNext w:val="0"/>
        <w:keepLines w:val="0"/>
        <w:pageBreakBefore w:val="0"/>
        <w:widowControl w:val="0"/>
        <w:tabs>
          <w:tab w:val="right" w:leader="dot" w:pos="8907"/>
          <w:tab w:val="clear" w:pos="8296"/>
        </w:tabs>
        <w:kinsoku/>
        <w:wordWrap/>
        <w:overflowPunct/>
        <w:topLinePunct w:val="0"/>
        <w:autoSpaceDE/>
        <w:autoSpaceDN/>
        <w:bidi w:val="0"/>
        <w:adjustRightInd/>
        <w:snapToGrid/>
        <w:spacing w:line="400" w:lineRule="exact"/>
        <w:textAlignment w:val="auto"/>
        <w:rPr>
          <w:rFonts w:hint="eastAsia" w:ascii="黑体" w:hAnsi="黑体" w:eastAsia="黑体" w:cs="黑体"/>
          <w:color w:val="000000" w:themeColor="text1"/>
          <w:sz w:val="24"/>
          <w:szCs w:val="24"/>
          <w:highlight w:val="none"/>
          <w14:textFill>
            <w14:solidFill>
              <w14:schemeClr w14:val="tx1"/>
            </w14:solidFill>
          </w14:textFill>
        </w:rPr>
      </w:pP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HYPERLINK \l _Toc1079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bCs/>
          <w:color w:val="000000" w:themeColor="text1"/>
          <w:sz w:val="24"/>
          <w:szCs w:val="24"/>
          <w:highlight w:val="none"/>
          <w14:textFill>
            <w14:solidFill>
              <w14:schemeClr w14:val="tx1"/>
            </w14:solidFill>
          </w14:textFill>
        </w:rPr>
        <w:t>第四</w:t>
      </w:r>
      <w:r>
        <w:rPr>
          <w:rFonts w:hint="eastAsia" w:ascii="黑体" w:hAnsi="黑体" w:eastAsia="黑体" w:cs="黑体"/>
          <w:bCs/>
          <w:color w:val="000000" w:themeColor="text1"/>
          <w:spacing w:val="120"/>
          <w:sz w:val="24"/>
          <w:szCs w:val="24"/>
          <w:highlight w:val="none"/>
          <w14:textFill>
            <w14:solidFill>
              <w14:schemeClr w14:val="tx1"/>
            </w14:solidFill>
          </w14:textFill>
        </w:rPr>
        <w:t>节</w:t>
      </w:r>
      <w:r>
        <w:rPr>
          <w:rFonts w:hint="eastAsia" w:ascii="黑体" w:hAnsi="黑体" w:eastAsia="黑体" w:cs="黑体"/>
          <w:bCs/>
          <w:color w:val="000000" w:themeColor="text1"/>
          <w:sz w:val="24"/>
          <w:szCs w:val="24"/>
          <w:highlight w:val="none"/>
          <w14:textFill>
            <w14:solidFill>
              <w14:schemeClr w14:val="tx1"/>
            </w14:solidFill>
          </w14:textFill>
        </w:rPr>
        <w:t>报价文件格式</w:t>
      </w:r>
      <w:r>
        <w:rPr>
          <w:rFonts w:hint="eastAsia" w:ascii="黑体" w:hAnsi="黑体" w:eastAsia="黑体" w:cs="黑体"/>
          <w:color w:val="000000" w:themeColor="text1"/>
          <w:sz w:val="24"/>
          <w:szCs w:val="24"/>
          <w:highlight w:val="none"/>
          <w14:textFill>
            <w14:solidFill>
              <w14:schemeClr w14:val="tx1"/>
            </w14:solidFill>
          </w14:textFill>
        </w:rPr>
        <w:tab/>
      </w: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PAGEREF _Toc1079 \h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color w:val="000000" w:themeColor="text1"/>
          <w:sz w:val="24"/>
          <w:szCs w:val="24"/>
          <w:highlight w:val="none"/>
          <w14:textFill>
            <w14:solidFill>
              <w14:schemeClr w14:val="tx1"/>
            </w14:solidFill>
          </w14:textFill>
        </w:rPr>
        <w:t>73</w:t>
      </w:r>
      <w:r>
        <w:rPr>
          <w:rFonts w:hint="eastAsia" w:ascii="黑体" w:hAnsi="黑体" w:eastAsia="黑体" w:cs="黑体"/>
          <w:color w:val="000000" w:themeColor="text1"/>
          <w:sz w:val="24"/>
          <w:szCs w:val="24"/>
          <w:highlight w:val="none"/>
          <w14:textFill>
            <w14:solidFill>
              <w14:schemeClr w14:val="tx1"/>
            </w14:solidFill>
          </w14:textFill>
        </w:rPr>
        <w:fldChar w:fldCharType="end"/>
      </w:r>
      <w:r>
        <w:rPr>
          <w:rFonts w:hint="eastAsia" w:ascii="黑体" w:hAnsi="黑体" w:eastAsia="黑体" w:cs="黑体"/>
          <w:color w:val="000000" w:themeColor="text1"/>
          <w:sz w:val="24"/>
          <w:szCs w:val="24"/>
          <w:highlight w:val="none"/>
          <w14:textFill>
            <w14:solidFill>
              <w14:schemeClr w14:val="tx1"/>
            </w14:solidFill>
          </w14:textFill>
        </w:rPr>
        <w:fldChar w:fldCharType="end"/>
      </w:r>
    </w:p>
    <w:p w14:paraId="47223FAF">
      <w:pPr>
        <w:pStyle w:val="30"/>
        <w:keepNext w:val="0"/>
        <w:keepLines w:val="0"/>
        <w:pageBreakBefore w:val="0"/>
        <w:widowControl w:val="0"/>
        <w:tabs>
          <w:tab w:val="right" w:leader="dot" w:pos="8907"/>
          <w:tab w:val="clear" w:pos="8296"/>
        </w:tabs>
        <w:kinsoku/>
        <w:wordWrap/>
        <w:overflowPunct/>
        <w:topLinePunct w:val="0"/>
        <w:autoSpaceDE/>
        <w:autoSpaceDN/>
        <w:bidi w:val="0"/>
        <w:adjustRightInd/>
        <w:snapToGrid/>
        <w:spacing w:line="400" w:lineRule="exact"/>
        <w:textAlignment w:val="auto"/>
        <w:rPr>
          <w:rFonts w:hint="eastAsia" w:ascii="黑体" w:hAnsi="黑体" w:eastAsia="黑体" w:cs="黑体"/>
          <w:color w:val="000000" w:themeColor="text1"/>
          <w:sz w:val="24"/>
          <w:szCs w:val="24"/>
          <w:highlight w:val="none"/>
          <w14:textFill>
            <w14:solidFill>
              <w14:schemeClr w14:val="tx1"/>
            </w14:solidFill>
          </w14:textFill>
        </w:rPr>
      </w:pP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HYPERLINK \l _Toc16028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bCs/>
          <w:color w:val="000000" w:themeColor="text1"/>
          <w:sz w:val="24"/>
          <w:szCs w:val="24"/>
          <w:highlight w:val="none"/>
          <w14:textFill>
            <w14:solidFill>
              <w14:schemeClr w14:val="tx1"/>
            </w14:solidFill>
          </w14:textFill>
        </w:rPr>
        <w:t>第五</w:t>
      </w:r>
      <w:r>
        <w:rPr>
          <w:rFonts w:hint="eastAsia" w:ascii="黑体" w:hAnsi="黑体" w:eastAsia="黑体" w:cs="黑体"/>
          <w:bCs/>
          <w:color w:val="000000" w:themeColor="text1"/>
          <w:spacing w:val="120"/>
          <w:sz w:val="24"/>
          <w:szCs w:val="24"/>
          <w:highlight w:val="none"/>
          <w14:textFill>
            <w14:solidFill>
              <w14:schemeClr w14:val="tx1"/>
            </w14:solidFill>
          </w14:textFill>
        </w:rPr>
        <w:t>节</w:t>
      </w:r>
      <w:r>
        <w:rPr>
          <w:rFonts w:hint="eastAsia" w:ascii="黑体" w:hAnsi="黑体" w:eastAsia="黑体" w:cs="黑体"/>
          <w:bCs/>
          <w:color w:val="000000" w:themeColor="text1"/>
          <w:sz w:val="24"/>
          <w:szCs w:val="24"/>
          <w:highlight w:val="none"/>
          <w14:textFill>
            <w14:solidFill>
              <w14:schemeClr w14:val="tx1"/>
            </w14:solidFill>
          </w14:textFill>
        </w:rPr>
        <w:t>其他文书、文件格式</w:t>
      </w:r>
      <w:r>
        <w:rPr>
          <w:rFonts w:hint="eastAsia" w:ascii="黑体" w:hAnsi="黑体" w:eastAsia="黑体" w:cs="黑体"/>
          <w:color w:val="000000" w:themeColor="text1"/>
          <w:sz w:val="24"/>
          <w:szCs w:val="24"/>
          <w:highlight w:val="none"/>
          <w14:textFill>
            <w14:solidFill>
              <w14:schemeClr w14:val="tx1"/>
            </w14:solidFill>
          </w14:textFill>
        </w:rPr>
        <w:tab/>
      </w: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PAGEREF _Toc16028 \h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color w:val="000000" w:themeColor="text1"/>
          <w:sz w:val="24"/>
          <w:szCs w:val="24"/>
          <w:highlight w:val="none"/>
          <w14:textFill>
            <w14:solidFill>
              <w14:schemeClr w14:val="tx1"/>
            </w14:solidFill>
          </w14:textFill>
        </w:rPr>
        <w:t>79</w:t>
      </w:r>
      <w:r>
        <w:rPr>
          <w:rFonts w:hint="eastAsia" w:ascii="黑体" w:hAnsi="黑体" w:eastAsia="黑体" w:cs="黑体"/>
          <w:color w:val="000000" w:themeColor="text1"/>
          <w:sz w:val="24"/>
          <w:szCs w:val="24"/>
          <w:highlight w:val="none"/>
          <w14:textFill>
            <w14:solidFill>
              <w14:schemeClr w14:val="tx1"/>
            </w14:solidFill>
          </w14:textFill>
        </w:rPr>
        <w:fldChar w:fldCharType="end"/>
      </w:r>
      <w:r>
        <w:rPr>
          <w:rFonts w:hint="eastAsia" w:ascii="黑体" w:hAnsi="黑体" w:eastAsia="黑体" w:cs="黑体"/>
          <w:color w:val="000000" w:themeColor="text1"/>
          <w:sz w:val="24"/>
          <w:szCs w:val="24"/>
          <w:highlight w:val="none"/>
          <w14:textFill>
            <w14:solidFill>
              <w14:schemeClr w14:val="tx1"/>
            </w14:solidFill>
          </w14:textFill>
        </w:rPr>
        <w:fldChar w:fldCharType="end"/>
      </w:r>
    </w:p>
    <w:p w14:paraId="3B321098">
      <w:pPr>
        <w:pStyle w:val="27"/>
        <w:keepNext w:val="0"/>
        <w:keepLines w:val="0"/>
        <w:pageBreakBefore w:val="0"/>
        <w:widowControl w:val="0"/>
        <w:tabs>
          <w:tab w:val="right" w:leader="dot" w:pos="8907"/>
        </w:tabs>
        <w:kinsoku/>
        <w:wordWrap/>
        <w:overflowPunct/>
        <w:topLinePunct w:val="0"/>
        <w:autoSpaceDE/>
        <w:autoSpaceDN/>
        <w:bidi w:val="0"/>
        <w:adjustRightInd/>
        <w:snapToGrid/>
        <w:spacing w:line="400" w:lineRule="exact"/>
        <w:textAlignment w:val="auto"/>
        <w:rPr>
          <w:rFonts w:hint="eastAsia" w:ascii="黑体" w:hAnsi="黑体" w:eastAsia="黑体" w:cs="黑体"/>
          <w:color w:val="000000" w:themeColor="text1"/>
          <w:sz w:val="24"/>
          <w:szCs w:val="24"/>
          <w:highlight w:val="none"/>
          <w14:textFill>
            <w14:solidFill>
              <w14:schemeClr w14:val="tx1"/>
            </w14:solidFill>
          </w14:textFill>
        </w:rPr>
      </w:pP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HYPERLINK \l _Toc2330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bCs/>
          <w:color w:val="000000" w:themeColor="text1"/>
          <w:kern w:val="44"/>
          <w:sz w:val="24"/>
          <w:szCs w:val="24"/>
          <w:highlight w:val="none"/>
          <w14:textFill>
            <w14:solidFill>
              <w14:schemeClr w14:val="tx1"/>
            </w14:solidFill>
          </w14:textFill>
        </w:rPr>
        <w:t>第六</w:t>
      </w:r>
      <w:r>
        <w:rPr>
          <w:rFonts w:hint="eastAsia" w:ascii="黑体" w:hAnsi="黑体" w:eastAsia="黑体" w:cs="黑体"/>
          <w:bCs/>
          <w:color w:val="000000" w:themeColor="text1"/>
          <w:spacing w:val="120"/>
          <w:kern w:val="44"/>
          <w:sz w:val="24"/>
          <w:szCs w:val="24"/>
          <w:highlight w:val="none"/>
          <w14:textFill>
            <w14:solidFill>
              <w14:schemeClr w14:val="tx1"/>
            </w14:solidFill>
          </w14:textFill>
        </w:rPr>
        <w:t>章</w:t>
      </w:r>
      <w:r>
        <w:rPr>
          <w:rFonts w:hint="eastAsia" w:ascii="黑体" w:hAnsi="黑体" w:eastAsia="黑体" w:cs="黑体"/>
          <w:bCs/>
          <w:color w:val="000000" w:themeColor="text1"/>
          <w:kern w:val="44"/>
          <w:sz w:val="24"/>
          <w:szCs w:val="24"/>
          <w:highlight w:val="none"/>
          <w14:textFill>
            <w14:solidFill>
              <w14:schemeClr w14:val="tx1"/>
            </w14:solidFill>
          </w14:textFill>
        </w:rPr>
        <w:t>合同文本</w:t>
      </w:r>
      <w:r>
        <w:rPr>
          <w:rFonts w:hint="eastAsia" w:ascii="黑体" w:hAnsi="黑体" w:eastAsia="黑体" w:cs="黑体"/>
          <w:color w:val="000000" w:themeColor="text1"/>
          <w:sz w:val="24"/>
          <w:szCs w:val="24"/>
          <w:highlight w:val="none"/>
          <w14:textFill>
            <w14:solidFill>
              <w14:schemeClr w14:val="tx1"/>
            </w14:solidFill>
          </w14:textFill>
        </w:rPr>
        <w:tab/>
      </w:r>
      <w:r>
        <w:rPr>
          <w:rFonts w:hint="eastAsia" w:ascii="黑体" w:hAnsi="黑体" w:eastAsia="黑体" w:cs="黑体"/>
          <w:color w:val="000000" w:themeColor="text1"/>
          <w:sz w:val="24"/>
          <w:szCs w:val="24"/>
          <w:highlight w:val="none"/>
          <w14:textFill>
            <w14:solidFill>
              <w14:schemeClr w14:val="tx1"/>
            </w14:solidFill>
          </w14:textFill>
        </w:rPr>
        <w:fldChar w:fldCharType="begin"/>
      </w:r>
      <w:r>
        <w:rPr>
          <w:rFonts w:hint="eastAsia" w:ascii="黑体" w:hAnsi="黑体" w:eastAsia="黑体" w:cs="黑体"/>
          <w:color w:val="000000" w:themeColor="text1"/>
          <w:sz w:val="24"/>
          <w:szCs w:val="24"/>
          <w:highlight w:val="none"/>
          <w14:textFill>
            <w14:solidFill>
              <w14:schemeClr w14:val="tx1"/>
            </w14:solidFill>
          </w14:textFill>
        </w:rPr>
        <w:instrText xml:space="preserve"> PAGEREF _Toc2330 \h </w:instrText>
      </w:r>
      <w:r>
        <w:rPr>
          <w:rFonts w:hint="eastAsia" w:ascii="黑体" w:hAnsi="黑体" w:eastAsia="黑体" w:cs="黑体"/>
          <w:color w:val="000000" w:themeColor="text1"/>
          <w:sz w:val="24"/>
          <w:szCs w:val="24"/>
          <w:highlight w:val="none"/>
          <w14:textFill>
            <w14:solidFill>
              <w14:schemeClr w14:val="tx1"/>
            </w14:solidFill>
          </w14:textFill>
        </w:rPr>
        <w:fldChar w:fldCharType="separate"/>
      </w:r>
      <w:r>
        <w:rPr>
          <w:rFonts w:hint="eastAsia" w:ascii="黑体" w:hAnsi="黑体" w:eastAsia="黑体" w:cs="黑体"/>
          <w:color w:val="000000" w:themeColor="text1"/>
          <w:sz w:val="24"/>
          <w:szCs w:val="24"/>
          <w:highlight w:val="none"/>
          <w14:textFill>
            <w14:solidFill>
              <w14:schemeClr w14:val="tx1"/>
            </w14:solidFill>
          </w14:textFill>
        </w:rPr>
        <w:t>80</w:t>
      </w:r>
      <w:r>
        <w:rPr>
          <w:rFonts w:hint="eastAsia" w:ascii="黑体" w:hAnsi="黑体" w:eastAsia="黑体" w:cs="黑体"/>
          <w:color w:val="000000" w:themeColor="text1"/>
          <w:sz w:val="24"/>
          <w:szCs w:val="24"/>
          <w:highlight w:val="none"/>
          <w14:textFill>
            <w14:solidFill>
              <w14:schemeClr w14:val="tx1"/>
            </w14:solidFill>
          </w14:textFill>
        </w:rPr>
        <w:fldChar w:fldCharType="end"/>
      </w:r>
      <w:r>
        <w:rPr>
          <w:rFonts w:hint="eastAsia" w:ascii="黑体" w:hAnsi="黑体" w:eastAsia="黑体" w:cs="黑体"/>
          <w:color w:val="000000" w:themeColor="text1"/>
          <w:sz w:val="24"/>
          <w:szCs w:val="24"/>
          <w:highlight w:val="none"/>
          <w14:textFill>
            <w14:solidFill>
              <w14:schemeClr w14:val="tx1"/>
            </w14:solidFill>
          </w14:textFill>
        </w:rPr>
        <w:fldChar w:fldCharType="end"/>
      </w:r>
    </w:p>
    <w:p w14:paraId="0294D309">
      <w:pPr>
        <w:pStyle w:val="27"/>
        <w:keepNext w:val="0"/>
        <w:keepLines w:val="0"/>
        <w:pageBreakBefore w:val="0"/>
        <w:widowControl w:val="0"/>
        <w:tabs>
          <w:tab w:val="right" w:leader="dot" w:pos="8907"/>
        </w:tabs>
        <w:kinsoku/>
        <w:wordWrap/>
        <w:overflowPunct/>
        <w:topLinePunct w:val="0"/>
        <w:autoSpaceDE/>
        <w:autoSpaceDN/>
        <w:bidi w:val="0"/>
        <w:adjustRightInd/>
        <w:snapToGrid/>
        <w:spacing w:line="400" w:lineRule="exact"/>
        <w:textAlignment w:val="auto"/>
        <w:rPr>
          <w:rFonts w:hint="eastAsia" w:ascii="宋体" w:hAnsi="宋体"/>
          <w:b/>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24"/>
          <w:szCs w:val="24"/>
          <w:highlight w:val="none"/>
          <w14:textFill>
            <w14:solidFill>
              <w14:schemeClr w14:val="tx1"/>
            </w14:solidFill>
          </w14:textFill>
        </w:rPr>
        <w:fldChar w:fldCharType="end"/>
      </w:r>
    </w:p>
    <w:p w14:paraId="67E22613">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7753737F">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685E8D78">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12359483">
      <w:pPr>
        <w:widowControl/>
        <w:jc w:val="left"/>
        <w:rPr>
          <w:rFonts w:ascii="宋体" w:hAnsi="宋体"/>
          <w:b/>
          <w:color w:val="000000" w:themeColor="text1"/>
          <w:sz w:val="32"/>
          <w:szCs w:val="32"/>
          <w:highlight w:val="none"/>
          <w14:textFill>
            <w14:solidFill>
              <w14:schemeClr w14:val="tx1"/>
            </w14:solidFill>
          </w14:textFill>
        </w:rPr>
        <w:sectPr>
          <w:footerReference r:id="rId4" w:type="default"/>
          <w:pgSz w:w="11911" w:h="16838"/>
          <w:pgMar w:top="1519" w:right="1502" w:bottom="1247" w:left="1502" w:header="720" w:footer="720" w:gutter="0"/>
          <w:pgNumType w:start="1"/>
          <w:cols w:space="720" w:num="1"/>
          <w:docGrid w:linePitch="312" w:charSpace="0"/>
        </w:sectPr>
      </w:pPr>
    </w:p>
    <w:p w14:paraId="7A361806">
      <w:pPr>
        <w:pStyle w:val="3"/>
        <w:spacing w:before="0" w:line="240" w:lineRule="auto"/>
        <w:jc w:val="center"/>
        <w:rPr>
          <w:rFonts w:hint="eastAsia"/>
          <w:color w:val="000000" w:themeColor="text1"/>
          <w:highlight w:val="none"/>
          <w14:textFill>
            <w14:solidFill>
              <w14:schemeClr w14:val="tx1"/>
            </w14:solidFill>
          </w14:textFill>
        </w:rPr>
      </w:pPr>
      <w:bookmarkStart w:id="0" w:name="_Toc15239"/>
      <w:bookmarkStart w:id="1" w:name="_Toc12685"/>
      <w:bookmarkStart w:id="2" w:name="_Toc9995"/>
      <w:bookmarkStart w:id="3" w:name="_Toc16757"/>
      <w:bookmarkStart w:id="4" w:name="_Toc31944"/>
      <w:bookmarkStart w:id="5" w:name="_Toc19716"/>
      <w:bookmarkStart w:id="6" w:name="_Toc10240"/>
      <w:bookmarkStart w:id="7" w:name="_Toc12178"/>
      <w:r>
        <w:rPr>
          <w:rFonts w:hint="eastAsia"/>
          <w:color w:val="000000" w:themeColor="text1"/>
          <w:highlight w:val="none"/>
          <w14:textFill>
            <w14:solidFill>
              <w14:schemeClr w14:val="tx1"/>
            </w14:solidFill>
          </w14:textFill>
        </w:rPr>
        <w:t>第一章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竞争性谈判公告</w:t>
      </w:r>
      <w:bookmarkEnd w:id="0"/>
      <w:bookmarkEnd w:id="1"/>
      <w:bookmarkEnd w:id="2"/>
      <w:bookmarkEnd w:id="3"/>
      <w:bookmarkEnd w:id="4"/>
      <w:bookmarkEnd w:id="5"/>
      <w:bookmarkEnd w:id="6"/>
      <w:bookmarkEnd w:id="7"/>
    </w:p>
    <w:p w14:paraId="74AB8B8D">
      <w:pPr>
        <w:spacing w:line="360" w:lineRule="auto"/>
        <w:rPr>
          <w:rFonts w:hint="eastAsia" w:ascii="黑体" w:hAnsi="黑体" w:eastAsia="黑体" w:cs="宋体"/>
          <w:bCs/>
          <w:color w:val="000000" w:themeColor="text1"/>
          <w:sz w:val="24"/>
          <w:highlight w:val="none"/>
          <w14:textFill>
            <w14:solidFill>
              <w14:schemeClr w14:val="tx1"/>
            </w14:solidFill>
          </w14:textFill>
        </w:rPr>
      </w:pPr>
      <w:bookmarkStart w:id="8" w:name="_Toc1242"/>
      <w:bookmarkStart w:id="9" w:name="_Toc25785"/>
      <w:r>
        <w:rPr>
          <w:rFonts w:hint="eastAsia"/>
          <w:color w:val="000000" w:themeColor="text1"/>
          <w:highlight w:val="none"/>
          <w14:textFill>
            <w14:solidFill>
              <w14:schemeClr w14:val="tx1"/>
            </w14:solidFill>
          </w14:textFill>
        </w:rPr>
        <mc:AlternateContent>
          <mc:Choice Requires="wps">
            <w:drawing>
              <wp:inline distT="0" distB="0" distL="114300" distR="114300">
                <wp:extent cx="5909310" cy="1358265"/>
                <wp:effectExtent l="0" t="0" r="15240" b="13335"/>
                <wp:docPr id="6" name="文本框 6"/>
                <wp:cNvGraphicFramePr/>
                <a:graphic xmlns:a="http://schemas.openxmlformats.org/drawingml/2006/main">
                  <a:graphicData uri="http://schemas.microsoft.com/office/word/2010/wordprocessingShape">
                    <wps:wsp>
                      <wps:cNvSpPr txBox="1">
                        <a:spLocks noRot="1"/>
                      </wps:cNvSpPr>
                      <wps:spPr>
                        <a:xfrm>
                          <a:off x="0" y="0"/>
                          <a:ext cx="5909310" cy="1358265"/>
                        </a:xfrm>
                        <a:prstGeom prst="rect">
                          <a:avLst/>
                        </a:prstGeom>
                        <a:solidFill>
                          <a:srgbClr val="FFFFFF"/>
                        </a:solidFill>
                        <a:ln>
                          <a:noFill/>
                        </a:ln>
                        <a:effectLst/>
                      </wps:spPr>
                      <wps:txbx>
                        <w:txbxContent>
                          <w:p w14:paraId="0F55BE1D">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59B8C62D">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color w:val="000000"/>
                                <w:szCs w:val="21"/>
                              </w:rPr>
                            </w:pPr>
                            <w:r>
                              <w:rPr>
                                <w:rFonts w:hint="eastAsia" w:ascii="宋体" w:hAnsi="宋体" w:cs="宋体"/>
                                <w:color w:val="000000" w:themeColor="text1"/>
                                <w:szCs w:val="21"/>
                                <w:highlight w:val="none"/>
                                <w:u w:val="single"/>
                                <w:lang w:eastAsia="zh-CN"/>
                                <w14:textFill>
                                  <w14:solidFill>
                                    <w14:schemeClr w14:val="tx1"/>
                                  </w14:solidFill>
                                </w14:textFill>
                              </w:rPr>
                              <w:t>南宁市第一看守所及驻所武警基础设施维修</w:t>
                            </w:r>
                            <w:r>
                              <w:rPr>
                                <w:rFonts w:hint="eastAsia" w:ascii="宋体" w:hAnsi="宋体" w:cs="宋体"/>
                                <w:color w:val="000000" w:themeColor="text1"/>
                                <w:szCs w:val="21"/>
                                <w:highlight w:val="none"/>
                                <w14:textFill>
                                  <w14:solidFill>
                                    <w14:schemeClr w14:val="tx1"/>
                                  </w14:solidFill>
                                </w14:textFill>
                              </w:rPr>
                              <w:t>采购项目的潜在供应商应在广西政府采购云平台（</w:t>
                            </w:r>
                            <w:r>
                              <w:rPr>
                                <w:rFonts w:hint="eastAsia" w:ascii="宋体" w:hAnsi="宋体" w:cs="宋体"/>
                                <w:snapToGrid w:val="0"/>
                                <w:color w:val="000000" w:themeColor="text1"/>
                                <w:szCs w:val="21"/>
                                <w:highlight w:val="none"/>
                                <w14:textFill>
                                  <w14:solidFill>
                                    <w14:schemeClr w14:val="tx1"/>
                                  </w14:solidFill>
                                </w14:textFill>
                              </w:rPr>
                              <w:t>https://www.gcy.zfcg.gxzf.gov.cn/）</w:t>
                            </w:r>
                            <w:r>
                              <w:rPr>
                                <w:rFonts w:hint="eastAsia" w:ascii="宋体" w:hAnsi="宋体" w:cs="宋体"/>
                                <w:color w:val="000000" w:themeColor="text1"/>
                                <w:szCs w:val="21"/>
                                <w:highlight w:val="none"/>
                                <w14:textFill>
                                  <w14:solidFill>
                                    <w14:schemeClr w14:val="tx1"/>
                                  </w14:solidFill>
                                </w14:textFill>
                              </w:rPr>
                              <w:t>获取竞争性谈判文件，并于</w:t>
                            </w:r>
                            <w:r>
                              <w:rPr>
                                <w:rFonts w:hint="eastAsia" w:ascii="宋体" w:hAnsi="宋体"/>
                                <w:bCs/>
                                <w:color w:val="000000" w:themeColor="text1"/>
                                <w:szCs w:val="21"/>
                                <w:highlight w:val="none"/>
                                <w:u w:val="single"/>
                                <w14:textFill>
                                  <w14:solidFill>
                                    <w14:schemeClr w14:val="tx1"/>
                                  </w14:solidFill>
                                </w14:textFill>
                              </w:rPr>
                              <w:t xml:space="preserve">2026年9月4日09:30 </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bCs/>
                                <w:szCs w:val="21"/>
                                <w:highlight w:val="none"/>
                              </w:rPr>
                              <w:t>北京</w:t>
                            </w:r>
                            <w:r>
                              <w:rPr>
                                <w:rFonts w:hint="eastAsia" w:ascii="宋体" w:hAnsi="宋体" w:cs="宋体"/>
                                <w:bCs/>
                                <w:szCs w:val="21"/>
                              </w:rPr>
                              <w:t>时间）前提交响应文件</w:t>
                            </w:r>
                            <w:r>
                              <w:rPr>
                                <w:rFonts w:hint="eastAsia" w:ascii="宋体" w:hAnsi="宋体" w:cs="宋体"/>
                                <w:szCs w:val="21"/>
                              </w:rPr>
                              <w:t>。</w:t>
                            </w:r>
                          </w:p>
                        </w:txbxContent>
                      </wps:txbx>
                      <wps:bodyPr upright="1"/>
                    </wps:wsp>
                  </a:graphicData>
                </a:graphic>
              </wp:inline>
            </w:drawing>
          </mc:Choice>
          <mc:Fallback>
            <w:pict>
              <v:shape id="_x0000_s1026" o:spid="_x0000_s1026" o:spt="202" type="#_x0000_t202" style="height:106.95pt;width:465.3pt;" fillcolor="#FFFFFF" filled="t" stroked="f" coordsize="21600,21600" o:gfxdata="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mIUqdUAAAAFAQAADwAAAAAAAAABACAA&#10;AAAiAAAAZHJzL2Rvd25yZXYueG1sUEsBAhQAFAAAAAgAh07iQPC80QTXAQAAqQMAAA4AAAAAAAAA&#10;AQAgAAAAJAEAAGRycy9lMm9Eb2MueG1sUEsFBgAAAAAGAAYAWQEAAG0FAAAAAA==&#10;">
                <v:fill on="t" focussize="0,0"/>
                <v:stroke on="f"/>
                <v:imagedata o:title=""/>
                <o:lock v:ext="edit" rotation="t" aspectratio="f"/>
                <v:textbox>
                  <w:txbxContent>
                    <w:p w14:paraId="0F55BE1D">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59B8C62D">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color w:val="000000"/>
                          <w:szCs w:val="21"/>
                        </w:rPr>
                      </w:pPr>
                      <w:r>
                        <w:rPr>
                          <w:rFonts w:hint="eastAsia" w:ascii="宋体" w:hAnsi="宋体" w:cs="宋体"/>
                          <w:color w:val="000000" w:themeColor="text1"/>
                          <w:szCs w:val="21"/>
                          <w:highlight w:val="none"/>
                          <w:u w:val="single"/>
                          <w:lang w:eastAsia="zh-CN"/>
                          <w14:textFill>
                            <w14:solidFill>
                              <w14:schemeClr w14:val="tx1"/>
                            </w14:solidFill>
                          </w14:textFill>
                        </w:rPr>
                        <w:t>南宁市第一看守所及驻所武警基础设施维修</w:t>
                      </w:r>
                      <w:r>
                        <w:rPr>
                          <w:rFonts w:hint="eastAsia" w:ascii="宋体" w:hAnsi="宋体" w:cs="宋体"/>
                          <w:color w:val="000000" w:themeColor="text1"/>
                          <w:szCs w:val="21"/>
                          <w:highlight w:val="none"/>
                          <w14:textFill>
                            <w14:solidFill>
                              <w14:schemeClr w14:val="tx1"/>
                            </w14:solidFill>
                          </w14:textFill>
                        </w:rPr>
                        <w:t>采购项目的潜在供应商应在广西政府采购云平台（</w:t>
                      </w:r>
                      <w:r>
                        <w:rPr>
                          <w:rFonts w:hint="eastAsia" w:ascii="宋体" w:hAnsi="宋体" w:cs="宋体"/>
                          <w:snapToGrid w:val="0"/>
                          <w:color w:val="000000" w:themeColor="text1"/>
                          <w:szCs w:val="21"/>
                          <w:highlight w:val="none"/>
                          <w14:textFill>
                            <w14:solidFill>
                              <w14:schemeClr w14:val="tx1"/>
                            </w14:solidFill>
                          </w14:textFill>
                        </w:rPr>
                        <w:t>https://www.gcy.zfcg.gxzf.gov.cn/）</w:t>
                      </w:r>
                      <w:r>
                        <w:rPr>
                          <w:rFonts w:hint="eastAsia" w:ascii="宋体" w:hAnsi="宋体" w:cs="宋体"/>
                          <w:color w:val="000000" w:themeColor="text1"/>
                          <w:szCs w:val="21"/>
                          <w:highlight w:val="none"/>
                          <w14:textFill>
                            <w14:solidFill>
                              <w14:schemeClr w14:val="tx1"/>
                            </w14:solidFill>
                          </w14:textFill>
                        </w:rPr>
                        <w:t>获取竞争性谈判文件，并于</w:t>
                      </w:r>
                      <w:r>
                        <w:rPr>
                          <w:rFonts w:hint="eastAsia" w:ascii="宋体" w:hAnsi="宋体"/>
                          <w:bCs/>
                          <w:color w:val="000000" w:themeColor="text1"/>
                          <w:szCs w:val="21"/>
                          <w:highlight w:val="none"/>
                          <w:u w:val="single"/>
                          <w14:textFill>
                            <w14:solidFill>
                              <w14:schemeClr w14:val="tx1"/>
                            </w14:solidFill>
                          </w14:textFill>
                        </w:rPr>
                        <w:t xml:space="preserve">2026年9月4日09:30 </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bCs/>
                          <w:szCs w:val="21"/>
                          <w:highlight w:val="none"/>
                        </w:rPr>
                        <w:t>北京</w:t>
                      </w:r>
                      <w:r>
                        <w:rPr>
                          <w:rFonts w:hint="eastAsia" w:ascii="宋体" w:hAnsi="宋体" w:cs="宋体"/>
                          <w:bCs/>
                          <w:szCs w:val="21"/>
                        </w:rPr>
                        <w:t>时间）前提交响应文件</w:t>
                      </w:r>
                      <w:r>
                        <w:rPr>
                          <w:rFonts w:hint="eastAsia" w:ascii="宋体" w:hAnsi="宋体" w:cs="宋体"/>
                          <w:szCs w:val="21"/>
                        </w:rPr>
                        <w:t>。</w:t>
                      </w:r>
                    </w:p>
                  </w:txbxContent>
                </v:textbox>
                <w10:wrap type="none"/>
                <w10:anchorlock/>
              </v:shape>
            </w:pict>
          </mc:Fallback>
        </mc:AlternateContent>
      </w:r>
    </w:p>
    <w:p w14:paraId="2BC313DF">
      <w:pPr>
        <w:keepNext w:val="0"/>
        <w:keepLines w:val="0"/>
        <w:pageBreakBefore w:val="0"/>
        <w:kinsoku/>
        <w:overflowPunct/>
        <w:topLinePunct w:val="0"/>
        <w:autoSpaceDE/>
        <w:autoSpaceDN/>
        <w:bidi w:val="0"/>
        <w:adjustRightInd/>
        <w:spacing w:line="400" w:lineRule="exact"/>
        <w:ind w:firstLine="482" w:firstLineChars="200"/>
        <w:textAlignment w:val="auto"/>
        <w:rPr>
          <w:rFonts w:hint="eastAsia"/>
          <w:b/>
          <w:color w:val="000000" w:themeColor="text1"/>
          <w:highlight w:val="none"/>
          <w14:textFill>
            <w14:solidFill>
              <w14:schemeClr w14:val="tx1"/>
            </w14:solidFill>
          </w14:textFill>
        </w:rPr>
      </w:pPr>
      <w:r>
        <w:rPr>
          <w:rFonts w:hint="eastAsia" w:ascii="黑体" w:hAnsi="黑体" w:eastAsia="黑体" w:cs="宋体"/>
          <w:b/>
          <w:color w:val="000000" w:themeColor="text1"/>
          <w:sz w:val="24"/>
          <w:highlight w:val="none"/>
          <w14:textFill>
            <w14:solidFill>
              <w14:schemeClr w14:val="tx1"/>
            </w14:solidFill>
          </w14:textFill>
        </w:rPr>
        <w:t>一、项目基本情况</w:t>
      </w:r>
    </w:p>
    <w:p w14:paraId="329DE5A8">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项目编号：NNZC2026-J2-990641-GXJT</w:t>
      </w:r>
    </w:p>
    <w:p w14:paraId="0E46D9F4">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采购计划文号：</w:t>
      </w:r>
      <w:r>
        <w:rPr>
          <w:rFonts w:hint="eastAsia" w:ascii="宋体" w:hAnsi="宋体"/>
          <w:color w:val="000000" w:themeColor="text1"/>
          <w:szCs w:val="21"/>
          <w:highlight w:val="none"/>
          <w14:textFill>
            <w14:solidFill>
              <w14:schemeClr w14:val="tx1"/>
            </w14:solidFill>
          </w14:textFill>
        </w:rPr>
        <w:t>NNZC[2026]3861号-001</w:t>
      </w:r>
      <w:r>
        <w:rPr>
          <w:rFonts w:hint="eastAsia" w:ascii="宋体" w:hAnsi="宋体"/>
          <w:color w:val="000000" w:themeColor="text1"/>
          <w:szCs w:val="21"/>
          <w:highlight w:val="none"/>
          <w:lang w:eastAsia="zh-CN"/>
          <w14:textFill>
            <w14:solidFill>
              <w14:schemeClr w14:val="tx1"/>
            </w14:solidFill>
          </w14:textFill>
        </w:rPr>
        <w:t>、NNZC[2026]3861号-002-001</w:t>
      </w:r>
    </w:p>
    <w:p w14:paraId="1B1A48EF">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color w:val="000000" w:themeColor="text1"/>
          <w:szCs w:val="21"/>
          <w:highlight w:val="none"/>
          <w:lang w:eastAsia="zh-CN"/>
          <w14:textFill>
            <w14:solidFill>
              <w14:schemeClr w14:val="tx1"/>
            </w14:solidFill>
          </w14:textFill>
        </w:rPr>
        <w:t>南宁市第一看守所及驻所武警基础设施维修</w:t>
      </w:r>
    </w:p>
    <w:p w14:paraId="2B872BDF">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采购方式：竞争性谈判 </w:t>
      </w:r>
    </w:p>
    <w:p w14:paraId="00F554E7">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预算金额：</w:t>
      </w:r>
      <w:r>
        <w:rPr>
          <w:rFonts w:hint="eastAsia" w:ascii="宋体" w:hAnsi="宋体"/>
          <w:color w:val="000000" w:themeColor="text1"/>
          <w:szCs w:val="21"/>
          <w:highlight w:val="none"/>
          <w:lang w:val="en-US" w:eastAsia="zh-CN"/>
          <w14:textFill>
            <w14:solidFill>
              <w14:schemeClr w14:val="tx1"/>
            </w14:solidFill>
          </w14:textFill>
        </w:rPr>
        <w:t>分标1:354021.61元；分标2：275251.22元</w:t>
      </w:r>
      <w:r>
        <w:rPr>
          <w:rFonts w:hint="eastAsia" w:ascii="宋体" w:hAnsi="宋体"/>
          <w:color w:val="000000" w:themeColor="text1"/>
          <w:szCs w:val="21"/>
          <w:highlight w:val="none"/>
          <w:lang w:val="en-US" w:eastAsia="zh-CN"/>
          <w14:textFill>
            <w14:solidFill>
              <w14:schemeClr w14:val="tx1"/>
            </w14:solidFill>
          </w14:textFill>
        </w:rPr>
        <w:t>。</w:t>
      </w:r>
    </w:p>
    <w:p w14:paraId="5362495A">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最高限价：</w:t>
      </w:r>
      <w:r>
        <w:rPr>
          <w:rFonts w:hint="eastAsia" w:ascii="宋体" w:hAnsi="宋体"/>
          <w:color w:val="000000" w:themeColor="text1"/>
          <w:szCs w:val="21"/>
          <w:highlight w:val="none"/>
          <w:lang w:val="en-US" w:eastAsia="zh-CN"/>
          <w14:textFill>
            <w14:solidFill>
              <w14:schemeClr w14:val="tx1"/>
            </w14:solidFill>
          </w14:textFill>
        </w:rPr>
        <w:t>分标1:354021.61元；分标2：275251.22元</w:t>
      </w:r>
      <w:r>
        <w:rPr>
          <w:rFonts w:hint="eastAsia" w:ascii="宋体" w:hAnsi="宋体"/>
          <w:color w:val="000000" w:themeColor="text1"/>
          <w:szCs w:val="21"/>
          <w:highlight w:val="none"/>
          <w:lang w:val="en-US" w:eastAsia="zh-CN"/>
          <w14:textFill>
            <w14:solidFill>
              <w14:schemeClr w14:val="tx1"/>
            </w14:solidFill>
          </w14:textFill>
        </w:rPr>
        <w:t>。</w:t>
      </w:r>
    </w:p>
    <w:p w14:paraId="05CC0D2E">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采购需求：</w:t>
      </w:r>
    </w:p>
    <w:tbl>
      <w:tblPr>
        <w:tblStyle w:val="35"/>
        <w:tblW w:w="90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85"/>
        <w:gridCol w:w="2366"/>
        <w:gridCol w:w="495"/>
        <w:gridCol w:w="389"/>
        <w:gridCol w:w="5205"/>
      </w:tblGrid>
      <w:tr w14:paraId="47F290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3" w:hRule="atLeast"/>
          <w:jc w:val="center"/>
        </w:trPr>
        <w:tc>
          <w:tcPr>
            <w:tcW w:w="585" w:type="dxa"/>
            <w:tcBorders>
              <w:top w:val="single" w:color="auto" w:sz="4" w:space="0"/>
              <w:left w:val="single" w:color="auto" w:sz="4" w:space="0"/>
              <w:bottom w:val="single" w:color="auto" w:sz="4" w:space="0"/>
              <w:right w:val="single" w:color="auto" w:sz="4" w:space="0"/>
            </w:tcBorders>
            <w:noWrap w:val="0"/>
            <w:vAlign w:val="center"/>
          </w:tcPr>
          <w:p w14:paraId="59B0FDB1">
            <w:pPr>
              <w:keepNext w:val="0"/>
              <w:keepLines w:val="0"/>
              <w:pageBreakBefore w:val="0"/>
              <w:kinsoku/>
              <w:overflowPunct/>
              <w:topLinePunct w:val="0"/>
              <w:autoSpaceDE/>
              <w:autoSpaceDN/>
              <w:bidi w:val="0"/>
              <w:adjustRightInd/>
              <w:snapToGrid w:val="0"/>
              <w:spacing w:line="400" w:lineRule="exact"/>
              <w:jc w:val="center"/>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分标</w:t>
            </w:r>
          </w:p>
        </w:tc>
        <w:tc>
          <w:tcPr>
            <w:tcW w:w="2366" w:type="dxa"/>
            <w:tcBorders>
              <w:top w:val="single" w:color="auto" w:sz="4" w:space="0"/>
              <w:left w:val="single" w:color="auto" w:sz="4" w:space="0"/>
              <w:bottom w:val="single" w:color="auto" w:sz="4" w:space="0"/>
              <w:right w:val="single" w:color="auto" w:sz="4" w:space="0"/>
            </w:tcBorders>
            <w:noWrap w:val="0"/>
            <w:vAlign w:val="center"/>
          </w:tcPr>
          <w:p w14:paraId="5B57DCCA">
            <w:pPr>
              <w:keepNext w:val="0"/>
              <w:keepLines w:val="0"/>
              <w:pageBreakBefore w:val="0"/>
              <w:kinsoku/>
              <w:overflowPunct/>
              <w:topLinePunct w:val="0"/>
              <w:autoSpaceDE/>
              <w:autoSpaceDN/>
              <w:bidi w:val="0"/>
              <w:adjustRightInd/>
              <w:snapToGrid w:val="0"/>
              <w:spacing w:line="400" w:lineRule="exact"/>
              <w:jc w:val="center"/>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标的的名称</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3995233E">
            <w:pPr>
              <w:keepNext w:val="0"/>
              <w:keepLines w:val="0"/>
              <w:pageBreakBefore w:val="0"/>
              <w:kinsoku/>
              <w:overflowPunct/>
              <w:topLinePunct w:val="0"/>
              <w:autoSpaceDE/>
              <w:autoSpaceDN/>
              <w:bidi w:val="0"/>
              <w:adjustRightInd/>
              <w:snapToGrid w:val="0"/>
              <w:spacing w:line="400" w:lineRule="exact"/>
              <w:jc w:val="center"/>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单位</w:t>
            </w:r>
          </w:p>
        </w:tc>
        <w:tc>
          <w:tcPr>
            <w:tcW w:w="389" w:type="dxa"/>
            <w:tcBorders>
              <w:top w:val="single" w:color="auto" w:sz="4" w:space="0"/>
              <w:left w:val="single" w:color="auto" w:sz="4" w:space="0"/>
              <w:bottom w:val="single" w:color="auto" w:sz="4" w:space="0"/>
              <w:right w:val="single" w:color="auto" w:sz="4" w:space="0"/>
            </w:tcBorders>
            <w:noWrap w:val="0"/>
            <w:vAlign w:val="center"/>
          </w:tcPr>
          <w:p w14:paraId="0510309B">
            <w:pPr>
              <w:keepNext w:val="0"/>
              <w:keepLines w:val="0"/>
              <w:pageBreakBefore w:val="0"/>
              <w:kinsoku/>
              <w:overflowPunct/>
              <w:topLinePunct w:val="0"/>
              <w:autoSpaceDE/>
              <w:autoSpaceDN/>
              <w:bidi w:val="0"/>
              <w:adjustRightInd/>
              <w:snapToGrid w:val="0"/>
              <w:spacing w:line="400" w:lineRule="exact"/>
              <w:jc w:val="center"/>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数量</w:t>
            </w:r>
          </w:p>
        </w:tc>
        <w:tc>
          <w:tcPr>
            <w:tcW w:w="5205" w:type="dxa"/>
            <w:tcBorders>
              <w:top w:val="single" w:color="auto" w:sz="4" w:space="0"/>
              <w:left w:val="single" w:color="auto" w:sz="4" w:space="0"/>
              <w:bottom w:val="single" w:color="auto" w:sz="4" w:space="0"/>
              <w:right w:val="single" w:color="auto" w:sz="4" w:space="0"/>
            </w:tcBorders>
            <w:noWrap w:val="0"/>
            <w:vAlign w:val="center"/>
          </w:tcPr>
          <w:p w14:paraId="68B980B1">
            <w:pPr>
              <w:keepNext w:val="0"/>
              <w:keepLines w:val="0"/>
              <w:pageBreakBefore w:val="0"/>
              <w:kinsoku/>
              <w:overflowPunct/>
              <w:topLinePunct w:val="0"/>
              <w:autoSpaceDE/>
              <w:autoSpaceDN/>
              <w:bidi w:val="0"/>
              <w:adjustRightInd/>
              <w:snapToGrid w:val="0"/>
              <w:spacing w:line="400" w:lineRule="exact"/>
              <w:jc w:val="center"/>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简要技术需求或者采购要求</w:t>
            </w:r>
          </w:p>
        </w:tc>
      </w:tr>
      <w:tr w14:paraId="1149F8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9" w:hRule="atLeast"/>
          <w:jc w:val="center"/>
        </w:trPr>
        <w:tc>
          <w:tcPr>
            <w:tcW w:w="585" w:type="dxa"/>
            <w:tcBorders>
              <w:top w:val="single" w:color="auto" w:sz="4" w:space="0"/>
              <w:left w:val="single" w:color="auto" w:sz="4" w:space="0"/>
              <w:bottom w:val="single" w:color="auto" w:sz="4" w:space="0"/>
              <w:right w:val="single" w:color="auto" w:sz="4" w:space="0"/>
            </w:tcBorders>
            <w:noWrap w:val="0"/>
            <w:vAlign w:val="center"/>
          </w:tcPr>
          <w:p w14:paraId="3D6D5FB9">
            <w:pPr>
              <w:keepNext w:val="0"/>
              <w:keepLines w:val="0"/>
              <w:pageBreakBefore w:val="0"/>
              <w:widowControl/>
              <w:kinsoku/>
              <w:overflowPunct/>
              <w:topLinePunct w:val="0"/>
              <w:autoSpaceDE/>
              <w:autoSpaceDN/>
              <w:bidi w:val="0"/>
              <w:adjustRightInd/>
              <w:spacing w:line="400" w:lineRule="exact"/>
              <w:jc w:val="center"/>
              <w:textAlignment w:val="auto"/>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w:t>
            </w:r>
          </w:p>
        </w:tc>
        <w:tc>
          <w:tcPr>
            <w:tcW w:w="2366" w:type="dxa"/>
            <w:tcBorders>
              <w:top w:val="single" w:color="auto" w:sz="4" w:space="0"/>
              <w:left w:val="single" w:color="auto" w:sz="4" w:space="0"/>
              <w:bottom w:val="single" w:color="auto" w:sz="4" w:space="0"/>
              <w:right w:val="single" w:color="auto" w:sz="4" w:space="0"/>
            </w:tcBorders>
            <w:noWrap w:val="0"/>
            <w:vAlign w:val="center"/>
          </w:tcPr>
          <w:p w14:paraId="0BBED359">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南宁市第一看守所2026年度基础设施维修项目</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65FEB77E">
            <w:pPr>
              <w:keepNext w:val="0"/>
              <w:keepLines w:val="0"/>
              <w:pageBreakBefore w:val="0"/>
              <w:kinsoku/>
              <w:overflowPunct/>
              <w:topLinePunct w:val="0"/>
              <w:autoSpaceDE/>
              <w:autoSpaceDN/>
              <w:bidi w:val="0"/>
              <w:adjustRightInd/>
              <w:snapToGrid w:val="0"/>
              <w:spacing w:line="400" w:lineRule="exact"/>
              <w:jc w:val="center"/>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w:t>
            </w:r>
          </w:p>
        </w:tc>
        <w:tc>
          <w:tcPr>
            <w:tcW w:w="389" w:type="dxa"/>
            <w:tcBorders>
              <w:top w:val="single" w:color="auto" w:sz="4" w:space="0"/>
              <w:left w:val="single" w:color="auto" w:sz="4" w:space="0"/>
              <w:bottom w:val="single" w:color="auto" w:sz="4" w:space="0"/>
              <w:right w:val="single" w:color="auto" w:sz="4" w:space="0"/>
            </w:tcBorders>
            <w:noWrap w:val="0"/>
            <w:vAlign w:val="center"/>
          </w:tcPr>
          <w:p w14:paraId="41C122E0">
            <w:pPr>
              <w:keepNext w:val="0"/>
              <w:keepLines w:val="0"/>
              <w:pageBreakBefore w:val="0"/>
              <w:kinsoku/>
              <w:overflowPunct/>
              <w:topLinePunct w:val="0"/>
              <w:autoSpaceDE/>
              <w:autoSpaceDN/>
              <w:bidi w:val="0"/>
              <w:adjustRightInd/>
              <w:snapToGrid w:val="0"/>
              <w:spacing w:line="400" w:lineRule="exact"/>
              <w:jc w:val="center"/>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5205" w:type="dxa"/>
            <w:tcBorders>
              <w:top w:val="single" w:color="auto" w:sz="4" w:space="0"/>
              <w:left w:val="single" w:color="auto" w:sz="4" w:space="0"/>
              <w:bottom w:val="single" w:color="auto" w:sz="4" w:space="0"/>
              <w:right w:val="single" w:color="auto" w:sz="4" w:space="0"/>
            </w:tcBorders>
            <w:noWrap w:val="0"/>
            <w:vAlign w:val="center"/>
          </w:tcPr>
          <w:p w14:paraId="0527D6F1">
            <w:pPr>
              <w:keepNext w:val="0"/>
              <w:keepLines w:val="0"/>
              <w:pageBreakBefore w:val="0"/>
              <w:kinsoku/>
              <w:overflowPunct/>
              <w:topLinePunct w:val="0"/>
              <w:autoSpaceDE/>
              <w:autoSpaceDN/>
              <w:bidi w:val="0"/>
              <w:adjustRightInd/>
              <w:spacing w:line="400" w:lineRule="exact"/>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本项目主要建设内容为土建、安装等工程的相关内容，具体内容以图纸及工程量清单为准。</w:t>
            </w:r>
          </w:p>
        </w:tc>
      </w:tr>
      <w:tr w14:paraId="354E5E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9" w:hRule="atLeast"/>
          <w:jc w:val="center"/>
        </w:trPr>
        <w:tc>
          <w:tcPr>
            <w:tcW w:w="585" w:type="dxa"/>
            <w:tcBorders>
              <w:top w:val="single" w:color="auto" w:sz="4" w:space="0"/>
              <w:left w:val="single" w:color="auto" w:sz="4" w:space="0"/>
              <w:bottom w:val="single" w:color="auto" w:sz="4" w:space="0"/>
              <w:right w:val="single" w:color="auto" w:sz="4" w:space="0"/>
            </w:tcBorders>
            <w:noWrap w:val="0"/>
            <w:vAlign w:val="center"/>
          </w:tcPr>
          <w:p w14:paraId="4BC0F703">
            <w:pPr>
              <w:keepNext w:val="0"/>
              <w:keepLines w:val="0"/>
              <w:pageBreakBefore w:val="0"/>
              <w:widowControl/>
              <w:kinsoku/>
              <w:overflowPunct/>
              <w:topLinePunct w:val="0"/>
              <w:autoSpaceDE/>
              <w:autoSpaceDN/>
              <w:bidi w:val="0"/>
              <w:adjustRightInd/>
              <w:spacing w:line="400" w:lineRule="exact"/>
              <w:jc w:val="center"/>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w:t>
            </w:r>
          </w:p>
        </w:tc>
        <w:tc>
          <w:tcPr>
            <w:tcW w:w="2366" w:type="dxa"/>
            <w:tcBorders>
              <w:top w:val="single" w:color="auto" w:sz="4" w:space="0"/>
              <w:left w:val="single" w:color="auto" w:sz="4" w:space="0"/>
              <w:bottom w:val="single" w:color="auto" w:sz="4" w:space="0"/>
              <w:right w:val="single" w:color="auto" w:sz="4" w:space="0"/>
            </w:tcBorders>
            <w:noWrap w:val="0"/>
            <w:vAlign w:val="center"/>
          </w:tcPr>
          <w:p w14:paraId="231D1E9D">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2026年度驻所武警基础设施维修项目</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5C6E4D1B">
            <w:pPr>
              <w:keepNext w:val="0"/>
              <w:keepLines w:val="0"/>
              <w:pageBreakBefore w:val="0"/>
              <w:kinsoku/>
              <w:overflowPunct/>
              <w:topLinePunct w:val="0"/>
              <w:autoSpaceDE/>
              <w:autoSpaceDN/>
              <w:bidi w:val="0"/>
              <w:adjustRightInd/>
              <w:snapToGrid w:val="0"/>
              <w:spacing w:line="400" w:lineRule="exact"/>
              <w:jc w:val="center"/>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w:t>
            </w:r>
          </w:p>
        </w:tc>
        <w:tc>
          <w:tcPr>
            <w:tcW w:w="389" w:type="dxa"/>
            <w:tcBorders>
              <w:top w:val="single" w:color="auto" w:sz="4" w:space="0"/>
              <w:left w:val="single" w:color="auto" w:sz="4" w:space="0"/>
              <w:bottom w:val="single" w:color="auto" w:sz="4" w:space="0"/>
              <w:right w:val="single" w:color="auto" w:sz="4" w:space="0"/>
            </w:tcBorders>
            <w:noWrap w:val="0"/>
            <w:vAlign w:val="center"/>
          </w:tcPr>
          <w:p w14:paraId="6C34D125">
            <w:pPr>
              <w:keepNext w:val="0"/>
              <w:keepLines w:val="0"/>
              <w:pageBreakBefore w:val="0"/>
              <w:kinsoku/>
              <w:overflowPunct/>
              <w:topLinePunct w:val="0"/>
              <w:autoSpaceDE/>
              <w:autoSpaceDN/>
              <w:bidi w:val="0"/>
              <w:adjustRightInd/>
              <w:snapToGrid w:val="0"/>
              <w:spacing w:line="400" w:lineRule="exact"/>
              <w:jc w:val="center"/>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5205" w:type="dxa"/>
            <w:tcBorders>
              <w:top w:val="single" w:color="auto" w:sz="4" w:space="0"/>
              <w:left w:val="single" w:color="auto" w:sz="4" w:space="0"/>
              <w:bottom w:val="single" w:color="auto" w:sz="4" w:space="0"/>
              <w:right w:val="single" w:color="auto" w:sz="4" w:space="0"/>
            </w:tcBorders>
            <w:noWrap w:val="0"/>
            <w:vAlign w:val="center"/>
          </w:tcPr>
          <w:p w14:paraId="3CD9438A">
            <w:pPr>
              <w:keepNext w:val="0"/>
              <w:keepLines w:val="0"/>
              <w:pageBreakBefore w:val="0"/>
              <w:kinsoku/>
              <w:overflowPunct/>
              <w:topLinePunct w:val="0"/>
              <w:autoSpaceDE/>
              <w:autoSpaceDN/>
              <w:bidi w:val="0"/>
              <w:adjustRightInd/>
              <w:spacing w:line="400" w:lineRule="exact"/>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本项目主要建设内容为建筑工程、拆除工程等工程的相关内容，具体内容以图纸及工程量清单为准。</w:t>
            </w:r>
          </w:p>
        </w:tc>
      </w:tr>
    </w:tbl>
    <w:p w14:paraId="02F6D778">
      <w:pPr>
        <w:keepNext w:val="0"/>
        <w:keepLines w:val="0"/>
        <w:pageBreakBefore w:val="0"/>
        <w:kinsoku/>
        <w:overflowPunct/>
        <w:topLinePunct w:val="0"/>
        <w:autoSpaceDE/>
        <w:autoSpaceDN/>
        <w:bidi w:val="0"/>
        <w:adjustRightInd/>
        <w:spacing w:before="156" w:beforeLines="50" w:line="400" w:lineRule="exact"/>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合同履行期限：合同签订后，采购人发出开工令之日起</w:t>
      </w:r>
      <w:r>
        <w:rPr>
          <w:rFonts w:hint="eastAsia" w:ascii="宋体" w:hAnsi="宋体"/>
          <w:color w:val="000000" w:themeColor="text1"/>
          <w:szCs w:val="21"/>
          <w:highlight w:val="none"/>
          <w:lang w:val="en-US" w:eastAsia="zh-CN"/>
          <w14:textFill>
            <w14:solidFill>
              <w14:schemeClr w14:val="tx1"/>
            </w14:solidFill>
          </w14:textFill>
        </w:rPr>
        <w:t>60</w:t>
      </w:r>
      <w:r>
        <w:rPr>
          <w:rFonts w:hint="eastAsia" w:ascii="宋体" w:hAnsi="宋体"/>
          <w:color w:val="000000" w:themeColor="text1"/>
          <w:szCs w:val="21"/>
          <w:highlight w:val="none"/>
          <w14:textFill>
            <w14:solidFill>
              <w14:schemeClr w14:val="tx1"/>
            </w14:solidFill>
          </w14:textFill>
        </w:rPr>
        <w:t>个日历天内</w:t>
      </w:r>
      <w:r>
        <w:rPr>
          <w:rFonts w:hint="eastAsia" w:ascii="宋体" w:hAnsi="宋体"/>
          <w:color w:val="000000" w:themeColor="text1"/>
          <w:szCs w:val="21"/>
          <w:highlight w:val="none"/>
          <w14:textFill>
            <w14:solidFill>
              <w14:schemeClr w14:val="tx1"/>
            </w14:solidFill>
          </w14:textFill>
        </w:rPr>
        <w:t>完成项目施工并通过验收合格。</w:t>
      </w:r>
    </w:p>
    <w:p w14:paraId="09DD5F57">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本项目是否接受联合体响应：□是/☑否。</w:t>
      </w:r>
    </w:p>
    <w:p w14:paraId="4DEDBB04">
      <w:pPr>
        <w:keepNext w:val="0"/>
        <w:keepLines w:val="0"/>
        <w:pageBreakBefore w:val="0"/>
        <w:kinsoku/>
        <w:overflowPunct/>
        <w:topLinePunct w:val="0"/>
        <w:autoSpaceDE/>
        <w:autoSpaceDN/>
        <w:bidi w:val="0"/>
        <w:adjustRightInd/>
        <w:spacing w:line="400" w:lineRule="exact"/>
        <w:ind w:firstLine="482" w:firstLineChars="200"/>
        <w:textAlignment w:val="auto"/>
        <w:rPr>
          <w:rFonts w:hint="eastAsia" w:ascii="黑体" w:hAnsi="黑体" w:eastAsia="黑体" w:cs="宋体"/>
          <w:bCs/>
          <w:color w:val="000000" w:themeColor="text1"/>
          <w:sz w:val="24"/>
          <w:highlight w:val="none"/>
          <w14:textFill>
            <w14:solidFill>
              <w14:schemeClr w14:val="tx1"/>
            </w14:solidFill>
          </w14:textFill>
        </w:rPr>
      </w:pPr>
      <w:r>
        <w:rPr>
          <w:rFonts w:hint="eastAsia" w:ascii="黑体" w:hAnsi="黑体" w:eastAsia="黑体" w:cs="宋体"/>
          <w:b/>
          <w:color w:val="000000" w:themeColor="text1"/>
          <w:kern w:val="44"/>
          <w:sz w:val="24"/>
          <w:highlight w:val="none"/>
          <w14:textFill>
            <w14:solidFill>
              <w14:schemeClr w14:val="tx1"/>
            </w14:solidFill>
          </w14:textFill>
        </w:rPr>
        <w:t>二、供应商的资格条件</w:t>
      </w:r>
    </w:p>
    <w:p w14:paraId="1EED581C">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1.满足《中华人民共和国政府采购法》第二十二条规定；</w:t>
      </w:r>
    </w:p>
    <w:p w14:paraId="1D419133">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2.落实政府采购政策需满足的资格要求</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适用于分标1、分标2</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p>
    <w:p w14:paraId="4FF7BC6F">
      <w:pPr>
        <w:keepNext w:val="0"/>
        <w:keepLines w:val="0"/>
        <w:pageBreakBefore w:val="0"/>
        <w:kinsoku/>
        <w:overflowPunct/>
        <w:topLinePunct w:val="0"/>
        <w:autoSpaceDE/>
        <w:autoSpaceDN/>
        <w:bidi w:val="0"/>
        <w:adjustRightInd/>
        <w:spacing w:line="400" w:lineRule="exact"/>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sym w:font="Wingdings 2" w:char="F052"/>
      </w:r>
      <w:r>
        <w:rPr>
          <w:rFonts w:hint="eastAsia" w:ascii="宋体" w:hAnsi="宋体"/>
          <w:color w:val="000000" w:themeColor="text1"/>
          <w:szCs w:val="21"/>
          <w:highlight w:val="none"/>
          <w14:textFill>
            <w14:solidFill>
              <w14:schemeClr w14:val="tx1"/>
            </w14:solidFill>
          </w14:textFill>
        </w:rPr>
        <w:t>专门面向</w:t>
      </w:r>
      <w:r>
        <w:rPr>
          <w:rFonts w:hint="eastAsia" w:ascii="宋体" w:hAnsi="宋体"/>
          <w:color w:val="000000" w:themeColor="text1"/>
          <w:szCs w:val="21"/>
          <w:highlight w:val="none"/>
          <w:lang w:val="en-US" w:eastAsia="zh-CN"/>
          <w14:textFill>
            <w14:solidFill>
              <w14:schemeClr w14:val="tx1"/>
            </w14:solidFill>
          </w14:textFill>
        </w:rPr>
        <w:t>小微</w:t>
      </w:r>
      <w:r>
        <w:rPr>
          <w:rFonts w:hint="eastAsia" w:ascii="宋体" w:hAnsi="宋体"/>
          <w:color w:val="000000" w:themeColor="text1"/>
          <w:szCs w:val="21"/>
          <w:highlight w:val="none"/>
          <w14:textFill>
            <w14:solidFill>
              <w14:schemeClr w14:val="tx1"/>
            </w14:solidFill>
          </w14:textFill>
        </w:rPr>
        <w:t>企业采购</w:t>
      </w:r>
      <w:r>
        <w:rPr>
          <w:rFonts w:hint="eastAsia" w:ascii="宋体" w:hAnsi="宋体"/>
          <w:color w:val="000000" w:themeColor="text1"/>
          <w:szCs w:val="21"/>
          <w:highlight w:val="none"/>
          <w14:textFill>
            <w14:solidFill>
              <w14:schemeClr w14:val="tx1"/>
            </w14:solidFill>
          </w14:textFill>
        </w:rPr>
        <w:t>的项目（供应商应为小微企业或监狱企业或残疾人福利性单位）</w:t>
      </w:r>
    </w:p>
    <w:p w14:paraId="40FA5AF3">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□非专门面向中小企业采购的项目；</w:t>
      </w:r>
    </w:p>
    <w:p w14:paraId="7054BAAF">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3.本项目的特定资格要求</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适用于分标1、分标2</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p>
    <w:p w14:paraId="098279B3">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供应商具有有效的建筑工程施工总承包三级（含）以上资质</w:t>
      </w:r>
      <w:r>
        <w:rPr>
          <w:rFonts w:hint="eastAsia" w:ascii="宋体" w:hAnsi="宋体"/>
          <w:color w:val="000000" w:themeColor="text1"/>
          <w:szCs w:val="21"/>
          <w:highlight w:val="none"/>
          <w:lang w:val="en-US" w:eastAsia="zh-CN"/>
          <w14:textFill>
            <w14:solidFill>
              <w14:schemeClr w14:val="tx1"/>
            </w14:solidFill>
          </w14:textFill>
        </w:rPr>
        <w:t>及有效的</w:t>
      </w:r>
      <w:r>
        <w:rPr>
          <w:rFonts w:hint="eastAsia" w:ascii="宋体" w:hAnsi="宋体"/>
          <w:color w:val="000000" w:themeColor="text1"/>
          <w:szCs w:val="21"/>
          <w:highlight w:val="none"/>
          <w14:textFill>
            <w14:solidFill>
              <w14:schemeClr w14:val="tx1"/>
            </w14:solidFill>
          </w14:textFill>
        </w:rPr>
        <w:t>安全生产许可证</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拟投入本项目的项目经理须具备建筑工程专业二级（含）以上注册建造师执业资格，</w:t>
      </w:r>
      <w:r>
        <w:rPr>
          <w:rFonts w:hint="eastAsia" w:ascii="宋体" w:hAnsi="宋体" w:cs="宋体"/>
          <w:color w:val="000000" w:themeColor="text1"/>
          <w:szCs w:val="21"/>
          <w:highlight w:val="none"/>
          <w:lang w:eastAsia="zh-CN"/>
          <w14:textFill>
            <w14:solidFill>
              <w14:schemeClr w14:val="tx1"/>
            </w14:solidFill>
          </w14:textFill>
        </w:rPr>
        <w:t>并持有有效的安全生产考核合格证书（B类）</w:t>
      </w:r>
      <w:r>
        <w:rPr>
          <w:rFonts w:hint="eastAsia" w:ascii="宋体" w:hAnsi="宋体" w:cs="宋体"/>
          <w:color w:val="000000" w:themeColor="text1"/>
          <w:szCs w:val="21"/>
          <w:highlight w:val="none"/>
          <w14:textFill>
            <w14:solidFill>
              <w14:schemeClr w14:val="tx1"/>
            </w14:solidFill>
          </w14:textFill>
        </w:rPr>
        <w:t>。</w:t>
      </w:r>
    </w:p>
    <w:p w14:paraId="1CC1A0E0">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4.本项目的特定条件：无。</w:t>
      </w:r>
    </w:p>
    <w:p w14:paraId="2F71C307">
      <w:pPr>
        <w:keepNext w:val="0"/>
        <w:keepLines w:val="0"/>
        <w:pageBreakBefore w:val="0"/>
        <w:kinsoku/>
        <w:overflowPunct/>
        <w:topLinePunct w:val="0"/>
        <w:autoSpaceDE/>
        <w:autoSpaceDN/>
        <w:bidi w:val="0"/>
        <w:adjustRightInd/>
        <w:snapToGrid w:val="0"/>
        <w:spacing w:line="400" w:lineRule="exact"/>
        <w:ind w:firstLine="420" w:firstLineChars="200"/>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D4100EF">
      <w:pPr>
        <w:keepNext w:val="0"/>
        <w:keepLines w:val="0"/>
        <w:pageBreakBefore w:val="0"/>
        <w:kinsoku/>
        <w:overflowPunct/>
        <w:topLinePunct w:val="0"/>
        <w:autoSpaceDE/>
        <w:autoSpaceDN/>
        <w:bidi w:val="0"/>
        <w:adjustRightInd/>
        <w:snapToGrid w:val="0"/>
        <w:spacing w:line="400" w:lineRule="exact"/>
        <w:ind w:firstLine="420" w:firstLineChars="200"/>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54C59984">
      <w:pPr>
        <w:keepNext w:val="0"/>
        <w:keepLines w:val="0"/>
        <w:pageBreakBefore w:val="0"/>
        <w:kinsoku/>
        <w:overflowPunct/>
        <w:topLinePunct w:val="0"/>
        <w:autoSpaceDE/>
        <w:autoSpaceDN/>
        <w:bidi w:val="0"/>
        <w:adjustRightInd/>
        <w:spacing w:line="400" w:lineRule="exact"/>
        <w:ind w:firstLine="482" w:firstLineChars="200"/>
        <w:textAlignment w:val="auto"/>
        <w:rPr>
          <w:rFonts w:hint="eastAsia"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三、获取竞争性谈判文件</w:t>
      </w:r>
    </w:p>
    <w:p w14:paraId="5B34A18F">
      <w:pPr>
        <w:keepNext w:val="0"/>
        <w:keepLines w:val="0"/>
        <w:pageBreakBefore w:val="0"/>
        <w:kinsoku/>
        <w:overflowPunct/>
        <w:topLinePunct w:val="0"/>
        <w:autoSpaceDE/>
        <w:autoSpaceDN/>
        <w:bidi w:val="0"/>
        <w:adjustRightInd/>
        <w:snapToGrid w:val="0"/>
        <w:spacing w:line="400" w:lineRule="exact"/>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时间：自公告发布之日起。</w:t>
      </w:r>
    </w:p>
    <w:p w14:paraId="20D6E7CA">
      <w:pPr>
        <w:keepNext w:val="0"/>
        <w:keepLines w:val="0"/>
        <w:pageBreakBefore w:val="0"/>
        <w:kinsoku/>
        <w:overflowPunct/>
        <w:topLinePunct w:val="0"/>
        <w:autoSpaceDE/>
        <w:autoSpaceDN/>
        <w:bidi w:val="0"/>
        <w:adjustRightInd/>
        <w:snapToGrid w:val="0"/>
        <w:spacing w:line="400" w:lineRule="exact"/>
        <w:ind w:firstLine="420" w:firstLineChars="200"/>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通过其他方式获取采购文件的，将有可能导致供应商无法在广西政府采购云平台编制及上传响应文件。</w:t>
      </w:r>
    </w:p>
    <w:p w14:paraId="60AD7736">
      <w:pPr>
        <w:keepNext w:val="0"/>
        <w:keepLines w:val="0"/>
        <w:pageBreakBefore w:val="0"/>
        <w:kinsoku/>
        <w:overflowPunct/>
        <w:topLinePunct w:val="0"/>
        <w:autoSpaceDE/>
        <w:autoSpaceDN/>
        <w:bidi w:val="0"/>
        <w:adjustRightInd/>
        <w:snapToGrid w:val="0"/>
        <w:spacing w:line="400" w:lineRule="exact"/>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售价：0元。</w:t>
      </w:r>
    </w:p>
    <w:p w14:paraId="43B8F049">
      <w:pPr>
        <w:keepNext w:val="0"/>
        <w:keepLines w:val="0"/>
        <w:pageBreakBefore w:val="0"/>
        <w:kinsoku/>
        <w:overflowPunct/>
        <w:topLinePunct w:val="0"/>
        <w:autoSpaceDE/>
        <w:autoSpaceDN/>
        <w:bidi w:val="0"/>
        <w:adjustRightInd/>
        <w:spacing w:line="400" w:lineRule="exact"/>
        <w:ind w:firstLine="482" w:firstLineChars="200"/>
        <w:textAlignment w:val="auto"/>
        <w:rPr>
          <w:rFonts w:hint="eastAsia"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四、响应文件提交</w:t>
      </w:r>
    </w:p>
    <w:p w14:paraId="64C44070">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1.首次响应文件提交截止时间</w:t>
      </w:r>
      <w:r>
        <w:rPr>
          <w:rFonts w:hint="eastAsia" w:ascii="宋体" w:hAnsi="宋体"/>
          <w:bCs/>
          <w:color w:val="000000" w:themeColor="text1"/>
          <w:szCs w:val="21"/>
          <w:highlight w:val="none"/>
          <w14:textFill>
            <w14:solidFill>
              <w14:schemeClr w14:val="tx1"/>
            </w14:solidFill>
          </w14:textFill>
        </w:rPr>
        <w:t>（北京时间</w:t>
      </w:r>
      <w:r>
        <w:rPr>
          <w:rFonts w:hint="eastAsia" w:ascii="宋体" w:hAnsi="宋体"/>
          <w:bCs/>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u w:val="single"/>
          <w:lang w:eastAsia="zh-CN"/>
          <w14:textFill>
            <w14:solidFill>
              <w14:schemeClr w14:val="tx1"/>
            </w14:solidFill>
          </w14:textFill>
        </w:rPr>
        <w:t>2026年9月4日</w:t>
      </w:r>
      <w:r>
        <w:rPr>
          <w:rFonts w:hint="eastAsia" w:ascii="宋体" w:hAnsi="宋体"/>
          <w:bCs/>
          <w:color w:val="000000" w:themeColor="text1"/>
          <w:szCs w:val="21"/>
          <w:highlight w:val="none"/>
          <w:u w:val="single"/>
          <w14:textFill>
            <w14:solidFill>
              <w14:schemeClr w14:val="tx1"/>
            </w14:solidFill>
          </w14:textFill>
        </w:rPr>
        <w:t>09:30</w:t>
      </w:r>
      <w:r>
        <w:rPr>
          <w:rFonts w:hint="eastAsia" w:ascii="宋体" w:hAnsi="宋体" w:cs="宋体"/>
          <w:color w:val="000000" w:themeColor="text1"/>
          <w:szCs w:val="21"/>
          <w:highlight w:val="none"/>
          <w:u w:val="single"/>
          <w14:textFill>
            <w14:solidFill>
              <w14:schemeClr w14:val="tx1"/>
            </w14:solidFill>
          </w14:textFill>
        </w:rPr>
        <w:t>（从谈判文件开始发出之日起至供应商提交首次响应文件截止之日止不得少于3个工作日）</w:t>
      </w:r>
    </w:p>
    <w:p w14:paraId="69C39E4D">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2.首次响应文件提交地点：</w:t>
      </w:r>
    </w:p>
    <w:p w14:paraId="54D0A1CF">
      <w:pPr>
        <w:keepNext w:val="0"/>
        <w:keepLines w:val="0"/>
        <w:pageBreakBefore w:val="0"/>
        <w:kinsoku/>
        <w:overflowPunct/>
        <w:topLinePunct w:val="0"/>
        <w:autoSpaceDE/>
        <w:autoSpaceDN/>
        <w:bidi w:val="0"/>
        <w:adjustRightInd/>
        <w:spacing w:line="400" w:lineRule="exact"/>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响应文件提交方式：本项目为南宁市全流程电子化项目，通过“广西政府采购云平台”（https：//www.gcy.zfcg.gxzf.gov.cn）实行在线电子响应，供应商应先安装“广西政府采购云平台新版客户端”（新版客户端下载路径：广西政府采购网（访问地址http：//zfcg.gxzf.gov.cn/）—办事服务—下载专区），并按照本项目采购文件和“广西政府采购云平台”的要求编制、加密后在首次响应文件提交截止时间前通过网络上传至“广西政府采购云平台”，</w:t>
      </w:r>
      <w:r>
        <w:rPr>
          <w:rFonts w:hint="eastAsia" w:ascii="宋体" w:hAnsi="宋体"/>
          <w:b/>
          <w:color w:val="000000" w:themeColor="text1"/>
          <w:szCs w:val="21"/>
          <w:highlight w:val="none"/>
          <w14:textFill>
            <w14:solidFill>
              <w14:schemeClr w14:val="tx1"/>
            </w14:solidFill>
          </w14:textFill>
        </w:rPr>
        <w:t>供应商在“广西政府采购云平台”提交电子版响应文件时，请填写参加远程采购活动经办人联系方式</w:t>
      </w:r>
      <w:r>
        <w:rPr>
          <w:rFonts w:hint="eastAsia" w:ascii="宋体" w:hAnsi="宋体"/>
          <w:color w:val="000000" w:themeColor="text1"/>
          <w:szCs w:val="21"/>
          <w:highlight w:val="none"/>
          <w14:textFill>
            <w14:solidFill>
              <w14:schemeClr w14:val="tx1"/>
            </w14:solidFill>
          </w14:textFill>
        </w:rPr>
        <w:t>，电子响应文件具体操作流程详见本公告附件2。</w:t>
      </w:r>
    </w:p>
    <w:p w14:paraId="4093C427">
      <w:pPr>
        <w:keepNext w:val="0"/>
        <w:keepLines w:val="0"/>
        <w:pageBreakBefore w:val="0"/>
        <w:kinsoku/>
        <w:overflowPunct/>
        <w:topLinePunct w:val="0"/>
        <w:autoSpaceDE/>
        <w:autoSpaceDN/>
        <w:bidi w:val="0"/>
        <w:adjustRightInd/>
        <w:spacing w:line="400" w:lineRule="exact"/>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进行网上注册并办理数字证书（CA认证）的供应商将无法参与本项目政府采购活动，潜在供应商应当在首次响应文件提交截止时间前，完成电子交易平台上的CA数字证书办理（申领流程见本公告附件2）及响应文件的提交。完成CA数字证书办理预计7日左右，供应商只需办理其中一家CA数字证书及签章。</w:t>
      </w:r>
    </w:p>
    <w:p w14:paraId="12C29AF7">
      <w:pPr>
        <w:keepNext w:val="0"/>
        <w:keepLines w:val="0"/>
        <w:pageBreakBefore w:val="0"/>
        <w:kinsoku/>
        <w:overflowPunct/>
        <w:topLinePunct w:val="0"/>
        <w:autoSpaceDE/>
        <w:autoSpaceDN/>
        <w:bidi w:val="0"/>
        <w:adjustRightInd/>
        <w:spacing w:line="400" w:lineRule="exact"/>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（3）为确保网上操作合法、有效和安全，请供应商确保在电子响应过程中能够对相关数据电文进行加密和使用电子签章，妥善保管CA数字证书并使用有效的CA数字证书参与整个采购活动。</w:t>
      </w:r>
    </w:p>
    <w:p w14:paraId="5A493DA9">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2E138DD2">
      <w:pPr>
        <w:keepNext w:val="0"/>
        <w:keepLines w:val="0"/>
        <w:pageBreakBefore w:val="0"/>
        <w:kinsoku/>
        <w:overflowPunct/>
        <w:topLinePunct w:val="0"/>
        <w:autoSpaceDE/>
        <w:autoSpaceDN/>
        <w:bidi w:val="0"/>
        <w:adjustRightInd/>
        <w:snapToGrid w:val="0"/>
        <w:spacing w:line="40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3.CA证书在线解密：首次响应文件开启时，</w:t>
      </w:r>
      <w:r>
        <w:rPr>
          <w:rFonts w:hint="eastAsia" w:ascii="宋体" w:hAnsi="宋体" w:cs="宋体"/>
          <w:b/>
          <w:color w:val="000000" w:themeColor="text1"/>
          <w:kern w:val="0"/>
          <w:szCs w:val="21"/>
          <w:highlight w:val="none"/>
          <w14:textFill>
            <w14:solidFill>
              <w14:schemeClr w14:val="tx1"/>
            </w14:solidFill>
          </w14:textFill>
        </w:rPr>
        <w:t>须供应商携带制作响应文件时用来加密的有效数字证书（CA认证）</w:t>
      </w:r>
      <w:r>
        <w:rPr>
          <w:rFonts w:hint="eastAsia" w:ascii="宋体" w:hAnsi="宋体" w:cs="宋体"/>
          <w:color w:val="000000" w:themeColor="text1"/>
          <w:kern w:val="0"/>
          <w:szCs w:val="21"/>
          <w:highlight w:val="none"/>
          <w14:textFill>
            <w14:solidFill>
              <w14:schemeClr w14:val="tx1"/>
            </w14:solidFill>
          </w14:textFill>
        </w:rPr>
        <w:t>登录广西政府采购云平台电子开标大厅现场按规定时间对加密的响应文件进行解密，</w:t>
      </w:r>
      <w:r>
        <w:rPr>
          <w:rFonts w:hint="eastAsia"/>
          <w:color w:val="000000" w:themeColor="text1"/>
          <w:highlight w:val="none"/>
          <w14:textFill>
            <w14:solidFill>
              <w14:schemeClr w14:val="tx1"/>
            </w14:solidFill>
          </w14:textFill>
        </w:rPr>
        <w:t>详见采购文件“第三章供应商须知正文</w:t>
      </w:r>
      <w:r>
        <w:rPr>
          <w:color w:val="000000" w:themeColor="text1"/>
          <w:highlight w:val="none"/>
          <w14:textFill>
            <w14:solidFill>
              <w14:schemeClr w14:val="tx1"/>
            </w14:solidFill>
          </w14:textFill>
        </w:rPr>
        <w:t>25.2</w:t>
      </w:r>
      <w:r>
        <w:rPr>
          <w:rFonts w:hint="eastAsia"/>
          <w:color w:val="000000" w:themeColor="text1"/>
          <w:highlight w:val="none"/>
          <w14:textFill>
            <w14:solidFill>
              <w14:schemeClr w14:val="tx1"/>
            </w14:solidFill>
          </w14:textFill>
        </w:rPr>
        <w:t>条”</w:t>
      </w:r>
      <w:r>
        <w:rPr>
          <w:rFonts w:hint="eastAsia" w:ascii="宋体" w:hAnsi="宋体" w:cs="宋体"/>
          <w:color w:val="000000" w:themeColor="text1"/>
          <w:kern w:val="0"/>
          <w:szCs w:val="21"/>
          <w:highlight w:val="none"/>
          <w14:textFill>
            <w14:solidFill>
              <w14:schemeClr w14:val="tx1"/>
            </w14:solidFill>
          </w14:textFill>
        </w:rPr>
        <w:t>，未能按要求进行解密的，由此产生的后果由供应商自行承担。</w:t>
      </w:r>
    </w:p>
    <w:p w14:paraId="64A06C94">
      <w:pPr>
        <w:keepNext w:val="0"/>
        <w:keepLines w:val="0"/>
        <w:pageBreakBefore w:val="0"/>
        <w:kinsoku/>
        <w:overflowPunct/>
        <w:topLinePunct w:val="0"/>
        <w:autoSpaceDE/>
        <w:autoSpaceDN/>
        <w:bidi w:val="0"/>
        <w:adjustRightInd/>
        <w:snapToGrid w:val="0"/>
        <w:spacing w:line="40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4.供应商需要在具备有摄像头及语音功能且互联网网络状况良好的电脑登录广西政府采购云平台远程开标大厅参与本次谈判，否则后果自负。</w:t>
      </w:r>
    </w:p>
    <w:p w14:paraId="4BCA848F">
      <w:pPr>
        <w:keepNext w:val="0"/>
        <w:keepLines w:val="0"/>
        <w:pageBreakBefore w:val="0"/>
        <w:kinsoku/>
        <w:overflowPunct/>
        <w:topLinePunct w:val="0"/>
        <w:autoSpaceDE/>
        <w:autoSpaceDN/>
        <w:bidi w:val="0"/>
        <w:adjustRightInd/>
        <w:spacing w:line="400" w:lineRule="exact"/>
        <w:ind w:firstLine="482" w:firstLineChars="200"/>
        <w:textAlignment w:val="auto"/>
        <w:rPr>
          <w:rFonts w:hint="eastAsia"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五、开启（首次响应文件开启时间）</w:t>
      </w:r>
    </w:p>
    <w:p w14:paraId="400C9A97">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1.时间</w:t>
      </w:r>
      <w:r>
        <w:rPr>
          <w:rFonts w:hint="eastAsia" w:ascii="宋体" w:hAnsi="宋体"/>
          <w:bCs/>
          <w:color w:val="000000" w:themeColor="text1"/>
          <w:szCs w:val="21"/>
          <w:highlight w:val="none"/>
          <w14:textFill>
            <w14:solidFill>
              <w14:schemeClr w14:val="tx1"/>
            </w14:solidFill>
          </w14:textFill>
        </w:rPr>
        <w:t>（北京时间）</w:t>
      </w:r>
      <w:r>
        <w:rPr>
          <w:rFonts w:hint="eastAsia" w:ascii="宋体" w:hAnsi="宋体"/>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u w:val="single"/>
          <w:lang w:eastAsia="zh-CN"/>
          <w14:textFill>
            <w14:solidFill>
              <w14:schemeClr w14:val="tx1"/>
            </w14:solidFill>
          </w14:textFill>
        </w:rPr>
        <w:t>2026年9月4日</w:t>
      </w:r>
      <w:r>
        <w:rPr>
          <w:rFonts w:hint="eastAsia" w:ascii="宋体" w:hAnsi="宋体"/>
          <w:bCs/>
          <w:color w:val="000000" w:themeColor="text1"/>
          <w:szCs w:val="21"/>
          <w:highlight w:val="none"/>
          <w:u w:val="single"/>
          <w14:textFill>
            <w14:solidFill>
              <w14:schemeClr w14:val="tx1"/>
            </w14:solidFill>
          </w14:textFill>
        </w:rPr>
        <w:t>09:30</w:t>
      </w:r>
      <w:r>
        <w:rPr>
          <w:rFonts w:hint="eastAsia" w:ascii="宋体" w:hAnsi="宋体"/>
          <w:color w:val="000000" w:themeColor="text1"/>
          <w:szCs w:val="21"/>
          <w:highlight w:val="none"/>
          <w14:textFill>
            <w14:solidFill>
              <w14:schemeClr w14:val="tx1"/>
            </w14:solidFill>
          </w14:textFill>
        </w:rPr>
        <w:t>后</w:t>
      </w:r>
    </w:p>
    <w:p w14:paraId="57BF035A">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2.地点：</w:t>
      </w:r>
      <w:r>
        <w:rPr>
          <w:rFonts w:hint="eastAsia" w:ascii="宋体" w:hAnsi="宋体"/>
          <w:color w:val="000000" w:themeColor="text1"/>
          <w:szCs w:val="21"/>
          <w:highlight w:val="none"/>
          <w:u w:val="single"/>
          <w14:textFill>
            <w14:solidFill>
              <w14:schemeClr w14:val="tx1"/>
            </w14:solidFill>
          </w14:textFill>
        </w:rPr>
        <w:t>广西政府采购云平台电子开标大厅</w:t>
      </w:r>
    </w:p>
    <w:p w14:paraId="0AD3AE95">
      <w:pPr>
        <w:keepNext w:val="0"/>
        <w:keepLines w:val="0"/>
        <w:pageBreakBefore w:val="0"/>
        <w:kinsoku/>
        <w:overflowPunct/>
        <w:topLinePunct w:val="0"/>
        <w:autoSpaceDE/>
        <w:autoSpaceDN/>
        <w:bidi w:val="0"/>
        <w:adjustRightInd/>
        <w:spacing w:line="400" w:lineRule="exact"/>
        <w:ind w:firstLine="482" w:firstLineChars="200"/>
        <w:textAlignment w:val="auto"/>
        <w:rPr>
          <w:rFonts w:hint="eastAsia"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六、公告期限</w:t>
      </w:r>
    </w:p>
    <w:p w14:paraId="31BA872C">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自本公告发布之日起3个工作日。</w:t>
      </w:r>
    </w:p>
    <w:p w14:paraId="35B32AB1">
      <w:pPr>
        <w:keepNext w:val="0"/>
        <w:keepLines w:val="0"/>
        <w:pageBreakBefore w:val="0"/>
        <w:kinsoku/>
        <w:overflowPunct/>
        <w:topLinePunct w:val="0"/>
        <w:autoSpaceDE/>
        <w:autoSpaceDN/>
        <w:bidi w:val="0"/>
        <w:adjustRightInd/>
        <w:spacing w:line="400" w:lineRule="exact"/>
        <w:ind w:firstLine="482" w:firstLineChars="200"/>
        <w:textAlignment w:val="auto"/>
        <w:rPr>
          <w:rFonts w:hint="eastAsia"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七、其他补充事宜</w:t>
      </w:r>
    </w:p>
    <w:p w14:paraId="002BD868">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1.谈判保证金：本项目不收取谈判保证金。</w:t>
      </w:r>
    </w:p>
    <w:p w14:paraId="158093FC">
      <w:pPr>
        <w:keepNext w:val="0"/>
        <w:keepLines w:val="0"/>
        <w:pageBreakBefore w:val="0"/>
        <w:kinsoku/>
        <w:overflowPunct/>
        <w:topLinePunct w:val="0"/>
        <w:autoSpaceDE/>
        <w:autoSpaceDN/>
        <w:bidi w:val="0"/>
        <w:adjustRightInd/>
        <w:spacing w:line="400" w:lineRule="exact"/>
        <w:ind w:firstLine="420" w:firstLineChars="200"/>
        <w:jc w:val="left"/>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2.采购意向公开链接：</w:t>
      </w:r>
      <w:bookmarkStart w:id="10" w:name="PO_3000001871_PM100"/>
    </w:p>
    <w:p w14:paraId="1DB5A686">
      <w:pPr>
        <w:keepNext w:val="0"/>
        <w:keepLines w:val="0"/>
        <w:pageBreakBefore w:val="0"/>
        <w:kinsoku/>
        <w:overflowPunct/>
        <w:topLinePunct w:val="0"/>
        <w:autoSpaceDE/>
        <w:autoSpaceDN/>
        <w:bidi w:val="0"/>
        <w:adjustRightInd/>
        <w:spacing w:line="400" w:lineRule="exact"/>
        <w:ind w:left="420" w:leftChars="200" w:firstLine="0" w:firstLineChars="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分标1：</w:t>
      </w:r>
      <w:r>
        <w:rPr>
          <w:rFonts w:hint="eastAsia" w:ascii="宋体" w:hAnsi="宋体" w:eastAsia="宋体" w:cs="宋体"/>
          <w:color w:val="000000" w:themeColor="text1"/>
          <w:kern w:val="0"/>
          <w:szCs w:val="21"/>
          <w:highlight w:val="none"/>
          <w14:textFill>
            <w14:solidFill>
              <w14:schemeClr w14:val="tx1"/>
            </w14:solidFill>
          </w14:textFill>
        </w:rPr>
        <w:t>https://zfcg.gxzf.gov.cn/site/detail?parentId=66485&amp;articleId=xKaQL4Th4fHzZz00cXg3+Q==</w:t>
      </w:r>
    </w:p>
    <w:p w14:paraId="1C3DA16F">
      <w:pPr>
        <w:keepNext w:val="0"/>
        <w:keepLines w:val="0"/>
        <w:pageBreakBefore w:val="0"/>
        <w:kinsoku/>
        <w:overflowPunct/>
        <w:topLinePunct w:val="0"/>
        <w:autoSpaceDE/>
        <w:autoSpaceDN/>
        <w:bidi w:val="0"/>
        <w:adjustRightInd/>
        <w:spacing w:line="400" w:lineRule="exact"/>
        <w:ind w:firstLine="420" w:firstLineChars="200"/>
        <w:jc w:val="left"/>
        <w:textAlignment w:val="auto"/>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分标2：</w:t>
      </w:r>
    </w:p>
    <w:p w14:paraId="630977CF">
      <w:pPr>
        <w:keepNext w:val="0"/>
        <w:keepLines w:val="0"/>
        <w:pageBreakBefore w:val="0"/>
        <w:kinsoku/>
        <w:overflowPunct/>
        <w:topLinePunct w:val="0"/>
        <w:autoSpaceDE/>
        <w:autoSpaceDN/>
        <w:bidi w:val="0"/>
        <w:adjustRightInd/>
        <w:spacing w:line="400" w:lineRule="exact"/>
        <w:ind w:firstLine="420" w:firstLineChars="200"/>
        <w:jc w:val="left"/>
        <w:textAlignment w:val="auto"/>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https://zfcg.gxzf.gov.cn/site/detail?parentId=66485&amp;articleId=zi2uoSg4eitXF9I3xGnhBw==</w:t>
      </w:r>
    </w:p>
    <w:bookmarkEnd w:id="10"/>
    <w:p w14:paraId="5B4C5DA5">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3.网上查询地址</w:t>
      </w:r>
    </w:p>
    <w:p w14:paraId="45342582">
      <w:pPr>
        <w:keepNext w:val="0"/>
        <w:keepLines w:val="0"/>
        <w:pageBreakBefore w:val="0"/>
        <w:kinsoku/>
        <w:wordWrap w:val="0"/>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中国政府采购网(http://www.ccgp.gov.cn/)、广西政府采购网(http://zfcg.gxzf.gov.cn/)、全国公共资源交易平台（广西•南宁）(http://ggzy.jgswj.gxzf.gov.cn/nnggzy/)。</w:t>
      </w:r>
    </w:p>
    <w:p w14:paraId="062B1372">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本项目需要落实的政府采购政策</w:t>
      </w:r>
    </w:p>
    <w:p w14:paraId="3A563811">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（1）政府采购促进中小企业发展。</w:t>
      </w:r>
    </w:p>
    <w:p w14:paraId="2DD8694E">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（2）政府采购支持采用本国产品的政策。</w:t>
      </w:r>
    </w:p>
    <w:p w14:paraId="6BFF0D04">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（3）强制采购节能产品；优先采购节能产品、环境标志产品。</w:t>
      </w:r>
    </w:p>
    <w:p w14:paraId="78DB86B5">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（4）政府采购促进残疾人就业政策。</w:t>
      </w:r>
    </w:p>
    <w:p w14:paraId="505BFCD3">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（5）政府采购支持监狱企业发展。</w:t>
      </w:r>
    </w:p>
    <w:p w14:paraId="76DF449D">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（6）扶持不发达地区和少数民族地区政策。</w:t>
      </w:r>
    </w:p>
    <w:p w14:paraId="04EC9CD6">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40FB341F">
      <w:pPr>
        <w:keepNext w:val="0"/>
        <w:keepLines w:val="0"/>
        <w:pageBreakBefore w:val="0"/>
        <w:kinsoku/>
        <w:wordWrap w:val="0"/>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6.若对项目采购电子交易系统操作有疑问，可登录广西政府采购云平台（https://www.gcy.zfcg.gxzf.gov.cn/），点击右侧咨询小采，获取采小蜜智能服务管家帮助，或拨打广西政府采购云服务热线95763获取热线服务帮助。</w:t>
      </w:r>
    </w:p>
    <w:p w14:paraId="40EFA4C0">
      <w:pPr>
        <w:keepNext w:val="0"/>
        <w:keepLines w:val="0"/>
        <w:pageBreakBefore w:val="0"/>
        <w:kinsoku/>
        <w:overflowPunct/>
        <w:topLinePunct w:val="0"/>
        <w:autoSpaceDE/>
        <w:autoSpaceDN/>
        <w:bidi w:val="0"/>
        <w:adjustRightInd/>
        <w:spacing w:line="400" w:lineRule="exact"/>
        <w:ind w:firstLine="482" w:firstLineChars="200"/>
        <w:textAlignment w:val="auto"/>
        <w:rPr>
          <w:rFonts w:hint="eastAsia" w:ascii="黑体" w:hAnsi="黑体" w:eastAsia="黑体" w:cs="宋体"/>
          <w:bCs/>
          <w:color w:val="000000" w:themeColor="text1"/>
          <w:sz w:val="24"/>
          <w:highlight w:val="none"/>
          <w14:textFill>
            <w14:solidFill>
              <w14:schemeClr w14:val="tx1"/>
            </w14:solidFill>
          </w14:textFill>
        </w:rPr>
      </w:pPr>
      <w:r>
        <w:rPr>
          <w:rFonts w:hint="eastAsia" w:ascii="黑体" w:hAnsi="黑体" w:eastAsia="黑体" w:cs="宋体"/>
          <w:b/>
          <w:color w:val="000000" w:themeColor="text1"/>
          <w:kern w:val="44"/>
          <w:sz w:val="24"/>
          <w:highlight w:val="none"/>
          <w14:textFill>
            <w14:solidFill>
              <w14:schemeClr w14:val="tx1"/>
            </w14:solidFill>
          </w14:textFill>
        </w:rPr>
        <w:t>八、凡对本次采购提出询问，请按以下方式联系</w:t>
      </w:r>
    </w:p>
    <w:p w14:paraId="29DC0FA0">
      <w:pPr>
        <w:keepNext w:val="0"/>
        <w:keepLines w:val="0"/>
        <w:pageBreakBefore w:val="0"/>
        <w:kinsoku/>
        <w:wordWrap w:val="0"/>
        <w:overflowPunct/>
        <w:topLinePunct w:val="0"/>
        <w:autoSpaceDE/>
        <w:autoSpaceDN/>
        <w:bidi w:val="0"/>
        <w:adjustRightInd/>
        <w:spacing w:line="400" w:lineRule="exact"/>
        <w:ind w:firstLine="420" w:firstLineChars="200"/>
        <w:jc w:val="left"/>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1.采购人信息</w:t>
      </w:r>
    </w:p>
    <w:p w14:paraId="62781C3B">
      <w:pPr>
        <w:keepNext w:val="0"/>
        <w:keepLines w:val="0"/>
        <w:pageBreakBefore w:val="0"/>
        <w:kinsoku/>
        <w:wordWrap w:val="0"/>
        <w:overflowPunct/>
        <w:topLinePunct w:val="0"/>
        <w:autoSpaceDE/>
        <w:autoSpaceDN/>
        <w:bidi w:val="0"/>
        <w:adjustRightInd/>
        <w:spacing w:line="400" w:lineRule="exact"/>
        <w:ind w:firstLine="420" w:firstLineChars="200"/>
        <w:jc w:val="left"/>
        <w:textAlignment w:val="auto"/>
        <w:rPr>
          <w:rFonts w:hint="eastAsia" w:ascii="宋体" w:hAnsi="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lang w:eastAsia="zh-CN"/>
          <w14:textFill>
            <w14:solidFill>
              <w14:schemeClr w14:val="tx1"/>
            </w14:solidFill>
          </w14:textFill>
        </w:rPr>
        <w:t>名 称：南宁市第一看守所</w:t>
      </w:r>
    </w:p>
    <w:p w14:paraId="0A8A4210">
      <w:pPr>
        <w:keepNext w:val="0"/>
        <w:keepLines w:val="0"/>
        <w:pageBreakBefore w:val="0"/>
        <w:kinsoku/>
        <w:wordWrap w:val="0"/>
        <w:overflowPunct/>
        <w:topLinePunct w:val="0"/>
        <w:autoSpaceDE/>
        <w:autoSpaceDN/>
        <w:bidi w:val="0"/>
        <w:adjustRightInd/>
        <w:spacing w:line="400" w:lineRule="exact"/>
        <w:ind w:firstLine="420" w:firstLineChars="200"/>
        <w:jc w:val="left"/>
        <w:textAlignment w:val="auto"/>
        <w:rPr>
          <w:rFonts w:hint="eastAsia" w:ascii="宋体" w:hAnsi="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lang w:eastAsia="zh-CN"/>
          <w14:textFill>
            <w14:solidFill>
              <w14:schemeClr w14:val="tx1"/>
            </w14:solidFill>
          </w14:textFill>
        </w:rPr>
        <w:t>地 址：南宁市兴宁区昆仑大道163号</w:t>
      </w:r>
    </w:p>
    <w:p w14:paraId="2B4C2BAF">
      <w:pPr>
        <w:keepNext w:val="0"/>
        <w:keepLines w:val="0"/>
        <w:pageBreakBefore w:val="0"/>
        <w:kinsoku/>
        <w:wordWrap w:val="0"/>
        <w:overflowPunct/>
        <w:topLinePunct w:val="0"/>
        <w:autoSpaceDE/>
        <w:autoSpaceDN/>
        <w:bidi w:val="0"/>
        <w:adjustRightInd/>
        <w:spacing w:line="400" w:lineRule="exact"/>
        <w:ind w:firstLine="420" w:firstLineChars="200"/>
        <w:jc w:val="left"/>
        <w:textAlignment w:val="auto"/>
        <w:rPr>
          <w:rFonts w:hint="eastAsia" w:ascii="宋体" w:hAnsi="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lang w:eastAsia="zh-CN"/>
          <w14:textFill>
            <w14:solidFill>
              <w14:schemeClr w14:val="tx1"/>
            </w14:solidFill>
          </w14:textFill>
        </w:rPr>
        <w:t>项目联系人：陈明</w:t>
      </w:r>
    </w:p>
    <w:p w14:paraId="00182BFF">
      <w:pPr>
        <w:keepNext w:val="0"/>
        <w:keepLines w:val="0"/>
        <w:pageBreakBefore w:val="0"/>
        <w:kinsoku/>
        <w:wordWrap w:val="0"/>
        <w:overflowPunct/>
        <w:topLinePunct w:val="0"/>
        <w:autoSpaceDE/>
        <w:autoSpaceDN/>
        <w:bidi w:val="0"/>
        <w:adjustRightInd/>
        <w:spacing w:line="400" w:lineRule="exact"/>
        <w:ind w:firstLine="420" w:firstLineChars="200"/>
        <w:jc w:val="left"/>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lang w:eastAsia="zh-CN"/>
          <w14:textFill>
            <w14:solidFill>
              <w14:schemeClr w14:val="tx1"/>
            </w14:solidFill>
          </w14:textFill>
        </w:rPr>
        <w:t>联系电话：0771-5661076</w:t>
      </w:r>
      <w:r>
        <w:rPr>
          <w:rFonts w:hint="eastAsia" w:ascii="宋体" w:hAnsi="宋体" w:cs="宋体"/>
          <w:color w:val="000000" w:themeColor="text1"/>
          <w:kern w:val="0"/>
          <w:szCs w:val="21"/>
          <w:highlight w:val="none"/>
          <w14:textFill>
            <w14:solidFill>
              <w14:schemeClr w14:val="tx1"/>
            </w14:solidFill>
          </w14:textFill>
        </w:rPr>
        <w:t xml:space="preserve"> </w:t>
      </w:r>
    </w:p>
    <w:p w14:paraId="77CD0A2D">
      <w:pPr>
        <w:keepNext w:val="0"/>
        <w:keepLines w:val="0"/>
        <w:pageBreakBefore w:val="0"/>
        <w:kinsoku/>
        <w:wordWrap w:val="0"/>
        <w:overflowPunct/>
        <w:topLinePunct w:val="0"/>
        <w:autoSpaceDE/>
        <w:autoSpaceDN/>
        <w:bidi w:val="0"/>
        <w:adjustRightInd/>
        <w:spacing w:line="400" w:lineRule="exact"/>
        <w:ind w:firstLine="420" w:firstLineChars="200"/>
        <w:jc w:val="left"/>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2.采购代理机构信息</w:t>
      </w:r>
    </w:p>
    <w:p w14:paraId="5926757F">
      <w:pPr>
        <w:keepNext w:val="0"/>
        <w:keepLines w:val="0"/>
        <w:pageBreakBefore w:val="0"/>
        <w:kinsoku/>
        <w:wordWrap w:val="0"/>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名 称：广西建通工程咨询有限责任公司</w:t>
      </w:r>
    </w:p>
    <w:p w14:paraId="58BD4DA5">
      <w:pPr>
        <w:keepNext w:val="0"/>
        <w:keepLines w:val="0"/>
        <w:pageBreakBefore w:val="0"/>
        <w:kinsoku/>
        <w:wordWrap w:val="0"/>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　址：南宁市江南区金凯路26号广西建通中心12楼</w:t>
      </w:r>
    </w:p>
    <w:p w14:paraId="46F43867">
      <w:pPr>
        <w:keepNext w:val="0"/>
        <w:keepLines w:val="0"/>
        <w:pageBreakBefore w:val="0"/>
        <w:kinsoku/>
        <w:wordWrap w:val="0"/>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联系电话：0771-2863138</w:t>
      </w:r>
    </w:p>
    <w:p w14:paraId="5E8514AC">
      <w:pPr>
        <w:keepNext w:val="0"/>
        <w:keepLines w:val="0"/>
        <w:pageBreakBefore w:val="0"/>
        <w:kinsoku/>
        <w:wordWrap w:val="0"/>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3.项目联系方式</w:t>
      </w:r>
    </w:p>
    <w:p w14:paraId="16BA9E51">
      <w:pPr>
        <w:keepNext w:val="0"/>
        <w:keepLines w:val="0"/>
        <w:pageBreakBefore w:val="0"/>
        <w:kinsoku/>
        <w:wordWrap w:val="0"/>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项目联系人：</w:t>
      </w:r>
      <w:r>
        <w:rPr>
          <w:rFonts w:hint="eastAsia" w:ascii="宋体" w:hAnsi="宋体" w:cs="宋体"/>
          <w:color w:val="000000" w:themeColor="text1"/>
          <w:kern w:val="0"/>
          <w:szCs w:val="21"/>
          <w:highlight w:val="none"/>
          <w:lang w:val="en-US" w:eastAsia="zh-CN"/>
          <w14:textFill>
            <w14:solidFill>
              <w14:schemeClr w14:val="tx1"/>
            </w14:solidFill>
          </w14:textFill>
        </w:rPr>
        <w:t>凌智华、曹聪</w:t>
      </w:r>
      <w:r>
        <w:rPr>
          <w:rFonts w:hint="eastAsia" w:ascii="宋体" w:hAnsi="宋体" w:cs="宋体"/>
          <w:color w:val="000000" w:themeColor="text1"/>
          <w:kern w:val="0"/>
          <w:szCs w:val="21"/>
          <w:highlight w:val="none"/>
          <w14:textFill>
            <w14:solidFill>
              <w14:schemeClr w14:val="tx1"/>
            </w14:solidFill>
          </w14:textFill>
        </w:rPr>
        <w:t xml:space="preserve"> </w:t>
      </w:r>
    </w:p>
    <w:p w14:paraId="395DB06F">
      <w:pPr>
        <w:keepNext w:val="0"/>
        <w:keepLines w:val="0"/>
        <w:pageBreakBefore w:val="0"/>
        <w:kinsoku/>
        <w:wordWrap w:val="0"/>
        <w:overflowPunct/>
        <w:topLinePunct w:val="0"/>
        <w:autoSpaceDE/>
        <w:autoSpaceDN/>
        <w:bidi w:val="0"/>
        <w:adjustRightInd/>
        <w:spacing w:line="40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电    话：0771-2863138</w:t>
      </w:r>
    </w:p>
    <w:p w14:paraId="2DA565E2">
      <w:pPr>
        <w:pStyle w:val="16"/>
        <w:keepNext w:val="0"/>
        <w:keepLines w:val="0"/>
        <w:pageBreakBefore w:val="0"/>
        <w:kinsoku/>
        <w:overflowPunct/>
        <w:topLinePunct w:val="0"/>
        <w:autoSpaceDE/>
        <w:autoSpaceDN/>
        <w:bidi w:val="0"/>
        <w:adjustRightInd/>
        <w:spacing w:after="120" w:line="400" w:lineRule="exact"/>
        <w:ind w:firstLine="420" w:firstLineChars="200"/>
        <w:textAlignment w:val="auto"/>
        <w:rPr>
          <w:rFonts w:hint="eastAsia"/>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附件：1.CA证书申请方式及操作指南下载地址（登录</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"http://nncz.nanning.gov.cn/" </w:instrText>
      </w:r>
      <w:r>
        <w:rPr>
          <w:color w:val="000000" w:themeColor="text1"/>
          <w:highlight w:val="none"/>
          <w14:textFill>
            <w14:solidFill>
              <w14:schemeClr w14:val="tx1"/>
            </w14:solidFill>
          </w14:textFill>
        </w:rPr>
        <w:fldChar w:fldCharType="separate"/>
      </w:r>
      <w:r>
        <w:rPr>
          <w:rStyle w:val="41"/>
          <w:color w:val="000000" w:themeColor="text1"/>
          <w:highlight w:val="none"/>
          <w14:textFill>
            <w14:solidFill>
              <w14:schemeClr w14:val="tx1"/>
            </w14:solidFill>
          </w14:textFill>
        </w:rPr>
        <w:t>http://nncz.nanning.gov.cn/</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t>（南宁市财政局官网）</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业务专题-政府采购监督管理-资料下载</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“广西政采云西部</w:t>
      </w:r>
      <w:r>
        <w:rPr>
          <w:color w:val="000000" w:themeColor="text1"/>
          <w:highlight w:val="none"/>
          <w14:textFill>
            <w14:solidFill>
              <w14:schemeClr w14:val="tx1"/>
            </w14:solidFill>
          </w14:textFill>
        </w:rPr>
        <w:t>CA</w:t>
      </w:r>
      <w:r>
        <w:rPr>
          <w:rFonts w:hint="eastAsia"/>
          <w:color w:val="000000" w:themeColor="text1"/>
          <w:highlight w:val="none"/>
          <w14:textFill>
            <w14:solidFill>
              <w14:schemeClr w14:val="tx1"/>
            </w14:solidFill>
          </w14:textFill>
        </w:rPr>
        <w:t>办理方式”或“南宁市政采云</w:t>
      </w:r>
      <w:r>
        <w:rPr>
          <w:color w:val="000000" w:themeColor="text1"/>
          <w:highlight w:val="none"/>
          <w14:textFill>
            <w14:solidFill>
              <w14:schemeClr w14:val="tx1"/>
            </w14:solidFill>
          </w14:textFill>
        </w:rPr>
        <w:t>CA</w:t>
      </w:r>
      <w:r>
        <w:rPr>
          <w:rFonts w:hint="eastAsia"/>
          <w:color w:val="000000" w:themeColor="text1"/>
          <w:highlight w:val="none"/>
          <w14:textFill>
            <w14:solidFill>
              <w14:schemeClr w14:val="tx1"/>
            </w14:solidFill>
          </w14:textFill>
        </w:rPr>
        <w:t>证书办理操作指南”</w:t>
      </w:r>
      <w:r>
        <w:rPr>
          <w:rFonts w:hint="eastAsia" w:ascii="宋体" w:hAnsi="宋体"/>
          <w:color w:val="000000" w:themeColor="text1"/>
          <w:szCs w:val="21"/>
          <w:highlight w:val="none"/>
          <w14:textFill>
            <w14:solidFill>
              <w14:schemeClr w14:val="tx1"/>
            </w14:solidFill>
          </w14:textFill>
        </w:rPr>
        <w:t>）</w:t>
      </w:r>
    </w:p>
    <w:p w14:paraId="4DF12E7E">
      <w:pPr>
        <w:pStyle w:val="16"/>
        <w:keepNext w:val="0"/>
        <w:keepLines w:val="0"/>
        <w:pageBreakBefore w:val="0"/>
        <w:kinsoku/>
        <w:overflowPunct/>
        <w:topLinePunct w:val="0"/>
        <w:autoSpaceDE/>
        <w:autoSpaceDN/>
        <w:bidi w:val="0"/>
        <w:adjustRightInd/>
        <w:spacing w:after="120" w:line="400" w:lineRule="exact"/>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2.电子投标文件制作与投送教程（在此网址下载：</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"http://nncz.nanning.gov.cn/" </w:instrText>
      </w:r>
      <w:r>
        <w:rPr>
          <w:color w:val="000000" w:themeColor="text1"/>
          <w:highlight w:val="none"/>
          <w14:textFill>
            <w14:solidFill>
              <w14:schemeClr w14:val="tx1"/>
            </w14:solidFill>
          </w14:textFill>
        </w:rPr>
        <w:fldChar w:fldCharType="separate"/>
      </w:r>
      <w:r>
        <w:rPr>
          <w:rStyle w:val="41"/>
          <w:color w:val="000000" w:themeColor="text1"/>
          <w:highlight w:val="none"/>
          <w14:textFill>
            <w14:solidFill>
              <w14:schemeClr w14:val="tx1"/>
            </w14:solidFill>
          </w14:textFill>
        </w:rPr>
        <w:t>http://nncz.nanning.gov.cn/</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t>（南宁市财政局官网）</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业务专题-政府采购监督管理-资料下载-南宁市政府采购项目全流程电子化交易操作指南</w:t>
      </w:r>
      <w:r>
        <w:rPr>
          <w:rFonts w:hint="eastAsia" w:ascii="宋体" w:hAnsi="宋体"/>
          <w:color w:val="000000" w:themeColor="text1"/>
          <w:szCs w:val="21"/>
          <w:highlight w:val="none"/>
          <w14:textFill>
            <w14:solidFill>
              <w14:schemeClr w14:val="tx1"/>
            </w14:solidFill>
          </w14:textFill>
        </w:rPr>
        <w:t>）</w:t>
      </w:r>
    </w:p>
    <w:p w14:paraId="69714CAE">
      <w:pPr>
        <w:keepNext w:val="0"/>
        <w:keepLines w:val="0"/>
        <w:pageBreakBefore w:val="0"/>
        <w:kinsoku/>
        <w:overflowPunct/>
        <w:topLinePunct w:val="0"/>
        <w:autoSpaceDE/>
        <w:autoSpaceDN/>
        <w:bidi w:val="0"/>
        <w:adjustRightInd/>
        <w:spacing w:line="400" w:lineRule="exact"/>
        <w:ind w:firstLine="5678" w:firstLineChars="2704"/>
        <w:jc w:val="right"/>
        <w:textAlignment w:val="auto"/>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广西建通工程咨询有限责任公司</w:t>
      </w:r>
    </w:p>
    <w:p w14:paraId="0AFF3BC7">
      <w:pPr>
        <w:keepNext w:val="0"/>
        <w:keepLines w:val="0"/>
        <w:pageBreakBefore w:val="0"/>
        <w:kinsoku/>
        <w:overflowPunct/>
        <w:topLinePunct w:val="0"/>
        <w:autoSpaceDE/>
        <w:autoSpaceDN/>
        <w:bidi w:val="0"/>
        <w:adjustRightInd/>
        <w:spacing w:line="400" w:lineRule="exact"/>
        <w:ind w:firstLine="5678" w:firstLineChars="2704"/>
        <w:jc w:val="righ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2026</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lang w:val="en-US" w:eastAsia="zh-CN"/>
          <w14:textFill>
            <w14:solidFill>
              <w14:schemeClr w14:val="tx1"/>
            </w14:solidFill>
          </w14:textFill>
        </w:rPr>
        <w:t>8</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lang w:val="en-US" w:eastAsia="zh-CN"/>
          <w14:textFill>
            <w14:solidFill>
              <w14:schemeClr w14:val="tx1"/>
            </w14:solidFill>
          </w14:textFill>
        </w:rPr>
        <w:t>31</w:t>
      </w:r>
      <w:r>
        <w:rPr>
          <w:rFonts w:hint="eastAsia" w:ascii="宋体" w:hAnsi="宋体"/>
          <w:color w:val="000000" w:themeColor="text1"/>
          <w:szCs w:val="21"/>
          <w:highlight w:val="none"/>
          <w14:textFill>
            <w14:solidFill>
              <w14:schemeClr w14:val="tx1"/>
            </w14:solidFill>
          </w14:textFill>
        </w:rPr>
        <w:t>日</w:t>
      </w:r>
    </w:p>
    <w:p w14:paraId="6FCDCC7C">
      <w:pPr>
        <w:spacing w:line="360" w:lineRule="auto"/>
        <w:ind w:firstLine="5678" w:firstLineChars="2704"/>
        <w:jc w:val="righ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p>
    <w:p w14:paraId="0EF753B1">
      <w:pPr>
        <w:pStyle w:val="3"/>
        <w:spacing w:before="0" w:after="0" w:line="360" w:lineRule="auto"/>
        <w:jc w:val="center"/>
        <w:rPr>
          <w:rFonts w:hint="eastAsia"/>
          <w:color w:val="000000" w:themeColor="text1"/>
          <w:highlight w:val="none"/>
          <w14:textFill>
            <w14:solidFill>
              <w14:schemeClr w14:val="tx1"/>
            </w14:solidFill>
          </w14:textFill>
        </w:rPr>
      </w:pPr>
      <w:bookmarkStart w:id="11" w:name="_Toc1000"/>
      <w:bookmarkStart w:id="12" w:name="_Toc9906"/>
      <w:bookmarkStart w:id="13" w:name="_Toc14429"/>
      <w:bookmarkStart w:id="14" w:name="_Toc20355"/>
      <w:bookmarkStart w:id="15" w:name="_Toc21879"/>
      <w:bookmarkStart w:id="16" w:name="_Toc25416"/>
      <w:r>
        <w:rPr>
          <w:rFonts w:hint="eastAsia" w:ascii="Cambria" w:hAnsi="Cambria"/>
          <w:bCs w:val="0"/>
          <w:color w:val="000000" w:themeColor="text1"/>
          <w:sz w:val="32"/>
          <w:szCs w:val="32"/>
          <w:highlight w:val="none"/>
          <w14:textFill>
            <w14:solidFill>
              <w14:schemeClr w14:val="tx1"/>
            </w14:solidFill>
          </w14:textFill>
        </w:rPr>
        <w:t>第二章</w:t>
      </w:r>
      <w:r>
        <w:rPr>
          <w:rFonts w:ascii="Cambria" w:hAnsi="Cambria"/>
          <w:bCs w:val="0"/>
          <w:color w:val="000000" w:themeColor="text1"/>
          <w:sz w:val="32"/>
          <w:szCs w:val="32"/>
          <w:highlight w:val="none"/>
          <w14:textFill>
            <w14:solidFill>
              <w14:schemeClr w14:val="tx1"/>
            </w14:solidFill>
          </w14:textFill>
        </w:rPr>
        <w:t xml:space="preserve"> </w:t>
      </w:r>
      <w:r>
        <w:rPr>
          <w:rFonts w:hint="eastAsia" w:ascii="Cambria" w:hAnsi="Cambria"/>
          <w:bCs w:val="0"/>
          <w:color w:val="000000" w:themeColor="text1"/>
          <w:sz w:val="32"/>
          <w:szCs w:val="32"/>
          <w:highlight w:val="none"/>
          <w14:textFill>
            <w14:solidFill>
              <w14:schemeClr w14:val="tx1"/>
            </w14:solidFill>
          </w14:textFill>
        </w:rPr>
        <w:t>采购需求</w:t>
      </w:r>
      <w:bookmarkEnd w:id="8"/>
      <w:bookmarkEnd w:id="9"/>
      <w:bookmarkEnd w:id="11"/>
      <w:bookmarkEnd w:id="12"/>
      <w:bookmarkEnd w:id="13"/>
      <w:bookmarkEnd w:id="14"/>
      <w:bookmarkEnd w:id="15"/>
      <w:bookmarkEnd w:id="16"/>
    </w:p>
    <w:p w14:paraId="63F26F5F">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w:t>
      </w:r>
    </w:p>
    <w:p w14:paraId="5EFF7428">
      <w:pPr>
        <w:pStyle w:val="2"/>
        <w:spacing w:after="0" w:line="44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1.为落实政府采购政策需满足的要求</w:t>
      </w:r>
    </w:p>
    <w:p w14:paraId="796BE129">
      <w:pPr>
        <w:pStyle w:val="2"/>
        <w:spacing w:after="0" w:line="44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（1）本竞争性谈判采购文件所称中小企业必须符合《政府采购促进中小企业发展管理办法》（财库〔2020〕46号）的规定。</w:t>
      </w:r>
    </w:p>
    <w:p w14:paraId="6A0B6425">
      <w:pPr>
        <w:pStyle w:val="2"/>
        <w:spacing w:after="0" w:line="44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（2）工程项目中包含货物的，根据《财政部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否则响应文件作无效处理。如本项目包含的配套服务属于品目清单内非标注“★”的产品时，应优先采购，具体详见“第四章 评标方法及评标标准”。</w:t>
      </w:r>
    </w:p>
    <w:p w14:paraId="597A933B">
      <w:pPr>
        <w:pStyle w:val="2"/>
        <w:spacing w:after="0" w:line="44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2.“实质性要求”是指采购需求中带“▲”的条款或者不能负偏离的条款或者已经指明不满足按响应文件作无效处理的条款。</w:t>
      </w:r>
    </w:p>
    <w:p w14:paraId="57C07132">
      <w:pPr>
        <w:pStyle w:val="2"/>
        <w:spacing w:after="0" w:line="44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3.不需要供应商对采购需求响应为具体数值的，此采购需求的数值后将以◆号标注。</w:t>
      </w:r>
    </w:p>
    <w:p w14:paraId="098C4B89">
      <w:pPr>
        <w:pStyle w:val="2"/>
        <w:spacing w:after="0" w:line="440" w:lineRule="exact"/>
        <w:ind w:firstLine="420"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4.供应商必须自行为其竞标产品侵犯他人的知识产权或者专利成果的行为承担相应法律责任。</w:t>
      </w:r>
    </w:p>
    <w:p w14:paraId="076A9BDE">
      <w:pPr>
        <w:jc w:val="left"/>
        <w:rPr>
          <w:rFonts w:hint="eastAsia" w:ascii="宋体" w:hAnsi="宋体"/>
          <w:b/>
          <w:bCs/>
          <w:color w:val="000000" w:themeColor="text1"/>
          <w:kern w:val="0"/>
          <w:sz w:val="20"/>
          <w:szCs w:val="21"/>
          <w:highlight w:val="none"/>
          <w14:textFill>
            <w14:solidFill>
              <w14:schemeClr w14:val="tx1"/>
            </w14:solidFill>
          </w14:textFill>
        </w:rPr>
      </w:pPr>
    </w:p>
    <w:tbl>
      <w:tblPr>
        <w:tblStyle w:val="35"/>
        <w:tblW w:w="99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3"/>
        <w:gridCol w:w="1338"/>
        <w:gridCol w:w="477"/>
        <w:gridCol w:w="532"/>
        <w:gridCol w:w="5641"/>
        <w:gridCol w:w="1279"/>
      </w:tblGrid>
      <w:tr w14:paraId="75281E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990" w:type="dxa"/>
            <w:gridSpan w:val="6"/>
            <w:tcBorders>
              <w:top w:val="single" w:color="auto" w:sz="4" w:space="0"/>
              <w:left w:val="single" w:color="auto" w:sz="4" w:space="0"/>
              <w:right w:val="single" w:color="auto" w:sz="4" w:space="0"/>
            </w:tcBorders>
            <w:noWrap w:val="0"/>
            <w:vAlign w:val="center"/>
          </w:tcPr>
          <w:p w14:paraId="3E2409CA">
            <w:pPr>
              <w:spacing w:line="440" w:lineRule="exact"/>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采购需求一览表</w:t>
            </w:r>
          </w:p>
        </w:tc>
      </w:tr>
      <w:tr w14:paraId="644A7D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061" w:type="dxa"/>
            <w:gridSpan w:val="2"/>
            <w:tcBorders>
              <w:top w:val="single" w:color="auto" w:sz="4" w:space="0"/>
              <w:left w:val="single" w:color="auto" w:sz="4" w:space="0"/>
              <w:right w:val="single" w:color="auto" w:sz="4" w:space="0"/>
            </w:tcBorders>
            <w:noWrap w:val="0"/>
            <w:vAlign w:val="center"/>
          </w:tcPr>
          <w:p w14:paraId="0B96C0EA">
            <w:pPr>
              <w:spacing w:line="440" w:lineRule="exact"/>
              <w:jc w:val="center"/>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分标</w:t>
            </w:r>
          </w:p>
        </w:tc>
        <w:tc>
          <w:tcPr>
            <w:tcW w:w="7929" w:type="dxa"/>
            <w:gridSpan w:val="4"/>
            <w:tcBorders>
              <w:top w:val="single" w:color="auto" w:sz="4" w:space="0"/>
              <w:left w:val="single" w:color="auto" w:sz="4" w:space="0"/>
              <w:right w:val="single" w:color="auto" w:sz="4" w:space="0"/>
            </w:tcBorders>
            <w:noWrap w:val="0"/>
            <w:vAlign w:val="center"/>
          </w:tcPr>
          <w:p w14:paraId="30258D46">
            <w:pPr>
              <w:spacing w:line="440" w:lineRule="exact"/>
              <w:jc w:val="center"/>
              <w:rPr>
                <w:rFonts w:hint="default" w:ascii="宋体" w:hAnsi="宋体" w:eastAsia="宋体" w:cs="宋体"/>
                <w:b/>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分标1</w:t>
            </w:r>
          </w:p>
        </w:tc>
      </w:tr>
      <w:tr w14:paraId="7EDF38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3" w:type="dxa"/>
            <w:tcBorders>
              <w:top w:val="single" w:color="auto" w:sz="4" w:space="0"/>
              <w:left w:val="single" w:color="auto" w:sz="4" w:space="0"/>
              <w:bottom w:val="single" w:color="auto" w:sz="4" w:space="0"/>
              <w:right w:val="single" w:color="auto" w:sz="4" w:space="0"/>
            </w:tcBorders>
            <w:noWrap w:val="0"/>
            <w:vAlign w:val="center"/>
          </w:tcPr>
          <w:p w14:paraId="2BF03FE7">
            <w:pPr>
              <w:spacing w:line="440" w:lineRule="exact"/>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序号</w:t>
            </w:r>
          </w:p>
        </w:tc>
        <w:tc>
          <w:tcPr>
            <w:tcW w:w="133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B4BBA0C">
            <w:pPr>
              <w:spacing w:line="440" w:lineRule="exact"/>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标的名称</w:t>
            </w:r>
          </w:p>
        </w:tc>
        <w:tc>
          <w:tcPr>
            <w:tcW w:w="477" w:type="dxa"/>
            <w:tcBorders>
              <w:top w:val="single" w:color="auto" w:sz="4" w:space="0"/>
              <w:left w:val="single" w:color="auto" w:sz="4" w:space="0"/>
              <w:bottom w:val="single" w:color="auto" w:sz="4" w:space="0"/>
              <w:right w:val="single" w:color="auto" w:sz="4" w:space="0"/>
            </w:tcBorders>
            <w:noWrap w:val="0"/>
            <w:vAlign w:val="center"/>
          </w:tcPr>
          <w:p w14:paraId="74CCA948">
            <w:pPr>
              <w:spacing w:line="440" w:lineRule="exact"/>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单位</w:t>
            </w:r>
          </w:p>
        </w:tc>
        <w:tc>
          <w:tcPr>
            <w:tcW w:w="532" w:type="dxa"/>
            <w:tcBorders>
              <w:top w:val="single" w:color="auto" w:sz="4" w:space="0"/>
              <w:left w:val="single" w:color="auto" w:sz="4" w:space="0"/>
              <w:bottom w:val="single" w:color="auto" w:sz="4" w:space="0"/>
              <w:right w:val="single" w:color="auto" w:sz="4" w:space="0"/>
            </w:tcBorders>
            <w:noWrap w:val="0"/>
            <w:vAlign w:val="center"/>
          </w:tcPr>
          <w:p w14:paraId="3DF9990B">
            <w:pPr>
              <w:spacing w:line="440" w:lineRule="exact"/>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数量</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5429F48E">
            <w:pPr>
              <w:spacing w:line="440" w:lineRule="exact"/>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技术需求</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30F354F6">
            <w:pPr>
              <w:spacing w:line="440" w:lineRule="exact"/>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最高限价（元）</w:t>
            </w:r>
          </w:p>
        </w:tc>
      </w:tr>
      <w:tr w14:paraId="5D216A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1" w:hRule="atLeast"/>
          <w:jc w:val="center"/>
        </w:trPr>
        <w:tc>
          <w:tcPr>
            <w:tcW w:w="723" w:type="dxa"/>
            <w:tcBorders>
              <w:top w:val="single" w:color="auto" w:sz="4" w:space="0"/>
              <w:left w:val="single" w:color="auto" w:sz="4" w:space="0"/>
              <w:bottom w:val="single" w:color="auto" w:sz="4" w:space="0"/>
              <w:right w:val="single" w:color="auto" w:sz="4" w:space="0"/>
            </w:tcBorders>
            <w:noWrap w:val="0"/>
            <w:vAlign w:val="center"/>
          </w:tcPr>
          <w:p w14:paraId="6B9FDBDD">
            <w:pPr>
              <w:spacing w:line="440" w:lineRule="exact"/>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1338" w:type="dxa"/>
            <w:tcBorders>
              <w:top w:val="single" w:color="auto" w:sz="4" w:space="0"/>
              <w:left w:val="single" w:color="auto" w:sz="4" w:space="0"/>
              <w:right w:val="single" w:color="auto" w:sz="4" w:space="0"/>
            </w:tcBorders>
            <w:noWrap w:val="0"/>
            <w:vAlign w:val="center"/>
          </w:tcPr>
          <w:p w14:paraId="3F1C869D">
            <w:pPr>
              <w:spacing w:line="440" w:lineRule="exact"/>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南宁市第一看守所2026年度基础设施维修项目</w:t>
            </w:r>
          </w:p>
        </w:tc>
        <w:tc>
          <w:tcPr>
            <w:tcW w:w="477" w:type="dxa"/>
            <w:tcBorders>
              <w:top w:val="single" w:color="auto" w:sz="4" w:space="0"/>
              <w:left w:val="single" w:color="auto" w:sz="4" w:space="0"/>
              <w:right w:val="single" w:color="auto" w:sz="4" w:space="0"/>
            </w:tcBorders>
            <w:noWrap w:val="0"/>
            <w:vAlign w:val="center"/>
          </w:tcPr>
          <w:p w14:paraId="3AD6E20C">
            <w:pPr>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532" w:type="dxa"/>
            <w:tcBorders>
              <w:top w:val="single" w:color="auto" w:sz="4" w:space="0"/>
              <w:left w:val="single" w:color="auto" w:sz="4" w:space="0"/>
              <w:right w:val="single" w:color="auto" w:sz="4" w:space="0"/>
            </w:tcBorders>
            <w:noWrap w:val="0"/>
            <w:vAlign w:val="center"/>
          </w:tcPr>
          <w:p w14:paraId="0668685E">
            <w:pPr>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w:t>
            </w:r>
          </w:p>
        </w:tc>
        <w:tc>
          <w:tcPr>
            <w:tcW w:w="5641" w:type="dxa"/>
            <w:tcBorders>
              <w:top w:val="single" w:color="auto" w:sz="4" w:space="0"/>
              <w:left w:val="single" w:color="auto" w:sz="4" w:space="0"/>
              <w:right w:val="single" w:color="auto" w:sz="4" w:space="0"/>
            </w:tcBorders>
            <w:noWrap w:val="0"/>
            <w:vAlign w:val="center"/>
          </w:tcPr>
          <w:p w14:paraId="083D5DB7">
            <w:pPr>
              <w:keepLines w:val="0"/>
              <w:pageBreakBefore w:val="0"/>
              <w:numPr>
                <w:ilvl w:val="0"/>
                <w:numId w:val="0"/>
              </w:numPr>
              <w:kinsoku/>
              <w:overflowPunct/>
              <w:topLinePunct w:val="0"/>
              <w:bidi w:val="0"/>
              <w:snapToGrid/>
              <w:spacing w:beforeAutospacing="0" w:afterAutospacing="0" w:line="360" w:lineRule="auto"/>
              <w:jc w:val="left"/>
              <w:textAlignment w:val="baseline"/>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2"/>
                <w:sz w:val="21"/>
                <w:szCs w:val="24"/>
                <w:highlight w:val="none"/>
                <w:lang w:val="en-US" w:eastAsia="zh-CN" w:bidi="ar-SA"/>
                <w14:textFill>
                  <w14:solidFill>
                    <w14:schemeClr w14:val="tx1"/>
                  </w14:solidFill>
                </w14:textFill>
              </w:rPr>
              <w:t>一、</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工程概况及内容：</w:t>
            </w:r>
          </w:p>
          <w:p w14:paraId="141B285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20" w:firstLineChars="200"/>
              <w:jc w:val="left"/>
              <w:textAlignment w:val="baseline"/>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本项目为南宁市第一看守所2026年度基础设施维修项目，本项目主要建设内容为土建、安装等工程的相关内容，具体内容以图纸及工程量清单为准。</w:t>
            </w:r>
          </w:p>
          <w:p w14:paraId="26A0653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20" w:firstLineChars="200"/>
              <w:jc w:val="left"/>
              <w:textAlignment w:val="baseline"/>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2、项目地点：</w:t>
            </w:r>
            <w:r>
              <w:rPr>
                <w:rFonts w:hint="eastAsia" w:ascii="宋体" w:hAnsi="宋体" w:cs="宋体"/>
                <w:b w:val="0"/>
                <w:bCs w:val="0"/>
                <w:color w:val="000000" w:themeColor="text1"/>
                <w:szCs w:val="21"/>
                <w:highlight w:val="none"/>
                <w:lang w:eastAsia="zh-CN"/>
                <w14:textFill>
                  <w14:solidFill>
                    <w14:schemeClr w14:val="tx1"/>
                  </w14:solidFill>
                </w14:textFill>
              </w:rPr>
              <w:t>南宁市兴宁区昆仑大道163号</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南宁市第一看守所</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内。</w:t>
            </w:r>
          </w:p>
          <w:p w14:paraId="685C26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20" w:firstLineChars="200"/>
              <w:jc w:val="left"/>
              <w:textAlignment w:val="baseline"/>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3、</w:t>
            </w:r>
            <w:r>
              <w:rPr>
                <w:rFonts w:hint="eastAsia" w:ascii="宋体" w:hAnsi="宋体" w:eastAsia="宋体" w:cs="Times New Roman"/>
                <w:b w:val="0"/>
                <w:bCs w:val="0"/>
                <w:color w:val="000000" w:themeColor="text1"/>
                <w:szCs w:val="21"/>
                <w:highlight w:val="none"/>
                <w14:textFill>
                  <w14:solidFill>
                    <w14:schemeClr w14:val="tx1"/>
                  </w14:solidFill>
                </w14:textFill>
              </w:rPr>
              <w:t>采购范围：</w:t>
            </w:r>
            <w:r>
              <w:rPr>
                <w:rFonts w:hint="eastAsia" w:ascii="宋体" w:hAnsi="宋体"/>
                <w:b w:val="0"/>
                <w:bCs w:val="0"/>
                <w:color w:val="000000" w:themeColor="text1"/>
                <w:highlight w:val="none"/>
                <w14:textFill>
                  <w14:solidFill>
                    <w14:schemeClr w14:val="tx1"/>
                  </w14:solidFill>
                </w14:textFill>
              </w:rPr>
              <w:t>详见工程量清单及图纸。</w:t>
            </w:r>
          </w:p>
          <w:p w14:paraId="115748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20" w:firstLineChars="200"/>
              <w:jc w:val="left"/>
              <w:textAlignment w:val="baseline"/>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lang w:val="en-US" w:eastAsia="zh-CN"/>
                <w14:textFill>
                  <w14:solidFill>
                    <w14:schemeClr w14:val="tx1"/>
                  </w14:solidFill>
                </w14:textFill>
              </w:rPr>
              <w:t>4、</w:t>
            </w:r>
            <w:r>
              <w:rPr>
                <w:rFonts w:hint="eastAsia" w:ascii="宋体" w:hAnsi="宋体" w:cs="宋体"/>
                <w:b w:val="0"/>
                <w:bCs w:val="0"/>
                <w:color w:val="000000" w:themeColor="text1"/>
                <w:szCs w:val="21"/>
                <w:highlight w:val="none"/>
                <w14:textFill>
                  <w14:solidFill>
                    <w14:schemeClr w14:val="tx1"/>
                  </w14:solidFill>
                </w14:textFill>
              </w:rPr>
              <w:t>技术标准</w:t>
            </w:r>
            <w:r>
              <w:rPr>
                <w:rFonts w:ascii="宋体" w:hAnsi="宋体" w:cs="宋体"/>
                <w:b w:val="0"/>
                <w:bCs w:val="0"/>
                <w:color w:val="000000" w:themeColor="text1"/>
                <w:szCs w:val="21"/>
                <w:highlight w:val="none"/>
                <w14:textFill>
                  <w14:solidFill>
                    <w14:schemeClr w14:val="tx1"/>
                  </w14:solidFill>
                </w14:textFill>
              </w:rPr>
              <w:t>和</w:t>
            </w:r>
            <w:r>
              <w:rPr>
                <w:rFonts w:hint="eastAsia" w:ascii="宋体" w:hAnsi="宋体" w:cs="宋体"/>
                <w:b w:val="0"/>
                <w:bCs w:val="0"/>
                <w:color w:val="000000" w:themeColor="text1"/>
                <w:szCs w:val="21"/>
                <w:highlight w:val="none"/>
                <w14:textFill>
                  <w14:solidFill>
                    <w14:schemeClr w14:val="tx1"/>
                  </w14:solidFill>
                </w14:textFill>
              </w:rPr>
              <w:t>要求</w:t>
            </w:r>
            <w:r>
              <w:rPr>
                <w:rFonts w:ascii="宋体" w:hAnsi="宋体" w:cs="宋体"/>
                <w:b w:val="0"/>
                <w:bCs w:val="0"/>
                <w:color w:val="000000" w:themeColor="text1"/>
                <w:szCs w:val="21"/>
                <w:highlight w:val="none"/>
                <w14:textFill>
                  <w14:solidFill>
                    <w14:schemeClr w14:val="tx1"/>
                  </w14:solidFill>
                </w14:textFill>
              </w:rPr>
              <w:t>：</w:t>
            </w:r>
            <w:r>
              <w:rPr>
                <w:rFonts w:hint="eastAsia" w:ascii="宋体" w:hAnsi="宋体" w:cs="宋体"/>
                <w:b w:val="0"/>
                <w:bCs w:val="0"/>
                <w:color w:val="000000" w:themeColor="text1"/>
                <w:szCs w:val="21"/>
                <w:highlight w:val="none"/>
                <w14:textFill>
                  <w14:solidFill>
                    <w14:schemeClr w14:val="tx1"/>
                  </w14:solidFill>
                </w14:textFill>
              </w:rPr>
              <w:t>符合国家现行的工程建设标准、技术规范及强制性标准条文，以及施工图纸载明的其他有关规范标准。</w:t>
            </w:r>
          </w:p>
          <w:p w14:paraId="5660CF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20" w:firstLineChars="200"/>
              <w:jc w:val="left"/>
              <w:textAlignment w:val="baseline"/>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5、</w:t>
            </w:r>
            <w:r>
              <w:rPr>
                <w:rFonts w:hint="eastAsia" w:ascii="宋体" w:hAnsi="宋体"/>
                <w:b w:val="0"/>
                <w:bCs w:val="0"/>
                <w:color w:val="000000" w:themeColor="text1"/>
                <w:szCs w:val="21"/>
                <w:highlight w:val="none"/>
                <w14:textFill>
                  <w14:solidFill>
                    <w14:schemeClr w14:val="tx1"/>
                  </w14:solidFill>
                </w14:textFill>
              </w:rPr>
              <w:t>质量</w:t>
            </w:r>
            <w:r>
              <w:rPr>
                <w:rFonts w:hint="eastAsia" w:ascii="宋体" w:hAnsi="宋体"/>
                <w:b w:val="0"/>
                <w:bCs w:val="0"/>
                <w:color w:val="000000" w:themeColor="text1"/>
                <w:szCs w:val="21"/>
                <w:highlight w:val="none"/>
                <w:lang w:val="en-US" w:eastAsia="zh-CN"/>
                <w14:textFill>
                  <w14:solidFill>
                    <w14:schemeClr w14:val="tx1"/>
                  </w14:solidFill>
                </w14:textFill>
              </w:rPr>
              <w:t>标准</w:t>
            </w:r>
            <w:r>
              <w:rPr>
                <w:rFonts w:hint="eastAsia" w:ascii="宋体" w:hAnsi="宋体"/>
                <w:b w:val="0"/>
                <w:bCs w:val="0"/>
                <w:color w:val="000000" w:themeColor="text1"/>
                <w:szCs w:val="21"/>
                <w:highlight w:val="none"/>
                <w14:textFill>
                  <w14:solidFill>
                    <w14:schemeClr w14:val="tx1"/>
                  </w14:solidFill>
                </w14:textFill>
              </w:rPr>
              <w:t>：</w:t>
            </w:r>
            <w:r>
              <w:rPr>
                <w:rFonts w:ascii="宋体" w:hAnsi="宋体" w:cs="宋体"/>
                <w:b w:val="0"/>
                <w:bCs w:val="0"/>
                <w:color w:val="000000" w:themeColor="text1"/>
                <w:szCs w:val="21"/>
                <w:highlight w:val="none"/>
                <w14:textFill>
                  <w14:solidFill>
                    <w14:schemeClr w14:val="tx1"/>
                  </w14:solidFill>
                </w14:textFill>
              </w:rPr>
              <w:t>合格</w:t>
            </w:r>
            <w:r>
              <w:rPr>
                <w:rFonts w:hint="eastAsia" w:ascii="宋体" w:hAnsi="宋体"/>
                <w:b w:val="0"/>
                <w:bCs w:val="0"/>
                <w:color w:val="000000" w:themeColor="text1"/>
                <w:szCs w:val="21"/>
                <w:highlight w:val="none"/>
                <w:lang w:eastAsia="zh-CN"/>
                <w14:textFill>
                  <w14:solidFill>
                    <w14:schemeClr w14:val="tx1"/>
                  </w14:solidFill>
                </w14:textFill>
              </w:rPr>
              <w:t>。</w:t>
            </w:r>
          </w:p>
          <w:p w14:paraId="7E05D7C6">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rPr>
                <w:rFonts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lang w:val="en-US" w:eastAsia="zh-CN"/>
                <w14:textFill>
                  <w14:solidFill>
                    <w14:schemeClr w14:val="tx1"/>
                  </w14:solidFill>
                </w14:textFill>
              </w:rPr>
              <w:t>6、</w:t>
            </w:r>
            <w:r>
              <w:rPr>
                <w:rFonts w:hint="eastAsia" w:ascii="宋体" w:hAnsi="宋体" w:cs="宋体"/>
                <w:b w:val="0"/>
                <w:bCs w:val="0"/>
                <w:color w:val="000000" w:themeColor="text1"/>
                <w:szCs w:val="21"/>
                <w:highlight w:val="none"/>
                <w14:textFill>
                  <w14:solidFill>
                    <w14:schemeClr w14:val="tx1"/>
                  </w14:solidFill>
                </w14:textFill>
              </w:rPr>
              <w:t>报价</w:t>
            </w:r>
            <w:r>
              <w:rPr>
                <w:rFonts w:ascii="宋体" w:hAnsi="宋体" w:cs="宋体"/>
                <w:b w:val="0"/>
                <w:bCs w:val="0"/>
                <w:color w:val="000000" w:themeColor="text1"/>
                <w:szCs w:val="21"/>
                <w:highlight w:val="none"/>
                <w14:textFill>
                  <w14:solidFill>
                    <w14:schemeClr w14:val="tx1"/>
                  </w14:solidFill>
                </w14:textFill>
              </w:rPr>
              <w:t>方式：</w:t>
            </w:r>
            <w:r>
              <w:rPr>
                <w:rFonts w:hint="eastAsia" w:ascii="宋体" w:hAnsi="宋体" w:cs="宋体"/>
                <w:b w:val="0"/>
                <w:bCs w:val="0"/>
                <w:color w:val="000000" w:themeColor="text1"/>
                <w:szCs w:val="21"/>
                <w:highlight w:val="none"/>
                <w14:textFill>
                  <w14:solidFill>
                    <w14:schemeClr w14:val="tx1"/>
                  </w14:solidFill>
                </w14:textFill>
              </w:rPr>
              <w:t>工程量</w:t>
            </w:r>
            <w:r>
              <w:rPr>
                <w:rFonts w:ascii="宋体" w:hAnsi="宋体" w:cs="宋体"/>
                <w:b w:val="0"/>
                <w:bCs w:val="0"/>
                <w:color w:val="000000" w:themeColor="text1"/>
                <w:szCs w:val="21"/>
                <w:highlight w:val="none"/>
                <w14:textFill>
                  <w14:solidFill>
                    <w14:schemeClr w14:val="tx1"/>
                  </w14:solidFill>
                </w14:textFill>
              </w:rPr>
              <w:t>清单报价。</w:t>
            </w:r>
          </w:p>
          <w:p w14:paraId="3DA11BDE">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rPr>
                <w:rFonts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lang w:val="en-US" w:eastAsia="zh-CN"/>
                <w14:textFill>
                  <w14:solidFill>
                    <w14:schemeClr w14:val="tx1"/>
                  </w14:solidFill>
                </w14:textFill>
              </w:rPr>
              <w:t>7、</w:t>
            </w:r>
            <w:r>
              <w:rPr>
                <w:rFonts w:hint="eastAsia" w:ascii="宋体" w:hAnsi="宋体" w:cs="宋体"/>
                <w:b w:val="0"/>
                <w:bCs w:val="0"/>
                <w:color w:val="000000" w:themeColor="text1"/>
                <w:szCs w:val="21"/>
                <w:highlight w:val="none"/>
                <w14:textFill>
                  <w14:solidFill>
                    <w14:schemeClr w14:val="tx1"/>
                  </w14:solidFill>
                </w14:textFill>
              </w:rPr>
              <w:t>承包方式</w:t>
            </w:r>
            <w:r>
              <w:rPr>
                <w:rFonts w:ascii="宋体" w:hAnsi="宋体" w:cs="宋体"/>
                <w:b w:val="0"/>
                <w:bCs w:val="0"/>
                <w:color w:val="000000" w:themeColor="text1"/>
                <w:szCs w:val="21"/>
                <w:highlight w:val="none"/>
                <w14:textFill>
                  <w14:solidFill>
                    <w14:schemeClr w14:val="tx1"/>
                  </w14:solidFill>
                </w14:textFill>
              </w:rPr>
              <w:t>：</w:t>
            </w:r>
            <w:r>
              <w:rPr>
                <w:rFonts w:hint="eastAsia" w:ascii="宋体" w:hAnsi="宋体" w:cs="宋体"/>
                <w:b w:val="0"/>
                <w:bCs w:val="0"/>
                <w:color w:val="000000" w:themeColor="text1"/>
                <w:szCs w:val="21"/>
                <w:highlight w:val="none"/>
                <w14:textFill>
                  <w14:solidFill>
                    <w14:schemeClr w14:val="tx1"/>
                  </w14:solidFill>
                </w14:textFill>
              </w:rPr>
              <w:t>固定</w:t>
            </w:r>
            <w:r>
              <w:rPr>
                <w:rFonts w:ascii="宋体" w:hAnsi="宋体" w:cs="宋体"/>
                <w:b w:val="0"/>
                <w:bCs w:val="0"/>
                <w:color w:val="000000" w:themeColor="text1"/>
                <w:szCs w:val="21"/>
                <w:highlight w:val="none"/>
                <w14:textFill>
                  <w14:solidFill>
                    <w14:schemeClr w14:val="tx1"/>
                  </w14:solidFill>
                </w14:textFill>
              </w:rPr>
              <w:t>综合单价。</w:t>
            </w:r>
          </w:p>
          <w:p w14:paraId="117A6788">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rPr>
                <w:b w:val="0"/>
                <w:bCs w:val="0"/>
                <w:color w:val="000000" w:themeColor="text1"/>
                <w:highlight w:val="none"/>
                <w14:textFill>
                  <w14:solidFill>
                    <w14:schemeClr w14:val="tx1"/>
                  </w14:solidFill>
                </w14:textFill>
              </w:rPr>
            </w:pPr>
            <w:r>
              <w:rPr>
                <w:rFonts w:hint="eastAsia" w:ascii="宋体" w:hAnsi="宋体" w:cs="宋体"/>
                <w:b w:val="0"/>
                <w:bCs w:val="0"/>
                <w:color w:val="000000" w:themeColor="text1"/>
                <w:szCs w:val="21"/>
                <w:highlight w:val="none"/>
                <w:lang w:val="en-US" w:eastAsia="zh-CN"/>
                <w14:textFill>
                  <w14:solidFill>
                    <w14:schemeClr w14:val="tx1"/>
                  </w14:solidFill>
                </w14:textFill>
              </w:rPr>
              <w:t>8、</w:t>
            </w:r>
            <w:r>
              <w:rPr>
                <w:rFonts w:hint="eastAsia"/>
                <w:b w:val="0"/>
                <w:bCs w:val="0"/>
                <w:color w:val="000000" w:themeColor="text1"/>
                <w:highlight w:val="none"/>
                <w14:textFill>
                  <w14:solidFill>
                    <w14:schemeClr w14:val="tx1"/>
                  </w14:solidFill>
                </w14:textFill>
              </w:rPr>
              <w:t>开工日期：以签订合同后采购人书面通知为准。</w:t>
            </w:r>
          </w:p>
          <w:p w14:paraId="0E1A3D8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b w:val="0"/>
                <w:bCs w:val="0"/>
                <w:color w:val="000000" w:themeColor="text1"/>
                <w:highlight w:val="none"/>
                <w:lang w:val="en-US" w:eastAsia="zh-CN"/>
                <w14:textFill>
                  <w14:solidFill>
                    <w14:schemeClr w14:val="tx1"/>
                  </w14:solidFill>
                </w14:textFill>
              </w:rPr>
              <w:t>9、</w:t>
            </w:r>
            <w:r>
              <w:rPr>
                <w:rFonts w:hint="eastAsia"/>
                <w:b w:val="0"/>
                <w:bCs w:val="0"/>
                <w:color w:val="000000" w:themeColor="text1"/>
                <w:highlight w:val="none"/>
                <w14:textFill>
                  <w14:solidFill>
                    <w14:schemeClr w14:val="tx1"/>
                  </w14:solidFill>
                </w14:textFill>
              </w:rPr>
              <w:t>其他要求：按采购文件第六章《合同文本》约定执行。</w:t>
            </w:r>
          </w:p>
          <w:p w14:paraId="2C59327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宋体" w:hAnsi="宋体" w:eastAsia="宋体" w:cs="宋体"/>
                <w:b w:val="0"/>
                <w:bCs w:val="0"/>
                <w:color w:val="000000" w:themeColor="text1"/>
                <w:highlight w:val="none"/>
                <w:lang w:val="en-US" w:eastAsia="zh-CN"/>
                <w14:textFill>
                  <w14:solidFill>
                    <w14:schemeClr w14:val="tx1"/>
                  </w14:solidFill>
                </w14:textFill>
              </w:rPr>
            </w:pPr>
            <w:r>
              <w:rPr>
                <w:rFonts w:hint="eastAsia" w:ascii="宋体" w:hAnsi="宋体" w:eastAsia="宋体" w:cs="宋体"/>
                <w:b w:val="0"/>
                <w:bCs w:val="0"/>
                <w:color w:val="000000" w:themeColor="text1"/>
                <w:highlight w:val="none"/>
                <w:lang w:val="en-US" w:eastAsia="zh-CN"/>
                <w14:textFill>
                  <w14:solidFill>
                    <w14:schemeClr w14:val="tx1"/>
                  </w14:solidFill>
                </w14:textFill>
              </w:rPr>
              <w:t>10、工程量清单（另册）</w:t>
            </w:r>
          </w:p>
          <w:p w14:paraId="6F37B56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
                <w:bCs/>
                <w:color w:val="000000" w:themeColor="text1"/>
                <w:highlight w:val="none"/>
                <w:lang w:val="en-US" w:eastAsia="zh-CN"/>
                <w14:textFill>
                  <w14:solidFill>
                    <w14:schemeClr w14:val="tx1"/>
                  </w14:solidFill>
                </w14:textFill>
              </w:rPr>
            </w:pPr>
            <w:r>
              <w:rPr>
                <w:rFonts w:hint="eastAsia" w:ascii="宋体" w:hAnsi="宋体" w:eastAsia="宋体" w:cs="宋体"/>
                <w:b w:val="0"/>
                <w:bCs w:val="0"/>
                <w:color w:val="000000" w:themeColor="text1"/>
                <w:highlight w:val="none"/>
                <w:lang w:val="en-US" w:eastAsia="zh-CN"/>
                <w14:textFill>
                  <w14:solidFill>
                    <w14:schemeClr w14:val="tx1"/>
                  </w14:solidFill>
                </w14:textFill>
              </w:rPr>
              <w:t>11、施工图（另册）</w:t>
            </w:r>
          </w:p>
          <w:p w14:paraId="5C66E56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二</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eastAsia="zh-CN"/>
                <w14:textFill>
                  <w14:solidFill>
                    <w14:schemeClr w14:val="tx1"/>
                  </w14:solidFill>
                </w14:textFill>
              </w:rPr>
              <w:t>技术</w:t>
            </w:r>
            <w:r>
              <w:rPr>
                <w:rFonts w:hint="eastAsia" w:ascii="宋体" w:hAnsi="宋体" w:eastAsia="宋体" w:cs="宋体"/>
                <w:b/>
                <w:bCs/>
                <w:color w:val="000000" w:themeColor="text1"/>
                <w:highlight w:val="none"/>
                <w14:textFill>
                  <w14:solidFill>
                    <w14:schemeClr w14:val="tx1"/>
                  </w14:solidFill>
                </w14:textFill>
              </w:rPr>
              <w:t>要求</w:t>
            </w:r>
          </w:p>
          <w:p w14:paraId="7457941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1、质量要求：符合国家工程施工验收规范合格标准。</w:t>
            </w:r>
          </w:p>
          <w:p w14:paraId="297B8B44">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2、技术标准和要求：符合国家现行的工程建设标准、技术规范及强制性标准条文，以及施工图纸载明的其他有关规范标准。</w:t>
            </w:r>
          </w:p>
          <w:p w14:paraId="64333A8D">
            <w:pPr>
              <w:keepNext w:val="0"/>
              <w:keepLines w:val="0"/>
              <w:pageBreakBefore w:val="0"/>
              <w:widowControl w:val="0"/>
              <w:kinsoku/>
              <w:wordWrap/>
              <w:overflowPunct/>
              <w:topLinePunct w:val="0"/>
              <w:autoSpaceDE/>
              <w:autoSpaceDN/>
              <w:bidi w:val="0"/>
              <w:adjustRightInd/>
              <w:snapToGrid/>
              <w:spacing w:line="440" w:lineRule="exact"/>
              <w:ind w:firstLine="210" w:firstLineChars="100"/>
              <w:jc w:val="left"/>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3、人员最低配备要求：拟投入本工程的人员必须是本单位的在岗人员，并持有相应的执业资格证书，对相关人员的具体条件要求如下：</w:t>
            </w:r>
          </w:p>
          <w:p w14:paraId="20E709F9">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项目经理要求：项目经理1人，必须具备建筑工程专业二级及以上注册建造师执业资格，具备有效的安全生产考核合格证书（B类）。本项目不接受有在建、已中标未开工或已列为其他项目中标候选人第一名的建造师作为项目经理。</w:t>
            </w:r>
          </w:p>
          <w:p w14:paraId="0254AA33">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（2）专职安全生产管理人员要求：专职安全生产管理人员1人，必须具备安全生产考核合格证书（C类）。</w:t>
            </w:r>
          </w:p>
          <w:p w14:paraId="2CFD85A7">
            <w:pPr>
              <w:spacing w:line="440" w:lineRule="exact"/>
              <w:ind w:firstLine="420" w:firstLineChars="200"/>
              <w:jc w:val="left"/>
              <w:rPr>
                <w:rFonts w:hint="default"/>
                <w:color w:val="000000" w:themeColor="text1"/>
                <w:highlight w:val="none"/>
                <w:lang w:val="en-US"/>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lang w:val="en-US" w:eastAsia="zh-CN"/>
                <w14:textFill>
                  <w14:solidFill>
                    <w14:schemeClr w14:val="tx1"/>
                  </w14:solidFill>
                </w14:textFill>
              </w:rPr>
              <w:t>其他人员要求</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应至少配备</w:t>
            </w:r>
            <w:r>
              <w:rPr>
                <w:rFonts w:hint="eastAsia" w:ascii="宋体" w:hAnsi="宋体" w:eastAsia="宋体" w:cs="宋体"/>
                <w:color w:val="000000" w:themeColor="text1"/>
                <w:szCs w:val="21"/>
                <w:highlight w:val="none"/>
                <w:lang w:val="en-US" w:eastAsia="zh-CN"/>
                <w14:textFill>
                  <w14:solidFill>
                    <w14:schemeClr w14:val="tx1"/>
                  </w14:solidFill>
                </w14:textFill>
              </w:rPr>
              <w:t>施工员、质量员、材料员</w:t>
            </w:r>
            <w:r>
              <w:rPr>
                <w:rFonts w:hint="eastAsia" w:ascii="宋体" w:hAnsi="宋体" w:cs="宋体"/>
                <w:color w:val="000000" w:themeColor="text1"/>
                <w:szCs w:val="21"/>
                <w:highlight w:val="none"/>
                <w:lang w:val="en-US" w:eastAsia="zh-CN"/>
                <w14:textFill>
                  <w14:solidFill>
                    <w14:schemeClr w14:val="tx1"/>
                  </w14:solidFill>
                </w14:textFill>
              </w:rPr>
              <w:t>各一人</w:t>
            </w:r>
            <w:r>
              <w:rPr>
                <w:rFonts w:hint="eastAsia" w:ascii="宋体" w:hAnsi="宋体" w:eastAsia="宋体" w:cs="宋体"/>
                <w:color w:val="000000" w:themeColor="text1"/>
                <w:szCs w:val="21"/>
                <w:highlight w:val="none"/>
                <w:lang w:val="en-US" w:eastAsia="zh-CN"/>
                <w14:textFill>
                  <w14:solidFill>
                    <w14:schemeClr w14:val="tx1"/>
                  </w14:solidFill>
                </w14:textFill>
              </w:rPr>
              <w:t>。</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611442A3">
            <w:pPr>
              <w:spacing w:line="440" w:lineRule="exact"/>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354021.61</w:t>
            </w:r>
          </w:p>
        </w:tc>
      </w:tr>
      <w:tr w14:paraId="5D7510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3" w:type="dxa"/>
            <w:tcBorders>
              <w:top w:val="single" w:color="auto" w:sz="4" w:space="0"/>
              <w:left w:val="single" w:color="auto" w:sz="4" w:space="0"/>
              <w:bottom w:val="single" w:color="auto" w:sz="4" w:space="0"/>
              <w:right w:val="single" w:color="auto" w:sz="4" w:space="0"/>
            </w:tcBorders>
            <w:noWrap w:val="0"/>
            <w:vAlign w:val="center"/>
          </w:tcPr>
          <w:p w14:paraId="0A00DFC2">
            <w:pPr>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▲商务条款</w:t>
            </w:r>
          </w:p>
        </w:tc>
        <w:tc>
          <w:tcPr>
            <w:tcW w:w="9267" w:type="dxa"/>
            <w:gridSpan w:val="5"/>
            <w:tcBorders>
              <w:top w:val="single" w:color="auto" w:sz="4" w:space="0"/>
              <w:left w:val="single" w:color="auto" w:sz="4" w:space="0"/>
              <w:bottom w:val="single" w:color="auto" w:sz="4" w:space="0"/>
              <w:right w:val="single" w:color="auto" w:sz="4" w:space="0"/>
            </w:tcBorders>
            <w:noWrap w:val="0"/>
            <w:vAlign w:val="center"/>
          </w:tcPr>
          <w:p w14:paraId="2FE96CBA">
            <w:pPr>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一、合同签订期：</w:t>
            </w:r>
            <w:r>
              <w:rPr>
                <w:rFonts w:hint="eastAsia" w:ascii="宋体" w:hAnsi="宋体" w:eastAsia="宋体" w:cs="宋体"/>
                <w:color w:val="000000" w:themeColor="text1"/>
                <w:szCs w:val="21"/>
                <w:highlight w:val="none"/>
                <w14:textFill>
                  <w14:solidFill>
                    <w14:schemeClr w14:val="tx1"/>
                  </w14:solidFill>
                </w14:textFill>
              </w:rPr>
              <w:t>自成交通知书发出之日起25个日历日内。</w:t>
            </w:r>
          </w:p>
          <w:p w14:paraId="5046F673">
            <w:pPr>
              <w:spacing w:line="440" w:lineRule="exact"/>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w:t>
            </w:r>
            <w:r>
              <w:rPr>
                <w:rFonts w:hint="eastAsia" w:ascii="宋体" w:hAnsi="宋体" w:eastAsia="宋体" w:cs="宋体"/>
                <w:b/>
                <w:bCs/>
                <w:color w:val="000000" w:themeColor="text1"/>
                <w:szCs w:val="21"/>
                <w:highlight w:val="none"/>
                <w:lang w:val="en-US" w:eastAsia="zh-CN"/>
                <w14:textFill>
                  <w14:solidFill>
                    <w14:schemeClr w14:val="tx1"/>
                  </w14:solidFill>
                </w14:textFill>
              </w:rPr>
              <w:t>工期要求：</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合同签订后，采购人发出开工令之日起</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60个日历天内</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完成项目施工并通过验收合格。</w:t>
            </w:r>
          </w:p>
          <w:p w14:paraId="2E74FA6C">
            <w:pPr>
              <w:spacing w:line="440" w:lineRule="exact"/>
              <w:rPr>
                <w:rFonts w:hint="default" w:ascii="宋体" w:hAnsi="宋体" w:eastAsia="宋体" w:cs="宋体"/>
                <w:color w:val="000000" w:themeColor="text1"/>
                <w:szCs w:val="21"/>
                <w:highlight w:val="none"/>
                <w:lang w:val="en-US"/>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三、</w:t>
            </w:r>
            <w:r>
              <w:rPr>
                <w:rFonts w:hint="eastAsia" w:ascii="宋体" w:hAnsi="宋体" w:eastAsia="宋体" w:cs="宋体"/>
                <w:b/>
                <w:bCs/>
                <w:color w:val="000000" w:themeColor="text1"/>
                <w:szCs w:val="21"/>
                <w:highlight w:val="none"/>
                <w14:textFill>
                  <w14:solidFill>
                    <w14:schemeClr w14:val="tx1"/>
                  </w14:solidFill>
                </w14:textFill>
              </w:rPr>
              <w:t>实施地点：</w:t>
            </w:r>
            <w:r>
              <w:rPr>
                <w:rFonts w:hint="eastAsia" w:ascii="宋体" w:hAnsi="宋体" w:eastAsia="宋体"/>
                <w:color w:val="000000" w:themeColor="text1"/>
                <w:highlight w:val="none"/>
                <w:u w:val="none"/>
                <w:lang w:eastAsia="zh-CN"/>
                <w14:textFill>
                  <w14:solidFill>
                    <w14:schemeClr w14:val="tx1"/>
                  </w14:solidFill>
                </w14:textFill>
              </w:rPr>
              <w:t>南宁市兴宁区昆仑大道163号，南宁市第一看守所</w:t>
            </w:r>
            <w:r>
              <w:rPr>
                <w:rFonts w:hint="eastAsia" w:ascii="宋体" w:hAnsi="宋体" w:eastAsia="宋体"/>
                <w:color w:val="000000" w:themeColor="text1"/>
                <w:highlight w:val="none"/>
                <w:u w:val="none"/>
                <w:lang w:val="en-US" w:eastAsia="zh-CN"/>
                <w14:textFill>
                  <w14:solidFill>
                    <w14:schemeClr w14:val="tx1"/>
                  </w14:solidFill>
                </w14:textFill>
              </w:rPr>
              <w:t>内</w:t>
            </w:r>
            <w:r>
              <w:rPr>
                <w:rFonts w:hint="eastAsia" w:ascii="宋体" w:hAnsi="宋体" w:eastAsia="宋体" w:cs="宋体"/>
                <w:color w:val="000000" w:themeColor="text1"/>
                <w:szCs w:val="21"/>
                <w:highlight w:val="none"/>
                <w:lang w:eastAsia="zh-CN"/>
                <w14:textFill>
                  <w14:solidFill>
                    <w14:schemeClr w14:val="tx1"/>
                  </w14:solidFill>
                </w14:textFill>
              </w:rPr>
              <w:t>。</w:t>
            </w:r>
          </w:p>
          <w:p w14:paraId="678DA2B4">
            <w:pPr>
              <w:spacing w:line="440" w:lineRule="exac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四</w:t>
            </w:r>
            <w:r>
              <w:rPr>
                <w:rFonts w:hint="eastAsia" w:ascii="宋体" w:hAnsi="宋体" w:eastAsia="宋体" w:cs="宋体"/>
                <w:b/>
                <w:bCs/>
                <w:color w:val="000000" w:themeColor="text1"/>
                <w:szCs w:val="21"/>
                <w:highlight w:val="none"/>
                <w14:textFill>
                  <w14:solidFill>
                    <w14:schemeClr w14:val="tx1"/>
                  </w14:solidFill>
                </w14:textFill>
              </w:rPr>
              <w:t>、验收标准、规范：</w:t>
            </w:r>
          </w:p>
          <w:p w14:paraId="3773AD5D">
            <w:pPr>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1、根据采购单位的要求和国家现行的有关的工程建设标准、技术规范及强制性标准条文等有关规范标准。</w:t>
            </w:r>
          </w:p>
          <w:p w14:paraId="06352056">
            <w:pPr>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2、所有使用产品均符合国家标准。</w:t>
            </w:r>
          </w:p>
          <w:p w14:paraId="11A2C52D">
            <w:pPr>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3、验收过程中所产生的一切费用均由成交人承担。</w:t>
            </w:r>
          </w:p>
          <w:p w14:paraId="08FA149A">
            <w:pPr>
              <w:spacing w:line="440" w:lineRule="exact"/>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五</w:t>
            </w: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lang w:val="en-US" w:eastAsia="zh-CN"/>
                <w14:textFill>
                  <w14:solidFill>
                    <w14:schemeClr w14:val="tx1"/>
                  </w14:solidFill>
                </w14:textFill>
              </w:rPr>
              <w:t>质量保修要求：</w:t>
            </w:r>
          </w:p>
          <w:p w14:paraId="31E1C7C7">
            <w:pPr>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1、工程质量保修要求：质量保修期从工程实际竣工验收通过之日</w:t>
            </w:r>
            <w:r>
              <w:rPr>
                <w:rFonts w:hint="eastAsia" w:ascii="宋体" w:hAnsi="宋体" w:eastAsia="宋体" w:cs="宋体"/>
                <w:color w:val="000000" w:themeColor="text1"/>
                <w:szCs w:val="21"/>
                <w:highlight w:val="none"/>
                <w:lang w:val="en-US" w:eastAsia="zh-CN"/>
                <w14:textFill>
                  <w14:solidFill>
                    <w14:schemeClr w14:val="tx1"/>
                  </w14:solidFill>
                </w14:textFill>
              </w:rPr>
              <w:t>计算</w:t>
            </w:r>
            <w:r>
              <w:rPr>
                <w:rFonts w:hint="eastAsia" w:ascii="宋体" w:hAnsi="宋体" w:eastAsia="宋体" w:cs="宋体"/>
                <w:color w:val="000000" w:themeColor="text1"/>
                <w:szCs w:val="21"/>
                <w:highlight w:val="none"/>
                <w14:textFill>
                  <w14:solidFill>
                    <w14:schemeClr w14:val="tx1"/>
                  </w14:solidFill>
                </w14:textFill>
              </w:rPr>
              <w:t>。</w:t>
            </w:r>
          </w:p>
          <w:p w14:paraId="2322A32C">
            <w:pPr>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2、其余部分按合同相关条款执行。</w:t>
            </w:r>
          </w:p>
          <w:p w14:paraId="3F79FAE1">
            <w:pPr>
              <w:spacing w:line="440" w:lineRule="exac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六</w:t>
            </w:r>
            <w:r>
              <w:rPr>
                <w:rFonts w:hint="eastAsia" w:ascii="宋体" w:hAnsi="宋体" w:eastAsia="宋体" w:cs="宋体"/>
                <w:b/>
                <w:bCs/>
                <w:color w:val="000000" w:themeColor="text1"/>
                <w:szCs w:val="21"/>
                <w:highlight w:val="none"/>
                <w14:textFill>
                  <w14:solidFill>
                    <w14:schemeClr w14:val="tx1"/>
                  </w14:solidFill>
                </w14:textFill>
              </w:rPr>
              <w:t>、付款方式：</w:t>
            </w:r>
            <w:r>
              <w:rPr>
                <w:rFonts w:hint="eastAsia" w:ascii="宋体" w:hAnsi="宋体" w:eastAsia="宋体" w:cs="宋体"/>
                <w:b w:val="0"/>
                <w:bCs w:val="0"/>
                <w:color w:val="000000" w:themeColor="text1"/>
                <w:szCs w:val="21"/>
                <w:highlight w:val="none"/>
                <w14:textFill>
                  <w14:solidFill>
                    <w14:schemeClr w14:val="tx1"/>
                  </w14:solidFill>
                </w14:textFill>
              </w:rPr>
              <w:t>本项目无预付款，工程款原则上按月支付，合同内进度款支付限额为已完成工程量的80%，工程变更部分进度款支付限额为已完成工程量的60%。工程完工验收达到质量要求，结算经相关部门审定后，工程款支付至结算总价的100%（含已支付的）。每次支付款项前，供应商需提供相应金额的增值税发票，否则，采购人有权相应顺延当期的付款时间。</w:t>
            </w:r>
            <w:r>
              <w:rPr>
                <w:rFonts w:hint="eastAsia" w:ascii="宋体" w:hAnsi="宋体" w:cs="宋体"/>
                <w:color w:val="000000" w:themeColor="text1"/>
                <w:sz w:val="21"/>
                <w:szCs w:val="21"/>
                <w:highlight w:val="none"/>
                <w:lang w:val="en-US" w:eastAsia="zh-CN"/>
                <w14:textFill>
                  <w14:solidFill>
                    <w14:schemeClr w14:val="tx1"/>
                  </w14:solidFill>
                </w14:textFill>
              </w:rPr>
              <w:t>因财政资金拨付审批等非采购人原因导致逾期支付的，不视为采购人违约，采购人不承担逾期付款违约金。</w:t>
            </w:r>
          </w:p>
          <w:p w14:paraId="474F79AA">
            <w:pPr>
              <w:spacing w:line="440" w:lineRule="exac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七</w:t>
            </w:r>
            <w:r>
              <w:rPr>
                <w:rFonts w:hint="eastAsia" w:ascii="宋体" w:hAnsi="宋体" w:eastAsia="宋体" w:cs="宋体"/>
                <w:b/>
                <w:bCs/>
                <w:color w:val="000000" w:themeColor="text1"/>
                <w:szCs w:val="21"/>
                <w:highlight w:val="none"/>
                <w14:textFill>
                  <w14:solidFill>
                    <w14:schemeClr w14:val="tx1"/>
                  </w14:solidFill>
                </w14:textFill>
              </w:rPr>
              <w:t>、报价方式：</w:t>
            </w:r>
          </w:p>
          <w:p w14:paraId="13CB366B">
            <w:pPr>
              <w:spacing w:line="440" w:lineRule="exac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eastAsia="zh-CN"/>
                <w14:textFill>
                  <w14:solidFill>
                    <w14:schemeClr w14:val="tx1"/>
                  </w14:solidFill>
                </w14:textFill>
              </w:rPr>
              <w:t>（</w:t>
            </w:r>
            <w:r>
              <w:rPr>
                <w:rFonts w:hint="eastAsia" w:ascii="宋体" w:hAnsi="宋体" w:eastAsia="宋体" w:cs="宋体"/>
                <w:b/>
                <w:bCs/>
                <w:color w:val="000000" w:themeColor="text1"/>
                <w:szCs w:val="21"/>
                <w:highlight w:val="none"/>
                <w:lang w:val="en-US" w:eastAsia="zh-CN"/>
                <w14:textFill>
                  <w14:solidFill>
                    <w14:schemeClr w14:val="tx1"/>
                  </w14:solidFill>
                </w14:textFill>
              </w:rPr>
              <w:t>1</w:t>
            </w:r>
            <w:r>
              <w:rPr>
                <w:rFonts w:hint="eastAsia" w:ascii="宋体" w:hAnsi="宋体" w:eastAsia="宋体" w:cs="宋体"/>
                <w:b/>
                <w:bCs/>
                <w:color w:val="000000" w:themeColor="text1"/>
                <w:szCs w:val="21"/>
                <w:highlight w:val="none"/>
                <w:lang w:eastAsia="zh-CN"/>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采用工程量清单报价方式，供应商已标价工程量清单（包含首次报价、最后报价）的项目编码、项目名称及项目特征描述、计量单位、工程量须与招标工程量清单一致的，否则竞标无效；竞标报价不得高于最高限价。本项目采用二次报价方式，竞标人的最终报价如有变动，则必须以工程量清单报价表的格式编制提交，竞标人须提前做好相关准备并按时递交最终报价文件，否则报价无效。</w:t>
            </w:r>
          </w:p>
          <w:p w14:paraId="1BA94C92">
            <w:pPr>
              <w:spacing w:line="440" w:lineRule="exact"/>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（2）本工程增值税计税方法：一般计税法。</w:t>
            </w:r>
          </w:p>
        </w:tc>
      </w:tr>
      <w:tr w14:paraId="49B33C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3" w:type="dxa"/>
            <w:tcBorders>
              <w:top w:val="single" w:color="auto" w:sz="4" w:space="0"/>
              <w:left w:val="single" w:color="auto" w:sz="4" w:space="0"/>
              <w:bottom w:val="single" w:color="auto" w:sz="4" w:space="0"/>
              <w:right w:val="single" w:color="auto" w:sz="4" w:space="0"/>
            </w:tcBorders>
            <w:noWrap w:val="0"/>
            <w:vAlign w:val="center"/>
          </w:tcPr>
          <w:p w14:paraId="64A65975">
            <w:pPr>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其他说明</w:t>
            </w:r>
          </w:p>
        </w:tc>
        <w:tc>
          <w:tcPr>
            <w:tcW w:w="9267" w:type="dxa"/>
            <w:gridSpan w:val="5"/>
            <w:tcBorders>
              <w:top w:val="single" w:color="auto" w:sz="4" w:space="0"/>
              <w:left w:val="single" w:color="auto" w:sz="4" w:space="0"/>
              <w:bottom w:val="single" w:color="auto" w:sz="4" w:space="0"/>
              <w:right w:val="single" w:color="auto" w:sz="4" w:space="0"/>
            </w:tcBorders>
            <w:noWrap w:val="0"/>
            <w:vAlign w:val="center"/>
          </w:tcPr>
          <w:p w14:paraId="224E6B34">
            <w:pPr>
              <w:spacing w:line="440" w:lineRule="exact"/>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一、进口产品说明</w:t>
            </w:r>
          </w:p>
          <w:p w14:paraId="57E66F31">
            <w:pPr>
              <w:spacing w:line="440" w:lineRule="exact"/>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w:t>
            </w:r>
            <w:r>
              <w:rPr>
                <w:rFonts w:hint="eastAsia" w:ascii="宋体" w:hAnsi="宋体" w:eastAsia="宋体" w:cs="宋体"/>
                <w:color w:val="000000" w:themeColor="text1"/>
                <w:szCs w:val="21"/>
                <w:highlight w:val="none"/>
                <w:lang w:val="en-US" w:eastAsia="zh-CN"/>
                <w14:textFill>
                  <w14:solidFill>
                    <w14:schemeClr w14:val="tx1"/>
                  </w14:solidFill>
                </w14:textFill>
              </w:rPr>
              <w:t>项目</w:t>
            </w:r>
            <w:r>
              <w:rPr>
                <w:rFonts w:hint="eastAsia" w:ascii="宋体" w:hAnsi="宋体" w:eastAsia="宋体" w:cs="宋体"/>
                <w:color w:val="000000" w:themeColor="text1"/>
                <w:szCs w:val="21"/>
                <w:highlight w:val="none"/>
                <w14:textFill>
                  <w14:solidFill>
                    <w14:schemeClr w14:val="tx1"/>
                  </w14:solidFill>
                </w14:textFill>
              </w:rPr>
              <w:t>不涉及进口产品。</w:t>
            </w:r>
          </w:p>
          <w:p w14:paraId="7926A471">
            <w:pPr>
              <w:spacing w:line="440" w:lineRule="exact"/>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二、与本项目有关的技术资料及其获取方式</w:t>
            </w:r>
          </w:p>
          <w:p w14:paraId="4481D4C7">
            <w:pPr>
              <w:spacing w:line="440" w:lineRule="exact"/>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资料名称：1、工程量清单；2、图纸。</w:t>
            </w:r>
          </w:p>
          <w:p w14:paraId="52EE3BC8">
            <w:pPr>
              <w:spacing w:line="440" w:lineRule="exact"/>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获取方式：网上下载。供应商可自行在广西政府采购云平台（https://www.gcy.zfcg.gxzf.gov.cn/）下载相关资料，方式同采购文件获取方式。</w:t>
            </w:r>
          </w:p>
        </w:tc>
      </w:tr>
    </w:tbl>
    <w:p w14:paraId="4A55F440">
      <w:pPr>
        <w:jc w:val="left"/>
        <w:rPr>
          <w:rFonts w:hint="eastAsia" w:ascii="宋体" w:hAnsi="宋体"/>
          <w:color w:val="000000" w:themeColor="text1"/>
          <w:kern w:val="0"/>
          <w:sz w:val="20"/>
          <w:szCs w:val="21"/>
          <w:highlight w:val="none"/>
          <w14:textFill>
            <w14:solidFill>
              <w14:schemeClr w14:val="tx1"/>
            </w14:solidFill>
          </w14:textFill>
        </w:rPr>
      </w:pPr>
    </w:p>
    <w:p w14:paraId="7C04E974">
      <w:pPr>
        <w:jc w:val="left"/>
        <w:rPr>
          <w:rFonts w:hint="eastAsia" w:ascii="宋体" w:hAnsi="宋体"/>
          <w:color w:val="000000" w:themeColor="text1"/>
          <w:kern w:val="0"/>
          <w:sz w:val="20"/>
          <w:szCs w:val="21"/>
          <w:highlight w:val="none"/>
          <w14:textFill>
            <w14:solidFill>
              <w14:schemeClr w14:val="tx1"/>
            </w14:solidFill>
          </w14:textFill>
        </w:rPr>
      </w:pPr>
      <w:r>
        <w:rPr>
          <w:rFonts w:hint="eastAsia" w:ascii="宋体" w:hAnsi="宋体"/>
          <w:color w:val="000000" w:themeColor="text1"/>
          <w:kern w:val="0"/>
          <w:sz w:val="20"/>
          <w:szCs w:val="21"/>
          <w:highlight w:val="none"/>
          <w14:textFill>
            <w14:solidFill>
              <w14:schemeClr w14:val="tx1"/>
            </w14:solidFill>
          </w14:textFill>
        </w:rPr>
        <w:br w:type="page"/>
      </w:r>
    </w:p>
    <w:tbl>
      <w:tblPr>
        <w:tblStyle w:val="35"/>
        <w:tblW w:w="99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3"/>
        <w:gridCol w:w="1338"/>
        <w:gridCol w:w="477"/>
        <w:gridCol w:w="532"/>
        <w:gridCol w:w="5641"/>
        <w:gridCol w:w="1279"/>
      </w:tblGrid>
      <w:tr w14:paraId="65C1CC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990" w:type="dxa"/>
            <w:gridSpan w:val="6"/>
            <w:tcBorders>
              <w:top w:val="single" w:color="auto" w:sz="4" w:space="0"/>
              <w:left w:val="single" w:color="auto" w:sz="4" w:space="0"/>
              <w:right w:val="single" w:color="auto" w:sz="4" w:space="0"/>
            </w:tcBorders>
            <w:noWrap w:val="0"/>
            <w:vAlign w:val="center"/>
          </w:tcPr>
          <w:p w14:paraId="533AEFEB">
            <w:pPr>
              <w:spacing w:line="440" w:lineRule="exact"/>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采购需求一览表</w:t>
            </w:r>
          </w:p>
        </w:tc>
      </w:tr>
      <w:tr w14:paraId="4E272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061" w:type="dxa"/>
            <w:gridSpan w:val="2"/>
            <w:tcBorders>
              <w:top w:val="single" w:color="auto" w:sz="4" w:space="0"/>
              <w:left w:val="single" w:color="auto" w:sz="4" w:space="0"/>
              <w:right w:val="single" w:color="auto" w:sz="4" w:space="0"/>
            </w:tcBorders>
            <w:noWrap w:val="0"/>
            <w:vAlign w:val="center"/>
          </w:tcPr>
          <w:p w14:paraId="351E26CE">
            <w:pPr>
              <w:spacing w:line="440" w:lineRule="exact"/>
              <w:jc w:val="center"/>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分标</w:t>
            </w:r>
          </w:p>
        </w:tc>
        <w:tc>
          <w:tcPr>
            <w:tcW w:w="7929" w:type="dxa"/>
            <w:gridSpan w:val="4"/>
            <w:tcBorders>
              <w:top w:val="single" w:color="auto" w:sz="4" w:space="0"/>
              <w:left w:val="single" w:color="auto" w:sz="4" w:space="0"/>
              <w:right w:val="single" w:color="auto" w:sz="4" w:space="0"/>
            </w:tcBorders>
            <w:noWrap w:val="0"/>
            <w:vAlign w:val="center"/>
          </w:tcPr>
          <w:p w14:paraId="4B0AA62B">
            <w:pPr>
              <w:spacing w:line="440" w:lineRule="exact"/>
              <w:jc w:val="center"/>
              <w:rPr>
                <w:rFonts w:hint="default" w:ascii="宋体" w:hAnsi="宋体" w:eastAsia="宋体" w:cs="宋体"/>
                <w:b/>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分标2</w:t>
            </w:r>
          </w:p>
        </w:tc>
      </w:tr>
      <w:tr w14:paraId="64EB95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3" w:type="dxa"/>
            <w:tcBorders>
              <w:top w:val="single" w:color="auto" w:sz="4" w:space="0"/>
              <w:left w:val="single" w:color="auto" w:sz="4" w:space="0"/>
              <w:bottom w:val="single" w:color="auto" w:sz="4" w:space="0"/>
              <w:right w:val="single" w:color="auto" w:sz="4" w:space="0"/>
            </w:tcBorders>
            <w:noWrap w:val="0"/>
            <w:vAlign w:val="center"/>
          </w:tcPr>
          <w:p w14:paraId="683EC5A2">
            <w:pPr>
              <w:spacing w:line="440" w:lineRule="exact"/>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序号</w:t>
            </w:r>
          </w:p>
        </w:tc>
        <w:tc>
          <w:tcPr>
            <w:tcW w:w="133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D3081F2">
            <w:pPr>
              <w:spacing w:line="440" w:lineRule="exact"/>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标的名称</w:t>
            </w:r>
          </w:p>
        </w:tc>
        <w:tc>
          <w:tcPr>
            <w:tcW w:w="477" w:type="dxa"/>
            <w:tcBorders>
              <w:top w:val="single" w:color="auto" w:sz="4" w:space="0"/>
              <w:left w:val="single" w:color="auto" w:sz="4" w:space="0"/>
              <w:bottom w:val="single" w:color="auto" w:sz="4" w:space="0"/>
              <w:right w:val="single" w:color="auto" w:sz="4" w:space="0"/>
            </w:tcBorders>
            <w:noWrap w:val="0"/>
            <w:vAlign w:val="center"/>
          </w:tcPr>
          <w:p w14:paraId="709337B5">
            <w:pPr>
              <w:spacing w:line="440" w:lineRule="exact"/>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单位</w:t>
            </w:r>
          </w:p>
        </w:tc>
        <w:tc>
          <w:tcPr>
            <w:tcW w:w="532" w:type="dxa"/>
            <w:tcBorders>
              <w:top w:val="single" w:color="auto" w:sz="4" w:space="0"/>
              <w:left w:val="single" w:color="auto" w:sz="4" w:space="0"/>
              <w:bottom w:val="single" w:color="auto" w:sz="4" w:space="0"/>
              <w:right w:val="single" w:color="auto" w:sz="4" w:space="0"/>
            </w:tcBorders>
            <w:noWrap w:val="0"/>
            <w:vAlign w:val="center"/>
          </w:tcPr>
          <w:p w14:paraId="4871D9B9">
            <w:pPr>
              <w:spacing w:line="440" w:lineRule="exact"/>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数量</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53FBF9A4">
            <w:pPr>
              <w:spacing w:line="440" w:lineRule="exact"/>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技术需求</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1918ECF3">
            <w:pPr>
              <w:spacing w:line="440" w:lineRule="exact"/>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最高限价（元）</w:t>
            </w:r>
          </w:p>
        </w:tc>
      </w:tr>
      <w:tr w14:paraId="105E39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1" w:hRule="atLeast"/>
          <w:jc w:val="center"/>
        </w:trPr>
        <w:tc>
          <w:tcPr>
            <w:tcW w:w="723" w:type="dxa"/>
            <w:tcBorders>
              <w:top w:val="single" w:color="auto" w:sz="4" w:space="0"/>
              <w:left w:val="single" w:color="auto" w:sz="4" w:space="0"/>
              <w:bottom w:val="single" w:color="auto" w:sz="4" w:space="0"/>
              <w:right w:val="single" w:color="auto" w:sz="4" w:space="0"/>
            </w:tcBorders>
            <w:noWrap w:val="0"/>
            <w:vAlign w:val="center"/>
          </w:tcPr>
          <w:p w14:paraId="0866399B">
            <w:pPr>
              <w:spacing w:line="440" w:lineRule="exact"/>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1338" w:type="dxa"/>
            <w:tcBorders>
              <w:top w:val="single" w:color="auto" w:sz="4" w:space="0"/>
              <w:left w:val="single" w:color="auto" w:sz="4" w:space="0"/>
              <w:right w:val="single" w:color="auto" w:sz="4" w:space="0"/>
            </w:tcBorders>
            <w:noWrap w:val="0"/>
            <w:vAlign w:val="center"/>
          </w:tcPr>
          <w:p w14:paraId="7AFC9B5F">
            <w:pPr>
              <w:spacing w:line="440" w:lineRule="exact"/>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2026年度驻所武警基础设施维修项目</w:t>
            </w:r>
          </w:p>
        </w:tc>
        <w:tc>
          <w:tcPr>
            <w:tcW w:w="477" w:type="dxa"/>
            <w:tcBorders>
              <w:top w:val="single" w:color="auto" w:sz="4" w:space="0"/>
              <w:left w:val="single" w:color="auto" w:sz="4" w:space="0"/>
              <w:right w:val="single" w:color="auto" w:sz="4" w:space="0"/>
            </w:tcBorders>
            <w:noWrap w:val="0"/>
            <w:vAlign w:val="center"/>
          </w:tcPr>
          <w:p w14:paraId="4A724EBF">
            <w:pPr>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532" w:type="dxa"/>
            <w:tcBorders>
              <w:top w:val="single" w:color="auto" w:sz="4" w:space="0"/>
              <w:left w:val="single" w:color="auto" w:sz="4" w:space="0"/>
              <w:right w:val="single" w:color="auto" w:sz="4" w:space="0"/>
            </w:tcBorders>
            <w:noWrap w:val="0"/>
            <w:vAlign w:val="center"/>
          </w:tcPr>
          <w:p w14:paraId="0C95E5A7">
            <w:pPr>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w:t>
            </w:r>
          </w:p>
        </w:tc>
        <w:tc>
          <w:tcPr>
            <w:tcW w:w="5641" w:type="dxa"/>
            <w:tcBorders>
              <w:top w:val="single" w:color="auto" w:sz="4" w:space="0"/>
              <w:left w:val="single" w:color="auto" w:sz="4" w:space="0"/>
              <w:right w:val="single" w:color="auto" w:sz="4" w:space="0"/>
            </w:tcBorders>
            <w:noWrap w:val="0"/>
            <w:vAlign w:val="center"/>
          </w:tcPr>
          <w:p w14:paraId="05B12EA0">
            <w:pPr>
              <w:keepLines w:val="0"/>
              <w:pageBreakBefore w:val="0"/>
              <w:numPr>
                <w:ilvl w:val="0"/>
                <w:numId w:val="0"/>
              </w:numPr>
              <w:kinsoku/>
              <w:overflowPunct/>
              <w:topLinePunct w:val="0"/>
              <w:bidi w:val="0"/>
              <w:snapToGrid/>
              <w:spacing w:beforeAutospacing="0" w:afterAutospacing="0" w:line="360" w:lineRule="auto"/>
              <w:jc w:val="left"/>
              <w:textAlignment w:val="baseline"/>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2"/>
                <w:sz w:val="21"/>
                <w:szCs w:val="24"/>
                <w:highlight w:val="none"/>
                <w:lang w:val="en-US" w:eastAsia="zh-CN" w:bidi="ar-SA"/>
                <w14:textFill>
                  <w14:solidFill>
                    <w14:schemeClr w14:val="tx1"/>
                  </w14:solidFill>
                </w14:textFill>
              </w:rPr>
              <w:t>一、</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工程概况及内容：</w:t>
            </w:r>
          </w:p>
          <w:p w14:paraId="328CA85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20" w:firstLineChars="200"/>
              <w:jc w:val="left"/>
              <w:textAlignment w:val="baseline"/>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1、本项目为2026年度驻所武警基础设施维修项目，本项目主要建设内容为建筑工程、拆除工程等工程的相关内容，具体内容以图纸及工程量清单为准。</w:t>
            </w:r>
          </w:p>
          <w:p w14:paraId="4A2465B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20" w:firstLineChars="200"/>
              <w:jc w:val="left"/>
              <w:textAlignment w:val="baseline"/>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2、项目地点：</w:t>
            </w:r>
            <w:r>
              <w:rPr>
                <w:rFonts w:hint="eastAsia" w:ascii="宋体" w:hAnsi="宋体" w:cs="宋体"/>
                <w:b w:val="0"/>
                <w:bCs w:val="0"/>
                <w:color w:val="000000" w:themeColor="text1"/>
                <w:szCs w:val="21"/>
                <w:highlight w:val="none"/>
                <w:lang w:eastAsia="zh-CN"/>
                <w14:textFill>
                  <w14:solidFill>
                    <w14:schemeClr w14:val="tx1"/>
                  </w14:solidFill>
                </w14:textFill>
              </w:rPr>
              <w:t>南宁市兴宁区昆仑大道163号</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南宁市第一看守所</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内。</w:t>
            </w:r>
          </w:p>
          <w:p w14:paraId="4E2562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20" w:firstLineChars="200"/>
              <w:jc w:val="left"/>
              <w:textAlignment w:val="baseline"/>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3、</w:t>
            </w:r>
            <w:r>
              <w:rPr>
                <w:rFonts w:hint="eastAsia" w:ascii="宋体" w:hAnsi="宋体" w:eastAsia="宋体" w:cs="Times New Roman"/>
                <w:b w:val="0"/>
                <w:bCs w:val="0"/>
                <w:color w:val="000000" w:themeColor="text1"/>
                <w:szCs w:val="21"/>
                <w:highlight w:val="none"/>
                <w14:textFill>
                  <w14:solidFill>
                    <w14:schemeClr w14:val="tx1"/>
                  </w14:solidFill>
                </w14:textFill>
              </w:rPr>
              <w:t>采购范围：</w:t>
            </w:r>
            <w:r>
              <w:rPr>
                <w:rFonts w:hint="eastAsia" w:ascii="宋体" w:hAnsi="宋体"/>
                <w:b w:val="0"/>
                <w:bCs w:val="0"/>
                <w:color w:val="000000" w:themeColor="text1"/>
                <w:highlight w:val="none"/>
                <w14:textFill>
                  <w14:solidFill>
                    <w14:schemeClr w14:val="tx1"/>
                  </w14:solidFill>
                </w14:textFill>
              </w:rPr>
              <w:t>详见工程量清单及图纸。</w:t>
            </w:r>
          </w:p>
          <w:p w14:paraId="16E72BA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20" w:firstLineChars="200"/>
              <w:jc w:val="left"/>
              <w:textAlignment w:val="baseline"/>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lang w:val="en-US" w:eastAsia="zh-CN"/>
                <w14:textFill>
                  <w14:solidFill>
                    <w14:schemeClr w14:val="tx1"/>
                  </w14:solidFill>
                </w14:textFill>
              </w:rPr>
              <w:t>4、</w:t>
            </w:r>
            <w:r>
              <w:rPr>
                <w:rFonts w:hint="eastAsia" w:ascii="宋体" w:hAnsi="宋体" w:cs="宋体"/>
                <w:b w:val="0"/>
                <w:bCs w:val="0"/>
                <w:color w:val="000000" w:themeColor="text1"/>
                <w:szCs w:val="21"/>
                <w:highlight w:val="none"/>
                <w14:textFill>
                  <w14:solidFill>
                    <w14:schemeClr w14:val="tx1"/>
                  </w14:solidFill>
                </w14:textFill>
              </w:rPr>
              <w:t>技术标准</w:t>
            </w:r>
            <w:r>
              <w:rPr>
                <w:rFonts w:ascii="宋体" w:hAnsi="宋体" w:cs="宋体"/>
                <w:b w:val="0"/>
                <w:bCs w:val="0"/>
                <w:color w:val="000000" w:themeColor="text1"/>
                <w:szCs w:val="21"/>
                <w:highlight w:val="none"/>
                <w14:textFill>
                  <w14:solidFill>
                    <w14:schemeClr w14:val="tx1"/>
                  </w14:solidFill>
                </w14:textFill>
              </w:rPr>
              <w:t>和</w:t>
            </w:r>
            <w:r>
              <w:rPr>
                <w:rFonts w:hint="eastAsia" w:ascii="宋体" w:hAnsi="宋体" w:cs="宋体"/>
                <w:b w:val="0"/>
                <w:bCs w:val="0"/>
                <w:color w:val="000000" w:themeColor="text1"/>
                <w:szCs w:val="21"/>
                <w:highlight w:val="none"/>
                <w14:textFill>
                  <w14:solidFill>
                    <w14:schemeClr w14:val="tx1"/>
                  </w14:solidFill>
                </w14:textFill>
              </w:rPr>
              <w:t>要求</w:t>
            </w:r>
            <w:r>
              <w:rPr>
                <w:rFonts w:ascii="宋体" w:hAnsi="宋体" w:cs="宋体"/>
                <w:b w:val="0"/>
                <w:bCs w:val="0"/>
                <w:color w:val="000000" w:themeColor="text1"/>
                <w:szCs w:val="21"/>
                <w:highlight w:val="none"/>
                <w14:textFill>
                  <w14:solidFill>
                    <w14:schemeClr w14:val="tx1"/>
                  </w14:solidFill>
                </w14:textFill>
              </w:rPr>
              <w:t>：</w:t>
            </w:r>
            <w:r>
              <w:rPr>
                <w:rFonts w:hint="eastAsia" w:ascii="宋体" w:hAnsi="宋体" w:cs="宋体"/>
                <w:b w:val="0"/>
                <w:bCs w:val="0"/>
                <w:color w:val="000000" w:themeColor="text1"/>
                <w:szCs w:val="21"/>
                <w:highlight w:val="none"/>
                <w14:textFill>
                  <w14:solidFill>
                    <w14:schemeClr w14:val="tx1"/>
                  </w14:solidFill>
                </w14:textFill>
              </w:rPr>
              <w:t>符合国家现行的工程建设标准、技术规范及强制性标准条文，以及施工图纸载明的其他有关规范标准。</w:t>
            </w:r>
          </w:p>
          <w:p w14:paraId="5C1998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20" w:firstLineChars="200"/>
              <w:jc w:val="left"/>
              <w:textAlignment w:val="baseline"/>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5、</w:t>
            </w:r>
            <w:r>
              <w:rPr>
                <w:rFonts w:hint="eastAsia" w:ascii="宋体" w:hAnsi="宋体"/>
                <w:b w:val="0"/>
                <w:bCs w:val="0"/>
                <w:color w:val="000000" w:themeColor="text1"/>
                <w:szCs w:val="21"/>
                <w:highlight w:val="none"/>
                <w14:textFill>
                  <w14:solidFill>
                    <w14:schemeClr w14:val="tx1"/>
                  </w14:solidFill>
                </w14:textFill>
              </w:rPr>
              <w:t>质量</w:t>
            </w:r>
            <w:r>
              <w:rPr>
                <w:rFonts w:hint="eastAsia" w:ascii="宋体" w:hAnsi="宋体"/>
                <w:b w:val="0"/>
                <w:bCs w:val="0"/>
                <w:color w:val="000000" w:themeColor="text1"/>
                <w:szCs w:val="21"/>
                <w:highlight w:val="none"/>
                <w:lang w:val="en-US" w:eastAsia="zh-CN"/>
                <w14:textFill>
                  <w14:solidFill>
                    <w14:schemeClr w14:val="tx1"/>
                  </w14:solidFill>
                </w14:textFill>
              </w:rPr>
              <w:t>标准</w:t>
            </w:r>
            <w:r>
              <w:rPr>
                <w:rFonts w:hint="eastAsia" w:ascii="宋体" w:hAnsi="宋体"/>
                <w:b w:val="0"/>
                <w:bCs w:val="0"/>
                <w:color w:val="000000" w:themeColor="text1"/>
                <w:szCs w:val="21"/>
                <w:highlight w:val="none"/>
                <w14:textFill>
                  <w14:solidFill>
                    <w14:schemeClr w14:val="tx1"/>
                  </w14:solidFill>
                </w14:textFill>
              </w:rPr>
              <w:t>：</w:t>
            </w:r>
            <w:r>
              <w:rPr>
                <w:rFonts w:ascii="宋体" w:hAnsi="宋体" w:cs="宋体"/>
                <w:b w:val="0"/>
                <w:bCs w:val="0"/>
                <w:color w:val="000000" w:themeColor="text1"/>
                <w:szCs w:val="21"/>
                <w:highlight w:val="none"/>
                <w14:textFill>
                  <w14:solidFill>
                    <w14:schemeClr w14:val="tx1"/>
                  </w14:solidFill>
                </w14:textFill>
              </w:rPr>
              <w:t>合格</w:t>
            </w:r>
            <w:r>
              <w:rPr>
                <w:rFonts w:hint="eastAsia" w:ascii="宋体" w:hAnsi="宋体"/>
                <w:b w:val="0"/>
                <w:bCs w:val="0"/>
                <w:color w:val="000000" w:themeColor="text1"/>
                <w:szCs w:val="21"/>
                <w:highlight w:val="none"/>
                <w:lang w:eastAsia="zh-CN"/>
                <w14:textFill>
                  <w14:solidFill>
                    <w14:schemeClr w14:val="tx1"/>
                  </w14:solidFill>
                </w14:textFill>
              </w:rPr>
              <w:t>。</w:t>
            </w:r>
          </w:p>
          <w:p w14:paraId="054FDA20">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rPr>
                <w:rFonts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lang w:val="en-US" w:eastAsia="zh-CN"/>
                <w14:textFill>
                  <w14:solidFill>
                    <w14:schemeClr w14:val="tx1"/>
                  </w14:solidFill>
                </w14:textFill>
              </w:rPr>
              <w:t>6、</w:t>
            </w:r>
            <w:r>
              <w:rPr>
                <w:rFonts w:hint="eastAsia" w:ascii="宋体" w:hAnsi="宋体" w:cs="宋体"/>
                <w:b w:val="0"/>
                <w:bCs w:val="0"/>
                <w:color w:val="000000" w:themeColor="text1"/>
                <w:szCs w:val="21"/>
                <w:highlight w:val="none"/>
                <w14:textFill>
                  <w14:solidFill>
                    <w14:schemeClr w14:val="tx1"/>
                  </w14:solidFill>
                </w14:textFill>
              </w:rPr>
              <w:t>报价</w:t>
            </w:r>
            <w:r>
              <w:rPr>
                <w:rFonts w:ascii="宋体" w:hAnsi="宋体" w:cs="宋体"/>
                <w:b w:val="0"/>
                <w:bCs w:val="0"/>
                <w:color w:val="000000" w:themeColor="text1"/>
                <w:szCs w:val="21"/>
                <w:highlight w:val="none"/>
                <w14:textFill>
                  <w14:solidFill>
                    <w14:schemeClr w14:val="tx1"/>
                  </w14:solidFill>
                </w14:textFill>
              </w:rPr>
              <w:t>方式：</w:t>
            </w:r>
            <w:r>
              <w:rPr>
                <w:rFonts w:hint="eastAsia" w:ascii="宋体" w:hAnsi="宋体" w:cs="宋体"/>
                <w:b w:val="0"/>
                <w:bCs w:val="0"/>
                <w:color w:val="000000" w:themeColor="text1"/>
                <w:szCs w:val="21"/>
                <w:highlight w:val="none"/>
                <w14:textFill>
                  <w14:solidFill>
                    <w14:schemeClr w14:val="tx1"/>
                  </w14:solidFill>
                </w14:textFill>
              </w:rPr>
              <w:t>工程量</w:t>
            </w:r>
            <w:r>
              <w:rPr>
                <w:rFonts w:ascii="宋体" w:hAnsi="宋体" w:cs="宋体"/>
                <w:b w:val="0"/>
                <w:bCs w:val="0"/>
                <w:color w:val="000000" w:themeColor="text1"/>
                <w:szCs w:val="21"/>
                <w:highlight w:val="none"/>
                <w14:textFill>
                  <w14:solidFill>
                    <w14:schemeClr w14:val="tx1"/>
                  </w14:solidFill>
                </w14:textFill>
              </w:rPr>
              <w:t>清单报价。</w:t>
            </w:r>
          </w:p>
          <w:p w14:paraId="7A418702">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rPr>
                <w:rFonts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lang w:val="en-US" w:eastAsia="zh-CN"/>
                <w14:textFill>
                  <w14:solidFill>
                    <w14:schemeClr w14:val="tx1"/>
                  </w14:solidFill>
                </w14:textFill>
              </w:rPr>
              <w:t>7、</w:t>
            </w:r>
            <w:r>
              <w:rPr>
                <w:rFonts w:hint="eastAsia" w:ascii="宋体" w:hAnsi="宋体" w:cs="宋体"/>
                <w:b w:val="0"/>
                <w:bCs w:val="0"/>
                <w:color w:val="000000" w:themeColor="text1"/>
                <w:szCs w:val="21"/>
                <w:highlight w:val="none"/>
                <w14:textFill>
                  <w14:solidFill>
                    <w14:schemeClr w14:val="tx1"/>
                  </w14:solidFill>
                </w14:textFill>
              </w:rPr>
              <w:t>承包方式</w:t>
            </w:r>
            <w:r>
              <w:rPr>
                <w:rFonts w:ascii="宋体" w:hAnsi="宋体" w:cs="宋体"/>
                <w:b w:val="0"/>
                <w:bCs w:val="0"/>
                <w:color w:val="000000" w:themeColor="text1"/>
                <w:szCs w:val="21"/>
                <w:highlight w:val="none"/>
                <w14:textFill>
                  <w14:solidFill>
                    <w14:schemeClr w14:val="tx1"/>
                  </w14:solidFill>
                </w14:textFill>
              </w:rPr>
              <w:t>：</w:t>
            </w:r>
            <w:r>
              <w:rPr>
                <w:rFonts w:hint="eastAsia" w:ascii="宋体" w:hAnsi="宋体" w:cs="宋体"/>
                <w:b w:val="0"/>
                <w:bCs w:val="0"/>
                <w:color w:val="000000" w:themeColor="text1"/>
                <w:szCs w:val="21"/>
                <w:highlight w:val="none"/>
                <w14:textFill>
                  <w14:solidFill>
                    <w14:schemeClr w14:val="tx1"/>
                  </w14:solidFill>
                </w14:textFill>
              </w:rPr>
              <w:t>固定</w:t>
            </w:r>
            <w:r>
              <w:rPr>
                <w:rFonts w:ascii="宋体" w:hAnsi="宋体" w:cs="宋体"/>
                <w:b w:val="0"/>
                <w:bCs w:val="0"/>
                <w:color w:val="000000" w:themeColor="text1"/>
                <w:szCs w:val="21"/>
                <w:highlight w:val="none"/>
                <w14:textFill>
                  <w14:solidFill>
                    <w14:schemeClr w14:val="tx1"/>
                  </w14:solidFill>
                </w14:textFill>
              </w:rPr>
              <w:t>综合单价。</w:t>
            </w:r>
          </w:p>
          <w:p w14:paraId="52A746C8">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rPr>
                <w:b w:val="0"/>
                <w:bCs w:val="0"/>
                <w:color w:val="000000" w:themeColor="text1"/>
                <w:highlight w:val="none"/>
                <w14:textFill>
                  <w14:solidFill>
                    <w14:schemeClr w14:val="tx1"/>
                  </w14:solidFill>
                </w14:textFill>
              </w:rPr>
            </w:pPr>
            <w:r>
              <w:rPr>
                <w:rFonts w:hint="eastAsia" w:ascii="宋体" w:hAnsi="宋体" w:cs="宋体"/>
                <w:b w:val="0"/>
                <w:bCs w:val="0"/>
                <w:color w:val="000000" w:themeColor="text1"/>
                <w:szCs w:val="21"/>
                <w:highlight w:val="none"/>
                <w:lang w:val="en-US" w:eastAsia="zh-CN"/>
                <w14:textFill>
                  <w14:solidFill>
                    <w14:schemeClr w14:val="tx1"/>
                  </w14:solidFill>
                </w14:textFill>
              </w:rPr>
              <w:t>8、</w:t>
            </w:r>
            <w:r>
              <w:rPr>
                <w:rFonts w:hint="eastAsia"/>
                <w:b w:val="0"/>
                <w:bCs w:val="0"/>
                <w:color w:val="000000" w:themeColor="text1"/>
                <w:highlight w:val="none"/>
                <w14:textFill>
                  <w14:solidFill>
                    <w14:schemeClr w14:val="tx1"/>
                  </w14:solidFill>
                </w14:textFill>
              </w:rPr>
              <w:t>开工日期：以签订合同后采购人书面通知为准。</w:t>
            </w:r>
          </w:p>
          <w:p w14:paraId="5701A3D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b w:val="0"/>
                <w:bCs w:val="0"/>
                <w:color w:val="000000" w:themeColor="text1"/>
                <w:highlight w:val="none"/>
                <w:lang w:val="en-US" w:eastAsia="zh-CN"/>
                <w14:textFill>
                  <w14:solidFill>
                    <w14:schemeClr w14:val="tx1"/>
                  </w14:solidFill>
                </w14:textFill>
              </w:rPr>
              <w:t>9、</w:t>
            </w:r>
            <w:r>
              <w:rPr>
                <w:rFonts w:hint="eastAsia"/>
                <w:b w:val="0"/>
                <w:bCs w:val="0"/>
                <w:color w:val="000000" w:themeColor="text1"/>
                <w:highlight w:val="none"/>
                <w14:textFill>
                  <w14:solidFill>
                    <w14:schemeClr w14:val="tx1"/>
                  </w14:solidFill>
                </w14:textFill>
              </w:rPr>
              <w:t>其他要求：按采购文件第六章《合同文本》约定执行。</w:t>
            </w:r>
          </w:p>
          <w:p w14:paraId="2DC1677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宋体" w:hAnsi="宋体" w:eastAsia="宋体" w:cs="宋体"/>
                <w:b w:val="0"/>
                <w:bCs w:val="0"/>
                <w:color w:val="000000" w:themeColor="text1"/>
                <w:highlight w:val="none"/>
                <w:lang w:val="en-US" w:eastAsia="zh-CN"/>
                <w14:textFill>
                  <w14:solidFill>
                    <w14:schemeClr w14:val="tx1"/>
                  </w14:solidFill>
                </w14:textFill>
              </w:rPr>
            </w:pPr>
            <w:r>
              <w:rPr>
                <w:rFonts w:hint="eastAsia" w:ascii="宋体" w:hAnsi="宋体" w:eastAsia="宋体" w:cs="宋体"/>
                <w:b w:val="0"/>
                <w:bCs w:val="0"/>
                <w:color w:val="000000" w:themeColor="text1"/>
                <w:highlight w:val="none"/>
                <w:lang w:val="en-US" w:eastAsia="zh-CN"/>
                <w14:textFill>
                  <w14:solidFill>
                    <w14:schemeClr w14:val="tx1"/>
                  </w14:solidFill>
                </w14:textFill>
              </w:rPr>
              <w:t>10、工程量清单（另册）</w:t>
            </w:r>
          </w:p>
          <w:p w14:paraId="5ED7F9B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
                <w:bCs/>
                <w:color w:val="000000" w:themeColor="text1"/>
                <w:highlight w:val="none"/>
                <w:lang w:val="en-US" w:eastAsia="zh-CN"/>
                <w14:textFill>
                  <w14:solidFill>
                    <w14:schemeClr w14:val="tx1"/>
                  </w14:solidFill>
                </w14:textFill>
              </w:rPr>
            </w:pPr>
            <w:r>
              <w:rPr>
                <w:rFonts w:hint="eastAsia" w:ascii="宋体" w:hAnsi="宋体" w:eastAsia="宋体" w:cs="宋体"/>
                <w:b w:val="0"/>
                <w:bCs w:val="0"/>
                <w:color w:val="000000" w:themeColor="text1"/>
                <w:highlight w:val="none"/>
                <w:lang w:val="en-US" w:eastAsia="zh-CN"/>
                <w14:textFill>
                  <w14:solidFill>
                    <w14:schemeClr w14:val="tx1"/>
                  </w14:solidFill>
                </w14:textFill>
              </w:rPr>
              <w:t>11、施工图（另册）</w:t>
            </w:r>
          </w:p>
          <w:p w14:paraId="480F7DD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二</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eastAsia="zh-CN"/>
                <w14:textFill>
                  <w14:solidFill>
                    <w14:schemeClr w14:val="tx1"/>
                  </w14:solidFill>
                </w14:textFill>
              </w:rPr>
              <w:t>技术</w:t>
            </w:r>
            <w:r>
              <w:rPr>
                <w:rFonts w:hint="eastAsia" w:ascii="宋体" w:hAnsi="宋体" w:eastAsia="宋体" w:cs="宋体"/>
                <w:b/>
                <w:bCs/>
                <w:color w:val="000000" w:themeColor="text1"/>
                <w:highlight w:val="none"/>
                <w14:textFill>
                  <w14:solidFill>
                    <w14:schemeClr w14:val="tx1"/>
                  </w14:solidFill>
                </w14:textFill>
              </w:rPr>
              <w:t>要求</w:t>
            </w:r>
          </w:p>
          <w:p w14:paraId="7D12627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1、质量要求：符合国家工程施工验收规范合格标准。</w:t>
            </w:r>
          </w:p>
          <w:p w14:paraId="00F8EADF">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2、技术标准和要求：符合国家现行的工程建设标准、技术规范及强制性标准条文，以及施工图纸载明的其他有关规范标准。</w:t>
            </w:r>
          </w:p>
          <w:p w14:paraId="7CA9883C">
            <w:pPr>
              <w:keepNext w:val="0"/>
              <w:keepLines w:val="0"/>
              <w:pageBreakBefore w:val="0"/>
              <w:widowControl w:val="0"/>
              <w:kinsoku/>
              <w:wordWrap/>
              <w:overflowPunct/>
              <w:topLinePunct w:val="0"/>
              <w:autoSpaceDE/>
              <w:autoSpaceDN/>
              <w:bidi w:val="0"/>
              <w:adjustRightInd/>
              <w:snapToGrid/>
              <w:spacing w:line="440" w:lineRule="exact"/>
              <w:ind w:firstLine="210" w:firstLineChars="100"/>
              <w:jc w:val="left"/>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3、人员最低配备要求：拟投入本工程的人员必须是本单位的在岗人员，并持有相应的执业资格证书，对相关人员的具体条件要求如下：</w:t>
            </w:r>
          </w:p>
          <w:p w14:paraId="17497F2E">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项目经理要求：项目经理1人，必须具备建筑工程专业二级及以上注册建造师执业资格，具备有效的安全生产考核合格证书（B类）。本项目不接受有在建、已中标未开工或已列为其他项目中标候选人第一名的建造师作为项目经理。</w:t>
            </w:r>
          </w:p>
          <w:p w14:paraId="5415C14C">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（2）专职安全生产管理人员要求：专职安全生产管理人员1人，必须具备安全生产考核合格证书（C类）。</w:t>
            </w:r>
          </w:p>
          <w:p w14:paraId="2F234237">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color w:val="000000" w:themeColor="text1"/>
                <w:highlight w:val="none"/>
                <w:lang w:val="en-US"/>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lang w:val="en-US" w:eastAsia="zh-CN"/>
                <w14:textFill>
                  <w14:solidFill>
                    <w14:schemeClr w14:val="tx1"/>
                  </w14:solidFill>
                </w14:textFill>
              </w:rPr>
              <w:t>其他人员要求</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应至少配备</w:t>
            </w:r>
            <w:r>
              <w:rPr>
                <w:rFonts w:hint="eastAsia" w:ascii="宋体" w:hAnsi="宋体" w:eastAsia="宋体" w:cs="宋体"/>
                <w:color w:val="000000" w:themeColor="text1"/>
                <w:szCs w:val="21"/>
                <w:highlight w:val="none"/>
                <w:lang w:val="en-US" w:eastAsia="zh-CN"/>
                <w14:textFill>
                  <w14:solidFill>
                    <w14:schemeClr w14:val="tx1"/>
                  </w14:solidFill>
                </w14:textFill>
              </w:rPr>
              <w:t>施工员、质量员、材料员</w:t>
            </w:r>
            <w:r>
              <w:rPr>
                <w:rFonts w:hint="eastAsia" w:ascii="宋体" w:hAnsi="宋体" w:cs="宋体"/>
                <w:color w:val="000000" w:themeColor="text1"/>
                <w:szCs w:val="21"/>
                <w:highlight w:val="none"/>
                <w:lang w:val="en-US" w:eastAsia="zh-CN"/>
                <w14:textFill>
                  <w14:solidFill>
                    <w14:schemeClr w14:val="tx1"/>
                  </w14:solidFill>
                </w14:textFill>
              </w:rPr>
              <w:t>各一人</w:t>
            </w:r>
            <w:r>
              <w:rPr>
                <w:rFonts w:hint="eastAsia" w:ascii="宋体" w:hAnsi="宋体" w:eastAsia="宋体" w:cs="宋体"/>
                <w:color w:val="000000" w:themeColor="text1"/>
                <w:szCs w:val="21"/>
                <w:highlight w:val="none"/>
                <w:lang w:val="en-US" w:eastAsia="zh-CN"/>
                <w14:textFill>
                  <w14:solidFill>
                    <w14:schemeClr w14:val="tx1"/>
                  </w14:solidFill>
                </w14:textFill>
              </w:rPr>
              <w:t>。</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28F1B82A">
            <w:pPr>
              <w:spacing w:line="440" w:lineRule="exact"/>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275251.22</w:t>
            </w:r>
          </w:p>
        </w:tc>
      </w:tr>
      <w:tr w14:paraId="407EAC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3" w:type="dxa"/>
            <w:tcBorders>
              <w:top w:val="single" w:color="auto" w:sz="4" w:space="0"/>
              <w:left w:val="single" w:color="auto" w:sz="4" w:space="0"/>
              <w:bottom w:val="single" w:color="auto" w:sz="4" w:space="0"/>
              <w:right w:val="single" w:color="auto" w:sz="4" w:space="0"/>
            </w:tcBorders>
            <w:noWrap w:val="0"/>
            <w:vAlign w:val="center"/>
          </w:tcPr>
          <w:p w14:paraId="0ED017C1">
            <w:pPr>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▲商务条款</w:t>
            </w:r>
          </w:p>
        </w:tc>
        <w:tc>
          <w:tcPr>
            <w:tcW w:w="9267" w:type="dxa"/>
            <w:gridSpan w:val="5"/>
            <w:tcBorders>
              <w:top w:val="single" w:color="auto" w:sz="4" w:space="0"/>
              <w:left w:val="single" w:color="auto" w:sz="4" w:space="0"/>
              <w:bottom w:val="single" w:color="auto" w:sz="4" w:space="0"/>
              <w:right w:val="single" w:color="auto" w:sz="4" w:space="0"/>
            </w:tcBorders>
            <w:noWrap w:val="0"/>
            <w:vAlign w:val="center"/>
          </w:tcPr>
          <w:p w14:paraId="11E4E89E">
            <w:pPr>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一、合同签订期：</w:t>
            </w:r>
            <w:r>
              <w:rPr>
                <w:rFonts w:hint="eastAsia" w:ascii="宋体" w:hAnsi="宋体" w:eastAsia="宋体" w:cs="宋体"/>
                <w:color w:val="000000" w:themeColor="text1"/>
                <w:szCs w:val="21"/>
                <w:highlight w:val="none"/>
                <w14:textFill>
                  <w14:solidFill>
                    <w14:schemeClr w14:val="tx1"/>
                  </w14:solidFill>
                </w14:textFill>
              </w:rPr>
              <w:t>自成交通知书发出之日起25个日历日内。</w:t>
            </w:r>
          </w:p>
          <w:p w14:paraId="2A802A9B">
            <w:pPr>
              <w:spacing w:line="440" w:lineRule="exac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w:t>
            </w:r>
            <w:r>
              <w:rPr>
                <w:rFonts w:hint="eastAsia" w:ascii="宋体" w:hAnsi="宋体" w:eastAsia="宋体" w:cs="宋体"/>
                <w:b/>
                <w:bCs/>
                <w:color w:val="000000" w:themeColor="text1"/>
                <w:szCs w:val="21"/>
                <w:highlight w:val="none"/>
                <w:lang w:val="en-US" w:eastAsia="zh-CN"/>
                <w14:textFill>
                  <w14:solidFill>
                    <w14:schemeClr w14:val="tx1"/>
                  </w14:solidFill>
                </w14:textFill>
              </w:rPr>
              <w:t>工期要求：</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合同签订后，采购人发出开工令之日起</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60个日历天内</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完成项目施工并通过验收合格。</w:t>
            </w:r>
          </w:p>
          <w:p w14:paraId="5B7434F1">
            <w:pPr>
              <w:spacing w:line="440" w:lineRule="exact"/>
              <w:rPr>
                <w:rFonts w:hint="default" w:ascii="宋体" w:hAnsi="宋体" w:eastAsia="宋体" w:cs="宋体"/>
                <w:color w:val="000000" w:themeColor="text1"/>
                <w:szCs w:val="21"/>
                <w:highlight w:val="none"/>
                <w:lang w:val="en-US"/>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三、</w:t>
            </w:r>
            <w:r>
              <w:rPr>
                <w:rFonts w:hint="eastAsia" w:ascii="宋体" w:hAnsi="宋体" w:eastAsia="宋体" w:cs="宋体"/>
                <w:b/>
                <w:bCs/>
                <w:color w:val="000000" w:themeColor="text1"/>
                <w:szCs w:val="21"/>
                <w:highlight w:val="none"/>
                <w14:textFill>
                  <w14:solidFill>
                    <w14:schemeClr w14:val="tx1"/>
                  </w14:solidFill>
                </w14:textFill>
              </w:rPr>
              <w:t>实施地点：</w:t>
            </w:r>
            <w:r>
              <w:rPr>
                <w:rFonts w:hint="eastAsia" w:ascii="宋体" w:hAnsi="宋体" w:eastAsia="宋体"/>
                <w:color w:val="000000" w:themeColor="text1"/>
                <w:highlight w:val="none"/>
                <w:u w:val="none"/>
                <w:lang w:eastAsia="zh-CN"/>
                <w14:textFill>
                  <w14:solidFill>
                    <w14:schemeClr w14:val="tx1"/>
                  </w14:solidFill>
                </w14:textFill>
              </w:rPr>
              <w:t>南宁市兴宁区昆仑大道163号，南宁市第一看守所</w:t>
            </w:r>
            <w:r>
              <w:rPr>
                <w:rFonts w:hint="eastAsia" w:ascii="宋体" w:hAnsi="宋体" w:eastAsia="宋体"/>
                <w:color w:val="000000" w:themeColor="text1"/>
                <w:highlight w:val="none"/>
                <w:u w:val="none"/>
                <w:lang w:val="en-US" w:eastAsia="zh-CN"/>
                <w14:textFill>
                  <w14:solidFill>
                    <w14:schemeClr w14:val="tx1"/>
                  </w14:solidFill>
                </w14:textFill>
              </w:rPr>
              <w:t>内</w:t>
            </w:r>
            <w:r>
              <w:rPr>
                <w:rFonts w:hint="eastAsia" w:ascii="宋体" w:hAnsi="宋体" w:eastAsia="宋体" w:cs="宋体"/>
                <w:color w:val="000000" w:themeColor="text1"/>
                <w:szCs w:val="21"/>
                <w:highlight w:val="none"/>
                <w:lang w:eastAsia="zh-CN"/>
                <w14:textFill>
                  <w14:solidFill>
                    <w14:schemeClr w14:val="tx1"/>
                  </w14:solidFill>
                </w14:textFill>
              </w:rPr>
              <w:t>。</w:t>
            </w:r>
          </w:p>
          <w:p w14:paraId="2CD74D0D">
            <w:pPr>
              <w:spacing w:line="440" w:lineRule="exac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四</w:t>
            </w:r>
            <w:r>
              <w:rPr>
                <w:rFonts w:hint="eastAsia" w:ascii="宋体" w:hAnsi="宋体" w:eastAsia="宋体" w:cs="宋体"/>
                <w:b/>
                <w:bCs/>
                <w:color w:val="000000" w:themeColor="text1"/>
                <w:szCs w:val="21"/>
                <w:highlight w:val="none"/>
                <w14:textFill>
                  <w14:solidFill>
                    <w14:schemeClr w14:val="tx1"/>
                  </w14:solidFill>
                </w14:textFill>
              </w:rPr>
              <w:t>、验收标准、规范：</w:t>
            </w:r>
          </w:p>
          <w:p w14:paraId="2E29A8CB">
            <w:pPr>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1、根据采购单位的要求和国家现行的有关的工程建设标准、技术规范及强制性标准条文等有关规范标准。</w:t>
            </w:r>
          </w:p>
          <w:p w14:paraId="07429548">
            <w:pPr>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2、所有使用产品均符合国家标准。</w:t>
            </w:r>
          </w:p>
          <w:p w14:paraId="1D2A556D">
            <w:pPr>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3、验收过程中所产生的一切费用均由成交人承担。</w:t>
            </w:r>
          </w:p>
          <w:p w14:paraId="02326877">
            <w:pPr>
              <w:spacing w:line="440" w:lineRule="exact"/>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五</w:t>
            </w: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lang w:val="en-US" w:eastAsia="zh-CN"/>
                <w14:textFill>
                  <w14:solidFill>
                    <w14:schemeClr w14:val="tx1"/>
                  </w14:solidFill>
                </w14:textFill>
              </w:rPr>
              <w:t>质量保修要求：</w:t>
            </w:r>
          </w:p>
          <w:p w14:paraId="083B02DE">
            <w:pPr>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1、工程质量保修要求：质量保修期从工程实际竣工验收通过之日</w:t>
            </w:r>
            <w:r>
              <w:rPr>
                <w:rFonts w:hint="eastAsia" w:ascii="宋体" w:hAnsi="宋体" w:eastAsia="宋体" w:cs="宋体"/>
                <w:color w:val="000000" w:themeColor="text1"/>
                <w:szCs w:val="21"/>
                <w:highlight w:val="none"/>
                <w:lang w:val="en-US" w:eastAsia="zh-CN"/>
                <w14:textFill>
                  <w14:solidFill>
                    <w14:schemeClr w14:val="tx1"/>
                  </w14:solidFill>
                </w14:textFill>
              </w:rPr>
              <w:t>计算</w:t>
            </w:r>
            <w:r>
              <w:rPr>
                <w:rFonts w:hint="eastAsia" w:ascii="宋体" w:hAnsi="宋体" w:eastAsia="宋体" w:cs="宋体"/>
                <w:color w:val="000000" w:themeColor="text1"/>
                <w:szCs w:val="21"/>
                <w:highlight w:val="none"/>
                <w14:textFill>
                  <w14:solidFill>
                    <w14:schemeClr w14:val="tx1"/>
                  </w14:solidFill>
                </w14:textFill>
              </w:rPr>
              <w:t>。</w:t>
            </w:r>
          </w:p>
          <w:p w14:paraId="7A5C700B">
            <w:pPr>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2、其余部分按合同相关条款执行。</w:t>
            </w:r>
          </w:p>
          <w:p w14:paraId="31D8ADFF">
            <w:pPr>
              <w:spacing w:line="440" w:lineRule="exac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六</w:t>
            </w:r>
            <w:r>
              <w:rPr>
                <w:rFonts w:hint="eastAsia" w:ascii="宋体" w:hAnsi="宋体" w:eastAsia="宋体" w:cs="宋体"/>
                <w:b/>
                <w:bCs/>
                <w:color w:val="000000" w:themeColor="text1"/>
                <w:szCs w:val="21"/>
                <w:highlight w:val="none"/>
                <w14:textFill>
                  <w14:solidFill>
                    <w14:schemeClr w14:val="tx1"/>
                  </w14:solidFill>
                </w14:textFill>
              </w:rPr>
              <w:t>、付款方式：</w:t>
            </w:r>
            <w:r>
              <w:rPr>
                <w:rFonts w:hint="eastAsia" w:ascii="宋体" w:hAnsi="宋体" w:eastAsia="宋体" w:cs="宋体"/>
                <w:b w:val="0"/>
                <w:bCs w:val="0"/>
                <w:color w:val="000000" w:themeColor="text1"/>
                <w:szCs w:val="21"/>
                <w:highlight w:val="none"/>
                <w14:textFill>
                  <w14:solidFill>
                    <w14:schemeClr w14:val="tx1"/>
                  </w14:solidFill>
                </w14:textFill>
              </w:rPr>
              <w:t>本项目无预付款，工程款原则上按月支付，合同内进度款支付限额为已完成工程量的80%，工程变更部分进度款支付限额为已完成工程量的60%。工程完工验收达到质量要求，结算经相关部门审定后，工程款支付至结算总价的100%（含已支付的）。每次支付款项前，供应商需提供相应金额的增值税发票，否则，采购人有权相应顺延当期的付款时间。</w:t>
            </w:r>
            <w:r>
              <w:rPr>
                <w:rFonts w:hint="eastAsia" w:ascii="宋体" w:hAnsi="宋体" w:cs="宋体"/>
                <w:color w:val="000000" w:themeColor="text1"/>
                <w:sz w:val="21"/>
                <w:szCs w:val="21"/>
                <w:highlight w:val="none"/>
                <w:lang w:val="en-US" w:eastAsia="zh-CN"/>
                <w14:textFill>
                  <w14:solidFill>
                    <w14:schemeClr w14:val="tx1"/>
                  </w14:solidFill>
                </w14:textFill>
              </w:rPr>
              <w:t>因财政资金拨付审批等非采购人原因导致逾期支付的，不视为采购人违约，发包人不承担逾期付款违约金。</w:t>
            </w:r>
          </w:p>
          <w:p w14:paraId="26596930">
            <w:pPr>
              <w:spacing w:line="440" w:lineRule="exac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七</w:t>
            </w:r>
            <w:r>
              <w:rPr>
                <w:rFonts w:hint="eastAsia" w:ascii="宋体" w:hAnsi="宋体" w:eastAsia="宋体" w:cs="宋体"/>
                <w:b/>
                <w:bCs/>
                <w:color w:val="000000" w:themeColor="text1"/>
                <w:szCs w:val="21"/>
                <w:highlight w:val="none"/>
                <w14:textFill>
                  <w14:solidFill>
                    <w14:schemeClr w14:val="tx1"/>
                  </w14:solidFill>
                </w14:textFill>
              </w:rPr>
              <w:t>、报价方式：</w:t>
            </w:r>
          </w:p>
          <w:p w14:paraId="093B5EDE">
            <w:pPr>
              <w:spacing w:line="440" w:lineRule="exact"/>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Cs w:val="21"/>
                <w:highlight w:val="none"/>
                <w14:textFill>
                  <w14:solidFill>
                    <w14:schemeClr w14:val="tx1"/>
                  </w14:solidFill>
                </w14:textFill>
              </w:rPr>
              <w:t>采用工程量清单报价方式，供应商已标价工程量清单（包含首次报价、最后报价）的项目编码、项目名称及项目特征描述、计量单位、工程量须与招标工程量清单一致的，否则竞标无效；竞标报价不得高于最高限价。本项目采用二次报价方式，竞标人的最终报价如有变动，则必须以工程量清单报价表的格式编制提交，竞标人须提前做好相关准备并按时递交最终报价文件，否则报价无效。</w:t>
            </w:r>
          </w:p>
          <w:p w14:paraId="529D0EA6">
            <w:pPr>
              <w:spacing w:line="440" w:lineRule="exact"/>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Cs w:val="21"/>
                <w:highlight w:val="none"/>
                <w14:textFill>
                  <w14:solidFill>
                    <w14:schemeClr w14:val="tx1"/>
                  </w14:solidFill>
                </w14:textFill>
              </w:rPr>
              <w:t>本工程增值税计税方法：一般计税法。</w:t>
            </w:r>
          </w:p>
        </w:tc>
      </w:tr>
      <w:tr w14:paraId="0A5C03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3" w:type="dxa"/>
            <w:tcBorders>
              <w:top w:val="single" w:color="auto" w:sz="4" w:space="0"/>
              <w:left w:val="single" w:color="auto" w:sz="4" w:space="0"/>
              <w:bottom w:val="single" w:color="auto" w:sz="4" w:space="0"/>
              <w:right w:val="single" w:color="auto" w:sz="4" w:space="0"/>
            </w:tcBorders>
            <w:noWrap w:val="0"/>
            <w:vAlign w:val="center"/>
          </w:tcPr>
          <w:p w14:paraId="7824D89C">
            <w:pPr>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其他说明</w:t>
            </w:r>
          </w:p>
        </w:tc>
        <w:tc>
          <w:tcPr>
            <w:tcW w:w="9267" w:type="dxa"/>
            <w:gridSpan w:val="5"/>
            <w:tcBorders>
              <w:top w:val="single" w:color="auto" w:sz="4" w:space="0"/>
              <w:left w:val="single" w:color="auto" w:sz="4" w:space="0"/>
              <w:bottom w:val="single" w:color="auto" w:sz="4" w:space="0"/>
              <w:right w:val="single" w:color="auto" w:sz="4" w:space="0"/>
            </w:tcBorders>
            <w:noWrap w:val="0"/>
            <w:vAlign w:val="center"/>
          </w:tcPr>
          <w:p w14:paraId="6CBF06BF">
            <w:pPr>
              <w:spacing w:line="440" w:lineRule="exact"/>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一、进口产品说明</w:t>
            </w:r>
          </w:p>
          <w:p w14:paraId="7E3CD455">
            <w:pPr>
              <w:spacing w:line="440" w:lineRule="exact"/>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w:t>
            </w:r>
            <w:r>
              <w:rPr>
                <w:rFonts w:hint="eastAsia" w:ascii="宋体" w:hAnsi="宋体" w:eastAsia="宋体" w:cs="宋体"/>
                <w:color w:val="000000" w:themeColor="text1"/>
                <w:szCs w:val="21"/>
                <w:highlight w:val="none"/>
                <w:lang w:val="en-US" w:eastAsia="zh-CN"/>
                <w14:textFill>
                  <w14:solidFill>
                    <w14:schemeClr w14:val="tx1"/>
                  </w14:solidFill>
                </w14:textFill>
              </w:rPr>
              <w:t>项目</w:t>
            </w:r>
            <w:r>
              <w:rPr>
                <w:rFonts w:hint="eastAsia" w:ascii="宋体" w:hAnsi="宋体" w:eastAsia="宋体" w:cs="宋体"/>
                <w:color w:val="000000" w:themeColor="text1"/>
                <w:szCs w:val="21"/>
                <w:highlight w:val="none"/>
                <w14:textFill>
                  <w14:solidFill>
                    <w14:schemeClr w14:val="tx1"/>
                  </w14:solidFill>
                </w14:textFill>
              </w:rPr>
              <w:t>不涉及进口产品。</w:t>
            </w:r>
          </w:p>
          <w:p w14:paraId="7D3D9B8E">
            <w:pPr>
              <w:spacing w:line="440" w:lineRule="exact"/>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二、与本项目有关的技术资料及其获取方式</w:t>
            </w:r>
          </w:p>
          <w:p w14:paraId="1E5C15C6">
            <w:pPr>
              <w:spacing w:line="440" w:lineRule="exact"/>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资料名称：1、工程量清单；2、图纸。</w:t>
            </w:r>
          </w:p>
          <w:p w14:paraId="438BA3EF">
            <w:pPr>
              <w:spacing w:line="440" w:lineRule="exact"/>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获取方式：网上下载。供应商可自行在广西政府采购云平台（https://www.gcy.zfcg.gxzf.gov.cn/）下载相关资料，方式同采购文件获取方式。</w:t>
            </w:r>
          </w:p>
        </w:tc>
      </w:tr>
    </w:tbl>
    <w:p w14:paraId="6206A38D">
      <w:pPr>
        <w:jc w:val="left"/>
        <w:rPr>
          <w:rFonts w:hint="eastAsia" w:ascii="宋体" w:hAnsi="宋体" w:cs="宋体"/>
          <w:color w:val="000000" w:themeColor="text1"/>
          <w:kern w:val="0"/>
          <w:sz w:val="24"/>
          <w:szCs w:val="21"/>
          <w:highlight w:val="none"/>
          <w14:textFill>
            <w14:solidFill>
              <w14:schemeClr w14:val="tx1"/>
            </w14:solidFill>
          </w14:textFill>
        </w:rPr>
      </w:pPr>
      <w:r>
        <w:rPr>
          <w:rFonts w:hint="eastAsia" w:ascii="宋体" w:hAnsi="宋体"/>
          <w:color w:val="000000" w:themeColor="text1"/>
          <w:kern w:val="0"/>
          <w:sz w:val="20"/>
          <w:szCs w:val="21"/>
          <w:highlight w:val="none"/>
          <w14:textFill>
            <w14:solidFill>
              <w14:schemeClr w14:val="tx1"/>
            </w14:solidFill>
          </w14:textFill>
        </w:rPr>
        <w:br w:type="page"/>
      </w:r>
      <w:bookmarkStart w:id="17" w:name="_Toc21322"/>
      <w:r>
        <w:rPr>
          <w:rFonts w:hint="eastAsia" w:ascii="宋体" w:hAnsi="宋体" w:cs="宋体"/>
          <w:b/>
          <w:color w:val="000000" w:themeColor="text1"/>
          <w:kern w:val="0"/>
          <w:sz w:val="32"/>
          <w:szCs w:val="18"/>
          <w:highlight w:val="none"/>
          <w14:textFill>
            <w14:solidFill>
              <w14:schemeClr w14:val="tx1"/>
            </w14:solidFill>
          </w14:textFill>
        </w:rPr>
        <w:t>附件1：</w:t>
      </w:r>
    </w:p>
    <w:p w14:paraId="6A7D39D4">
      <w:pPr>
        <w:spacing w:line="528" w:lineRule="exact"/>
        <w:ind w:left="1871"/>
        <w:rPr>
          <w:rFonts w:hint="eastAsia" w:ascii="宋体" w:hAnsi="宋体" w:cs="宋体"/>
          <w:b/>
          <w:bCs/>
          <w:color w:val="000000" w:themeColor="text1"/>
          <w:sz w:val="40"/>
          <w:szCs w:val="40"/>
          <w:highlight w:val="none"/>
          <w14:textFill>
            <w14:solidFill>
              <w14:schemeClr w14:val="tx1"/>
            </w14:solidFill>
          </w14:textFill>
        </w:rPr>
      </w:pPr>
      <w:r>
        <w:rPr>
          <w:rFonts w:hint="eastAsia" w:ascii="宋体" w:hAnsi="宋体" w:cs="宋体"/>
          <w:b/>
          <w:bCs/>
          <w:color w:val="000000" w:themeColor="text1"/>
          <w:sz w:val="40"/>
          <w:szCs w:val="40"/>
          <w:highlight w:val="none"/>
          <w14:textFill>
            <w14:solidFill>
              <w14:schemeClr w14:val="tx1"/>
            </w14:solidFill>
          </w14:textFill>
        </w:rPr>
        <w:t>节能产品政府采购品目清单</w:t>
      </w:r>
    </w:p>
    <w:tbl>
      <w:tblPr>
        <w:tblStyle w:val="35"/>
        <w:tblW w:w="0" w:type="auto"/>
        <w:jc w:val="center"/>
        <w:tblLayout w:type="fixed"/>
        <w:tblCellMar>
          <w:top w:w="0" w:type="dxa"/>
          <w:left w:w="108" w:type="dxa"/>
          <w:bottom w:w="0" w:type="dxa"/>
          <w:right w:w="108" w:type="dxa"/>
        </w:tblCellMar>
      </w:tblPr>
      <w:tblGrid>
        <w:gridCol w:w="660"/>
        <w:gridCol w:w="1080"/>
        <w:gridCol w:w="1320"/>
        <w:gridCol w:w="1620"/>
        <w:gridCol w:w="4540"/>
      </w:tblGrid>
      <w:tr w14:paraId="17C62F60">
        <w:tblPrEx>
          <w:tblCellMar>
            <w:top w:w="0" w:type="dxa"/>
            <w:left w:w="108" w:type="dxa"/>
            <w:bottom w:w="0" w:type="dxa"/>
            <w:right w:w="108" w:type="dxa"/>
          </w:tblCellMar>
        </w:tblPrEx>
        <w:trPr>
          <w:trHeight w:val="555" w:hRule="atLeast"/>
          <w:jc w:val="center"/>
        </w:trPr>
        <w:tc>
          <w:tcPr>
            <w:tcW w:w="660" w:type="dxa"/>
            <w:tcBorders>
              <w:top w:val="single" w:color="000000" w:sz="8" w:space="0"/>
              <w:left w:val="single" w:color="000000" w:sz="8" w:space="0"/>
              <w:bottom w:val="nil"/>
              <w:right w:val="single" w:color="000000" w:sz="8" w:space="0"/>
            </w:tcBorders>
            <w:noWrap w:val="0"/>
            <w:vAlign w:val="top"/>
          </w:tcPr>
          <w:p w14:paraId="4FAD7CD3">
            <w:pPr>
              <w:widowControl/>
              <w:jc w:val="center"/>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品目序号</w:t>
            </w:r>
          </w:p>
        </w:tc>
        <w:tc>
          <w:tcPr>
            <w:tcW w:w="4020" w:type="dxa"/>
            <w:gridSpan w:val="3"/>
            <w:tcBorders>
              <w:top w:val="single" w:color="000000" w:sz="8" w:space="0"/>
              <w:left w:val="nil"/>
              <w:bottom w:val="single" w:color="000000" w:sz="8" w:space="0"/>
              <w:right w:val="single" w:color="000000" w:sz="8" w:space="0"/>
            </w:tcBorders>
            <w:noWrap w:val="0"/>
            <w:vAlign w:val="center"/>
          </w:tcPr>
          <w:p w14:paraId="786EDD0F">
            <w:pPr>
              <w:widowControl/>
              <w:jc w:val="center"/>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名称</w:t>
            </w:r>
          </w:p>
        </w:tc>
        <w:tc>
          <w:tcPr>
            <w:tcW w:w="4540" w:type="dxa"/>
            <w:tcBorders>
              <w:top w:val="single" w:color="000000" w:sz="8" w:space="0"/>
              <w:left w:val="nil"/>
              <w:bottom w:val="single" w:color="000000" w:sz="8" w:space="0"/>
              <w:right w:val="single" w:color="000000" w:sz="8" w:space="0"/>
            </w:tcBorders>
            <w:noWrap w:val="0"/>
            <w:vAlign w:val="center"/>
          </w:tcPr>
          <w:p w14:paraId="2D5DE344">
            <w:pPr>
              <w:widowControl/>
              <w:jc w:val="center"/>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依据的标准</w:t>
            </w:r>
          </w:p>
        </w:tc>
      </w:tr>
      <w:tr w14:paraId="13D01DFD">
        <w:tblPrEx>
          <w:tblCellMar>
            <w:top w:w="0" w:type="dxa"/>
            <w:left w:w="108" w:type="dxa"/>
            <w:bottom w:w="0" w:type="dxa"/>
            <w:right w:w="108" w:type="dxa"/>
          </w:tblCellMar>
        </w:tblPrEx>
        <w:trPr>
          <w:trHeight w:val="495" w:hRule="atLeast"/>
          <w:jc w:val="center"/>
        </w:trPr>
        <w:tc>
          <w:tcPr>
            <w:tcW w:w="660" w:type="dxa"/>
            <w:vMerge w:val="restart"/>
            <w:tcBorders>
              <w:top w:val="single" w:color="000000" w:sz="8" w:space="0"/>
              <w:left w:val="single" w:color="000000" w:sz="8" w:space="0"/>
              <w:bottom w:val="single" w:color="000000" w:sz="8" w:space="0"/>
              <w:right w:val="single" w:color="000000" w:sz="8" w:space="0"/>
            </w:tcBorders>
            <w:noWrap w:val="0"/>
            <w:vAlign w:val="center"/>
          </w:tcPr>
          <w:p w14:paraId="41BC682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47FEB18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A020101计算机设备</w:t>
            </w:r>
          </w:p>
        </w:tc>
        <w:tc>
          <w:tcPr>
            <w:tcW w:w="1320" w:type="dxa"/>
            <w:tcBorders>
              <w:top w:val="nil"/>
              <w:left w:val="nil"/>
              <w:bottom w:val="single" w:color="000000" w:sz="8" w:space="0"/>
              <w:right w:val="single" w:color="000000" w:sz="8" w:space="0"/>
            </w:tcBorders>
            <w:noWrap w:val="0"/>
            <w:vAlign w:val="center"/>
          </w:tcPr>
          <w:p w14:paraId="534CCFE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★A02010104台式计算机</w:t>
            </w:r>
          </w:p>
        </w:tc>
        <w:tc>
          <w:tcPr>
            <w:tcW w:w="1620" w:type="dxa"/>
            <w:tcBorders>
              <w:top w:val="nil"/>
              <w:left w:val="nil"/>
              <w:bottom w:val="single" w:color="000000" w:sz="8" w:space="0"/>
              <w:right w:val="single" w:color="000000" w:sz="8" w:space="0"/>
            </w:tcBorders>
            <w:noWrap w:val="0"/>
            <w:vAlign w:val="center"/>
          </w:tcPr>
          <w:p w14:paraId="59EEF62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3AEF8FFB">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75A6972D">
        <w:tblPrEx>
          <w:tblCellMar>
            <w:top w:w="0" w:type="dxa"/>
            <w:left w:w="108" w:type="dxa"/>
            <w:bottom w:w="0" w:type="dxa"/>
            <w:right w:w="108" w:type="dxa"/>
          </w:tblCellMar>
        </w:tblPrEx>
        <w:trPr>
          <w:trHeight w:val="495" w:hRule="atLeast"/>
          <w:jc w:val="center"/>
        </w:trPr>
        <w:tc>
          <w:tcPr>
            <w:tcW w:w="660" w:type="dxa"/>
            <w:vMerge w:val="continue"/>
            <w:tcBorders>
              <w:top w:val="single" w:color="000000" w:sz="8" w:space="0"/>
              <w:left w:val="single" w:color="000000" w:sz="8" w:space="0"/>
              <w:bottom w:val="single" w:color="000000" w:sz="8" w:space="0"/>
              <w:right w:val="single" w:color="000000" w:sz="8" w:space="0"/>
            </w:tcBorders>
            <w:noWrap w:val="0"/>
            <w:vAlign w:val="center"/>
          </w:tcPr>
          <w:p w14:paraId="3D91EFEA">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22F02A19">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6B74FC9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★A02010105便携式计算机</w:t>
            </w:r>
          </w:p>
        </w:tc>
        <w:tc>
          <w:tcPr>
            <w:tcW w:w="1620" w:type="dxa"/>
            <w:tcBorders>
              <w:top w:val="nil"/>
              <w:left w:val="nil"/>
              <w:bottom w:val="single" w:color="000000" w:sz="8" w:space="0"/>
              <w:right w:val="single" w:color="000000" w:sz="8" w:space="0"/>
            </w:tcBorders>
            <w:noWrap w:val="0"/>
            <w:vAlign w:val="center"/>
          </w:tcPr>
          <w:p w14:paraId="199EBBD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1015D20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3D3EF3F2">
        <w:tblPrEx>
          <w:tblCellMar>
            <w:top w:w="0" w:type="dxa"/>
            <w:left w:w="108" w:type="dxa"/>
            <w:bottom w:w="0" w:type="dxa"/>
            <w:right w:w="108" w:type="dxa"/>
          </w:tblCellMar>
        </w:tblPrEx>
        <w:trPr>
          <w:trHeight w:val="735" w:hRule="atLeast"/>
          <w:jc w:val="center"/>
        </w:trPr>
        <w:tc>
          <w:tcPr>
            <w:tcW w:w="660" w:type="dxa"/>
            <w:vMerge w:val="continue"/>
            <w:tcBorders>
              <w:top w:val="single" w:color="000000" w:sz="8" w:space="0"/>
              <w:left w:val="single" w:color="000000" w:sz="8" w:space="0"/>
              <w:bottom w:val="single" w:color="000000" w:sz="8" w:space="0"/>
              <w:right w:val="single" w:color="000000" w:sz="8" w:space="0"/>
            </w:tcBorders>
            <w:noWrap w:val="0"/>
            <w:vAlign w:val="center"/>
          </w:tcPr>
          <w:p w14:paraId="052026B8">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67B2FF15">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2F9BAA3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★A02010107平板式微型计算机</w:t>
            </w:r>
          </w:p>
        </w:tc>
        <w:tc>
          <w:tcPr>
            <w:tcW w:w="1620" w:type="dxa"/>
            <w:tcBorders>
              <w:top w:val="nil"/>
              <w:left w:val="nil"/>
              <w:bottom w:val="single" w:color="000000" w:sz="8" w:space="0"/>
              <w:right w:val="single" w:color="000000" w:sz="8" w:space="0"/>
            </w:tcBorders>
            <w:noWrap w:val="0"/>
            <w:vAlign w:val="center"/>
          </w:tcPr>
          <w:p w14:paraId="723615C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521D9F54">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39853BFC">
        <w:tblPrEx>
          <w:tblCellMar>
            <w:top w:w="0" w:type="dxa"/>
            <w:left w:w="108" w:type="dxa"/>
            <w:bottom w:w="0" w:type="dxa"/>
            <w:right w:w="108" w:type="dxa"/>
          </w:tblCellMar>
        </w:tblPrEx>
        <w:trPr>
          <w:trHeight w:val="495" w:hRule="atLeast"/>
          <w:jc w:val="center"/>
        </w:trPr>
        <w:tc>
          <w:tcPr>
            <w:tcW w:w="660" w:type="dxa"/>
            <w:vMerge w:val="restart"/>
            <w:tcBorders>
              <w:top w:val="nil"/>
              <w:left w:val="single" w:color="000000" w:sz="8" w:space="0"/>
              <w:bottom w:val="single" w:color="000000" w:sz="8" w:space="0"/>
              <w:right w:val="single" w:color="000000" w:sz="8" w:space="0"/>
            </w:tcBorders>
            <w:noWrap w:val="0"/>
            <w:vAlign w:val="center"/>
          </w:tcPr>
          <w:p w14:paraId="250D393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2</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1AEBDAE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A020106输入输出设备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72F8AC3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A02010601打印设备</w:t>
            </w:r>
          </w:p>
        </w:tc>
        <w:tc>
          <w:tcPr>
            <w:tcW w:w="1620" w:type="dxa"/>
            <w:tcBorders>
              <w:top w:val="nil"/>
              <w:left w:val="nil"/>
              <w:bottom w:val="single" w:color="000000" w:sz="8" w:space="0"/>
              <w:right w:val="single" w:color="000000" w:sz="8" w:space="0"/>
            </w:tcBorders>
            <w:noWrap w:val="0"/>
            <w:vAlign w:val="center"/>
          </w:tcPr>
          <w:p w14:paraId="27151B9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A0201060101喷墨打印机</w:t>
            </w:r>
          </w:p>
        </w:tc>
        <w:tc>
          <w:tcPr>
            <w:tcW w:w="4540" w:type="dxa"/>
            <w:tcBorders>
              <w:top w:val="nil"/>
              <w:left w:val="nil"/>
              <w:bottom w:val="single" w:color="000000" w:sz="8" w:space="0"/>
              <w:right w:val="single" w:color="000000" w:sz="8" w:space="0"/>
            </w:tcBorders>
            <w:noWrap w:val="0"/>
            <w:vAlign w:val="center"/>
          </w:tcPr>
          <w:p w14:paraId="01CA900F">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7D47FA28">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noWrap w:val="0"/>
            <w:vAlign w:val="center"/>
          </w:tcPr>
          <w:p w14:paraId="5D3D6966">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73CF9A4A">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1CE9C2D6">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3158683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★A0201060102激光打印机</w:t>
            </w:r>
          </w:p>
        </w:tc>
        <w:tc>
          <w:tcPr>
            <w:tcW w:w="4540" w:type="dxa"/>
            <w:tcBorders>
              <w:top w:val="nil"/>
              <w:left w:val="nil"/>
              <w:bottom w:val="single" w:color="000000" w:sz="8" w:space="0"/>
              <w:right w:val="single" w:color="000000" w:sz="8" w:space="0"/>
            </w:tcBorders>
            <w:noWrap w:val="0"/>
            <w:vAlign w:val="center"/>
          </w:tcPr>
          <w:p w14:paraId="26AB94C7">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608BC023">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noWrap w:val="0"/>
            <w:vAlign w:val="center"/>
          </w:tcPr>
          <w:p w14:paraId="30976A36">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50C61A4C">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7A10AE3F">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6AEC881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★A0201060104针式打印机</w:t>
            </w:r>
          </w:p>
        </w:tc>
        <w:tc>
          <w:tcPr>
            <w:tcW w:w="4540" w:type="dxa"/>
            <w:tcBorders>
              <w:top w:val="nil"/>
              <w:left w:val="nil"/>
              <w:bottom w:val="single" w:color="000000" w:sz="8" w:space="0"/>
              <w:right w:val="single" w:color="000000" w:sz="8" w:space="0"/>
            </w:tcBorders>
            <w:noWrap w:val="0"/>
            <w:vAlign w:val="center"/>
          </w:tcPr>
          <w:p w14:paraId="659B76C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029BECFC">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noWrap w:val="0"/>
            <w:vAlign w:val="center"/>
          </w:tcPr>
          <w:p w14:paraId="12D38A9E">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03C39A83">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3CAE0D4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A02010604显示设备</w:t>
            </w:r>
          </w:p>
        </w:tc>
        <w:tc>
          <w:tcPr>
            <w:tcW w:w="1620" w:type="dxa"/>
            <w:tcBorders>
              <w:top w:val="nil"/>
              <w:left w:val="nil"/>
              <w:bottom w:val="single" w:color="000000" w:sz="8" w:space="0"/>
              <w:right w:val="single" w:color="000000" w:sz="8" w:space="0"/>
            </w:tcBorders>
            <w:noWrap w:val="0"/>
            <w:vAlign w:val="center"/>
          </w:tcPr>
          <w:p w14:paraId="51ACBF6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★A0201060401液晶显示器</w:t>
            </w:r>
          </w:p>
        </w:tc>
        <w:tc>
          <w:tcPr>
            <w:tcW w:w="4540" w:type="dxa"/>
            <w:tcBorders>
              <w:top w:val="nil"/>
              <w:left w:val="nil"/>
              <w:bottom w:val="single" w:color="000000" w:sz="8" w:space="0"/>
              <w:right w:val="single" w:color="000000" w:sz="8" w:space="0"/>
            </w:tcBorders>
            <w:noWrap w:val="0"/>
            <w:vAlign w:val="center"/>
          </w:tcPr>
          <w:p w14:paraId="374E9F0B">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《计算机显示器能效限定值及能效等级》（GB21520）</w:t>
            </w:r>
          </w:p>
        </w:tc>
      </w:tr>
      <w:tr w14:paraId="5B57EF7D">
        <w:tblPrEx>
          <w:tblCellMar>
            <w:top w:w="0" w:type="dxa"/>
            <w:left w:w="108" w:type="dxa"/>
            <w:bottom w:w="0" w:type="dxa"/>
            <w:right w:w="108" w:type="dxa"/>
          </w:tblCellMar>
        </w:tblPrEx>
        <w:trPr>
          <w:trHeight w:val="975" w:hRule="atLeast"/>
          <w:jc w:val="center"/>
        </w:trPr>
        <w:tc>
          <w:tcPr>
            <w:tcW w:w="660" w:type="dxa"/>
            <w:vMerge w:val="continue"/>
            <w:tcBorders>
              <w:top w:val="nil"/>
              <w:left w:val="single" w:color="000000" w:sz="8" w:space="0"/>
              <w:bottom w:val="single" w:color="000000" w:sz="8" w:space="0"/>
              <w:right w:val="single" w:color="000000" w:sz="8" w:space="0"/>
            </w:tcBorders>
            <w:noWrap w:val="0"/>
            <w:vAlign w:val="center"/>
          </w:tcPr>
          <w:p w14:paraId="2B16542D">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44884784">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11B6341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A02010609图形图像输入设备</w:t>
            </w:r>
          </w:p>
        </w:tc>
        <w:tc>
          <w:tcPr>
            <w:tcW w:w="1620" w:type="dxa"/>
            <w:tcBorders>
              <w:top w:val="nil"/>
              <w:left w:val="nil"/>
              <w:bottom w:val="single" w:color="000000" w:sz="8" w:space="0"/>
              <w:right w:val="single" w:color="000000" w:sz="8" w:space="0"/>
            </w:tcBorders>
            <w:noWrap w:val="0"/>
            <w:vAlign w:val="center"/>
          </w:tcPr>
          <w:p w14:paraId="3F64618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A0201060901扫描仪</w:t>
            </w:r>
          </w:p>
        </w:tc>
        <w:tc>
          <w:tcPr>
            <w:tcW w:w="4540" w:type="dxa"/>
            <w:tcBorders>
              <w:top w:val="nil"/>
              <w:left w:val="nil"/>
              <w:bottom w:val="single" w:color="000000" w:sz="8" w:space="0"/>
              <w:right w:val="single" w:color="000000" w:sz="8" w:space="0"/>
            </w:tcBorders>
            <w:noWrap w:val="0"/>
            <w:vAlign w:val="center"/>
          </w:tcPr>
          <w:p w14:paraId="37731A7C">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参照《复印机、打印机和传真机能效限定值及能效等级》（GB21521中打印速度为15页/分的针式打印机相关要求中打印速度为15页/分的针式打印机相关要求</w:t>
            </w:r>
          </w:p>
        </w:tc>
      </w:tr>
      <w:tr w14:paraId="7865E47D">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0"/>
            <w:vAlign w:val="center"/>
          </w:tcPr>
          <w:p w14:paraId="3B15EE5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3</w:t>
            </w:r>
          </w:p>
        </w:tc>
        <w:tc>
          <w:tcPr>
            <w:tcW w:w="1080" w:type="dxa"/>
            <w:tcBorders>
              <w:top w:val="nil"/>
              <w:left w:val="nil"/>
              <w:bottom w:val="single" w:color="000000" w:sz="8" w:space="0"/>
              <w:right w:val="single" w:color="000000" w:sz="8" w:space="0"/>
            </w:tcBorders>
            <w:noWrap w:val="0"/>
            <w:vAlign w:val="center"/>
          </w:tcPr>
          <w:p w14:paraId="268F954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A020202投影仪</w:t>
            </w:r>
          </w:p>
        </w:tc>
        <w:tc>
          <w:tcPr>
            <w:tcW w:w="1320" w:type="dxa"/>
            <w:tcBorders>
              <w:top w:val="nil"/>
              <w:left w:val="nil"/>
              <w:bottom w:val="single" w:color="000000" w:sz="8" w:space="0"/>
              <w:right w:val="single" w:color="000000" w:sz="8" w:space="0"/>
            </w:tcBorders>
            <w:noWrap w:val="0"/>
            <w:vAlign w:val="center"/>
          </w:tcPr>
          <w:p w14:paraId="026FFCF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4D96ED9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0ADE3B96">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《投影机能效限定值及能效等级》（GB32028）</w:t>
            </w:r>
          </w:p>
        </w:tc>
      </w:tr>
      <w:tr w14:paraId="4094914B">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0"/>
            <w:vAlign w:val="center"/>
          </w:tcPr>
          <w:p w14:paraId="288E328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4</w:t>
            </w:r>
          </w:p>
        </w:tc>
        <w:tc>
          <w:tcPr>
            <w:tcW w:w="1080" w:type="dxa"/>
            <w:tcBorders>
              <w:top w:val="nil"/>
              <w:left w:val="nil"/>
              <w:bottom w:val="single" w:color="000000" w:sz="8" w:space="0"/>
              <w:right w:val="single" w:color="000000" w:sz="8" w:space="0"/>
            </w:tcBorders>
            <w:noWrap w:val="0"/>
            <w:vAlign w:val="center"/>
          </w:tcPr>
          <w:p w14:paraId="5915DCB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A020204多功能一体机</w:t>
            </w:r>
          </w:p>
        </w:tc>
        <w:tc>
          <w:tcPr>
            <w:tcW w:w="1320" w:type="dxa"/>
            <w:tcBorders>
              <w:top w:val="nil"/>
              <w:left w:val="nil"/>
              <w:bottom w:val="single" w:color="000000" w:sz="8" w:space="0"/>
              <w:right w:val="single" w:color="000000" w:sz="8" w:space="0"/>
            </w:tcBorders>
            <w:noWrap w:val="0"/>
            <w:vAlign w:val="center"/>
          </w:tcPr>
          <w:p w14:paraId="24CEB90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6707EFD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52BA86B2">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707308DD">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0"/>
            <w:vAlign w:val="center"/>
          </w:tcPr>
          <w:p w14:paraId="2BB92DF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5</w:t>
            </w:r>
          </w:p>
        </w:tc>
        <w:tc>
          <w:tcPr>
            <w:tcW w:w="1080" w:type="dxa"/>
            <w:tcBorders>
              <w:top w:val="nil"/>
              <w:left w:val="nil"/>
              <w:bottom w:val="single" w:color="000000" w:sz="8" w:space="0"/>
              <w:right w:val="single" w:color="000000" w:sz="8" w:space="0"/>
            </w:tcBorders>
            <w:noWrap w:val="0"/>
            <w:vAlign w:val="center"/>
          </w:tcPr>
          <w:p w14:paraId="22367DB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A020519泵</w:t>
            </w:r>
          </w:p>
        </w:tc>
        <w:tc>
          <w:tcPr>
            <w:tcW w:w="1320" w:type="dxa"/>
            <w:tcBorders>
              <w:top w:val="nil"/>
              <w:left w:val="nil"/>
              <w:bottom w:val="single" w:color="000000" w:sz="8" w:space="0"/>
              <w:right w:val="single" w:color="000000" w:sz="8" w:space="0"/>
            </w:tcBorders>
            <w:noWrap w:val="0"/>
            <w:vAlign w:val="center"/>
          </w:tcPr>
          <w:p w14:paraId="74C0E8C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A02051901离心泵</w:t>
            </w:r>
          </w:p>
        </w:tc>
        <w:tc>
          <w:tcPr>
            <w:tcW w:w="1620" w:type="dxa"/>
            <w:tcBorders>
              <w:top w:val="nil"/>
              <w:left w:val="nil"/>
              <w:bottom w:val="single" w:color="000000" w:sz="8" w:space="0"/>
              <w:right w:val="single" w:color="000000" w:sz="8" w:space="0"/>
            </w:tcBorders>
            <w:noWrap w:val="0"/>
            <w:vAlign w:val="center"/>
          </w:tcPr>
          <w:p w14:paraId="48E0FD9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7C39EB4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《清水离心泵能效限定值及节能评价值》（GB19762）</w:t>
            </w:r>
          </w:p>
        </w:tc>
      </w:tr>
      <w:tr w14:paraId="03F0F67F">
        <w:tblPrEx>
          <w:tblCellMar>
            <w:top w:w="0" w:type="dxa"/>
            <w:left w:w="108" w:type="dxa"/>
            <w:bottom w:w="0" w:type="dxa"/>
            <w:right w:w="108" w:type="dxa"/>
          </w:tblCellMar>
        </w:tblPrEx>
        <w:trPr>
          <w:trHeight w:val="735" w:hRule="atLeast"/>
          <w:jc w:val="center"/>
        </w:trPr>
        <w:tc>
          <w:tcPr>
            <w:tcW w:w="660" w:type="dxa"/>
            <w:vMerge w:val="restart"/>
            <w:tcBorders>
              <w:top w:val="nil"/>
              <w:left w:val="single" w:color="000000" w:sz="8" w:space="0"/>
              <w:bottom w:val="single" w:color="000000" w:sz="8" w:space="0"/>
              <w:right w:val="single" w:color="000000" w:sz="8" w:space="0"/>
            </w:tcBorders>
            <w:noWrap w:val="0"/>
            <w:vAlign w:val="center"/>
          </w:tcPr>
          <w:p w14:paraId="78A2553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6</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0FF707E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A020523制冷空调设备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37D5AD3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★A02052301制冷压缩机</w:t>
            </w:r>
          </w:p>
        </w:tc>
        <w:tc>
          <w:tcPr>
            <w:tcW w:w="1620" w:type="dxa"/>
            <w:tcBorders>
              <w:top w:val="nil"/>
              <w:left w:val="nil"/>
              <w:bottom w:val="single" w:color="000000" w:sz="8" w:space="0"/>
              <w:right w:val="single" w:color="000000" w:sz="8" w:space="0"/>
            </w:tcBorders>
            <w:noWrap w:val="0"/>
            <w:vAlign w:val="center"/>
          </w:tcPr>
          <w:p w14:paraId="2AB0513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冷水机组</w:t>
            </w:r>
          </w:p>
        </w:tc>
        <w:tc>
          <w:tcPr>
            <w:tcW w:w="4540" w:type="dxa"/>
            <w:tcBorders>
              <w:top w:val="nil"/>
              <w:left w:val="nil"/>
              <w:bottom w:val="single" w:color="000000" w:sz="8" w:space="0"/>
              <w:right w:val="single" w:color="000000" w:sz="8" w:space="0"/>
            </w:tcBorders>
            <w:noWrap w:val="0"/>
            <w:vAlign w:val="center"/>
          </w:tcPr>
          <w:p w14:paraId="0A67A9DD">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《冷水机组能效限定值及能效等级》（GB19577），《低环境温度空气源热泵（冷水）机组能效限定值及能效等级》（GB37480）</w:t>
            </w:r>
          </w:p>
        </w:tc>
      </w:tr>
      <w:tr w14:paraId="5352521A">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noWrap w:val="0"/>
            <w:vAlign w:val="center"/>
          </w:tcPr>
          <w:p w14:paraId="61892149">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10FA4047">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37E9D07F">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425882E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水源热泵机组</w:t>
            </w:r>
          </w:p>
        </w:tc>
        <w:tc>
          <w:tcPr>
            <w:tcW w:w="4540" w:type="dxa"/>
            <w:tcBorders>
              <w:top w:val="nil"/>
              <w:left w:val="nil"/>
              <w:bottom w:val="single" w:color="000000" w:sz="8" w:space="0"/>
              <w:right w:val="single" w:color="000000" w:sz="8" w:space="0"/>
            </w:tcBorders>
            <w:noWrap w:val="0"/>
            <w:vAlign w:val="center"/>
          </w:tcPr>
          <w:p w14:paraId="3A75B259">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《水（地）源热泵机组能效限定值及能效等级》（GB30721）</w:t>
            </w:r>
          </w:p>
        </w:tc>
      </w:tr>
      <w:tr w14:paraId="53F0A817">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noWrap w:val="0"/>
            <w:vAlign w:val="center"/>
          </w:tcPr>
          <w:p w14:paraId="2A912590">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220BD120">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6680CB33">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45D55BD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溴化锂吸收式冷水机组</w:t>
            </w:r>
          </w:p>
        </w:tc>
        <w:tc>
          <w:tcPr>
            <w:tcW w:w="4540" w:type="dxa"/>
            <w:tcBorders>
              <w:top w:val="nil"/>
              <w:left w:val="nil"/>
              <w:bottom w:val="single" w:color="000000" w:sz="8" w:space="0"/>
              <w:right w:val="single" w:color="000000" w:sz="8" w:space="0"/>
            </w:tcBorders>
            <w:noWrap w:val="0"/>
            <w:vAlign w:val="center"/>
          </w:tcPr>
          <w:p w14:paraId="44462A8C">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《溴化锂吸收式冷水机组能效限定值及能效等级》（GB29540）</w:t>
            </w:r>
          </w:p>
        </w:tc>
      </w:tr>
      <w:tr w14:paraId="521313CA">
        <w:tblPrEx>
          <w:tblCellMar>
            <w:top w:w="0" w:type="dxa"/>
            <w:left w:w="108" w:type="dxa"/>
            <w:bottom w:w="0" w:type="dxa"/>
            <w:right w:w="108" w:type="dxa"/>
          </w:tblCellMar>
        </w:tblPrEx>
        <w:trPr>
          <w:trHeight w:val="735" w:hRule="atLeast"/>
          <w:jc w:val="center"/>
        </w:trPr>
        <w:tc>
          <w:tcPr>
            <w:tcW w:w="660" w:type="dxa"/>
            <w:vMerge w:val="continue"/>
            <w:tcBorders>
              <w:top w:val="nil"/>
              <w:left w:val="single" w:color="000000" w:sz="8" w:space="0"/>
              <w:bottom w:val="single" w:color="000000" w:sz="8" w:space="0"/>
              <w:right w:val="single" w:color="000000" w:sz="8" w:space="0"/>
            </w:tcBorders>
            <w:noWrap w:val="0"/>
            <w:vAlign w:val="center"/>
          </w:tcPr>
          <w:p w14:paraId="62260475">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53940A0A">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17AA37F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★A02052305空调机组</w:t>
            </w:r>
          </w:p>
        </w:tc>
        <w:tc>
          <w:tcPr>
            <w:tcW w:w="1620" w:type="dxa"/>
            <w:tcBorders>
              <w:top w:val="nil"/>
              <w:left w:val="nil"/>
              <w:bottom w:val="single" w:color="000000" w:sz="8" w:space="0"/>
              <w:right w:val="single" w:color="000000" w:sz="8" w:space="0"/>
            </w:tcBorders>
            <w:noWrap w:val="0"/>
            <w:vAlign w:val="center"/>
          </w:tcPr>
          <w:p w14:paraId="45252EA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多联式空调（热泵）机组(制冷量&gt;14000W)</w:t>
            </w:r>
          </w:p>
        </w:tc>
        <w:tc>
          <w:tcPr>
            <w:tcW w:w="4540" w:type="dxa"/>
            <w:tcBorders>
              <w:top w:val="nil"/>
              <w:left w:val="nil"/>
              <w:bottom w:val="single" w:color="000000" w:sz="8" w:space="0"/>
              <w:right w:val="single" w:color="000000" w:sz="8" w:space="0"/>
            </w:tcBorders>
            <w:noWrap w:val="0"/>
            <w:vAlign w:val="center"/>
          </w:tcPr>
          <w:p w14:paraId="118D8F39">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《多联式空调（热泵）机组能效限定值及能源效率等级》（GB21454）</w:t>
            </w:r>
          </w:p>
        </w:tc>
      </w:tr>
      <w:tr w14:paraId="25894510">
        <w:tblPrEx>
          <w:tblCellMar>
            <w:top w:w="0" w:type="dxa"/>
            <w:left w:w="108" w:type="dxa"/>
            <w:bottom w:w="0" w:type="dxa"/>
            <w:right w:w="108" w:type="dxa"/>
          </w:tblCellMar>
        </w:tblPrEx>
        <w:trPr>
          <w:trHeight w:val="735" w:hRule="atLeast"/>
          <w:jc w:val="center"/>
        </w:trPr>
        <w:tc>
          <w:tcPr>
            <w:tcW w:w="660" w:type="dxa"/>
            <w:vMerge w:val="continue"/>
            <w:tcBorders>
              <w:top w:val="nil"/>
              <w:left w:val="single" w:color="000000" w:sz="8" w:space="0"/>
              <w:bottom w:val="single" w:color="000000" w:sz="8" w:space="0"/>
              <w:right w:val="single" w:color="000000" w:sz="8" w:space="0"/>
            </w:tcBorders>
            <w:noWrap w:val="0"/>
            <w:vAlign w:val="center"/>
          </w:tcPr>
          <w:p w14:paraId="3C7221D5">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292C1AE8">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5F77EF5A">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14B12F6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单元式空气调节机(制冷量&gt;14000W</w:t>
            </w:r>
          </w:p>
        </w:tc>
        <w:tc>
          <w:tcPr>
            <w:tcW w:w="4540" w:type="dxa"/>
            <w:tcBorders>
              <w:top w:val="nil"/>
              <w:left w:val="nil"/>
              <w:bottom w:val="single" w:color="000000" w:sz="8" w:space="0"/>
              <w:right w:val="single" w:color="000000" w:sz="8" w:space="0"/>
            </w:tcBorders>
            <w:noWrap w:val="0"/>
            <w:vAlign w:val="center"/>
          </w:tcPr>
          <w:p w14:paraId="3A73F479">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《单元式空气调节机能效限定值及能效等级》（GB19576）《风管送风式空调机组能效限定值及能效等级》（GB37479）</w:t>
            </w:r>
          </w:p>
        </w:tc>
      </w:tr>
      <w:tr w14:paraId="4433AC3C">
        <w:tblPrEx>
          <w:tblCellMar>
            <w:top w:w="0" w:type="dxa"/>
            <w:left w:w="108" w:type="dxa"/>
            <w:bottom w:w="0" w:type="dxa"/>
            <w:right w:w="108" w:type="dxa"/>
          </w:tblCellMar>
        </w:tblPrEx>
        <w:trPr>
          <w:trHeight w:val="735" w:hRule="atLeast"/>
          <w:jc w:val="center"/>
        </w:trPr>
        <w:tc>
          <w:tcPr>
            <w:tcW w:w="660" w:type="dxa"/>
            <w:vMerge w:val="continue"/>
            <w:tcBorders>
              <w:top w:val="nil"/>
              <w:left w:val="single" w:color="000000" w:sz="8" w:space="0"/>
              <w:bottom w:val="single" w:color="000000" w:sz="8" w:space="0"/>
              <w:right w:val="single" w:color="000000" w:sz="8" w:space="0"/>
            </w:tcBorders>
            <w:noWrap w:val="0"/>
            <w:vAlign w:val="center"/>
          </w:tcPr>
          <w:p w14:paraId="1EA64A67">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5F87B6A1">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3D8532D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★A02052309专用制冷、空调设备</w:t>
            </w:r>
          </w:p>
        </w:tc>
        <w:tc>
          <w:tcPr>
            <w:tcW w:w="1620" w:type="dxa"/>
            <w:tcBorders>
              <w:top w:val="nil"/>
              <w:left w:val="nil"/>
              <w:bottom w:val="single" w:color="000000" w:sz="8" w:space="0"/>
              <w:right w:val="single" w:color="000000" w:sz="8" w:space="0"/>
            </w:tcBorders>
            <w:noWrap w:val="0"/>
            <w:vAlign w:val="center"/>
          </w:tcPr>
          <w:p w14:paraId="0F20D58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机房空调</w:t>
            </w:r>
          </w:p>
        </w:tc>
        <w:tc>
          <w:tcPr>
            <w:tcW w:w="4540" w:type="dxa"/>
            <w:tcBorders>
              <w:top w:val="nil"/>
              <w:left w:val="nil"/>
              <w:bottom w:val="single" w:color="000000" w:sz="8" w:space="0"/>
              <w:right w:val="single" w:color="000000" w:sz="8" w:space="0"/>
            </w:tcBorders>
            <w:noWrap w:val="0"/>
            <w:vAlign w:val="center"/>
          </w:tcPr>
          <w:p w14:paraId="648D84D4">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《单元式空气调节机能效限定值及能效等级》（GB19576）</w:t>
            </w:r>
          </w:p>
        </w:tc>
      </w:tr>
      <w:tr w14:paraId="2C5EB125">
        <w:tblPrEx>
          <w:tblCellMar>
            <w:top w:w="0" w:type="dxa"/>
            <w:left w:w="108" w:type="dxa"/>
            <w:bottom w:w="0" w:type="dxa"/>
            <w:right w:w="108" w:type="dxa"/>
          </w:tblCellMar>
        </w:tblPrEx>
        <w:trPr>
          <w:trHeight w:val="735" w:hRule="atLeast"/>
          <w:jc w:val="center"/>
        </w:trPr>
        <w:tc>
          <w:tcPr>
            <w:tcW w:w="660" w:type="dxa"/>
            <w:vMerge w:val="continue"/>
            <w:tcBorders>
              <w:top w:val="nil"/>
              <w:left w:val="single" w:color="000000" w:sz="8" w:space="0"/>
              <w:bottom w:val="single" w:color="000000" w:sz="8" w:space="0"/>
              <w:right w:val="single" w:color="000000" w:sz="8" w:space="0"/>
            </w:tcBorders>
            <w:noWrap w:val="0"/>
            <w:vAlign w:val="center"/>
          </w:tcPr>
          <w:p w14:paraId="4A709E0A">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43045C15">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7569EE1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A02052399其他制冷空调设备</w:t>
            </w:r>
          </w:p>
        </w:tc>
        <w:tc>
          <w:tcPr>
            <w:tcW w:w="1620" w:type="dxa"/>
            <w:tcBorders>
              <w:top w:val="nil"/>
              <w:left w:val="nil"/>
              <w:bottom w:val="single" w:color="000000" w:sz="8" w:space="0"/>
              <w:right w:val="single" w:color="000000" w:sz="8" w:space="0"/>
            </w:tcBorders>
            <w:noWrap w:val="0"/>
            <w:vAlign w:val="center"/>
          </w:tcPr>
          <w:p w14:paraId="523E11A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冷却塔</w:t>
            </w:r>
          </w:p>
        </w:tc>
        <w:tc>
          <w:tcPr>
            <w:tcW w:w="4540" w:type="dxa"/>
            <w:tcBorders>
              <w:top w:val="nil"/>
              <w:left w:val="nil"/>
              <w:bottom w:val="single" w:color="000000" w:sz="8" w:space="0"/>
              <w:right w:val="single" w:color="000000" w:sz="8" w:space="0"/>
            </w:tcBorders>
            <w:noWrap w:val="0"/>
            <w:vAlign w:val="center"/>
          </w:tcPr>
          <w:p w14:paraId="340AEA48">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《机械通风冷却塔第1部分：中小型开式冷却塔》（GB/T7190.1）；《机械通风冷却塔第2部分：大型开式冷却塔》（GB/T7190.2）</w:t>
            </w:r>
          </w:p>
        </w:tc>
      </w:tr>
      <w:tr w14:paraId="3038FCA3">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0"/>
            <w:vAlign w:val="center"/>
          </w:tcPr>
          <w:p w14:paraId="69ABD39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7</w:t>
            </w:r>
          </w:p>
        </w:tc>
        <w:tc>
          <w:tcPr>
            <w:tcW w:w="1080" w:type="dxa"/>
            <w:tcBorders>
              <w:top w:val="nil"/>
              <w:left w:val="nil"/>
              <w:bottom w:val="single" w:color="000000" w:sz="8" w:space="0"/>
              <w:right w:val="single" w:color="000000" w:sz="8" w:space="0"/>
            </w:tcBorders>
            <w:noWrap w:val="0"/>
            <w:vAlign w:val="center"/>
          </w:tcPr>
          <w:p w14:paraId="55D5260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A020601电机</w:t>
            </w:r>
          </w:p>
        </w:tc>
        <w:tc>
          <w:tcPr>
            <w:tcW w:w="1320" w:type="dxa"/>
            <w:tcBorders>
              <w:top w:val="nil"/>
              <w:left w:val="nil"/>
              <w:bottom w:val="single" w:color="000000" w:sz="8" w:space="0"/>
              <w:right w:val="single" w:color="000000" w:sz="8" w:space="0"/>
            </w:tcBorders>
            <w:noWrap w:val="0"/>
            <w:vAlign w:val="center"/>
          </w:tcPr>
          <w:p w14:paraId="095C471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5945330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6439E751">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《中小型三相异步电动机能效限定值及能效等级》（GB18613）</w:t>
            </w:r>
          </w:p>
        </w:tc>
      </w:tr>
      <w:tr w14:paraId="684289F3">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0"/>
            <w:vAlign w:val="center"/>
          </w:tcPr>
          <w:p w14:paraId="743B089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8</w:t>
            </w:r>
          </w:p>
        </w:tc>
        <w:tc>
          <w:tcPr>
            <w:tcW w:w="1080" w:type="dxa"/>
            <w:tcBorders>
              <w:top w:val="nil"/>
              <w:left w:val="nil"/>
              <w:bottom w:val="single" w:color="000000" w:sz="8" w:space="0"/>
              <w:right w:val="single" w:color="000000" w:sz="8" w:space="0"/>
            </w:tcBorders>
            <w:noWrap w:val="0"/>
            <w:vAlign w:val="center"/>
          </w:tcPr>
          <w:p w14:paraId="2DFCBC6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A020602变压器</w:t>
            </w:r>
          </w:p>
        </w:tc>
        <w:tc>
          <w:tcPr>
            <w:tcW w:w="1320" w:type="dxa"/>
            <w:tcBorders>
              <w:top w:val="nil"/>
              <w:left w:val="nil"/>
              <w:bottom w:val="single" w:color="000000" w:sz="8" w:space="0"/>
              <w:right w:val="single" w:color="000000" w:sz="8" w:space="0"/>
            </w:tcBorders>
            <w:noWrap w:val="0"/>
            <w:vAlign w:val="center"/>
          </w:tcPr>
          <w:p w14:paraId="2B2D402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配电变压器</w:t>
            </w:r>
          </w:p>
        </w:tc>
        <w:tc>
          <w:tcPr>
            <w:tcW w:w="1620" w:type="dxa"/>
            <w:tcBorders>
              <w:top w:val="nil"/>
              <w:left w:val="nil"/>
              <w:bottom w:val="single" w:color="000000" w:sz="8" w:space="0"/>
              <w:right w:val="single" w:color="000000" w:sz="8" w:space="0"/>
            </w:tcBorders>
            <w:noWrap w:val="0"/>
            <w:vAlign w:val="center"/>
          </w:tcPr>
          <w:p w14:paraId="2BD11F9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5BB540E7">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《三相配电变压器能效限定值及能效等级》（GB20052）</w:t>
            </w:r>
          </w:p>
        </w:tc>
      </w:tr>
      <w:tr w14:paraId="1DB39142">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0"/>
            <w:vAlign w:val="center"/>
          </w:tcPr>
          <w:p w14:paraId="56FA5F9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9</w:t>
            </w:r>
          </w:p>
        </w:tc>
        <w:tc>
          <w:tcPr>
            <w:tcW w:w="1080" w:type="dxa"/>
            <w:tcBorders>
              <w:top w:val="nil"/>
              <w:left w:val="nil"/>
              <w:bottom w:val="single" w:color="000000" w:sz="8" w:space="0"/>
              <w:right w:val="single" w:color="000000" w:sz="8" w:space="0"/>
            </w:tcBorders>
            <w:noWrap w:val="0"/>
            <w:vAlign w:val="center"/>
          </w:tcPr>
          <w:p w14:paraId="5588BC1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★A020609镇流器</w:t>
            </w:r>
          </w:p>
        </w:tc>
        <w:tc>
          <w:tcPr>
            <w:tcW w:w="1320" w:type="dxa"/>
            <w:tcBorders>
              <w:top w:val="nil"/>
              <w:left w:val="nil"/>
              <w:bottom w:val="single" w:color="000000" w:sz="8" w:space="0"/>
              <w:right w:val="single" w:color="000000" w:sz="8" w:space="0"/>
            </w:tcBorders>
            <w:noWrap w:val="0"/>
            <w:vAlign w:val="center"/>
          </w:tcPr>
          <w:p w14:paraId="07EC0BB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管型荧光灯镇流器</w:t>
            </w:r>
          </w:p>
        </w:tc>
        <w:tc>
          <w:tcPr>
            <w:tcW w:w="1620" w:type="dxa"/>
            <w:tcBorders>
              <w:top w:val="nil"/>
              <w:left w:val="nil"/>
              <w:bottom w:val="single" w:color="000000" w:sz="8" w:space="0"/>
              <w:right w:val="single" w:color="000000" w:sz="8" w:space="0"/>
            </w:tcBorders>
            <w:noWrap w:val="0"/>
            <w:vAlign w:val="center"/>
          </w:tcPr>
          <w:p w14:paraId="5408654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52679C6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《管形荧光灯镇流器能效限定值及能效等级》（GB17896）</w:t>
            </w:r>
          </w:p>
        </w:tc>
      </w:tr>
      <w:tr w14:paraId="126DD3A7">
        <w:tblPrEx>
          <w:tblCellMar>
            <w:top w:w="0" w:type="dxa"/>
            <w:left w:w="108" w:type="dxa"/>
            <w:bottom w:w="0" w:type="dxa"/>
            <w:right w:w="108" w:type="dxa"/>
          </w:tblCellMar>
        </w:tblPrEx>
        <w:trPr>
          <w:trHeight w:val="495" w:hRule="atLeast"/>
          <w:jc w:val="center"/>
        </w:trPr>
        <w:tc>
          <w:tcPr>
            <w:tcW w:w="660" w:type="dxa"/>
            <w:vMerge w:val="restart"/>
            <w:tcBorders>
              <w:top w:val="nil"/>
              <w:left w:val="single" w:color="000000" w:sz="8" w:space="0"/>
              <w:bottom w:val="single" w:color="000000" w:sz="8" w:space="0"/>
              <w:right w:val="single" w:color="000000" w:sz="8" w:space="0"/>
            </w:tcBorders>
            <w:noWrap w:val="0"/>
            <w:vAlign w:val="center"/>
          </w:tcPr>
          <w:p w14:paraId="71A7A0C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10</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5EFD8C9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A020618生活用电器</w:t>
            </w:r>
          </w:p>
        </w:tc>
        <w:tc>
          <w:tcPr>
            <w:tcW w:w="1320" w:type="dxa"/>
            <w:tcBorders>
              <w:top w:val="nil"/>
              <w:left w:val="nil"/>
              <w:bottom w:val="single" w:color="000000" w:sz="8" w:space="0"/>
              <w:right w:val="single" w:color="000000" w:sz="8" w:space="0"/>
            </w:tcBorders>
            <w:noWrap w:val="0"/>
            <w:vAlign w:val="center"/>
          </w:tcPr>
          <w:p w14:paraId="504C570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A0206180101电冰箱</w:t>
            </w:r>
          </w:p>
        </w:tc>
        <w:tc>
          <w:tcPr>
            <w:tcW w:w="1620" w:type="dxa"/>
            <w:tcBorders>
              <w:top w:val="nil"/>
              <w:left w:val="nil"/>
              <w:bottom w:val="single" w:color="000000" w:sz="8" w:space="0"/>
              <w:right w:val="single" w:color="000000" w:sz="8" w:space="0"/>
            </w:tcBorders>
            <w:noWrap w:val="0"/>
            <w:vAlign w:val="center"/>
          </w:tcPr>
          <w:p w14:paraId="5614A03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6BA8E44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《家用电冰箱耗电量限定值及能效等级》（GB 12021.2）</w:t>
            </w:r>
          </w:p>
        </w:tc>
      </w:tr>
      <w:tr w14:paraId="387D53A6">
        <w:tblPrEx>
          <w:tblCellMar>
            <w:top w:w="0" w:type="dxa"/>
            <w:left w:w="108" w:type="dxa"/>
            <w:bottom w:w="0" w:type="dxa"/>
            <w:right w:w="108" w:type="dxa"/>
          </w:tblCellMar>
        </w:tblPrEx>
        <w:trPr>
          <w:trHeight w:val="975" w:hRule="atLeast"/>
          <w:jc w:val="center"/>
        </w:trPr>
        <w:tc>
          <w:tcPr>
            <w:tcW w:w="660" w:type="dxa"/>
            <w:vMerge w:val="continue"/>
            <w:tcBorders>
              <w:top w:val="nil"/>
              <w:left w:val="single" w:color="000000" w:sz="8" w:space="0"/>
              <w:bottom w:val="single" w:color="000000" w:sz="8" w:space="0"/>
              <w:right w:val="single" w:color="000000" w:sz="8" w:space="0"/>
            </w:tcBorders>
            <w:noWrap w:val="0"/>
            <w:vAlign w:val="center"/>
          </w:tcPr>
          <w:p w14:paraId="1135F0C7">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46D9FE94">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605C472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★A0206180203空调机</w:t>
            </w:r>
          </w:p>
        </w:tc>
        <w:tc>
          <w:tcPr>
            <w:tcW w:w="1620" w:type="dxa"/>
            <w:tcBorders>
              <w:top w:val="nil"/>
              <w:left w:val="nil"/>
              <w:bottom w:val="single" w:color="000000" w:sz="8" w:space="0"/>
              <w:right w:val="single" w:color="000000" w:sz="8" w:space="0"/>
            </w:tcBorders>
            <w:noWrap w:val="0"/>
            <w:vAlign w:val="center"/>
          </w:tcPr>
          <w:p w14:paraId="47178E2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房间空气调节器</w:t>
            </w:r>
          </w:p>
        </w:tc>
        <w:tc>
          <w:tcPr>
            <w:tcW w:w="4540" w:type="dxa"/>
            <w:tcBorders>
              <w:top w:val="nil"/>
              <w:left w:val="nil"/>
              <w:bottom w:val="single" w:color="000000" w:sz="8" w:space="0"/>
              <w:right w:val="single" w:color="000000" w:sz="8" w:space="0"/>
            </w:tcBorders>
            <w:noWrap w:val="0"/>
            <w:vAlign w:val="center"/>
          </w:tcPr>
          <w:p w14:paraId="27B0E4AC">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《转速可控型房间空气调节器能效限定值及能效等级》（GB21455-2013），待2019年修订发布后，按《房间空气调节器能效限定值及能效等级》（GB21455-2019实施。</w:t>
            </w:r>
          </w:p>
        </w:tc>
      </w:tr>
      <w:tr w14:paraId="6898DF25">
        <w:tblPrEx>
          <w:tblCellMar>
            <w:top w:w="0" w:type="dxa"/>
            <w:left w:w="108" w:type="dxa"/>
            <w:bottom w:w="0" w:type="dxa"/>
            <w:right w:w="108" w:type="dxa"/>
          </w:tblCellMar>
        </w:tblPrEx>
        <w:trPr>
          <w:trHeight w:val="735" w:hRule="atLeast"/>
          <w:jc w:val="center"/>
        </w:trPr>
        <w:tc>
          <w:tcPr>
            <w:tcW w:w="660" w:type="dxa"/>
            <w:vMerge w:val="continue"/>
            <w:tcBorders>
              <w:top w:val="nil"/>
              <w:left w:val="single" w:color="000000" w:sz="8" w:space="0"/>
              <w:bottom w:val="single" w:color="000000" w:sz="8" w:space="0"/>
              <w:right w:val="single" w:color="000000" w:sz="8" w:space="0"/>
            </w:tcBorders>
            <w:noWrap w:val="0"/>
            <w:vAlign w:val="center"/>
          </w:tcPr>
          <w:p w14:paraId="2C1C3782">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48E281CC">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7EB78C64">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3749674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多联式空调（热泵）机组（制冷量≤ 14000W）</w:t>
            </w:r>
          </w:p>
        </w:tc>
        <w:tc>
          <w:tcPr>
            <w:tcW w:w="4540" w:type="dxa"/>
            <w:tcBorders>
              <w:top w:val="nil"/>
              <w:left w:val="nil"/>
              <w:bottom w:val="single" w:color="000000" w:sz="8" w:space="0"/>
              <w:right w:val="single" w:color="000000" w:sz="8" w:space="0"/>
            </w:tcBorders>
            <w:noWrap w:val="0"/>
            <w:vAlign w:val="center"/>
          </w:tcPr>
          <w:p w14:paraId="562D0894">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《多联式空调（热泵）机组能效限定值及能源效率等级》（GB21454）</w:t>
            </w:r>
          </w:p>
        </w:tc>
      </w:tr>
      <w:tr w14:paraId="4C110A36">
        <w:tblPrEx>
          <w:tblCellMar>
            <w:top w:w="0" w:type="dxa"/>
            <w:left w:w="108" w:type="dxa"/>
            <w:bottom w:w="0" w:type="dxa"/>
            <w:right w:w="108" w:type="dxa"/>
          </w:tblCellMar>
        </w:tblPrEx>
        <w:trPr>
          <w:trHeight w:val="735" w:hRule="atLeast"/>
          <w:jc w:val="center"/>
        </w:trPr>
        <w:tc>
          <w:tcPr>
            <w:tcW w:w="660" w:type="dxa"/>
            <w:vMerge w:val="continue"/>
            <w:tcBorders>
              <w:top w:val="nil"/>
              <w:left w:val="single" w:color="000000" w:sz="8" w:space="0"/>
              <w:bottom w:val="single" w:color="000000" w:sz="8" w:space="0"/>
              <w:right w:val="single" w:color="000000" w:sz="8" w:space="0"/>
            </w:tcBorders>
            <w:noWrap w:val="0"/>
            <w:vAlign w:val="center"/>
          </w:tcPr>
          <w:p w14:paraId="7017D2F3">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31FFBD46">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032B4D92">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06A31EB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单元式空气调节机(制冷量≤14000W)</w:t>
            </w:r>
          </w:p>
        </w:tc>
        <w:tc>
          <w:tcPr>
            <w:tcW w:w="4540" w:type="dxa"/>
            <w:tcBorders>
              <w:top w:val="nil"/>
              <w:left w:val="nil"/>
              <w:bottom w:val="single" w:color="000000" w:sz="8" w:space="0"/>
              <w:right w:val="single" w:color="000000" w:sz="8" w:space="0"/>
            </w:tcBorders>
            <w:noWrap w:val="0"/>
            <w:vAlign w:val="center"/>
          </w:tcPr>
          <w:p w14:paraId="2622C95E">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《单元式空气调节机能效限定值及能源效率等级》（GB19576）《风管送风式空调机组能效限定值及能效等级》（GB37479）</w:t>
            </w:r>
          </w:p>
        </w:tc>
      </w:tr>
      <w:tr w14:paraId="102B775E">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noWrap w:val="0"/>
            <w:vAlign w:val="center"/>
          </w:tcPr>
          <w:p w14:paraId="020501A8">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33E3C8F0">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26ED4D6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A0206180301洗衣机</w:t>
            </w:r>
          </w:p>
        </w:tc>
        <w:tc>
          <w:tcPr>
            <w:tcW w:w="1620" w:type="dxa"/>
            <w:tcBorders>
              <w:top w:val="nil"/>
              <w:left w:val="nil"/>
              <w:bottom w:val="single" w:color="000000" w:sz="8" w:space="0"/>
              <w:right w:val="single" w:color="000000" w:sz="8" w:space="0"/>
            </w:tcBorders>
            <w:noWrap w:val="0"/>
            <w:vAlign w:val="center"/>
          </w:tcPr>
          <w:p w14:paraId="2836CA1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5ACA7FC3">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《电动洗衣机能效水效限定值及等级》（GB12021.4）</w:t>
            </w:r>
          </w:p>
        </w:tc>
      </w:tr>
      <w:tr w14:paraId="77F2E528">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noWrap w:val="0"/>
            <w:vAlign w:val="center"/>
          </w:tcPr>
          <w:p w14:paraId="20A177C9">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3009B99A">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727A7F8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A02061808热水器</w:t>
            </w:r>
          </w:p>
        </w:tc>
        <w:tc>
          <w:tcPr>
            <w:tcW w:w="1620" w:type="dxa"/>
            <w:tcBorders>
              <w:top w:val="nil"/>
              <w:left w:val="nil"/>
              <w:bottom w:val="single" w:color="000000" w:sz="8" w:space="0"/>
              <w:right w:val="single" w:color="000000" w:sz="8" w:space="0"/>
            </w:tcBorders>
            <w:noWrap w:val="0"/>
            <w:vAlign w:val="center"/>
          </w:tcPr>
          <w:p w14:paraId="15FECB4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★电热水器</w:t>
            </w:r>
          </w:p>
        </w:tc>
        <w:tc>
          <w:tcPr>
            <w:tcW w:w="4540" w:type="dxa"/>
            <w:tcBorders>
              <w:top w:val="nil"/>
              <w:left w:val="nil"/>
              <w:bottom w:val="single" w:color="000000" w:sz="8" w:space="0"/>
              <w:right w:val="single" w:color="000000" w:sz="8" w:space="0"/>
            </w:tcBorders>
            <w:noWrap w:val="0"/>
            <w:vAlign w:val="center"/>
          </w:tcPr>
          <w:p w14:paraId="5ACB8FE8">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《储水式电热水器能效限定值及能效等级》（GB21519）</w:t>
            </w:r>
          </w:p>
        </w:tc>
      </w:tr>
      <w:tr w14:paraId="106F54CC">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noWrap w:val="0"/>
            <w:vAlign w:val="center"/>
          </w:tcPr>
          <w:p w14:paraId="5841DC75">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4988F65E">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6267AF52">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7534F62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燃气热水器</w:t>
            </w:r>
          </w:p>
        </w:tc>
        <w:tc>
          <w:tcPr>
            <w:tcW w:w="4540" w:type="dxa"/>
            <w:tcBorders>
              <w:top w:val="nil"/>
              <w:left w:val="nil"/>
              <w:bottom w:val="single" w:color="000000" w:sz="8" w:space="0"/>
              <w:right w:val="single" w:color="000000" w:sz="8" w:space="0"/>
            </w:tcBorders>
            <w:noWrap w:val="0"/>
            <w:vAlign w:val="center"/>
          </w:tcPr>
          <w:p w14:paraId="1B3722C3">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《家用燃气快速热水器和燃气采暖热水炉能效限定值及能效等级》（GB20665）</w:t>
            </w:r>
          </w:p>
        </w:tc>
      </w:tr>
      <w:tr w14:paraId="7FA60ACE">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noWrap w:val="0"/>
            <w:vAlign w:val="center"/>
          </w:tcPr>
          <w:p w14:paraId="15D8582C">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6F660984">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19561234">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3370475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热泵热水器</w:t>
            </w:r>
          </w:p>
        </w:tc>
        <w:tc>
          <w:tcPr>
            <w:tcW w:w="4540" w:type="dxa"/>
            <w:tcBorders>
              <w:top w:val="nil"/>
              <w:left w:val="nil"/>
              <w:bottom w:val="single" w:color="000000" w:sz="8" w:space="0"/>
              <w:right w:val="single" w:color="000000" w:sz="8" w:space="0"/>
            </w:tcBorders>
            <w:noWrap w:val="0"/>
            <w:vAlign w:val="center"/>
          </w:tcPr>
          <w:p w14:paraId="4A243FB8">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《热泵热水机（器）能效限定值及能效等级》（GB29541）</w:t>
            </w:r>
          </w:p>
        </w:tc>
      </w:tr>
      <w:tr w14:paraId="764ECCBC">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000000" w:sz="8" w:space="0"/>
              <w:bottom w:val="single" w:color="000000" w:sz="8" w:space="0"/>
              <w:right w:val="single" w:color="000000" w:sz="8" w:space="0"/>
            </w:tcBorders>
            <w:noWrap w:val="0"/>
            <w:vAlign w:val="center"/>
          </w:tcPr>
          <w:p w14:paraId="24C5D732">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18D25A15">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0D5B5665">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202A91D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太阳能热水系统</w:t>
            </w:r>
          </w:p>
        </w:tc>
        <w:tc>
          <w:tcPr>
            <w:tcW w:w="4540" w:type="dxa"/>
            <w:tcBorders>
              <w:top w:val="nil"/>
              <w:left w:val="nil"/>
              <w:bottom w:val="single" w:color="000000" w:sz="8" w:space="0"/>
              <w:right w:val="single" w:color="000000" w:sz="8" w:space="0"/>
            </w:tcBorders>
            <w:noWrap w:val="0"/>
            <w:vAlign w:val="center"/>
          </w:tcPr>
          <w:p w14:paraId="49DA0C75">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《家用太阳能热水系统能效限定值及能效等级》（GB26969）</w:t>
            </w:r>
          </w:p>
        </w:tc>
      </w:tr>
      <w:tr w14:paraId="492599DE">
        <w:tblPrEx>
          <w:tblCellMar>
            <w:top w:w="0" w:type="dxa"/>
            <w:left w:w="108" w:type="dxa"/>
            <w:bottom w:w="0" w:type="dxa"/>
            <w:right w:w="108" w:type="dxa"/>
          </w:tblCellMar>
        </w:tblPrEx>
        <w:trPr>
          <w:trHeight w:val="495" w:hRule="atLeast"/>
          <w:jc w:val="center"/>
        </w:trPr>
        <w:tc>
          <w:tcPr>
            <w:tcW w:w="660" w:type="dxa"/>
            <w:vMerge w:val="restart"/>
            <w:tcBorders>
              <w:top w:val="nil"/>
              <w:left w:val="single" w:color="auto" w:sz="8" w:space="0"/>
              <w:bottom w:val="single" w:color="auto" w:sz="8" w:space="0"/>
              <w:right w:val="single" w:color="auto" w:sz="8" w:space="0"/>
            </w:tcBorders>
            <w:noWrap w:val="0"/>
            <w:vAlign w:val="center"/>
          </w:tcPr>
          <w:p w14:paraId="10600EC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11</w:t>
            </w:r>
          </w:p>
        </w:tc>
        <w:tc>
          <w:tcPr>
            <w:tcW w:w="1080" w:type="dxa"/>
            <w:vMerge w:val="restart"/>
            <w:tcBorders>
              <w:top w:val="nil"/>
              <w:left w:val="single" w:color="auto" w:sz="8" w:space="0"/>
              <w:bottom w:val="single" w:color="auto" w:sz="8" w:space="0"/>
              <w:right w:val="single" w:color="auto" w:sz="8" w:space="0"/>
            </w:tcBorders>
            <w:noWrap w:val="0"/>
            <w:vAlign w:val="center"/>
          </w:tcPr>
          <w:p w14:paraId="06A09D4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A020619照明设备</w:t>
            </w:r>
          </w:p>
        </w:tc>
        <w:tc>
          <w:tcPr>
            <w:tcW w:w="1320" w:type="dxa"/>
            <w:tcBorders>
              <w:top w:val="nil"/>
              <w:left w:val="nil"/>
              <w:bottom w:val="single" w:color="auto" w:sz="8" w:space="0"/>
              <w:right w:val="single" w:color="auto" w:sz="8" w:space="0"/>
            </w:tcBorders>
            <w:noWrap w:val="0"/>
            <w:vAlign w:val="center"/>
          </w:tcPr>
          <w:p w14:paraId="6D981E4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★普通照明用双端荧光灯</w:t>
            </w:r>
          </w:p>
        </w:tc>
        <w:tc>
          <w:tcPr>
            <w:tcW w:w="1620" w:type="dxa"/>
            <w:tcBorders>
              <w:top w:val="nil"/>
              <w:left w:val="nil"/>
              <w:bottom w:val="single" w:color="auto" w:sz="8" w:space="0"/>
              <w:right w:val="single" w:color="auto" w:sz="8" w:space="0"/>
            </w:tcBorders>
            <w:noWrap w:val="0"/>
            <w:vAlign w:val="center"/>
          </w:tcPr>
          <w:p w14:paraId="347C75E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noWrap w:val="0"/>
            <w:vAlign w:val="center"/>
          </w:tcPr>
          <w:p w14:paraId="5DE21201">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《普通照明用双端荧光灯能效限定值及能效等级》（GB19043）</w:t>
            </w:r>
          </w:p>
        </w:tc>
      </w:tr>
      <w:tr w14:paraId="344AB6E8">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auto" w:sz="8" w:space="0"/>
              <w:bottom w:val="single" w:color="auto" w:sz="8" w:space="0"/>
              <w:right w:val="single" w:color="auto" w:sz="8" w:space="0"/>
            </w:tcBorders>
            <w:noWrap w:val="0"/>
            <w:vAlign w:val="center"/>
          </w:tcPr>
          <w:p w14:paraId="085E239C">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auto" w:sz="8" w:space="0"/>
              <w:bottom w:val="single" w:color="auto" w:sz="8" w:space="0"/>
              <w:right w:val="single" w:color="auto" w:sz="8" w:space="0"/>
            </w:tcBorders>
            <w:noWrap w:val="0"/>
            <w:vAlign w:val="center"/>
          </w:tcPr>
          <w:p w14:paraId="6B4D381B">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auto" w:sz="8" w:space="0"/>
              <w:right w:val="single" w:color="auto" w:sz="8" w:space="0"/>
            </w:tcBorders>
            <w:noWrap w:val="0"/>
            <w:vAlign w:val="center"/>
          </w:tcPr>
          <w:p w14:paraId="7CE7AB2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LED道路/隧道照明产品</w:t>
            </w:r>
          </w:p>
        </w:tc>
        <w:tc>
          <w:tcPr>
            <w:tcW w:w="1620" w:type="dxa"/>
            <w:tcBorders>
              <w:top w:val="nil"/>
              <w:left w:val="nil"/>
              <w:bottom w:val="single" w:color="auto" w:sz="8" w:space="0"/>
              <w:right w:val="single" w:color="auto" w:sz="8" w:space="0"/>
            </w:tcBorders>
            <w:noWrap w:val="0"/>
            <w:vAlign w:val="center"/>
          </w:tcPr>
          <w:p w14:paraId="271361D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noWrap w:val="0"/>
            <w:vAlign w:val="center"/>
          </w:tcPr>
          <w:p w14:paraId="58955451">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《道路和隧道照明用LED灯具能效限定值及能效等级》（GB37478）</w:t>
            </w:r>
          </w:p>
        </w:tc>
      </w:tr>
      <w:tr w14:paraId="110FEFA4">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auto" w:sz="8" w:space="0"/>
              <w:bottom w:val="single" w:color="auto" w:sz="8" w:space="0"/>
              <w:right w:val="single" w:color="auto" w:sz="8" w:space="0"/>
            </w:tcBorders>
            <w:noWrap w:val="0"/>
            <w:vAlign w:val="center"/>
          </w:tcPr>
          <w:p w14:paraId="1BB92C9E">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auto" w:sz="8" w:space="0"/>
              <w:bottom w:val="single" w:color="auto" w:sz="8" w:space="0"/>
              <w:right w:val="single" w:color="auto" w:sz="8" w:space="0"/>
            </w:tcBorders>
            <w:noWrap w:val="0"/>
            <w:vAlign w:val="center"/>
          </w:tcPr>
          <w:p w14:paraId="627D64C6">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auto" w:sz="8" w:space="0"/>
              <w:right w:val="single" w:color="auto" w:sz="8" w:space="0"/>
            </w:tcBorders>
            <w:noWrap w:val="0"/>
            <w:vAlign w:val="center"/>
          </w:tcPr>
          <w:p w14:paraId="77B8F0F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LED筒灯</w:t>
            </w:r>
          </w:p>
        </w:tc>
        <w:tc>
          <w:tcPr>
            <w:tcW w:w="1620" w:type="dxa"/>
            <w:tcBorders>
              <w:top w:val="nil"/>
              <w:left w:val="nil"/>
              <w:bottom w:val="single" w:color="auto" w:sz="8" w:space="0"/>
              <w:right w:val="single" w:color="auto" w:sz="8" w:space="0"/>
            </w:tcBorders>
            <w:noWrap w:val="0"/>
            <w:vAlign w:val="center"/>
          </w:tcPr>
          <w:p w14:paraId="01578BC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noWrap w:val="0"/>
            <w:vAlign w:val="center"/>
          </w:tcPr>
          <w:p w14:paraId="5998E9E6">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《室内照明用LED产品能效限定值及能效等级》（GB30255）</w:t>
            </w:r>
          </w:p>
        </w:tc>
      </w:tr>
      <w:tr w14:paraId="231C28A9">
        <w:tblPrEx>
          <w:tblCellMar>
            <w:top w:w="0" w:type="dxa"/>
            <w:left w:w="108" w:type="dxa"/>
            <w:bottom w:w="0" w:type="dxa"/>
            <w:right w:w="108" w:type="dxa"/>
          </w:tblCellMar>
        </w:tblPrEx>
        <w:trPr>
          <w:trHeight w:val="735" w:hRule="atLeast"/>
          <w:jc w:val="center"/>
        </w:trPr>
        <w:tc>
          <w:tcPr>
            <w:tcW w:w="660" w:type="dxa"/>
            <w:vMerge w:val="continue"/>
            <w:tcBorders>
              <w:top w:val="nil"/>
              <w:left w:val="single" w:color="auto" w:sz="8" w:space="0"/>
              <w:bottom w:val="single" w:color="auto" w:sz="8" w:space="0"/>
              <w:right w:val="single" w:color="auto" w:sz="8" w:space="0"/>
            </w:tcBorders>
            <w:noWrap w:val="0"/>
            <w:vAlign w:val="center"/>
          </w:tcPr>
          <w:p w14:paraId="72D95C8E">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auto" w:sz="8" w:space="0"/>
              <w:bottom w:val="single" w:color="auto" w:sz="8" w:space="0"/>
              <w:right w:val="single" w:color="auto" w:sz="8" w:space="0"/>
            </w:tcBorders>
            <w:noWrap w:val="0"/>
            <w:vAlign w:val="center"/>
          </w:tcPr>
          <w:p w14:paraId="2AA1F371">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auto" w:sz="8" w:space="0"/>
              <w:right w:val="single" w:color="auto" w:sz="8" w:space="0"/>
            </w:tcBorders>
            <w:noWrap w:val="0"/>
            <w:vAlign w:val="center"/>
          </w:tcPr>
          <w:p w14:paraId="3EA4DDF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普通照明用非定向自镇流LED灯</w:t>
            </w:r>
          </w:p>
        </w:tc>
        <w:tc>
          <w:tcPr>
            <w:tcW w:w="1620" w:type="dxa"/>
            <w:tcBorders>
              <w:top w:val="nil"/>
              <w:left w:val="nil"/>
              <w:bottom w:val="single" w:color="auto" w:sz="8" w:space="0"/>
              <w:right w:val="single" w:color="auto" w:sz="8" w:space="0"/>
            </w:tcBorders>
            <w:noWrap w:val="0"/>
            <w:vAlign w:val="center"/>
          </w:tcPr>
          <w:p w14:paraId="1F44975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noWrap w:val="0"/>
            <w:vAlign w:val="center"/>
          </w:tcPr>
          <w:p w14:paraId="00DEE7E2">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《室内照明用LED产品能效限定值及能效等级》（GB30255）</w:t>
            </w:r>
          </w:p>
        </w:tc>
      </w:tr>
      <w:tr w14:paraId="16375BEE">
        <w:tblPrEx>
          <w:tblCellMar>
            <w:top w:w="0" w:type="dxa"/>
            <w:left w:w="108" w:type="dxa"/>
            <w:bottom w:w="0" w:type="dxa"/>
            <w:right w:w="108" w:type="dxa"/>
          </w:tblCellMar>
        </w:tblPrEx>
        <w:trPr>
          <w:trHeight w:val="735" w:hRule="atLeast"/>
          <w:jc w:val="center"/>
        </w:trPr>
        <w:tc>
          <w:tcPr>
            <w:tcW w:w="660" w:type="dxa"/>
            <w:tcBorders>
              <w:top w:val="nil"/>
              <w:left w:val="single" w:color="auto" w:sz="8" w:space="0"/>
              <w:bottom w:val="single" w:color="auto" w:sz="8" w:space="0"/>
              <w:right w:val="single" w:color="auto" w:sz="8" w:space="0"/>
            </w:tcBorders>
            <w:noWrap w:val="0"/>
            <w:vAlign w:val="center"/>
          </w:tcPr>
          <w:p w14:paraId="2D08EE5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12</w:t>
            </w:r>
          </w:p>
        </w:tc>
        <w:tc>
          <w:tcPr>
            <w:tcW w:w="1080" w:type="dxa"/>
            <w:tcBorders>
              <w:top w:val="nil"/>
              <w:left w:val="nil"/>
              <w:bottom w:val="single" w:color="auto" w:sz="8" w:space="0"/>
              <w:right w:val="single" w:color="auto" w:sz="8" w:space="0"/>
            </w:tcBorders>
            <w:noWrap w:val="0"/>
            <w:vAlign w:val="center"/>
          </w:tcPr>
          <w:p w14:paraId="6B98475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★A020910电视设备</w:t>
            </w:r>
          </w:p>
        </w:tc>
        <w:tc>
          <w:tcPr>
            <w:tcW w:w="1320" w:type="dxa"/>
            <w:tcBorders>
              <w:top w:val="nil"/>
              <w:left w:val="nil"/>
              <w:bottom w:val="single" w:color="auto" w:sz="8" w:space="0"/>
              <w:right w:val="single" w:color="auto" w:sz="8" w:space="0"/>
            </w:tcBorders>
            <w:noWrap w:val="0"/>
            <w:vAlign w:val="center"/>
          </w:tcPr>
          <w:p w14:paraId="4A3D6EA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A02091001普通电视设备（电视机）</w:t>
            </w:r>
          </w:p>
        </w:tc>
        <w:tc>
          <w:tcPr>
            <w:tcW w:w="1620" w:type="dxa"/>
            <w:tcBorders>
              <w:top w:val="nil"/>
              <w:left w:val="nil"/>
              <w:bottom w:val="single" w:color="auto" w:sz="8" w:space="0"/>
              <w:right w:val="single" w:color="auto" w:sz="8" w:space="0"/>
            </w:tcBorders>
            <w:noWrap w:val="0"/>
            <w:vAlign w:val="center"/>
          </w:tcPr>
          <w:p w14:paraId="1E47722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noWrap w:val="0"/>
            <w:vAlign w:val="center"/>
          </w:tcPr>
          <w:p w14:paraId="23E5B1C8">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《平板电视能效限定值及能效等级》（GB24850）</w:t>
            </w:r>
          </w:p>
        </w:tc>
      </w:tr>
      <w:tr w14:paraId="5963B2FB">
        <w:tblPrEx>
          <w:tblCellMar>
            <w:top w:w="0" w:type="dxa"/>
            <w:left w:w="108" w:type="dxa"/>
            <w:bottom w:w="0" w:type="dxa"/>
            <w:right w:w="108" w:type="dxa"/>
          </w:tblCellMar>
        </w:tblPrEx>
        <w:trPr>
          <w:trHeight w:val="975" w:hRule="atLeast"/>
          <w:jc w:val="center"/>
        </w:trPr>
        <w:tc>
          <w:tcPr>
            <w:tcW w:w="660" w:type="dxa"/>
            <w:tcBorders>
              <w:top w:val="nil"/>
              <w:left w:val="single" w:color="auto" w:sz="8" w:space="0"/>
              <w:bottom w:val="single" w:color="auto" w:sz="8" w:space="0"/>
              <w:right w:val="single" w:color="auto" w:sz="8" w:space="0"/>
            </w:tcBorders>
            <w:noWrap w:val="0"/>
            <w:vAlign w:val="center"/>
          </w:tcPr>
          <w:p w14:paraId="40D113D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13</w:t>
            </w:r>
          </w:p>
        </w:tc>
        <w:tc>
          <w:tcPr>
            <w:tcW w:w="1080" w:type="dxa"/>
            <w:tcBorders>
              <w:top w:val="nil"/>
              <w:left w:val="nil"/>
              <w:bottom w:val="single" w:color="auto" w:sz="8" w:space="0"/>
              <w:right w:val="single" w:color="auto" w:sz="8" w:space="0"/>
            </w:tcBorders>
            <w:noWrap w:val="0"/>
            <w:vAlign w:val="center"/>
          </w:tcPr>
          <w:p w14:paraId="32D83AC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★A020911视频设备</w:t>
            </w:r>
          </w:p>
        </w:tc>
        <w:tc>
          <w:tcPr>
            <w:tcW w:w="1320" w:type="dxa"/>
            <w:tcBorders>
              <w:top w:val="nil"/>
              <w:left w:val="nil"/>
              <w:bottom w:val="single" w:color="auto" w:sz="8" w:space="0"/>
              <w:right w:val="single" w:color="auto" w:sz="8" w:space="0"/>
            </w:tcBorders>
            <w:noWrap w:val="0"/>
            <w:vAlign w:val="center"/>
          </w:tcPr>
          <w:p w14:paraId="2AE45AE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A02091107视频监控设备</w:t>
            </w:r>
          </w:p>
        </w:tc>
        <w:tc>
          <w:tcPr>
            <w:tcW w:w="1620" w:type="dxa"/>
            <w:tcBorders>
              <w:top w:val="nil"/>
              <w:left w:val="nil"/>
              <w:bottom w:val="single" w:color="auto" w:sz="8" w:space="0"/>
              <w:right w:val="single" w:color="auto" w:sz="8" w:space="0"/>
            </w:tcBorders>
            <w:noWrap w:val="0"/>
            <w:vAlign w:val="center"/>
          </w:tcPr>
          <w:p w14:paraId="1C83F34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监视器</w:t>
            </w:r>
          </w:p>
        </w:tc>
        <w:tc>
          <w:tcPr>
            <w:tcW w:w="4540" w:type="dxa"/>
            <w:tcBorders>
              <w:top w:val="nil"/>
              <w:left w:val="nil"/>
              <w:bottom w:val="single" w:color="auto" w:sz="8" w:space="0"/>
              <w:right w:val="single" w:color="auto" w:sz="8" w:space="0"/>
            </w:tcBorders>
            <w:noWrap w:val="0"/>
            <w:vAlign w:val="center"/>
          </w:tcPr>
          <w:p w14:paraId="771C05D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以射频信号为主要信号输入的监视器应符合《平板电视能效限定值及能效等级》（GB24850），以数字信号为主要信号输入的监视器应符合《计算机显示器能效限定值及能效等级》（GB21520）</w:t>
            </w:r>
          </w:p>
        </w:tc>
      </w:tr>
      <w:tr w14:paraId="43933B60">
        <w:tblPrEx>
          <w:tblCellMar>
            <w:top w:w="0" w:type="dxa"/>
            <w:left w:w="108" w:type="dxa"/>
            <w:bottom w:w="0" w:type="dxa"/>
            <w:right w:w="108" w:type="dxa"/>
          </w:tblCellMar>
        </w:tblPrEx>
        <w:trPr>
          <w:trHeight w:val="495" w:hRule="atLeast"/>
          <w:jc w:val="center"/>
        </w:trPr>
        <w:tc>
          <w:tcPr>
            <w:tcW w:w="660" w:type="dxa"/>
            <w:tcBorders>
              <w:top w:val="nil"/>
              <w:left w:val="single" w:color="auto" w:sz="8" w:space="0"/>
              <w:bottom w:val="single" w:color="auto" w:sz="8" w:space="0"/>
              <w:right w:val="single" w:color="auto" w:sz="8" w:space="0"/>
            </w:tcBorders>
            <w:noWrap w:val="0"/>
            <w:vAlign w:val="center"/>
          </w:tcPr>
          <w:p w14:paraId="21939CC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14</w:t>
            </w:r>
          </w:p>
        </w:tc>
        <w:tc>
          <w:tcPr>
            <w:tcW w:w="1080" w:type="dxa"/>
            <w:tcBorders>
              <w:top w:val="nil"/>
              <w:left w:val="nil"/>
              <w:bottom w:val="single" w:color="auto" w:sz="8" w:space="0"/>
              <w:right w:val="single" w:color="auto" w:sz="8" w:space="0"/>
            </w:tcBorders>
            <w:noWrap w:val="0"/>
            <w:vAlign w:val="center"/>
          </w:tcPr>
          <w:p w14:paraId="1B9E7CF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A031210饮食炊事机械</w:t>
            </w:r>
          </w:p>
        </w:tc>
        <w:tc>
          <w:tcPr>
            <w:tcW w:w="1320" w:type="dxa"/>
            <w:tcBorders>
              <w:top w:val="nil"/>
              <w:left w:val="nil"/>
              <w:bottom w:val="single" w:color="auto" w:sz="8" w:space="0"/>
              <w:right w:val="single" w:color="auto" w:sz="8" w:space="0"/>
            </w:tcBorders>
            <w:noWrap w:val="0"/>
            <w:vAlign w:val="center"/>
          </w:tcPr>
          <w:p w14:paraId="730CD0E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商用燃气灶具</w:t>
            </w:r>
          </w:p>
        </w:tc>
        <w:tc>
          <w:tcPr>
            <w:tcW w:w="1620" w:type="dxa"/>
            <w:tcBorders>
              <w:top w:val="nil"/>
              <w:left w:val="nil"/>
              <w:bottom w:val="single" w:color="auto" w:sz="8" w:space="0"/>
              <w:right w:val="single" w:color="auto" w:sz="8" w:space="0"/>
            </w:tcBorders>
            <w:noWrap w:val="0"/>
            <w:vAlign w:val="center"/>
          </w:tcPr>
          <w:p w14:paraId="639B25A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noWrap w:val="0"/>
            <w:vAlign w:val="center"/>
          </w:tcPr>
          <w:p w14:paraId="2D57D0D2">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《商用燃气灶具能效限定值及能效等级》（GB30531）</w:t>
            </w:r>
          </w:p>
        </w:tc>
      </w:tr>
      <w:tr w14:paraId="1713EFD7">
        <w:tblPrEx>
          <w:tblCellMar>
            <w:top w:w="0" w:type="dxa"/>
            <w:left w:w="108" w:type="dxa"/>
            <w:bottom w:w="0" w:type="dxa"/>
            <w:right w:w="108" w:type="dxa"/>
          </w:tblCellMar>
        </w:tblPrEx>
        <w:trPr>
          <w:trHeight w:val="285" w:hRule="atLeast"/>
          <w:jc w:val="center"/>
        </w:trPr>
        <w:tc>
          <w:tcPr>
            <w:tcW w:w="660" w:type="dxa"/>
            <w:vMerge w:val="restart"/>
            <w:tcBorders>
              <w:top w:val="nil"/>
              <w:left w:val="single" w:color="auto" w:sz="8" w:space="0"/>
              <w:bottom w:val="single" w:color="auto" w:sz="8" w:space="0"/>
              <w:right w:val="single" w:color="auto" w:sz="8" w:space="0"/>
            </w:tcBorders>
            <w:noWrap w:val="0"/>
            <w:vAlign w:val="center"/>
          </w:tcPr>
          <w:p w14:paraId="3F75CCC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15</w:t>
            </w:r>
          </w:p>
        </w:tc>
        <w:tc>
          <w:tcPr>
            <w:tcW w:w="1080" w:type="dxa"/>
            <w:vMerge w:val="restart"/>
            <w:tcBorders>
              <w:top w:val="nil"/>
              <w:left w:val="single" w:color="auto" w:sz="8" w:space="0"/>
              <w:bottom w:val="single" w:color="000000" w:sz="8" w:space="0"/>
              <w:right w:val="single" w:color="auto" w:sz="8" w:space="0"/>
            </w:tcBorders>
            <w:noWrap w:val="0"/>
            <w:vAlign w:val="center"/>
          </w:tcPr>
          <w:p w14:paraId="44C3947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★A060805便器</w:t>
            </w:r>
          </w:p>
        </w:tc>
        <w:tc>
          <w:tcPr>
            <w:tcW w:w="1320" w:type="dxa"/>
            <w:tcBorders>
              <w:top w:val="nil"/>
              <w:left w:val="nil"/>
              <w:bottom w:val="single" w:color="auto" w:sz="8" w:space="0"/>
              <w:right w:val="single" w:color="auto" w:sz="8" w:space="0"/>
            </w:tcBorders>
            <w:noWrap w:val="0"/>
            <w:vAlign w:val="center"/>
          </w:tcPr>
          <w:p w14:paraId="10B7BD3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坐便器</w:t>
            </w:r>
          </w:p>
        </w:tc>
        <w:tc>
          <w:tcPr>
            <w:tcW w:w="1620" w:type="dxa"/>
            <w:tcBorders>
              <w:top w:val="nil"/>
              <w:left w:val="nil"/>
              <w:bottom w:val="single" w:color="auto" w:sz="8" w:space="0"/>
              <w:right w:val="single" w:color="auto" w:sz="8" w:space="0"/>
            </w:tcBorders>
            <w:noWrap w:val="0"/>
            <w:vAlign w:val="center"/>
          </w:tcPr>
          <w:p w14:paraId="3670313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noWrap w:val="0"/>
            <w:vAlign w:val="center"/>
          </w:tcPr>
          <w:p w14:paraId="46C46ACB">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《坐便器水效限定值及水效等级》（GB25502）</w:t>
            </w:r>
          </w:p>
        </w:tc>
      </w:tr>
      <w:tr w14:paraId="0A53B091">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auto" w:sz="8" w:space="0"/>
              <w:bottom w:val="single" w:color="auto" w:sz="8" w:space="0"/>
              <w:right w:val="single" w:color="auto" w:sz="8" w:space="0"/>
            </w:tcBorders>
            <w:noWrap w:val="0"/>
            <w:vAlign w:val="center"/>
          </w:tcPr>
          <w:p w14:paraId="60367B57">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auto" w:sz="8" w:space="0"/>
              <w:bottom w:val="single" w:color="000000" w:sz="8" w:space="0"/>
              <w:right w:val="single" w:color="auto" w:sz="8" w:space="0"/>
            </w:tcBorders>
            <w:noWrap w:val="0"/>
            <w:vAlign w:val="center"/>
          </w:tcPr>
          <w:p w14:paraId="2BF6F9A6">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auto" w:sz="8" w:space="0"/>
              <w:right w:val="single" w:color="auto" w:sz="8" w:space="0"/>
            </w:tcBorders>
            <w:noWrap w:val="0"/>
            <w:vAlign w:val="center"/>
          </w:tcPr>
          <w:p w14:paraId="62919A0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蹲便器</w:t>
            </w:r>
          </w:p>
        </w:tc>
        <w:tc>
          <w:tcPr>
            <w:tcW w:w="1620" w:type="dxa"/>
            <w:tcBorders>
              <w:top w:val="nil"/>
              <w:left w:val="nil"/>
              <w:bottom w:val="single" w:color="auto" w:sz="8" w:space="0"/>
              <w:right w:val="single" w:color="auto" w:sz="8" w:space="0"/>
            </w:tcBorders>
            <w:noWrap w:val="0"/>
            <w:vAlign w:val="center"/>
          </w:tcPr>
          <w:p w14:paraId="2309F5B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noWrap w:val="0"/>
            <w:vAlign w:val="center"/>
          </w:tcPr>
          <w:p w14:paraId="0454D77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《蹲便器用水效率限定值及用水效率等级》（GB30717）</w:t>
            </w:r>
          </w:p>
        </w:tc>
      </w:tr>
      <w:tr w14:paraId="1D5816B9">
        <w:tblPrEx>
          <w:tblCellMar>
            <w:top w:w="0" w:type="dxa"/>
            <w:left w:w="108" w:type="dxa"/>
            <w:bottom w:w="0" w:type="dxa"/>
            <w:right w:w="108" w:type="dxa"/>
          </w:tblCellMar>
        </w:tblPrEx>
        <w:trPr>
          <w:trHeight w:val="495" w:hRule="atLeast"/>
          <w:jc w:val="center"/>
        </w:trPr>
        <w:tc>
          <w:tcPr>
            <w:tcW w:w="660" w:type="dxa"/>
            <w:vMerge w:val="continue"/>
            <w:tcBorders>
              <w:top w:val="nil"/>
              <w:left w:val="single" w:color="auto" w:sz="8" w:space="0"/>
              <w:bottom w:val="single" w:color="auto" w:sz="8" w:space="0"/>
              <w:right w:val="single" w:color="auto" w:sz="8" w:space="0"/>
            </w:tcBorders>
            <w:noWrap w:val="0"/>
            <w:vAlign w:val="center"/>
          </w:tcPr>
          <w:p w14:paraId="68D9303D">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auto" w:sz="8" w:space="0"/>
              <w:bottom w:val="single" w:color="000000" w:sz="8" w:space="0"/>
              <w:right w:val="single" w:color="auto" w:sz="8" w:space="0"/>
            </w:tcBorders>
            <w:noWrap w:val="0"/>
            <w:vAlign w:val="center"/>
          </w:tcPr>
          <w:p w14:paraId="6E2AD284">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auto" w:sz="8" w:space="0"/>
              <w:right w:val="single" w:color="auto" w:sz="8" w:space="0"/>
            </w:tcBorders>
            <w:noWrap w:val="0"/>
            <w:vAlign w:val="center"/>
          </w:tcPr>
          <w:p w14:paraId="3DBD1E0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小便器</w:t>
            </w:r>
          </w:p>
        </w:tc>
        <w:tc>
          <w:tcPr>
            <w:tcW w:w="1620" w:type="dxa"/>
            <w:tcBorders>
              <w:top w:val="nil"/>
              <w:left w:val="nil"/>
              <w:bottom w:val="single" w:color="auto" w:sz="8" w:space="0"/>
              <w:right w:val="single" w:color="auto" w:sz="8" w:space="0"/>
            </w:tcBorders>
            <w:noWrap w:val="0"/>
            <w:vAlign w:val="center"/>
          </w:tcPr>
          <w:p w14:paraId="786291D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noWrap w:val="0"/>
            <w:vAlign w:val="center"/>
          </w:tcPr>
          <w:p w14:paraId="5E7CDEBC">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《小便器用水效率限定值及用水效率等级》（GB28377）</w:t>
            </w:r>
          </w:p>
        </w:tc>
      </w:tr>
      <w:tr w14:paraId="4416BFFC">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0"/>
            <w:vAlign w:val="center"/>
          </w:tcPr>
          <w:p w14:paraId="67D245C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16</w:t>
            </w:r>
          </w:p>
        </w:tc>
        <w:tc>
          <w:tcPr>
            <w:tcW w:w="1080" w:type="dxa"/>
            <w:tcBorders>
              <w:top w:val="nil"/>
              <w:left w:val="nil"/>
              <w:bottom w:val="single" w:color="000000" w:sz="8" w:space="0"/>
              <w:right w:val="single" w:color="000000" w:sz="8" w:space="0"/>
            </w:tcBorders>
            <w:noWrap w:val="0"/>
            <w:vAlign w:val="center"/>
          </w:tcPr>
          <w:p w14:paraId="0D381B5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★A060806水嘴</w:t>
            </w:r>
          </w:p>
        </w:tc>
        <w:tc>
          <w:tcPr>
            <w:tcW w:w="1320" w:type="dxa"/>
            <w:tcBorders>
              <w:top w:val="nil"/>
              <w:left w:val="nil"/>
              <w:bottom w:val="single" w:color="000000" w:sz="8" w:space="0"/>
              <w:right w:val="single" w:color="000000" w:sz="8" w:space="0"/>
            </w:tcBorders>
            <w:noWrap w:val="0"/>
            <w:vAlign w:val="center"/>
          </w:tcPr>
          <w:p w14:paraId="07A9EAE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77BEB12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63DB858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《水嘴用水效率限定值及用水效率等级》（GB 25501）</w:t>
            </w:r>
          </w:p>
        </w:tc>
      </w:tr>
      <w:tr w14:paraId="6E323B10">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0"/>
            <w:vAlign w:val="center"/>
          </w:tcPr>
          <w:p w14:paraId="35C19C1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17</w:t>
            </w:r>
          </w:p>
        </w:tc>
        <w:tc>
          <w:tcPr>
            <w:tcW w:w="1080" w:type="dxa"/>
            <w:tcBorders>
              <w:top w:val="nil"/>
              <w:left w:val="nil"/>
              <w:bottom w:val="single" w:color="000000" w:sz="8" w:space="0"/>
              <w:right w:val="single" w:color="000000" w:sz="8" w:space="0"/>
            </w:tcBorders>
            <w:noWrap w:val="0"/>
            <w:vAlign w:val="center"/>
          </w:tcPr>
          <w:p w14:paraId="1F7C68D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A060807便器冲洗阀</w:t>
            </w:r>
          </w:p>
        </w:tc>
        <w:tc>
          <w:tcPr>
            <w:tcW w:w="1320" w:type="dxa"/>
            <w:tcBorders>
              <w:top w:val="nil"/>
              <w:left w:val="nil"/>
              <w:bottom w:val="single" w:color="000000" w:sz="8" w:space="0"/>
              <w:right w:val="single" w:color="000000" w:sz="8" w:space="0"/>
            </w:tcBorders>
            <w:noWrap w:val="0"/>
            <w:vAlign w:val="center"/>
          </w:tcPr>
          <w:p w14:paraId="2B4A876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5B4A713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754DB35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《便器冲洗阀用水效率限定值及用水效率等级》（GB28379）</w:t>
            </w:r>
          </w:p>
        </w:tc>
      </w:tr>
      <w:tr w14:paraId="5C49EE93">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0"/>
            <w:vAlign w:val="center"/>
          </w:tcPr>
          <w:p w14:paraId="2C46FBE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18</w:t>
            </w:r>
          </w:p>
        </w:tc>
        <w:tc>
          <w:tcPr>
            <w:tcW w:w="1080" w:type="dxa"/>
            <w:tcBorders>
              <w:top w:val="nil"/>
              <w:left w:val="nil"/>
              <w:bottom w:val="single" w:color="000000" w:sz="8" w:space="0"/>
              <w:right w:val="single" w:color="000000" w:sz="8" w:space="0"/>
            </w:tcBorders>
            <w:noWrap w:val="0"/>
            <w:vAlign w:val="center"/>
          </w:tcPr>
          <w:p w14:paraId="4652E49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A060810淋浴器</w:t>
            </w:r>
          </w:p>
        </w:tc>
        <w:tc>
          <w:tcPr>
            <w:tcW w:w="1320" w:type="dxa"/>
            <w:tcBorders>
              <w:top w:val="nil"/>
              <w:left w:val="nil"/>
              <w:bottom w:val="single" w:color="000000" w:sz="8" w:space="0"/>
              <w:right w:val="single" w:color="000000" w:sz="8" w:space="0"/>
            </w:tcBorders>
            <w:noWrap w:val="0"/>
            <w:vAlign w:val="center"/>
          </w:tcPr>
          <w:p w14:paraId="09AB2D2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60C69E2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51995BAB">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《淋浴器用水效率限定值及用水效率等级》（GB28378）</w:t>
            </w:r>
          </w:p>
        </w:tc>
      </w:tr>
    </w:tbl>
    <w:p w14:paraId="5EAAB5FF">
      <w:pPr>
        <w:widowControl/>
        <w:rPr>
          <w:rFonts w:hint="eastAsia" w:ascii="宋体" w:hAnsi="宋体" w:cs="宋体"/>
          <w:color w:val="000000" w:themeColor="text1"/>
          <w:sz w:val="20"/>
          <w:szCs w:val="20"/>
          <w:highlight w:val="none"/>
          <w14:textFill>
            <w14:solidFill>
              <w14:schemeClr w14:val="tx1"/>
            </w14:solidFill>
          </w14:textFill>
        </w:rPr>
      </w:pPr>
    </w:p>
    <w:p w14:paraId="07A9230F">
      <w:pPr>
        <w:pStyle w:val="2"/>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3"/>
          <w:szCs w:val="21"/>
          <w:highlight w:val="none"/>
          <w14:textFill>
            <w14:solidFill>
              <w14:schemeClr w14:val="tx1"/>
            </w14:solidFill>
          </w14:textFill>
        </w:rPr>
        <w:t>注：1.节能产品认证应依据相关国家标准的最新版本，依据国家标准中二级能效（水效）</w:t>
      </w:r>
      <w:r>
        <w:rPr>
          <w:rFonts w:hint="eastAsia" w:ascii="宋体" w:hAnsi="宋体" w:cs="宋体"/>
          <w:color w:val="000000" w:themeColor="text1"/>
          <w:szCs w:val="21"/>
          <w:highlight w:val="none"/>
          <w14:textFill>
            <w14:solidFill>
              <w14:schemeClr w14:val="tx1"/>
            </w14:solidFill>
          </w14:textFill>
        </w:rPr>
        <w:t>指标。</w:t>
      </w:r>
    </w:p>
    <w:p w14:paraId="6EA4EDE8">
      <w:pPr>
        <w:pStyle w:val="2"/>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2</w:t>
      </w:r>
      <w:r>
        <w:rPr>
          <w:rFonts w:hint="eastAsia" w:ascii="宋体" w:hAnsi="宋体" w:cs="宋体"/>
          <w:b/>
          <w:bCs/>
          <w:color w:val="000000" w:themeColor="text1"/>
          <w:szCs w:val="21"/>
          <w:highlight w:val="none"/>
          <w14:textFill>
            <w14:solidFill>
              <w14:schemeClr w14:val="tx1"/>
            </w14:solidFill>
          </w14:textFill>
        </w:rPr>
        <w:t>.以“★”标注的为政府强制采购产品。</w:t>
      </w:r>
    </w:p>
    <w:p w14:paraId="5647E702">
      <w:pPr>
        <w:jc w:val="left"/>
        <w:rPr>
          <w:rFonts w:hint="eastAsia" w:ascii="宋体" w:hAnsi="宋体" w:cs="宋体"/>
          <w:color w:val="000000" w:themeColor="text1"/>
          <w:kern w:val="0"/>
          <w:sz w:val="24"/>
          <w:szCs w:val="21"/>
          <w:highlight w:val="none"/>
          <w14:textFill>
            <w14:solidFill>
              <w14:schemeClr w14:val="tx1"/>
            </w14:solidFill>
          </w14:textFill>
        </w:rPr>
      </w:pPr>
      <w:r>
        <w:rPr>
          <w:rFonts w:hint="eastAsia" w:ascii="宋体" w:hAnsi="宋体" w:cs="宋体"/>
          <w:color w:val="000000" w:themeColor="text1"/>
          <w:kern w:val="0"/>
          <w:sz w:val="20"/>
          <w:szCs w:val="21"/>
          <w:highlight w:val="none"/>
          <w14:textFill>
            <w14:solidFill>
              <w14:schemeClr w14:val="tx1"/>
            </w14:solidFill>
          </w14:textFill>
        </w:rPr>
        <w:br w:type="page"/>
      </w:r>
      <w:r>
        <w:rPr>
          <w:rFonts w:hint="eastAsia" w:ascii="宋体" w:hAnsi="宋体" w:cs="宋体"/>
          <w:b/>
          <w:color w:val="000000" w:themeColor="text1"/>
          <w:kern w:val="0"/>
          <w:sz w:val="32"/>
          <w:szCs w:val="18"/>
          <w:highlight w:val="none"/>
          <w14:textFill>
            <w14:solidFill>
              <w14:schemeClr w14:val="tx1"/>
            </w14:solidFill>
          </w14:textFill>
        </w:rPr>
        <w:t>附件2：</w:t>
      </w:r>
    </w:p>
    <w:p w14:paraId="3DFA3081">
      <w:pPr>
        <w:spacing w:line="528" w:lineRule="exact"/>
        <w:ind w:left="1654" w:hanging="1654" w:hangingChars="412"/>
        <w:jc w:val="center"/>
        <w:rPr>
          <w:rFonts w:hint="eastAsia" w:ascii="宋体" w:hAnsi="宋体" w:cs="宋体"/>
          <w:b/>
          <w:bCs/>
          <w:color w:val="000000" w:themeColor="text1"/>
          <w:sz w:val="40"/>
          <w:szCs w:val="40"/>
          <w:highlight w:val="none"/>
          <w14:textFill>
            <w14:solidFill>
              <w14:schemeClr w14:val="tx1"/>
            </w14:solidFill>
          </w14:textFill>
        </w:rPr>
      </w:pPr>
      <w:r>
        <w:rPr>
          <w:rFonts w:hint="eastAsia" w:ascii="宋体" w:hAnsi="宋体" w:cs="宋体"/>
          <w:b/>
          <w:bCs/>
          <w:color w:val="000000" w:themeColor="text1"/>
          <w:sz w:val="40"/>
          <w:szCs w:val="40"/>
          <w:highlight w:val="none"/>
          <w14:textFill>
            <w14:solidFill>
              <w14:schemeClr w14:val="tx1"/>
            </w14:solidFill>
          </w14:textFill>
        </w:rPr>
        <w:t>中小微企业划型标准</w:t>
      </w:r>
    </w:p>
    <w:tbl>
      <w:tblPr>
        <w:tblStyle w:val="35"/>
        <w:tblW w:w="0" w:type="auto"/>
        <w:jc w:val="center"/>
        <w:tblLayout w:type="fixed"/>
        <w:tblCellMar>
          <w:top w:w="0" w:type="dxa"/>
          <w:left w:w="108" w:type="dxa"/>
          <w:bottom w:w="0" w:type="dxa"/>
          <w:right w:w="108" w:type="dxa"/>
        </w:tblCellMar>
      </w:tblPr>
      <w:tblGrid>
        <w:gridCol w:w="1701"/>
        <w:gridCol w:w="1690"/>
        <w:gridCol w:w="913"/>
        <w:gridCol w:w="1620"/>
        <w:gridCol w:w="1658"/>
        <w:gridCol w:w="1532"/>
      </w:tblGrid>
      <w:tr w14:paraId="63862067">
        <w:tblPrEx>
          <w:tblCellMar>
            <w:top w:w="0" w:type="dxa"/>
            <w:left w:w="108" w:type="dxa"/>
            <w:bottom w:w="0" w:type="dxa"/>
            <w:right w:w="108" w:type="dxa"/>
          </w:tblCellMar>
        </w:tblPrEx>
        <w:trPr>
          <w:trHeight w:val="285"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1706C8E4">
            <w:pPr>
              <w:widowControl/>
              <w:jc w:val="left"/>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行业名称</w:t>
            </w:r>
          </w:p>
        </w:tc>
        <w:tc>
          <w:tcPr>
            <w:tcW w:w="1690" w:type="dxa"/>
            <w:tcBorders>
              <w:top w:val="single" w:color="auto" w:sz="4" w:space="0"/>
              <w:left w:val="nil"/>
              <w:bottom w:val="single" w:color="auto" w:sz="4" w:space="0"/>
              <w:right w:val="single" w:color="auto" w:sz="4" w:space="0"/>
            </w:tcBorders>
            <w:noWrap w:val="0"/>
            <w:vAlign w:val="center"/>
          </w:tcPr>
          <w:p w14:paraId="7C78835F">
            <w:pPr>
              <w:widowControl/>
              <w:jc w:val="left"/>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指标名称</w:t>
            </w:r>
          </w:p>
        </w:tc>
        <w:tc>
          <w:tcPr>
            <w:tcW w:w="913" w:type="dxa"/>
            <w:tcBorders>
              <w:top w:val="single" w:color="auto" w:sz="4" w:space="0"/>
              <w:left w:val="nil"/>
              <w:bottom w:val="single" w:color="auto" w:sz="4" w:space="0"/>
              <w:right w:val="single" w:color="auto" w:sz="4" w:space="0"/>
            </w:tcBorders>
            <w:noWrap w:val="0"/>
            <w:vAlign w:val="center"/>
          </w:tcPr>
          <w:p w14:paraId="025613B7">
            <w:pPr>
              <w:widowControl/>
              <w:jc w:val="left"/>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计量单位</w:t>
            </w:r>
          </w:p>
        </w:tc>
        <w:tc>
          <w:tcPr>
            <w:tcW w:w="1620" w:type="dxa"/>
            <w:tcBorders>
              <w:top w:val="single" w:color="auto" w:sz="4" w:space="0"/>
              <w:left w:val="nil"/>
              <w:bottom w:val="single" w:color="auto" w:sz="4" w:space="0"/>
              <w:right w:val="single" w:color="auto" w:sz="4" w:space="0"/>
            </w:tcBorders>
            <w:noWrap w:val="0"/>
            <w:vAlign w:val="center"/>
          </w:tcPr>
          <w:p w14:paraId="031E775B">
            <w:pPr>
              <w:widowControl/>
              <w:jc w:val="left"/>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中型</w:t>
            </w:r>
          </w:p>
        </w:tc>
        <w:tc>
          <w:tcPr>
            <w:tcW w:w="1658" w:type="dxa"/>
            <w:tcBorders>
              <w:top w:val="single" w:color="auto" w:sz="4" w:space="0"/>
              <w:left w:val="nil"/>
              <w:bottom w:val="single" w:color="auto" w:sz="4" w:space="0"/>
              <w:right w:val="single" w:color="auto" w:sz="4" w:space="0"/>
            </w:tcBorders>
            <w:noWrap w:val="0"/>
            <w:vAlign w:val="center"/>
          </w:tcPr>
          <w:p w14:paraId="1DCBFE57">
            <w:pPr>
              <w:widowControl/>
              <w:jc w:val="left"/>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小型</w:t>
            </w:r>
          </w:p>
        </w:tc>
        <w:tc>
          <w:tcPr>
            <w:tcW w:w="1532" w:type="dxa"/>
            <w:tcBorders>
              <w:top w:val="single" w:color="auto" w:sz="4" w:space="0"/>
              <w:left w:val="nil"/>
              <w:bottom w:val="single" w:color="auto" w:sz="4" w:space="0"/>
              <w:right w:val="single" w:color="auto" w:sz="4" w:space="0"/>
            </w:tcBorders>
            <w:noWrap w:val="0"/>
            <w:vAlign w:val="center"/>
          </w:tcPr>
          <w:p w14:paraId="5A7A1DD1">
            <w:pPr>
              <w:widowControl/>
              <w:jc w:val="left"/>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微型</w:t>
            </w:r>
          </w:p>
        </w:tc>
      </w:tr>
      <w:tr w14:paraId="49173B92">
        <w:tblPrEx>
          <w:tblCellMar>
            <w:top w:w="0" w:type="dxa"/>
            <w:left w:w="108" w:type="dxa"/>
            <w:bottom w:w="0" w:type="dxa"/>
            <w:right w:w="108" w:type="dxa"/>
          </w:tblCellMar>
        </w:tblPrEx>
        <w:trPr>
          <w:trHeight w:val="340" w:hRule="atLeast"/>
          <w:jc w:val="center"/>
        </w:trPr>
        <w:tc>
          <w:tcPr>
            <w:tcW w:w="1701" w:type="dxa"/>
            <w:tcBorders>
              <w:top w:val="nil"/>
              <w:left w:val="single" w:color="auto" w:sz="4" w:space="0"/>
              <w:bottom w:val="single" w:color="auto" w:sz="4" w:space="0"/>
              <w:right w:val="single" w:color="auto" w:sz="4" w:space="0"/>
            </w:tcBorders>
            <w:noWrap w:val="0"/>
            <w:vAlign w:val="center"/>
          </w:tcPr>
          <w:p w14:paraId="486C57F5">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农、林、牧、渔</w:t>
            </w:r>
          </w:p>
        </w:tc>
        <w:tc>
          <w:tcPr>
            <w:tcW w:w="1690" w:type="dxa"/>
            <w:tcBorders>
              <w:top w:val="nil"/>
              <w:left w:val="nil"/>
              <w:bottom w:val="single" w:color="auto" w:sz="4" w:space="0"/>
              <w:right w:val="single" w:color="auto" w:sz="4" w:space="0"/>
            </w:tcBorders>
            <w:noWrap w:val="0"/>
            <w:vAlign w:val="center"/>
          </w:tcPr>
          <w:p w14:paraId="18AB095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7DA9F0F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26C81E1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500≤Y＜20000</w:t>
            </w:r>
          </w:p>
        </w:tc>
        <w:tc>
          <w:tcPr>
            <w:tcW w:w="1658" w:type="dxa"/>
            <w:tcBorders>
              <w:top w:val="nil"/>
              <w:left w:val="nil"/>
              <w:bottom w:val="single" w:color="auto" w:sz="4" w:space="0"/>
              <w:right w:val="single" w:color="auto" w:sz="4" w:space="0"/>
            </w:tcBorders>
            <w:noWrap w:val="0"/>
            <w:vAlign w:val="center"/>
          </w:tcPr>
          <w:p w14:paraId="44DBA42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50≤Y＜500</w:t>
            </w:r>
          </w:p>
        </w:tc>
        <w:tc>
          <w:tcPr>
            <w:tcW w:w="1532" w:type="dxa"/>
            <w:tcBorders>
              <w:top w:val="nil"/>
              <w:left w:val="nil"/>
              <w:bottom w:val="single" w:color="auto" w:sz="4" w:space="0"/>
              <w:right w:val="single" w:color="auto" w:sz="4" w:space="0"/>
            </w:tcBorders>
            <w:noWrap w:val="0"/>
            <w:vAlign w:val="center"/>
          </w:tcPr>
          <w:p w14:paraId="66821BC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Y＜50</w:t>
            </w:r>
          </w:p>
        </w:tc>
      </w:tr>
      <w:tr w14:paraId="6B6AB15F">
        <w:tblPrEx>
          <w:tblCellMar>
            <w:top w:w="0" w:type="dxa"/>
            <w:left w:w="108" w:type="dxa"/>
            <w:bottom w:w="0" w:type="dxa"/>
            <w:right w:w="108" w:type="dxa"/>
          </w:tblCellMar>
        </w:tblPrEx>
        <w:trPr>
          <w:trHeight w:val="340"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09D9AAD5">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工业</w:t>
            </w:r>
          </w:p>
        </w:tc>
        <w:tc>
          <w:tcPr>
            <w:tcW w:w="1690" w:type="dxa"/>
            <w:tcBorders>
              <w:top w:val="nil"/>
              <w:left w:val="nil"/>
              <w:bottom w:val="single" w:color="auto" w:sz="4" w:space="0"/>
              <w:right w:val="single" w:color="auto" w:sz="4" w:space="0"/>
            </w:tcBorders>
            <w:noWrap w:val="0"/>
            <w:vAlign w:val="center"/>
          </w:tcPr>
          <w:p w14:paraId="71CC674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7858A94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49F74F7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658" w:type="dxa"/>
            <w:tcBorders>
              <w:top w:val="nil"/>
              <w:left w:val="nil"/>
              <w:bottom w:val="single" w:color="auto" w:sz="4" w:space="0"/>
              <w:right w:val="single" w:color="auto" w:sz="4" w:space="0"/>
            </w:tcBorders>
            <w:noWrap w:val="0"/>
            <w:vAlign w:val="center"/>
          </w:tcPr>
          <w:p w14:paraId="05C98C8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20≤X＜300</w:t>
            </w:r>
          </w:p>
        </w:tc>
        <w:tc>
          <w:tcPr>
            <w:tcW w:w="1532" w:type="dxa"/>
            <w:tcBorders>
              <w:top w:val="nil"/>
              <w:left w:val="nil"/>
              <w:bottom w:val="single" w:color="auto" w:sz="4" w:space="0"/>
              <w:right w:val="single" w:color="auto" w:sz="4" w:space="0"/>
            </w:tcBorders>
            <w:noWrap w:val="0"/>
            <w:vAlign w:val="center"/>
          </w:tcPr>
          <w:p w14:paraId="39D509B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2BC427AE">
        <w:tblPrEx>
          <w:tblCellMar>
            <w:top w:w="0" w:type="dxa"/>
            <w:left w:w="108" w:type="dxa"/>
            <w:bottom w:w="0" w:type="dxa"/>
            <w:right w:w="108" w:type="dxa"/>
          </w:tblCellMar>
        </w:tblPrEx>
        <w:trPr>
          <w:trHeight w:val="340"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74468A33">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690" w:type="dxa"/>
            <w:tcBorders>
              <w:top w:val="nil"/>
              <w:left w:val="nil"/>
              <w:bottom w:val="single" w:color="auto" w:sz="4" w:space="0"/>
              <w:right w:val="single" w:color="auto" w:sz="4" w:space="0"/>
            </w:tcBorders>
            <w:noWrap w:val="0"/>
            <w:vAlign w:val="center"/>
          </w:tcPr>
          <w:p w14:paraId="5107526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58D305B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4AA23BF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2000≤Y＜40000</w:t>
            </w:r>
          </w:p>
        </w:tc>
        <w:tc>
          <w:tcPr>
            <w:tcW w:w="1658" w:type="dxa"/>
            <w:tcBorders>
              <w:top w:val="nil"/>
              <w:left w:val="nil"/>
              <w:bottom w:val="single" w:color="auto" w:sz="4" w:space="0"/>
              <w:right w:val="single" w:color="auto" w:sz="4" w:space="0"/>
            </w:tcBorders>
            <w:noWrap w:val="0"/>
            <w:vAlign w:val="center"/>
          </w:tcPr>
          <w:p w14:paraId="4C8B9B5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300≤Y＜2000</w:t>
            </w:r>
          </w:p>
        </w:tc>
        <w:tc>
          <w:tcPr>
            <w:tcW w:w="1532" w:type="dxa"/>
            <w:tcBorders>
              <w:top w:val="nil"/>
              <w:left w:val="nil"/>
              <w:bottom w:val="single" w:color="auto" w:sz="4" w:space="0"/>
              <w:right w:val="single" w:color="auto" w:sz="4" w:space="0"/>
            </w:tcBorders>
            <w:noWrap w:val="0"/>
            <w:vAlign w:val="center"/>
          </w:tcPr>
          <w:p w14:paraId="76B5096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Y＜300</w:t>
            </w:r>
          </w:p>
        </w:tc>
      </w:tr>
      <w:tr w14:paraId="66505086">
        <w:tblPrEx>
          <w:tblCellMar>
            <w:top w:w="0" w:type="dxa"/>
            <w:left w:w="108" w:type="dxa"/>
            <w:bottom w:w="0" w:type="dxa"/>
            <w:right w:w="108" w:type="dxa"/>
          </w:tblCellMar>
        </w:tblPrEx>
        <w:trPr>
          <w:trHeight w:val="340"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774AEB13">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建筑业</w:t>
            </w:r>
          </w:p>
        </w:tc>
        <w:tc>
          <w:tcPr>
            <w:tcW w:w="1690" w:type="dxa"/>
            <w:tcBorders>
              <w:top w:val="nil"/>
              <w:left w:val="nil"/>
              <w:bottom w:val="single" w:color="auto" w:sz="4" w:space="0"/>
              <w:right w:val="single" w:color="auto" w:sz="4" w:space="0"/>
            </w:tcBorders>
            <w:noWrap w:val="0"/>
            <w:vAlign w:val="center"/>
          </w:tcPr>
          <w:p w14:paraId="36D1E79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7C04619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03ED9B3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6000≤Y＜80000</w:t>
            </w:r>
          </w:p>
        </w:tc>
        <w:tc>
          <w:tcPr>
            <w:tcW w:w="1658" w:type="dxa"/>
            <w:tcBorders>
              <w:top w:val="nil"/>
              <w:left w:val="nil"/>
              <w:bottom w:val="single" w:color="auto" w:sz="4" w:space="0"/>
              <w:right w:val="single" w:color="auto" w:sz="4" w:space="0"/>
            </w:tcBorders>
            <w:noWrap w:val="0"/>
            <w:vAlign w:val="center"/>
          </w:tcPr>
          <w:p w14:paraId="51709E5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300≤Y＜6000</w:t>
            </w:r>
          </w:p>
        </w:tc>
        <w:tc>
          <w:tcPr>
            <w:tcW w:w="1532" w:type="dxa"/>
            <w:tcBorders>
              <w:top w:val="nil"/>
              <w:left w:val="nil"/>
              <w:bottom w:val="single" w:color="auto" w:sz="4" w:space="0"/>
              <w:right w:val="single" w:color="auto" w:sz="4" w:space="0"/>
            </w:tcBorders>
            <w:noWrap w:val="0"/>
            <w:vAlign w:val="center"/>
          </w:tcPr>
          <w:p w14:paraId="2F59069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Y＜300</w:t>
            </w:r>
          </w:p>
        </w:tc>
      </w:tr>
      <w:tr w14:paraId="499A182C">
        <w:tblPrEx>
          <w:tblCellMar>
            <w:top w:w="0" w:type="dxa"/>
            <w:left w:w="108" w:type="dxa"/>
            <w:bottom w:w="0" w:type="dxa"/>
            <w:right w:w="108" w:type="dxa"/>
          </w:tblCellMar>
        </w:tblPrEx>
        <w:trPr>
          <w:trHeight w:val="340"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7CEF533C">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690" w:type="dxa"/>
            <w:tcBorders>
              <w:top w:val="nil"/>
              <w:left w:val="nil"/>
              <w:bottom w:val="single" w:color="auto" w:sz="4" w:space="0"/>
              <w:right w:val="single" w:color="auto" w:sz="4" w:space="0"/>
            </w:tcBorders>
            <w:noWrap w:val="0"/>
            <w:vAlign w:val="center"/>
          </w:tcPr>
          <w:p w14:paraId="1FFC43F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资产总额（Z）</w:t>
            </w:r>
          </w:p>
        </w:tc>
        <w:tc>
          <w:tcPr>
            <w:tcW w:w="913" w:type="dxa"/>
            <w:tcBorders>
              <w:top w:val="nil"/>
              <w:left w:val="nil"/>
              <w:bottom w:val="single" w:color="auto" w:sz="4" w:space="0"/>
              <w:right w:val="single" w:color="auto" w:sz="4" w:space="0"/>
            </w:tcBorders>
            <w:noWrap w:val="0"/>
            <w:vAlign w:val="center"/>
          </w:tcPr>
          <w:p w14:paraId="3074F1D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5B0D4DA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5000≤Z＜80000</w:t>
            </w:r>
          </w:p>
        </w:tc>
        <w:tc>
          <w:tcPr>
            <w:tcW w:w="1658" w:type="dxa"/>
            <w:tcBorders>
              <w:top w:val="nil"/>
              <w:left w:val="nil"/>
              <w:bottom w:val="single" w:color="auto" w:sz="4" w:space="0"/>
              <w:right w:val="single" w:color="auto" w:sz="4" w:space="0"/>
            </w:tcBorders>
            <w:noWrap w:val="0"/>
            <w:vAlign w:val="center"/>
          </w:tcPr>
          <w:p w14:paraId="2D0AB99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300≤Z＜5000</w:t>
            </w:r>
          </w:p>
        </w:tc>
        <w:tc>
          <w:tcPr>
            <w:tcW w:w="1532" w:type="dxa"/>
            <w:tcBorders>
              <w:top w:val="nil"/>
              <w:left w:val="nil"/>
              <w:bottom w:val="single" w:color="auto" w:sz="4" w:space="0"/>
              <w:right w:val="single" w:color="auto" w:sz="4" w:space="0"/>
            </w:tcBorders>
            <w:noWrap w:val="0"/>
            <w:vAlign w:val="center"/>
          </w:tcPr>
          <w:p w14:paraId="5CC58C2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Z＜300</w:t>
            </w:r>
          </w:p>
        </w:tc>
      </w:tr>
      <w:tr w14:paraId="3CCB0A83">
        <w:tblPrEx>
          <w:tblCellMar>
            <w:top w:w="0" w:type="dxa"/>
            <w:left w:w="108" w:type="dxa"/>
            <w:bottom w:w="0" w:type="dxa"/>
            <w:right w:w="108" w:type="dxa"/>
          </w:tblCellMar>
        </w:tblPrEx>
        <w:trPr>
          <w:trHeight w:val="340"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623CBC11">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批发业</w:t>
            </w:r>
          </w:p>
        </w:tc>
        <w:tc>
          <w:tcPr>
            <w:tcW w:w="1690" w:type="dxa"/>
            <w:tcBorders>
              <w:top w:val="nil"/>
              <w:left w:val="nil"/>
              <w:bottom w:val="single" w:color="auto" w:sz="4" w:space="0"/>
              <w:right w:val="single" w:color="auto" w:sz="4" w:space="0"/>
            </w:tcBorders>
            <w:noWrap w:val="0"/>
            <w:vAlign w:val="center"/>
          </w:tcPr>
          <w:p w14:paraId="1CD06B0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473643D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7D31AF4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20≤X＜200</w:t>
            </w:r>
          </w:p>
        </w:tc>
        <w:tc>
          <w:tcPr>
            <w:tcW w:w="1658" w:type="dxa"/>
            <w:tcBorders>
              <w:top w:val="nil"/>
              <w:left w:val="nil"/>
              <w:bottom w:val="single" w:color="auto" w:sz="4" w:space="0"/>
              <w:right w:val="single" w:color="auto" w:sz="4" w:space="0"/>
            </w:tcBorders>
            <w:noWrap w:val="0"/>
            <w:vAlign w:val="center"/>
          </w:tcPr>
          <w:p w14:paraId="15CB8B2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5≤X＜20</w:t>
            </w:r>
          </w:p>
        </w:tc>
        <w:tc>
          <w:tcPr>
            <w:tcW w:w="1532" w:type="dxa"/>
            <w:tcBorders>
              <w:top w:val="nil"/>
              <w:left w:val="nil"/>
              <w:bottom w:val="single" w:color="auto" w:sz="4" w:space="0"/>
              <w:right w:val="single" w:color="auto" w:sz="4" w:space="0"/>
            </w:tcBorders>
            <w:noWrap w:val="0"/>
            <w:vAlign w:val="center"/>
          </w:tcPr>
          <w:p w14:paraId="7E47472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X＜5</w:t>
            </w:r>
          </w:p>
        </w:tc>
      </w:tr>
      <w:tr w14:paraId="3A8713F5">
        <w:tblPrEx>
          <w:tblCellMar>
            <w:top w:w="0" w:type="dxa"/>
            <w:left w:w="108" w:type="dxa"/>
            <w:bottom w:w="0" w:type="dxa"/>
            <w:right w:w="108" w:type="dxa"/>
          </w:tblCellMar>
        </w:tblPrEx>
        <w:trPr>
          <w:trHeight w:val="340"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608C593C">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690" w:type="dxa"/>
            <w:tcBorders>
              <w:top w:val="nil"/>
              <w:left w:val="nil"/>
              <w:bottom w:val="single" w:color="auto" w:sz="4" w:space="0"/>
              <w:right w:val="single" w:color="auto" w:sz="4" w:space="0"/>
            </w:tcBorders>
            <w:noWrap w:val="0"/>
            <w:vAlign w:val="center"/>
          </w:tcPr>
          <w:p w14:paraId="2846FEE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1BDA513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1C30212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5000≤Y＜40000</w:t>
            </w:r>
          </w:p>
        </w:tc>
        <w:tc>
          <w:tcPr>
            <w:tcW w:w="1658" w:type="dxa"/>
            <w:tcBorders>
              <w:top w:val="nil"/>
              <w:left w:val="nil"/>
              <w:bottom w:val="single" w:color="auto" w:sz="4" w:space="0"/>
              <w:right w:val="single" w:color="auto" w:sz="4" w:space="0"/>
            </w:tcBorders>
            <w:noWrap w:val="0"/>
            <w:vAlign w:val="center"/>
          </w:tcPr>
          <w:p w14:paraId="619DBE3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1000≤Y＜5000</w:t>
            </w:r>
          </w:p>
        </w:tc>
        <w:tc>
          <w:tcPr>
            <w:tcW w:w="1532" w:type="dxa"/>
            <w:tcBorders>
              <w:top w:val="nil"/>
              <w:left w:val="nil"/>
              <w:bottom w:val="single" w:color="auto" w:sz="4" w:space="0"/>
              <w:right w:val="single" w:color="auto" w:sz="4" w:space="0"/>
            </w:tcBorders>
            <w:noWrap w:val="0"/>
            <w:vAlign w:val="center"/>
          </w:tcPr>
          <w:p w14:paraId="5E343EF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Y＜1000</w:t>
            </w:r>
          </w:p>
        </w:tc>
      </w:tr>
      <w:tr w14:paraId="577089ED">
        <w:tblPrEx>
          <w:tblCellMar>
            <w:top w:w="0" w:type="dxa"/>
            <w:left w:w="108" w:type="dxa"/>
            <w:bottom w:w="0" w:type="dxa"/>
            <w:right w:w="108" w:type="dxa"/>
          </w:tblCellMar>
        </w:tblPrEx>
        <w:trPr>
          <w:trHeight w:val="340"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08C608EE">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零售业</w:t>
            </w:r>
          </w:p>
        </w:tc>
        <w:tc>
          <w:tcPr>
            <w:tcW w:w="1690" w:type="dxa"/>
            <w:tcBorders>
              <w:top w:val="nil"/>
              <w:left w:val="nil"/>
              <w:bottom w:val="single" w:color="auto" w:sz="4" w:space="0"/>
              <w:right w:val="single" w:color="auto" w:sz="4" w:space="0"/>
            </w:tcBorders>
            <w:noWrap w:val="0"/>
            <w:vAlign w:val="center"/>
          </w:tcPr>
          <w:p w14:paraId="5CC42B9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7B5820F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78CCBD6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50≤X＜300</w:t>
            </w:r>
          </w:p>
        </w:tc>
        <w:tc>
          <w:tcPr>
            <w:tcW w:w="1658" w:type="dxa"/>
            <w:tcBorders>
              <w:top w:val="nil"/>
              <w:left w:val="nil"/>
              <w:bottom w:val="single" w:color="auto" w:sz="4" w:space="0"/>
              <w:right w:val="single" w:color="auto" w:sz="4" w:space="0"/>
            </w:tcBorders>
            <w:noWrap w:val="0"/>
            <w:vAlign w:val="center"/>
          </w:tcPr>
          <w:p w14:paraId="09AF492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10≤X＜50</w:t>
            </w:r>
          </w:p>
        </w:tc>
        <w:tc>
          <w:tcPr>
            <w:tcW w:w="1532" w:type="dxa"/>
            <w:tcBorders>
              <w:top w:val="nil"/>
              <w:left w:val="nil"/>
              <w:bottom w:val="single" w:color="auto" w:sz="4" w:space="0"/>
              <w:right w:val="single" w:color="auto" w:sz="4" w:space="0"/>
            </w:tcBorders>
            <w:noWrap w:val="0"/>
            <w:vAlign w:val="center"/>
          </w:tcPr>
          <w:p w14:paraId="2F72919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10050821">
        <w:tblPrEx>
          <w:tblCellMar>
            <w:top w:w="0" w:type="dxa"/>
            <w:left w:w="108" w:type="dxa"/>
            <w:bottom w:w="0" w:type="dxa"/>
            <w:right w:w="108" w:type="dxa"/>
          </w:tblCellMar>
        </w:tblPrEx>
        <w:trPr>
          <w:trHeight w:val="340"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6ED6526C">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690" w:type="dxa"/>
            <w:tcBorders>
              <w:top w:val="nil"/>
              <w:left w:val="nil"/>
              <w:bottom w:val="single" w:color="auto" w:sz="4" w:space="0"/>
              <w:right w:val="single" w:color="auto" w:sz="4" w:space="0"/>
            </w:tcBorders>
            <w:noWrap w:val="0"/>
            <w:vAlign w:val="center"/>
          </w:tcPr>
          <w:p w14:paraId="7DFD1F8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441175A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7DBCA06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500≤Y＜20000</w:t>
            </w:r>
          </w:p>
        </w:tc>
        <w:tc>
          <w:tcPr>
            <w:tcW w:w="1658" w:type="dxa"/>
            <w:tcBorders>
              <w:top w:val="nil"/>
              <w:left w:val="nil"/>
              <w:bottom w:val="single" w:color="auto" w:sz="4" w:space="0"/>
              <w:right w:val="single" w:color="auto" w:sz="4" w:space="0"/>
            </w:tcBorders>
            <w:noWrap w:val="0"/>
            <w:vAlign w:val="center"/>
          </w:tcPr>
          <w:p w14:paraId="771D937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100≤Y＜500</w:t>
            </w:r>
          </w:p>
        </w:tc>
        <w:tc>
          <w:tcPr>
            <w:tcW w:w="1532" w:type="dxa"/>
            <w:tcBorders>
              <w:top w:val="nil"/>
              <w:left w:val="nil"/>
              <w:bottom w:val="single" w:color="auto" w:sz="4" w:space="0"/>
              <w:right w:val="single" w:color="auto" w:sz="4" w:space="0"/>
            </w:tcBorders>
            <w:noWrap w:val="0"/>
            <w:vAlign w:val="center"/>
          </w:tcPr>
          <w:p w14:paraId="572893B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37322ADD">
        <w:tblPrEx>
          <w:tblCellMar>
            <w:top w:w="0" w:type="dxa"/>
            <w:left w:w="108" w:type="dxa"/>
            <w:bottom w:w="0" w:type="dxa"/>
            <w:right w:w="108" w:type="dxa"/>
          </w:tblCellMar>
        </w:tblPrEx>
        <w:trPr>
          <w:trHeight w:val="340"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24A33D0A">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交通运输业</w:t>
            </w:r>
          </w:p>
        </w:tc>
        <w:tc>
          <w:tcPr>
            <w:tcW w:w="1690" w:type="dxa"/>
            <w:tcBorders>
              <w:top w:val="nil"/>
              <w:left w:val="nil"/>
              <w:bottom w:val="single" w:color="auto" w:sz="4" w:space="0"/>
              <w:right w:val="single" w:color="auto" w:sz="4" w:space="0"/>
            </w:tcBorders>
            <w:noWrap w:val="0"/>
            <w:vAlign w:val="center"/>
          </w:tcPr>
          <w:p w14:paraId="1E1F81E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25C35C7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1606A5A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658" w:type="dxa"/>
            <w:tcBorders>
              <w:top w:val="nil"/>
              <w:left w:val="nil"/>
              <w:bottom w:val="single" w:color="auto" w:sz="4" w:space="0"/>
              <w:right w:val="single" w:color="auto" w:sz="4" w:space="0"/>
            </w:tcBorders>
            <w:noWrap w:val="0"/>
            <w:vAlign w:val="center"/>
          </w:tcPr>
          <w:p w14:paraId="54D485C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20≤X＜300</w:t>
            </w:r>
          </w:p>
        </w:tc>
        <w:tc>
          <w:tcPr>
            <w:tcW w:w="1532" w:type="dxa"/>
            <w:tcBorders>
              <w:top w:val="nil"/>
              <w:left w:val="nil"/>
              <w:bottom w:val="single" w:color="auto" w:sz="4" w:space="0"/>
              <w:right w:val="single" w:color="auto" w:sz="4" w:space="0"/>
            </w:tcBorders>
            <w:noWrap w:val="0"/>
            <w:vAlign w:val="center"/>
          </w:tcPr>
          <w:p w14:paraId="4E2D6A2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1723CE65">
        <w:tblPrEx>
          <w:tblCellMar>
            <w:top w:w="0" w:type="dxa"/>
            <w:left w:w="108" w:type="dxa"/>
            <w:bottom w:w="0" w:type="dxa"/>
            <w:right w:w="108" w:type="dxa"/>
          </w:tblCellMar>
        </w:tblPrEx>
        <w:trPr>
          <w:trHeight w:val="340"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5FB31353">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690" w:type="dxa"/>
            <w:tcBorders>
              <w:top w:val="nil"/>
              <w:left w:val="nil"/>
              <w:bottom w:val="single" w:color="auto" w:sz="4" w:space="0"/>
              <w:right w:val="single" w:color="auto" w:sz="4" w:space="0"/>
            </w:tcBorders>
            <w:noWrap w:val="0"/>
            <w:vAlign w:val="center"/>
          </w:tcPr>
          <w:p w14:paraId="5B3BA1B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2E644B3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11F61FE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3000≤Y＜30000</w:t>
            </w:r>
          </w:p>
        </w:tc>
        <w:tc>
          <w:tcPr>
            <w:tcW w:w="1658" w:type="dxa"/>
            <w:tcBorders>
              <w:top w:val="nil"/>
              <w:left w:val="nil"/>
              <w:bottom w:val="single" w:color="auto" w:sz="4" w:space="0"/>
              <w:right w:val="single" w:color="auto" w:sz="4" w:space="0"/>
            </w:tcBorders>
            <w:noWrap w:val="0"/>
            <w:vAlign w:val="center"/>
          </w:tcPr>
          <w:p w14:paraId="6B5D0D2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200≤Y＜3000</w:t>
            </w:r>
          </w:p>
        </w:tc>
        <w:tc>
          <w:tcPr>
            <w:tcW w:w="1532" w:type="dxa"/>
            <w:tcBorders>
              <w:top w:val="nil"/>
              <w:left w:val="nil"/>
              <w:bottom w:val="single" w:color="auto" w:sz="4" w:space="0"/>
              <w:right w:val="single" w:color="auto" w:sz="4" w:space="0"/>
            </w:tcBorders>
            <w:noWrap w:val="0"/>
            <w:vAlign w:val="center"/>
          </w:tcPr>
          <w:p w14:paraId="5E19761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Y＜200</w:t>
            </w:r>
          </w:p>
        </w:tc>
      </w:tr>
      <w:tr w14:paraId="5F6E3CFA">
        <w:tblPrEx>
          <w:tblCellMar>
            <w:top w:w="0" w:type="dxa"/>
            <w:left w:w="108" w:type="dxa"/>
            <w:bottom w:w="0" w:type="dxa"/>
            <w:right w:w="108" w:type="dxa"/>
          </w:tblCellMar>
        </w:tblPrEx>
        <w:trPr>
          <w:trHeight w:val="340"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49EB2654">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仓储业</w:t>
            </w:r>
          </w:p>
        </w:tc>
        <w:tc>
          <w:tcPr>
            <w:tcW w:w="1690" w:type="dxa"/>
            <w:tcBorders>
              <w:top w:val="nil"/>
              <w:left w:val="nil"/>
              <w:bottom w:val="single" w:color="auto" w:sz="4" w:space="0"/>
              <w:right w:val="single" w:color="auto" w:sz="4" w:space="0"/>
            </w:tcBorders>
            <w:noWrap w:val="0"/>
            <w:vAlign w:val="center"/>
          </w:tcPr>
          <w:p w14:paraId="10FAF86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41D7386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3D2E38F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100≤X＜200</w:t>
            </w:r>
          </w:p>
        </w:tc>
        <w:tc>
          <w:tcPr>
            <w:tcW w:w="1658" w:type="dxa"/>
            <w:tcBorders>
              <w:top w:val="nil"/>
              <w:left w:val="nil"/>
              <w:bottom w:val="single" w:color="auto" w:sz="4" w:space="0"/>
              <w:right w:val="single" w:color="auto" w:sz="4" w:space="0"/>
            </w:tcBorders>
            <w:noWrap w:val="0"/>
            <w:vAlign w:val="center"/>
          </w:tcPr>
          <w:p w14:paraId="1EFE629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20≤X＜100</w:t>
            </w:r>
          </w:p>
        </w:tc>
        <w:tc>
          <w:tcPr>
            <w:tcW w:w="1532" w:type="dxa"/>
            <w:tcBorders>
              <w:top w:val="nil"/>
              <w:left w:val="nil"/>
              <w:bottom w:val="single" w:color="auto" w:sz="4" w:space="0"/>
              <w:right w:val="single" w:color="auto" w:sz="4" w:space="0"/>
            </w:tcBorders>
            <w:noWrap w:val="0"/>
            <w:vAlign w:val="center"/>
          </w:tcPr>
          <w:p w14:paraId="18C993C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466C87DE">
        <w:tblPrEx>
          <w:tblCellMar>
            <w:top w:w="0" w:type="dxa"/>
            <w:left w:w="108" w:type="dxa"/>
            <w:bottom w:w="0" w:type="dxa"/>
            <w:right w:w="108" w:type="dxa"/>
          </w:tblCellMar>
        </w:tblPrEx>
        <w:trPr>
          <w:trHeight w:val="340"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6F0F590C">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690" w:type="dxa"/>
            <w:tcBorders>
              <w:top w:val="nil"/>
              <w:left w:val="nil"/>
              <w:bottom w:val="single" w:color="auto" w:sz="4" w:space="0"/>
              <w:right w:val="single" w:color="auto" w:sz="4" w:space="0"/>
            </w:tcBorders>
            <w:noWrap w:val="0"/>
            <w:vAlign w:val="center"/>
          </w:tcPr>
          <w:p w14:paraId="178B069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3F7ABE1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445481E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1000≤Y＜30000</w:t>
            </w:r>
          </w:p>
        </w:tc>
        <w:tc>
          <w:tcPr>
            <w:tcW w:w="1658" w:type="dxa"/>
            <w:tcBorders>
              <w:top w:val="nil"/>
              <w:left w:val="nil"/>
              <w:bottom w:val="single" w:color="auto" w:sz="4" w:space="0"/>
              <w:right w:val="single" w:color="auto" w:sz="4" w:space="0"/>
            </w:tcBorders>
            <w:noWrap w:val="0"/>
            <w:vAlign w:val="center"/>
          </w:tcPr>
          <w:p w14:paraId="785FF40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100≤Y＜1000</w:t>
            </w:r>
          </w:p>
        </w:tc>
        <w:tc>
          <w:tcPr>
            <w:tcW w:w="1532" w:type="dxa"/>
            <w:tcBorders>
              <w:top w:val="nil"/>
              <w:left w:val="nil"/>
              <w:bottom w:val="single" w:color="auto" w:sz="4" w:space="0"/>
              <w:right w:val="single" w:color="auto" w:sz="4" w:space="0"/>
            </w:tcBorders>
            <w:noWrap w:val="0"/>
            <w:vAlign w:val="center"/>
          </w:tcPr>
          <w:p w14:paraId="16E3373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713BE2DA">
        <w:tblPrEx>
          <w:tblCellMar>
            <w:top w:w="0" w:type="dxa"/>
            <w:left w:w="108" w:type="dxa"/>
            <w:bottom w:w="0" w:type="dxa"/>
            <w:right w:w="108" w:type="dxa"/>
          </w:tblCellMar>
        </w:tblPrEx>
        <w:trPr>
          <w:trHeight w:val="340"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0C24573B">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邮政业</w:t>
            </w:r>
          </w:p>
        </w:tc>
        <w:tc>
          <w:tcPr>
            <w:tcW w:w="1690" w:type="dxa"/>
            <w:tcBorders>
              <w:top w:val="nil"/>
              <w:left w:val="nil"/>
              <w:bottom w:val="single" w:color="auto" w:sz="4" w:space="0"/>
              <w:right w:val="single" w:color="auto" w:sz="4" w:space="0"/>
            </w:tcBorders>
            <w:noWrap w:val="0"/>
            <w:vAlign w:val="center"/>
          </w:tcPr>
          <w:p w14:paraId="3A2475C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48E703E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5C5A43A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658" w:type="dxa"/>
            <w:tcBorders>
              <w:top w:val="nil"/>
              <w:left w:val="nil"/>
              <w:bottom w:val="single" w:color="auto" w:sz="4" w:space="0"/>
              <w:right w:val="single" w:color="auto" w:sz="4" w:space="0"/>
            </w:tcBorders>
            <w:noWrap w:val="0"/>
            <w:vAlign w:val="center"/>
          </w:tcPr>
          <w:p w14:paraId="473FDF0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20≤X＜300</w:t>
            </w:r>
          </w:p>
        </w:tc>
        <w:tc>
          <w:tcPr>
            <w:tcW w:w="1532" w:type="dxa"/>
            <w:tcBorders>
              <w:top w:val="nil"/>
              <w:left w:val="nil"/>
              <w:bottom w:val="single" w:color="auto" w:sz="4" w:space="0"/>
              <w:right w:val="single" w:color="auto" w:sz="4" w:space="0"/>
            </w:tcBorders>
            <w:noWrap w:val="0"/>
            <w:vAlign w:val="center"/>
          </w:tcPr>
          <w:p w14:paraId="1877A77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6ADA9E84">
        <w:tblPrEx>
          <w:tblCellMar>
            <w:top w:w="0" w:type="dxa"/>
            <w:left w:w="108" w:type="dxa"/>
            <w:bottom w:w="0" w:type="dxa"/>
            <w:right w:w="108" w:type="dxa"/>
          </w:tblCellMar>
        </w:tblPrEx>
        <w:trPr>
          <w:trHeight w:val="340"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6CBB70B5">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690" w:type="dxa"/>
            <w:tcBorders>
              <w:top w:val="nil"/>
              <w:left w:val="nil"/>
              <w:bottom w:val="single" w:color="auto" w:sz="4" w:space="0"/>
              <w:right w:val="single" w:color="auto" w:sz="4" w:space="0"/>
            </w:tcBorders>
            <w:noWrap w:val="0"/>
            <w:vAlign w:val="center"/>
          </w:tcPr>
          <w:p w14:paraId="485125A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097F55B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1071CA1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2000≤Y＜30000</w:t>
            </w:r>
          </w:p>
        </w:tc>
        <w:tc>
          <w:tcPr>
            <w:tcW w:w="1658" w:type="dxa"/>
            <w:tcBorders>
              <w:top w:val="nil"/>
              <w:left w:val="nil"/>
              <w:bottom w:val="single" w:color="auto" w:sz="4" w:space="0"/>
              <w:right w:val="single" w:color="auto" w:sz="4" w:space="0"/>
            </w:tcBorders>
            <w:noWrap w:val="0"/>
            <w:vAlign w:val="center"/>
          </w:tcPr>
          <w:p w14:paraId="4A2AC4A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100≤Y＜2000</w:t>
            </w:r>
          </w:p>
        </w:tc>
        <w:tc>
          <w:tcPr>
            <w:tcW w:w="1532" w:type="dxa"/>
            <w:tcBorders>
              <w:top w:val="nil"/>
              <w:left w:val="nil"/>
              <w:bottom w:val="single" w:color="auto" w:sz="4" w:space="0"/>
              <w:right w:val="single" w:color="auto" w:sz="4" w:space="0"/>
            </w:tcBorders>
            <w:noWrap w:val="0"/>
            <w:vAlign w:val="center"/>
          </w:tcPr>
          <w:p w14:paraId="69E0D37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6F539D71">
        <w:tblPrEx>
          <w:tblCellMar>
            <w:top w:w="0" w:type="dxa"/>
            <w:left w:w="108" w:type="dxa"/>
            <w:bottom w:w="0" w:type="dxa"/>
            <w:right w:w="108" w:type="dxa"/>
          </w:tblCellMar>
        </w:tblPrEx>
        <w:trPr>
          <w:trHeight w:val="340"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0C2233B3">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住宿业</w:t>
            </w:r>
          </w:p>
        </w:tc>
        <w:tc>
          <w:tcPr>
            <w:tcW w:w="1690" w:type="dxa"/>
            <w:tcBorders>
              <w:top w:val="nil"/>
              <w:left w:val="nil"/>
              <w:bottom w:val="single" w:color="auto" w:sz="4" w:space="0"/>
              <w:right w:val="single" w:color="auto" w:sz="4" w:space="0"/>
            </w:tcBorders>
            <w:noWrap w:val="0"/>
            <w:vAlign w:val="center"/>
          </w:tcPr>
          <w:p w14:paraId="7BC1244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2278B06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60BC6CD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658" w:type="dxa"/>
            <w:tcBorders>
              <w:top w:val="nil"/>
              <w:left w:val="nil"/>
              <w:bottom w:val="single" w:color="auto" w:sz="4" w:space="0"/>
              <w:right w:val="single" w:color="auto" w:sz="4" w:space="0"/>
            </w:tcBorders>
            <w:noWrap w:val="0"/>
            <w:vAlign w:val="center"/>
          </w:tcPr>
          <w:p w14:paraId="4B39757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532" w:type="dxa"/>
            <w:tcBorders>
              <w:top w:val="nil"/>
              <w:left w:val="nil"/>
              <w:bottom w:val="single" w:color="auto" w:sz="4" w:space="0"/>
              <w:right w:val="single" w:color="auto" w:sz="4" w:space="0"/>
            </w:tcBorders>
            <w:noWrap w:val="0"/>
            <w:vAlign w:val="center"/>
          </w:tcPr>
          <w:p w14:paraId="171E7EC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435C43E9">
        <w:tblPrEx>
          <w:tblCellMar>
            <w:top w:w="0" w:type="dxa"/>
            <w:left w:w="108" w:type="dxa"/>
            <w:bottom w:w="0" w:type="dxa"/>
            <w:right w:w="108" w:type="dxa"/>
          </w:tblCellMar>
        </w:tblPrEx>
        <w:trPr>
          <w:trHeight w:val="340"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2A977023">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690" w:type="dxa"/>
            <w:tcBorders>
              <w:top w:val="nil"/>
              <w:left w:val="nil"/>
              <w:bottom w:val="single" w:color="auto" w:sz="4" w:space="0"/>
              <w:right w:val="single" w:color="auto" w:sz="4" w:space="0"/>
            </w:tcBorders>
            <w:noWrap w:val="0"/>
            <w:vAlign w:val="center"/>
          </w:tcPr>
          <w:p w14:paraId="5AD58B8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0328E20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14B2899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2000≤Y＜10000</w:t>
            </w:r>
          </w:p>
        </w:tc>
        <w:tc>
          <w:tcPr>
            <w:tcW w:w="1658" w:type="dxa"/>
            <w:tcBorders>
              <w:top w:val="nil"/>
              <w:left w:val="nil"/>
              <w:bottom w:val="single" w:color="auto" w:sz="4" w:space="0"/>
              <w:right w:val="single" w:color="auto" w:sz="4" w:space="0"/>
            </w:tcBorders>
            <w:noWrap w:val="0"/>
            <w:vAlign w:val="center"/>
          </w:tcPr>
          <w:p w14:paraId="5CB8C4E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100≤Y＜2000</w:t>
            </w:r>
          </w:p>
        </w:tc>
        <w:tc>
          <w:tcPr>
            <w:tcW w:w="1532" w:type="dxa"/>
            <w:tcBorders>
              <w:top w:val="nil"/>
              <w:left w:val="nil"/>
              <w:bottom w:val="single" w:color="auto" w:sz="4" w:space="0"/>
              <w:right w:val="single" w:color="auto" w:sz="4" w:space="0"/>
            </w:tcBorders>
            <w:noWrap w:val="0"/>
            <w:vAlign w:val="center"/>
          </w:tcPr>
          <w:p w14:paraId="15CC753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59F493D7">
        <w:tblPrEx>
          <w:tblCellMar>
            <w:top w:w="0" w:type="dxa"/>
            <w:left w:w="108" w:type="dxa"/>
            <w:bottom w:w="0" w:type="dxa"/>
            <w:right w:w="108" w:type="dxa"/>
          </w:tblCellMar>
        </w:tblPrEx>
        <w:trPr>
          <w:trHeight w:val="340"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5C6D708F">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餐饮业</w:t>
            </w:r>
          </w:p>
        </w:tc>
        <w:tc>
          <w:tcPr>
            <w:tcW w:w="1690" w:type="dxa"/>
            <w:tcBorders>
              <w:top w:val="nil"/>
              <w:left w:val="nil"/>
              <w:bottom w:val="single" w:color="auto" w:sz="4" w:space="0"/>
              <w:right w:val="single" w:color="auto" w:sz="4" w:space="0"/>
            </w:tcBorders>
            <w:noWrap w:val="0"/>
            <w:vAlign w:val="center"/>
          </w:tcPr>
          <w:p w14:paraId="06C8D3B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6DD098E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0455CAD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658" w:type="dxa"/>
            <w:tcBorders>
              <w:top w:val="nil"/>
              <w:left w:val="nil"/>
              <w:bottom w:val="single" w:color="auto" w:sz="4" w:space="0"/>
              <w:right w:val="single" w:color="auto" w:sz="4" w:space="0"/>
            </w:tcBorders>
            <w:noWrap w:val="0"/>
            <w:vAlign w:val="center"/>
          </w:tcPr>
          <w:p w14:paraId="3DF1D17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532" w:type="dxa"/>
            <w:tcBorders>
              <w:top w:val="nil"/>
              <w:left w:val="nil"/>
              <w:bottom w:val="single" w:color="auto" w:sz="4" w:space="0"/>
              <w:right w:val="single" w:color="auto" w:sz="4" w:space="0"/>
            </w:tcBorders>
            <w:noWrap w:val="0"/>
            <w:vAlign w:val="center"/>
          </w:tcPr>
          <w:p w14:paraId="6A84C99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0B3C3B11">
        <w:tblPrEx>
          <w:tblCellMar>
            <w:top w:w="0" w:type="dxa"/>
            <w:left w:w="108" w:type="dxa"/>
            <w:bottom w:w="0" w:type="dxa"/>
            <w:right w:w="108" w:type="dxa"/>
          </w:tblCellMar>
        </w:tblPrEx>
        <w:trPr>
          <w:trHeight w:val="340"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30B0C900">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690" w:type="dxa"/>
            <w:tcBorders>
              <w:top w:val="nil"/>
              <w:left w:val="nil"/>
              <w:bottom w:val="single" w:color="auto" w:sz="4" w:space="0"/>
              <w:right w:val="single" w:color="auto" w:sz="4" w:space="0"/>
            </w:tcBorders>
            <w:noWrap w:val="0"/>
            <w:vAlign w:val="center"/>
          </w:tcPr>
          <w:p w14:paraId="5546952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3CEFA13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2585CC2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2000≤Y＜10000</w:t>
            </w:r>
          </w:p>
        </w:tc>
        <w:tc>
          <w:tcPr>
            <w:tcW w:w="1658" w:type="dxa"/>
            <w:tcBorders>
              <w:top w:val="nil"/>
              <w:left w:val="nil"/>
              <w:bottom w:val="single" w:color="auto" w:sz="4" w:space="0"/>
              <w:right w:val="single" w:color="auto" w:sz="4" w:space="0"/>
            </w:tcBorders>
            <w:noWrap w:val="0"/>
            <w:vAlign w:val="center"/>
          </w:tcPr>
          <w:p w14:paraId="7FB8E8A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100≤Y＜2000</w:t>
            </w:r>
          </w:p>
        </w:tc>
        <w:tc>
          <w:tcPr>
            <w:tcW w:w="1532" w:type="dxa"/>
            <w:tcBorders>
              <w:top w:val="nil"/>
              <w:left w:val="nil"/>
              <w:bottom w:val="single" w:color="auto" w:sz="4" w:space="0"/>
              <w:right w:val="single" w:color="auto" w:sz="4" w:space="0"/>
            </w:tcBorders>
            <w:noWrap w:val="0"/>
            <w:vAlign w:val="center"/>
          </w:tcPr>
          <w:p w14:paraId="0C4D7CA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21B11034">
        <w:tblPrEx>
          <w:tblCellMar>
            <w:top w:w="0" w:type="dxa"/>
            <w:left w:w="108" w:type="dxa"/>
            <w:bottom w:w="0" w:type="dxa"/>
            <w:right w:w="108" w:type="dxa"/>
          </w:tblCellMar>
        </w:tblPrEx>
        <w:trPr>
          <w:trHeight w:val="340"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654C3AD6">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信息传输业</w:t>
            </w:r>
          </w:p>
        </w:tc>
        <w:tc>
          <w:tcPr>
            <w:tcW w:w="1690" w:type="dxa"/>
            <w:tcBorders>
              <w:top w:val="nil"/>
              <w:left w:val="nil"/>
              <w:bottom w:val="single" w:color="auto" w:sz="4" w:space="0"/>
              <w:right w:val="single" w:color="auto" w:sz="4" w:space="0"/>
            </w:tcBorders>
            <w:noWrap w:val="0"/>
            <w:vAlign w:val="center"/>
          </w:tcPr>
          <w:p w14:paraId="2CF75AF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15067FB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2D5AEC0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100≤X＜2000</w:t>
            </w:r>
          </w:p>
        </w:tc>
        <w:tc>
          <w:tcPr>
            <w:tcW w:w="1658" w:type="dxa"/>
            <w:tcBorders>
              <w:top w:val="nil"/>
              <w:left w:val="nil"/>
              <w:bottom w:val="single" w:color="auto" w:sz="4" w:space="0"/>
              <w:right w:val="single" w:color="auto" w:sz="4" w:space="0"/>
            </w:tcBorders>
            <w:noWrap w:val="0"/>
            <w:vAlign w:val="center"/>
          </w:tcPr>
          <w:p w14:paraId="355B82C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532" w:type="dxa"/>
            <w:tcBorders>
              <w:top w:val="nil"/>
              <w:left w:val="nil"/>
              <w:bottom w:val="single" w:color="auto" w:sz="4" w:space="0"/>
              <w:right w:val="single" w:color="auto" w:sz="4" w:space="0"/>
            </w:tcBorders>
            <w:noWrap w:val="0"/>
            <w:vAlign w:val="center"/>
          </w:tcPr>
          <w:p w14:paraId="51C9811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7BE265AC">
        <w:tblPrEx>
          <w:tblCellMar>
            <w:top w:w="0" w:type="dxa"/>
            <w:left w:w="108" w:type="dxa"/>
            <w:bottom w:w="0" w:type="dxa"/>
            <w:right w:w="108" w:type="dxa"/>
          </w:tblCellMar>
        </w:tblPrEx>
        <w:trPr>
          <w:trHeight w:val="340"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20359755">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690" w:type="dxa"/>
            <w:tcBorders>
              <w:top w:val="nil"/>
              <w:left w:val="nil"/>
              <w:bottom w:val="single" w:color="auto" w:sz="4" w:space="0"/>
              <w:right w:val="single" w:color="auto" w:sz="4" w:space="0"/>
            </w:tcBorders>
            <w:noWrap w:val="0"/>
            <w:vAlign w:val="center"/>
          </w:tcPr>
          <w:p w14:paraId="5A30EB9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2AB569B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4FCFACF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1000≤Y＜100000</w:t>
            </w:r>
          </w:p>
        </w:tc>
        <w:tc>
          <w:tcPr>
            <w:tcW w:w="1658" w:type="dxa"/>
            <w:tcBorders>
              <w:top w:val="nil"/>
              <w:left w:val="nil"/>
              <w:bottom w:val="single" w:color="auto" w:sz="4" w:space="0"/>
              <w:right w:val="single" w:color="auto" w:sz="4" w:space="0"/>
            </w:tcBorders>
            <w:noWrap w:val="0"/>
            <w:vAlign w:val="center"/>
          </w:tcPr>
          <w:p w14:paraId="5B00350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100≤Y＜1000</w:t>
            </w:r>
          </w:p>
        </w:tc>
        <w:tc>
          <w:tcPr>
            <w:tcW w:w="1532" w:type="dxa"/>
            <w:tcBorders>
              <w:top w:val="nil"/>
              <w:left w:val="nil"/>
              <w:bottom w:val="single" w:color="auto" w:sz="4" w:space="0"/>
              <w:right w:val="single" w:color="auto" w:sz="4" w:space="0"/>
            </w:tcBorders>
            <w:noWrap w:val="0"/>
            <w:vAlign w:val="center"/>
          </w:tcPr>
          <w:p w14:paraId="69632CE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311BBE9E">
        <w:tblPrEx>
          <w:tblCellMar>
            <w:top w:w="0" w:type="dxa"/>
            <w:left w:w="108" w:type="dxa"/>
            <w:bottom w:w="0" w:type="dxa"/>
            <w:right w:w="108" w:type="dxa"/>
          </w:tblCellMar>
        </w:tblPrEx>
        <w:trPr>
          <w:trHeight w:val="340"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2462D662">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软件和信息技术服务业</w:t>
            </w:r>
          </w:p>
        </w:tc>
        <w:tc>
          <w:tcPr>
            <w:tcW w:w="1690" w:type="dxa"/>
            <w:tcBorders>
              <w:top w:val="nil"/>
              <w:left w:val="nil"/>
              <w:bottom w:val="single" w:color="auto" w:sz="4" w:space="0"/>
              <w:right w:val="single" w:color="auto" w:sz="4" w:space="0"/>
            </w:tcBorders>
            <w:noWrap w:val="0"/>
            <w:vAlign w:val="center"/>
          </w:tcPr>
          <w:p w14:paraId="2123D9E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0F2B12C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38F4961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658" w:type="dxa"/>
            <w:tcBorders>
              <w:top w:val="nil"/>
              <w:left w:val="nil"/>
              <w:bottom w:val="single" w:color="auto" w:sz="4" w:space="0"/>
              <w:right w:val="single" w:color="auto" w:sz="4" w:space="0"/>
            </w:tcBorders>
            <w:noWrap w:val="0"/>
            <w:vAlign w:val="center"/>
          </w:tcPr>
          <w:p w14:paraId="2684508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532" w:type="dxa"/>
            <w:tcBorders>
              <w:top w:val="nil"/>
              <w:left w:val="nil"/>
              <w:bottom w:val="single" w:color="auto" w:sz="4" w:space="0"/>
              <w:right w:val="single" w:color="auto" w:sz="4" w:space="0"/>
            </w:tcBorders>
            <w:noWrap w:val="0"/>
            <w:vAlign w:val="center"/>
          </w:tcPr>
          <w:p w14:paraId="1020136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4D123095">
        <w:tblPrEx>
          <w:tblCellMar>
            <w:top w:w="0" w:type="dxa"/>
            <w:left w:w="108" w:type="dxa"/>
            <w:bottom w:w="0" w:type="dxa"/>
            <w:right w:w="108" w:type="dxa"/>
          </w:tblCellMar>
        </w:tblPrEx>
        <w:trPr>
          <w:trHeight w:val="340"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2EE40E04">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690" w:type="dxa"/>
            <w:tcBorders>
              <w:top w:val="nil"/>
              <w:left w:val="nil"/>
              <w:bottom w:val="single" w:color="auto" w:sz="4" w:space="0"/>
              <w:right w:val="single" w:color="auto" w:sz="4" w:space="0"/>
            </w:tcBorders>
            <w:noWrap w:val="0"/>
            <w:vAlign w:val="center"/>
          </w:tcPr>
          <w:p w14:paraId="26DA564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015BD04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2B48160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1000≤Y＜10000</w:t>
            </w:r>
          </w:p>
        </w:tc>
        <w:tc>
          <w:tcPr>
            <w:tcW w:w="1658" w:type="dxa"/>
            <w:tcBorders>
              <w:top w:val="nil"/>
              <w:left w:val="nil"/>
              <w:bottom w:val="single" w:color="auto" w:sz="4" w:space="0"/>
              <w:right w:val="single" w:color="auto" w:sz="4" w:space="0"/>
            </w:tcBorders>
            <w:noWrap w:val="0"/>
            <w:vAlign w:val="center"/>
          </w:tcPr>
          <w:p w14:paraId="061F034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50≤Y＜1000</w:t>
            </w:r>
          </w:p>
        </w:tc>
        <w:tc>
          <w:tcPr>
            <w:tcW w:w="1532" w:type="dxa"/>
            <w:tcBorders>
              <w:top w:val="nil"/>
              <w:left w:val="nil"/>
              <w:bottom w:val="single" w:color="auto" w:sz="4" w:space="0"/>
              <w:right w:val="single" w:color="auto" w:sz="4" w:space="0"/>
            </w:tcBorders>
            <w:noWrap w:val="0"/>
            <w:vAlign w:val="center"/>
          </w:tcPr>
          <w:p w14:paraId="1F99F0C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Y＜50</w:t>
            </w:r>
          </w:p>
        </w:tc>
      </w:tr>
      <w:tr w14:paraId="5299B25C">
        <w:tblPrEx>
          <w:tblCellMar>
            <w:top w:w="0" w:type="dxa"/>
            <w:left w:w="108" w:type="dxa"/>
            <w:bottom w:w="0" w:type="dxa"/>
            <w:right w:w="108" w:type="dxa"/>
          </w:tblCellMar>
        </w:tblPrEx>
        <w:trPr>
          <w:trHeight w:val="340"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0848DC9E">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房地产开发经营</w:t>
            </w:r>
          </w:p>
        </w:tc>
        <w:tc>
          <w:tcPr>
            <w:tcW w:w="1690" w:type="dxa"/>
            <w:tcBorders>
              <w:top w:val="nil"/>
              <w:left w:val="nil"/>
              <w:bottom w:val="single" w:color="auto" w:sz="4" w:space="0"/>
              <w:right w:val="single" w:color="auto" w:sz="4" w:space="0"/>
            </w:tcBorders>
            <w:noWrap w:val="0"/>
            <w:vAlign w:val="center"/>
          </w:tcPr>
          <w:p w14:paraId="1084B32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0DC354F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7D47C36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1000≤Y＜200000</w:t>
            </w:r>
          </w:p>
        </w:tc>
        <w:tc>
          <w:tcPr>
            <w:tcW w:w="1658" w:type="dxa"/>
            <w:tcBorders>
              <w:top w:val="nil"/>
              <w:left w:val="nil"/>
              <w:bottom w:val="single" w:color="auto" w:sz="4" w:space="0"/>
              <w:right w:val="single" w:color="auto" w:sz="4" w:space="0"/>
            </w:tcBorders>
            <w:noWrap w:val="0"/>
            <w:vAlign w:val="center"/>
          </w:tcPr>
          <w:p w14:paraId="13294F6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100≤X＜1000</w:t>
            </w:r>
          </w:p>
        </w:tc>
        <w:tc>
          <w:tcPr>
            <w:tcW w:w="1532" w:type="dxa"/>
            <w:tcBorders>
              <w:top w:val="nil"/>
              <w:left w:val="nil"/>
              <w:bottom w:val="single" w:color="auto" w:sz="4" w:space="0"/>
              <w:right w:val="single" w:color="auto" w:sz="4" w:space="0"/>
            </w:tcBorders>
            <w:noWrap w:val="0"/>
            <w:vAlign w:val="center"/>
          </w:tcPr>
          <w:p w14:paraId="657EA77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X＜100</w:t>
            </w:r>
          </w:p>
        </w:tc>
      </w:tr>
      <w:tr w14:paraId="51A358CB">
        <w:tblPrEx>
          <w:tblCellMar>
            <w:top w:w="0" w:type="dxa"/>
            <w:left w:w="108" w:type="dxa"/>
            <w:bottom w:w="0" w:type="dxa"/>
            <w:right w:w="108" w:type="dxa"/>
          </w:tblCellMar>
        </w:tblPrEx>
        <w:trPr>
          <w:trHeight w:val="340"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79C72526">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690" w:type="dxa"/>
            <w:tcBorders>
              <w:top w:val="nil"/>
              <w:left w:val="nil"/>
              <w:bottom w:val="single" w:color="auto" w:sz="4" w:space="0"/>
              <w:right w:val="single" w:color="auto" w:sz="4" w:space="0"/>
            </w:tcBorders>
            <w:noWrap w:val="0"/>
            <w:vAlign w:val="center"/>
          </w:tcPr>
          <w:p w14:paraId="08306AD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资产总额（Z）</w:t>
            </w:r>
          </w:p>
        </w:tc>
        <w:tc>
          <w:tcPr>
            <w:tcW w:w="913" w:type="dxa"/>
            <w:tcBorders>
              <w:top w:val="nil"/>
              <w:left w:val="nil"/>
              <w:bottom w:val="single" w:color="auto" w:sz="4" w:space="0"/>
              <w:right w:val="single" w:color="auto" w:sz="4" w:space="0"/>
            </w:tcBorders>
            <w:noWrap w:val="0"/>
            <w:vAlign w:val="center"/>
          </w:tcPr>
          <w:p w14:paraId="7A20A86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4620CF6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5000≤Z＜10000</w:t>
            </w:r>
          </w:p>
        </w:tc>
        <w:tc>
          <w:tcPr>
            <w:tcW w:w="1658" w:type="dxa"/>
            <w:tcBorders>
              <w:top w:val="nil"/>
              <w:left w:val="nil"/>
              <w:bottom w:val="single" w:color="auto" w:sz="4" w:space="0"/>
              <w:right w:val="single" w:color="auto" w:sz="4" w:space="0"/>
            </w:tcBorders>
            <w:noWrap w:val="0"/>
            <w:vAlign w:val="center"/>
          </w:tcPr>
          <w:p w14:paraId="4A6ADBD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2000≤Y＜5000</w:t>
            </w:r>
          </w:p>
        </w:tc>
        <w:tc>
          <w:tcPr>
            <w:tcW w:w="1532" w:type="dxa"/>
            <w:tcBorders>
              <w:top w:val="nil"/>
              <w:left w:val="nil"/>
              <w:bottom w:val="single" w:color="auto" w:sz="4" w:space="0"/>
              <w:right w:val="single" w:color="auto" w:sz="4" w:space="0"/>
            </w:tcBorders>
            <w:noWrap w:val="0"/>
            <w:vAlign w:val="center"/>
          </w:tcPr>
          <w:p w14:paraId="68D2B4B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Y＜2000</w:t>
            </w:r>
          </w:p>
        </w:tc>
      </w:tr>
      <w:tr w14:paraId="051CC081">
        <w:tblPrEx>
          <w:tblCellMar>
            <w:top w:w="0" w:type="dxa"/>
            <w:left w:w="108" w:type="dxa"/>
            <w:bottom w:w="0" w:type="dxa"/>
            <w:right w:w="108" w:type="dxa"/>
          </w:tblCellMar>
        </w:tblPrEx>
        <w:trPr>
          <w:trHeight w:val="340"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7B29B76F">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物业管理</w:t>
            </w:r>
          </w:p>
        </w:tc>
        <w:tc>
          <w:tcPr>
            <w:tcW w:w="1690" w:type="dxa"/>
            <w:tcBorders>
              <w:top w:val="nil"/>
              <w:left w:val="nil"/>
              <w:bottom w:val="single" w:color="auto" w:sz="4" w:space="0"/>
              <w:right w:val="single" w:color="auto" w:sz="4" w:space="0"/>
            </w:tcBorders>
            <w:noWrap w:val="0"/>
            <w:vAlign w:val="center"/>
          </w:tcPr>
          <w:p w14:paraId="2708C7A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07CFFFE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3468766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658" w:type="dxa"/>
            <w:tcBorders>
              <w:top w:val="nil"/>
              <w:left w:val="nil"/>
              <w:bottom w:val="single" w:color="auto" w:sz="4" w:space="0"/>
              <w:right w:val="single" w:color="auto" w:sz="4" w:space="0"/>
            </w:tcBorders>
            <w:noWrap w:val="0"/>
            <w:vAlign w:val="center"/>
          </w:tcPr>
          <w:p w14:paraId="3CF7A2E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532" w:type="dxa"/>
            <w:tcBorders>
              <w:top w:val="nil"/>
              <w:left w:val="nil"/>
              <w:bottom w:val="single" w:color="auto" w:sz="4" w:space="0"/>
              <w:right w:val="single" w:color="auto" w:sz="4" w:space="0"/>
            </w:tcBorders>
            <w:noWrap w:val="0"/>
            <w:vAlign w:val="center"/>
          </w:tcPr>
          <w:p w14:paraId="22FA794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X＜100</w:t>
            </w:r>
          </w:p>
        </w:tc>
      </w:tr>
      <w:tr w14:paraId="323F2242">
        <w:tblPrEx>
          <w:tblCellMar>
            <w:top w:w="0" w:type="dxa"/>
            <w:left w:w="108" w:type="dxa"/>
            <w:bottom w:w="0" w:type="dxa"/>
            <w:right w:w="108" w:type="dxa"/>
          </w:tblCellMar>
        </w:tblPrEx>
        <w:trPr>
          <w:trHeight w:val="340"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144A03A2">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690" w:type="dxa"/>
            <w:tcBorders>
              <w:top w:val="nil"/>
              <w:left w:val="nil"/>
              <w:bottom w:val="single" w:color="auto" w:sz="4" w:space="0"/>
              <w:right w:val="single" w:color="auto" w:sz="4" w:space="0"/>
            </w:tcBorders>
            <w:noWrap w:val="0"/>
            <w:vAlign w:val="center"/>
          </w:tcPr>
          <w:p w14:paraId="705B205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4B57088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0CF714B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1000≤Y＜5000</w:t>
            </w:r>
          </w:p>
        </w:tc>
        <w:tc>
          <w:tcPr>
            <w:tcW w:w="1658" w:type="dxa"/>
            <w:tcBorders>
              <w:top w:val="nil"/>
              <w:left w:val="nil"/>
              <w:bottom w:val="single" w:color="auto" w:sz="4" w:space="0"/>
              <w:right w:val="single" w:color="auto" w:sz="4" w:space="0"/>
            </w:tcBorders>
            <w:noWrap w:val="0"/>
            <w:vAlign w:val="center"/>
          </w:tcPr>
          <w:p w14:paraId="41979A5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500≤Y＜1000</w:t>
            </w:r>
          </w:p>
        </w:tc>
        <w:tc>
          <w:tcPr>
            <w:tcW w:w="1532" w:type="dxa"/>
            <w:tcBorders>
              <w:top w:val="nil"/>
              <w:left w:val="nil"/>
              <w:bottom w:val="single" w:color="auto" w:sz="4" w:space="0"/>
              <w:right w:val="single" w:color="auto" w:sz="4" w:space="0"/>
            </w:tcBorders>
            <w:noWrap w:val="0"/>
            <w:vAlign w:val="center"/>
          </w:tcPr>
          <w:p w14:paraId="0507DB2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Y＜500</w:t>
            </w:r>
          </w:p>
        </w:tc>
      </w:tr>
      <w:tr w14:paraId="29307C42">
        <w:tblPrEx>
          <w:tblCellMar>
            <w:top w:w="0" w:type="dxa"/>
            <w:left w:w="108" w:type="dxa"/>
            <w:bottom w:w="0" w:type="dxa"/>
            <w:right w:w="108" w:type="dxa"/>
          </w:tblCellMar>
        </w:tblPrEx>
        <w:trPr>
          <w:trHeight w:val="340" w:hRule="atLeast"/>
          <w:jc w:val="center"/>
        </w:trPr>
        <w:tc>
          <w:tcPr>
            <w:tcW w:w="1701" w:type="dxa"/>
            <w:vMerge w:val="restart"/>
            <w:tcBorders>
              <w:top w:val="nil"/>
              <w:left w:val="single" w:color="auto" w:sz="4" w:space="0"/>
              <w:bottom w:val="single" w:color="auto" w:sz="4" w:space="0"/>
              <w:right w:val="single" w:color="auto" w:sz="4" w:space="0"/>
            </w:tcBorders>
            <w:noWrap w:val="0"/>
            <w:vAlign w:val="center"/>
          </w:tcPr>
          <w:p w14:paraId="5903B126">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租赁和商务服务业</w:t>
            </w:r>
          </w:p>
        </w:tc>
        <w:tc>
          <w:tcPr>
            <w:tcW w:w="1690" w:type="dxa"/>
            <w:tcBorders>
              <w:top w:val="nil"/>
              <w:left w:val="nil"/>
              <w:bottom w:val="single" w:color="auto" w:sz="4" w:space="0"/>
              <w:right w:val="single" w:color="auto" w:sz="4" w:space="0"/>
            </w:tcBorders>
            <w:noWrap w:val="0"/>
            <w:vAlign w:val="center"/>
          </w:tcPr>
          <w:p w14:paraId="16C7CEB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07F83F2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0084159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658" w:type="dxa"/>
            <w:tcBorders>
              <w:top w:val="nil"/>
              <w:left w:val="nil"/>
              <w:bottom w:val="single" w:color="auto" w:sz="4" w:space="0"/>
              <w:right w:val="single" w:color="auto" w:sz="4" w:space="0"/>
            </w:tcBorders>
            <w:noWrap w:val="0"/>
            <w:vAlign w:val="center"/>
          </w:tcPr>
          <w:p w14:paraId="0206873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532" w:type="dxa"/>
            <w:tcBorders>
              <w:top w:val="nil"/>
              <w:left w:val="nil"/>
              <w:bottom w:val="single" w:color="auto" w:sz="4" w:space="0"/>
              <w:right w:val="single" w:color="auto" w:sz="4" w:space="0"/>
            </w:tcBorders>
            <w:noWrap w:val="0"/>
            <w:vAlign w:val="center"/>
          </w:tcPr>
          <w:p w14:paraId="2645873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2246928A">
        <w:tblPrEx>
          <w:tblCellMar>
            <w:top w:w="0" w:type="dxa"/>
            <w:left w:w="108" w:type="dxa"/>
            <w:bottom w:w="0" w:type="dxa"/>
            <w:right w:w="108" w:type="dxa"/>
          </w:tblCellMar>
        </w:tblPrEx>
        <w:trPr>
          <w:trHeight w:val="340"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04F7233D">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690" w:type="dxa"/>
            <w:tcBorders>
              <w:top w:val="nil"/>
              <w:left w:val="nil"/>
              <w:bottom w:val="single" w:color="auto" w:sz="4" w:space="0"/>
              <w:right w:val="single" w:color="auto" w:sz="4" w:space="0"/>
            </w:tcBorders>
            <w:noWrap w:val="0"/>
            <w:vAlign w:val="center"/>
          </w:tcPr>
          <w:p w14:paraId="5A67CBA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资产总额（Z）</w:t>
            </w:r>
          </w:p>
        </w:tc>
        <w:tc>
          <w:tcPr>
            <w:tcW w:w="913" w:type="dxa"/>
            <w:tcBorders>
              <w:top w:val="nil"/>
              <w:left w:val="nil"/>
              <w:bottom w:val="single" w:color="auto" w:sz="4" w:space="0"/>
              <w:right w:val="single" w:color="auto" w:sz="4" w:space="0"/>
            </w:tcBorders>
            <w:noWrap w:val="0"/>
            <w:vAlign w:val="center"/>
          </w:tcPr>
          <w:p w14:paraId="2C102F8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409041B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8000≤Z＜120000</w:t>
            </w:r>
          </w:p>
        </w:tc>
        <w:tc>
          <w:tcPr>
            <w:tcW w:w="1658" w:type="dxa"/>
            <w:tcBorders>
              <w:top w:val="nil"/>
              <w:left w:val="nil"/>
              <w:bottom w:val="single" w:color="auto" w:sz="4" w:space="0"/>
              <w:right w:val="single" w:color="auto" w:sz="4" w:space="0"/>
            </w:tcBorders>
            <w:noWrap w:val="0"/>
            <w:vAlign w:val="center"/>
          </w:tcPr>
          <w:p w14:paraId="4C89213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100≤Z＜8000</w:t>
            </w:r>
          </w:p>
        </w:tc>
        <w:tc>
          <w:tcPr>
            <w:tcW w:w="1532" w:type="dxa"/>
            <w:tcBorders>
              <w:top w:val="nil"/>
              <w:left w:val="nil"/>
              <w:bottom w:val="single" w:color="auto" w:sz="4" w:space="0"/>
              <w:right w:val="single" w:color="auto" w:sz="4" w:space="0"/>
            </w:tcBorders>
            <w:noWrap w:val="0"/>
            <w:vAlign w:val="center"/>
          </w:tcPr>
          <w:p w14:paraId="3FA26E7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0D16A333">
        <w:tblPrEx>
          <w:tblCellMar>
            <w:top w:w="0" w:type="dxa"/>
            <w:left w:w="108" w:type="dxa"/>
            <w:bottom w:w="0" w:type="dxa"/>
            <w:right w:w="108" w:type="dxa"/>
          </w:tblCellMar>
        </w:tblPrEx>
        <w:trPr>
          <w:trHeight w:val="340" w:hRule="atLeast"/>
          <w:jc w:val="center"/>
        </w:trPr>
        <w:tc>
          <w:tcPr>
            <w:tcW w:w="1701" w:type="dxa"/>
            <w:tcBorders>
              <w:top w:val="nil"/>
              <w:left w:val="single" w:color="auto" w:sz="4" w:space="0"/>
              <w:bottom w:val="single" w:color="auto" w:sz="4" w:space="0"/>
              <w:right w:val="single" w:color="auto" w:sz="4" w:space="0"/>
            </w:tcBorders>
            <w:noWrap w:val="0"/>
            <w:vAlign w:val="center"/>
          </w:tcPr>
          <w:p w14:paraId="50133291">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其他未列明行业</w:t>
            </w:r>
          </w:p>
        </w:tc>
        <w:tc>
          <w:tcPr>
            <w:tcW w:w="1690" w:type="dxa"/>
            <w:tcBorders>
              <w:top w:val="nil"/>
              <w:left w:val="nil"/>
              <w:bottom w:val="single" w:color="auto" w:sz="4" w:space="0"/>
              <w:right w:val="single" w:color="auto" w:sz="4" w:space="0"/>
            </w:tcBorders>
            <w:noWrap w:val="0"/>
            <w:vAlign w:val="center"/>
          </w:tcPr>
          <w:p w14:paraId="74BB161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6A2E240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2C83BD4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658" w:type="dxa"/>
            <w:tcBorders>
              <w:top w:val="nil"/>
              <w:left w:val="nil"/>
              <w:bottom w:val="single" w:color="auto" w:sz="4" w:space="0"/>
              <w:right w:val="single" w:color="auto" w:sz="4" w:space="0"/>
            </w:tcBorders>
            <w:noWrap w:val="0"/>
            <w:vAlign w:val="center"/>
          </w:tcPr>
          <w:p w14:paraId="3B72197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532" w:type="dxa"/>
            <w:tcBorders>
              <w:top w:val="nil"/>
              <w:left w:val="nil"/>
              <w:bottom w:val="single" w:color="auto" w:sz="4" w:space="0"/>
              <w:right w:val="single" w:color="auto" w:sz="4" w:space="0"/>
            </w:tcBorders>
            <w:noWrap w:val="0"/>
            <w:vAlign w:val="center"/>
          </w:tcPr>
          <w:p w14:paraId="5D5141B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bl>
    <w:p w14:paraId="7E1A51EB">
      <w:pPr>
        <w:spacing w:line="360" w:lineRule="auto"/>
        <w:ind w:firstLine="525" w:firstLineChars="2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57B4B151">
      <w:pPr>
        <w:rPr>
          <w:rFonts w:hint="eastAsia" w:ascii="Cambria" w:hAnsi="Cambria"/>
          <w:color w:val="000000" w:themeColor="text1"/>
          <w:sz w:val="32"/>
          <w:szCs w:val="32"/>
          <w:highlight w:val="none"/>
          <w14:textFill>
            <w14:solidFill>
              <w14:schemeClr w14:val="tx1"/>
            </w14:solidFill>
          </w14:textFill>
        </w:rPr>
      </w:pPr>
    </w:p>
    <w:p w14:paraId="0062A614">
      <w:pPr>
        <w:pStyle w:val="3"/>
        <w:spacing w:before="0" w:after="0" w:line="360" w:lineRule="auto"/>
        <w:jc w:val="center"/>
        <w:rPr>
          <w:rFonts w:hint="eastAsia"/>
          <w:color w:val="000000" w:themeColor="text1"/>
          <w:highlight w:val="none"/>
          <w14:textFill>
            <w14:solidFill>
              <w14:schemeClr w14:val="tx1"/>
            </w14:solidFill>
          </w14:textFill>
        </w:rPr>
      </w:pPr>
      <w:bookmarkStart w:id="18" w:name="_Toc29672"/>
      <w:bookmarkStart w:id="19" w:name="_Toc1656"/>
      <w:bookmarkStart w:id="20" w:name="_Toc20040"/>
      <w:bookmarkStart w:id="21" w:name="_Toc1455"/>
      <w:bookmarkStart w:id="22" w:name="_Toc1158"/>
      <w:bookmarkStart w:id="23" w:name="_Toc19364"/>
      <w:bookmarkStart w:id="24" w:name="_Toc19869"/>
      <w:r>
        <w:rPr>
          <w:rFonts w:hint="eastAsia" w:ascii="Cambria" w:hAnsi="Cambria"/>
          <w:bCs w:val="0"/>
          <w:color w:val="000000" w:themeColor="text1"/>
          <w:sz w:val="32"/>
          <w:szCs w:val="32"/>
          <w:highlight w:val="none"/>
          <w14:textFill>
            <w14:solidFill>
              <w14:schemeClr w14:val="tx1"/>
            </w14:solidFill>
          </w14:textFill>
        </w:rPr>
        <w:t>第三章</w:t>
      </w:r>
      <w:r>
        <w:rPr>
          <w:rFonts w:ascii="Cambria" w:hAnsi="Cambria"/>
          <w:bCs w:val="0"/>
          <w:color w:val="000000" w:themeColor="text1"/>
          <w:sz w:val="32"/>
          <w:szCs w:val="32"/>
          <w:highlight w:val="none"/>
          <w14:textFill>
            <w14:solidFill>
              <w14:schemeClr w14:val="tx1"/>
            </w14:solidFill>
          </w14:textFill>
        </w:rPr>
        <w:t xml:space="preserve"> </w:t>
      </w:r>
      <w:r>
        <w:rPr>
          <w:rFonts w:hint="eastAsia" w:ascii="Cambria" w:hAnsi="Cambria"/>
          <w:bCs w:val="0"/>
          <w:color w:val="000000" w:themeColor="text1"/>
          <w:sz w:val="32"/>
          <w:szCs w:val="32"/>
          <w:highlight w:val="none"/>
          <w14:textFill>
            <w14:solidFill>
              <w14:schemeClr w14:val="tx1"/>
            </w14:solidFill>
          </w14:textFill>
        </w:rPr>
        <w:t>供应商须知</w:t>
      </w:r>
      <w:bookmarkEnd w:id="17"/>
      <w:bookmarkEnd w:id="18"/>
      <w:bookmarkEnd w:id="19"/>
      <w:bookmarkEnd w:id="20"/>
      <w:bookmarkEnd w:id="21"/>
      <w:bookmarkEnd w:id="22"/>
      <w:bookmarkEnd w:id="23"/>
      <w:bookmarkEnd w:id="24"/>
      <w:r>
        <w:rPr>
          <w:rFonts w:hint="eastAsia" w:ascii="Cambria" w:hAnsi="Cambria" w:eastAsia="宋体" w:cs="Times New Roman"/>
          <w:b/>
          <w:bCs/>
          <w:color w:val="000000" w:themeColor="text1"/>
          <w:sz w:val="32"/>
          <w:szCs w:val="32"/>
          <w:highlight w:val="none"/>
          <w:lang w:eastAsia="zh-CN"/>
          <w14:textFill>
            <w14:solidFill>
              <w14:schemeClr w14:val="tx1"/>
            </w14:solidFill>
          </w14:textFill>
        </w:rPr>
        <w:t>（</w:t>
      </w:r>
      <w:r>
        <w:rPr>
          <w:rFonts w:hint="eastAsia" w:ascii="Cambria" w:hAnsi="Cambria" w:eastAsia="宋体" w:cs="Times New Roman"/>
          <w:b/>
          <w:bCs/>
          <w:color w:val="000000" w:themeColor="text1"/>
          <w:sz w:val="32"/>
          <w:szCs w:val="32"/>
          <w:highlight w:val="none"/>
          <w:lang w:val="en-US" w:eastAsia="zh-CN"/>
          <w14:textFill>
            <w14:solidFill>
              <w14:schemeClr w14:val="tx1"/>
            </w14:solidFill>
          </w14:textFill>
        </w:rPr>
        <w:t>适用于分标1、分标2</w:t>
      </w:r>
      <w:r>
        <w:rPr>
          <w:rFonts w:hint="eastAsia" w:ascii="Cambria" w:hAnsi="Cambria" w:eastAsia="宋体" w:cs="Times New Roman"/>
          <w:b/>
          <w:bCs/>
          <w:color w:val="000000" w:themeColor="text1"/>
          <w:sz w:val="32"/>
          <w:szCs w:val="32"/>
          <w:highlight w:val="none"/>
          <w:lang w:eastAsia="zh-CN"/>
          <w14:textFill>
            <w14:solidFill>
              <w14:schemeClr w14:val="tx1"/>
            </w14:solidFill>
          </w14:textFill>
        </w:rPr>
        <w:t>）</w:t>
      </w:r>
    </w:p>
    <w:p w14:paraId="5F6F0F19">
      <w:pPr>
        <w:keepNext/>
        <w:keepLines/>
        <w:spacing w:line="360" w:lineRule="auto"/>
        <w:jc w:val="center"/>
        <w:outlineLvl w:val="1"/>
        <w:rPr>
          <w:rFonts w:ascii="宋体" w:hAnsi="宋体"/>
          <w:bCs/>
          <w:color w:val="000000" w:themeColor="text1"/>
          <w:sz w:val="32"/>
          <w:szCs w:val="32"/>
          <w:highlight w:val="none"/>
          <w14:textFill>
            <w14:solidFill>
              <w14:schemeClr w14:val="tx1"/>
            </w14:solidFill>
          </w14:textFill>
        </w:rPr>
      </w:pPr>
      <w:bookmarkStart w:id="25" w:name="_Toc14633"/>
      <w:bookmarkStart w:id="26" w:name="_Toc155"/>
      <w:bookmarkStart w:id="27" w:name="_Toc30814"/>
      <w:bookmarkStart w:id="28" w:name="_Toc19080"/>
      <w:bookmarkStart w:id="29" w:name="_Toc22780"/>
      <w:bookmarkStart w:id="30" w:name="_Toc29376"/>
      <w:bookmarkStart w:id="31" w:name="_Toc31718"/>
      <w:bookmarkStart w:id="32" w:name="_Toc29755"/>
      <w:r>
        <w:rPr>
          <w:rFonts w:hint="eastAsia" w:ascii="宋体" w:hAnsi="宋体"/>
          <w:bCs/>
          <w:color w:val="000000" w:themeColor="text1"/>
          <w:sz w:val="32"/>
          <w:szCs w:val="32"/>
          <w:highlight w:val="none"/>
          <w14:textFill>
            <w14:solidFill>
              <w14:schemeClr w14:val="tx1"/>
            </w14:solidFill>
          </w14:textFill>
        </w:rPr>
        <w:t>第一节 供应商须知前附表</w:t>
      </w:r>
      <w:bookmarkEnd w:id="25"/>
      <w:bookmarkEnd w:id="26"/>
      <w:bookmarkEnd w:id="27"/>
      <w:bookmarkEnd w:id="28"/>
      <w:bookmarkEnd w:id="29"/>
      <w:bookmarkEnd w:id="30"/>
      <w:bookmarkEnd w:id="31"/>
      <w:bookmarkEnd w:id="32"/>
    </w:p>
    <w:p w14:paraId="0119DE5E">
      <w:pPr>
        <w:spacing w:line="400" w:lineRule="exact"/>
        <w:jc w:val="center"/>
        <w:rPr>
          <w:rFonts w:hint="eastAsia" w:ascii="宋体" w:hAnsi="宋体"/>
          <w:b/>
          <w:color w:val="000000" w:themeColor="text1"/>
          <w:sz w:val="32"/>
          <w:szCs w:val="32"/>
          <w:highlight w:val="none"/>
          <w14:textFill>
            <w14:solidFill>
              <w14:schemeClr w14:val="tx1"/>
            </w14:solidFill>
          </w14:textFill>
        </w:rPr>
      </w:pPr>
    </w:p>
    <w:tbl>
      <w:tblPr>
        <w:tblStyle w:val="35"/>
        <w:tblW w:w="101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2"/>
        <w:gridCol w:w="2538"/>
        <w:gridCol w:w="6608"/>
      </w:tblGrid>
      <w:tr w14:paraId="7428D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2" w:hRule="atLeast"/>
          <w:jc w:val="center"/>
        </w:trPr>
        <w:tc>
          <w:tcPr>
            <w:tcW w:w="972" w:type="dxa"/>
            <w:tcBorders>
              <w:top w:val="single" w:color="000000" w:sz="4" w:space="0"/>
              <w:left w:val="single" w:color="000000" w:sz="4" w:space="0"/>
              <w:bottom w:val="single" w:color="000000" w:sz="4" w:space="0"/>
              <w:right w:val="single" w:color="000000" w:sz="4" w:space="0"/>
            </w:tcBorders>
            <w:noWrap w:val="0"/>
            <w:vAlign w:val="top"/>
          </w:tcPr>
          <w:p w14:paraId="4B2DFB6B">
            <w:pPr>
              <w:spacing w:line="440" w:lineRule="atLeas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条款号</w:t>
            </w: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18DECFFB">
            <w:pPr>
              <w:spacing w:line="440" w:lineRule="atLeas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条款内容</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43F0C533">
            <w:pPr>
              <w:spacing w:line="440" w:lineRule="atLeas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具体要求</w:t>
            </w:r>
          </w:p>
        </w:tc>
      </w:tr>
      <w:tr w14:paraId="2CA37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72" w:type="dxa"/>
            <w:tcBorders>
              <w:top w:val="single" w:color="000000" w:sz="4" w:space="0"/>
              <w:left w:val="single" w:color="000000" w:sz="4" w:space="0"/>
              <w:bottom w:val="single" w:color="000000" w:sz="4" w:space="0"/>
              <w:right w:val="single" w:color="000000" w:sz="4" w:space="0"/>
            </w:tcBorders>
            <w:noWrap w:val="0"/>
            <w:vAlign w:val="top"/>
          </w:tcPr>
          <w:p w14:paraId="1C5B701F">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w:t>
            </w: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7B5F5BFB">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供应商资格条件</w:t>
            </w:r>
          </w:p>
        </w:tc>
        <w:tc>
          <w:tcPr>
            <w:tcW w:w="6608" w:type="dxa"/>
            <w:tcBorders>
              <w:top w:val="single" w:color="000000" w:sz="4" w:space="0"/>
              <w:left w:val="single" w:color="000000" w:sz="4" w:space="0"/>
              <w:bottom w:val="single" w:color="000000" w:sz="4" w:space="0"/>
              <w:right w:val="single" w:color="000000" w:sz="4" w:space="0"/>
            </w:tcBorders>
            <w:noWrap w:val="0"/>
            <w:vAlign w:val="top"/>
          </w:tcPr>
          <w:p w14:paraId="3F4EC339">
            <w:pPr>
              <w:spacing w:line="440" w:lineRule="atLeast"/>
              <w:rPr>
                <w:rFonts w:hint="eastAsia" w:ascii="宋体" w:hAnsi="宋体" w:cs="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供应商资格条件要求详见公告</w:t>
            </w:r>
          </w:p>
        </w:tc>
      </w:tr>
      <w:tr w14:paraId="7B41B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noWrap w:val="0"/>
            <w:vAlign w:val="center"/>
          </w:tcPr>
          <w:p w14:paraId="7F4D6435">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w:t>
            </w: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368DE658">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是否接受联合体竞标</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4488451D">
            <w:pPr>
              <w:spacing w:line="440" w:lineRule="atLeast"/>
              <w:rPr>
                <w:rFonts w:hint="eastAsia" w:ascii="宋体" w:hAnsi="宋体" w:cs="宋体"/>
                <w:color w:val="000000" w:themeColor="text1"/>
                <w:szCs w:val="21"/>
                <w:highlight w:val="none"/>
                <w14:textFill>
                  <w14:solidFill>
                    <w14:schemeClr w14:val="tx1"/>
                  </w14:solidFill>
                </w14:textFill>
              </w:rPr>
            </w:pPr>
            <w:bookmarkStart w:id="33" w:name="PO_3000001871_PM007_1"/>
            <w:r>
              <w:rPr>
                <w:rFonts w:hint="eastAsia" w:ascii="宋体" w:hAnsi="宋体"/>
                <w:color w:val="000000" w:themeColor="text1"/>
                <w:szCs w:val="21"/>
                <w:highlight w:val="none"/>
                <w14:textFill>
                  <w14:solidFill>
                    <w14:schemeClr w14:val="tx1"/>
                  </w14:solidFill>
                </w14:textFill>
              </w:rPr>
              <w:t>不允许联合体</w:t>
            </w:r>
            <w:bookmarkEnd w:id="33"/>
            <w:r>
              <w:rPr>
                <w:rFonts w:hint="eastAsia" w:ascii="宋体" w:hAnsi="宋体"/>
                <w:color w:val="000000" w:themeColor="text1"/>
                <w:szCs w:val="21"/>
                <w:highlight w:val="none"/>
                <w:lang w:val="en-US" w:eastAsia="zh-CN"/>
                <w14:textFill>
                  <w14:solidFill>
                    <w14:schemeClr w14:val="tx1"/>
                  </w14:solidFill>
                </w14:textFill>
              </w:rPr>
              <w:t>竞</w:t>
            </w:r>
            <w:r>
              <w:rPr>
                <w:rFonts w:hint="eastAsia" w:ascii="宋体" w:hAnsi="宋体"/>
                <w:color w:val="000000" w:themeColor="text1"/>
                <w:szCs w:val="21"/>
                <w:highlight w:val="none"/>
                <w14:textFill>
                  <w14:solidFill>
                    <w14:schemeClr w14:val="tx1"/>
                  </w14:solidFill>
                </w14:textFill>
              </w:rPr>
              <w:t>标。</w:t>
            </w:r>
          </w:p>
        </w:tc>
      </w:tr>
      <w:tr w14:paraId="6D62E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noWrap w:val="0"/>
            <w:vAlign w:val="center"/>
          </w:tcPr>
          <w:p w14:paraId="0D8A3099">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w:t>
            </w: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79F0D11B">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联合体竞标要求</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148384E1">
            <w:pPr>
              <w:spacing w:line="440" w:lineRule="atLeast"/>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无。</w:t>
            </w:r>
          </w:p>
        </w:tc>
      </w:tr>
      <w:tr w14:paraId="5AC2F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noWrap w:val="0"/>
            <w:vAlign w:val="center"/>
          </w:tcPr>
          <w:p w14:paraId="5A01D96B">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6.1</w:t>
            </w: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06C02A81">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是否允许分包</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45D69997">
            <w:pPr>
              <w:pStyle w:val="16"/>
              <w:spacing w:line="440" w:lineRule="atLeast"/>
              <w:rPr>
                <w:rFonts w:hint="eastAsia" w:ascii="宋体" w:hAnsi="宋体" w:cs="宋体"/>
                <w:color w:val="000000" w:themeColor="text1"/>
                <w:szCs w:val="21"/>
                <w:highlight w:val="none"/>
                <w14:textFill>
                  <w14:solidFill>
                    <w14:schemeClr w14:val="tx1"/>
                  </w14:solidFill>
                </w14:textFill>
              </w:rPr>
            </w:pPr>
            <w:bookmarkStart w:id="34" w:name="PO_3000001871_PM044"/>
            <w:r>
              <w:rPr>
                <w:rFonts w:hint="eastAsia" w:ascii="宋体" w:hAnsi="宋体"/>
                <w:color w:val="000000" w:themeColor="text1"/>
                <w:szCs w:val="21"/>
                <w:highlight w:val="none"/>
                <w14:textFill>
                  <w14:solidFill>
                    <w14:schemeClr w14:val="tx1"/>
                  </w14:solidFill>
                </w14:textFill>
              </w:rPr>
              <w:t>不允许分包</w:t>
            </w:r>
            <w:bookmarkEnd w:id="34"/>
            <w:r>
              <w:rPr>
                <w:rFonts w:hint="eastAsia" w:ascii="宋体" w:hAnsi="宋体"/>
                <w:color w:val="000000" w:themeColor="text1"/>
                <w:szCs w:val="21"/>
                <w:highlight w:val="none"/>
                <w14:textFill>
                  <w14:solidFill>
                    <w14:schemeClr w14:val="tx1"/>
                  </w14:solidFill>
                </w14:textFill>
              </w:rPr>
              <w:t>。</w:t>
            </w:r>
          </w:p>
        </w:tc>
      </w:tr>
      <w:tr w14:paraId="3E7D4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noWrap w:val="0"/>
            <w:vAlign w:val="center"/>
          </w:tcPr>
          <w:p w14:paraId="4588E53A">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12.1.1</w:t>
            </w: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325A107F">
            <w:pPr>
              <w:snapToGrid w:val="0"/>
              <w:spacing w:line="440" w:lineRule="atLeas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资格证明文件组成</w:t>
            </w:r>
          </w:p>
          <w:p w14:paraId="5824895C">
            <w:pPr>
              <w:spacing w:line="440" w:lineRule="atLeast"/>
              <w:jc w:val="center"/>
              <w:rPr>
                <w:rFonts w:hint="eastAsia" w:ascii="宋体" w:hAnsi="宋体" w:cs="宋体"/>
                <w:color w:val="000000" w:themeColor="text1"/>
                <w:szCs w:val="21"/>
                <w:highlight w:val="none"/>
                <w14:textFill>
                  <w14:solidFill>
                    <w14:schemeClr w14:val="tx1"/>
                  </w14:solidFill>
                </w14:textFill>
              </w:rPr>
            </w:pP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043C207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1.供应商为法人或者其他组织的提供其营业执照等证明文件（如营业执照或者事业单位法人证书或者执业许可证等），供应商为自然人的提供其身份证复印件；</w:t>
            </w:r>
            <w:r>
              <w:rPr>
                <w:rFonts w:hint="eastAsia" w:ascii="宋体" w:hAnsi="宋体"/>
                <w:b/>
                <w:color w:val="000000" w:themeColor="text1"/>
                <w:szCs w:val="21"/>
                <w:highlight w:val="none"/>
                <w14:textFill>
                  <w14:solidFill>
                    <w14:schemeClr w14:val="tx1"/>
                  </w14:solidFill>
                </w14:textFill>
              </w:rPr>
              <w:t>（必须提供，否则响应文件按无效响应处理）</w:t>
            </w:r>
          </w:p>
          <w:p w14:paraId="7161C88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2.供应商依法缴纳税收的相关材料：</w:t>
            </w:r>
            <w:r>
              <w:rPr>
                <w:rFonts w:hint="eastAsia" w:ascii="宋体" w:hAnsi="宋体"/>
                <w:color w:val="000000" w:themeColor="text1"/>
                <w:szCs w:val="21"/>
                <w:highlight w:val="none"/>
                <w14:textFill>
                  <w14:solidFill>
                    <w14:schemeClr w14:val="tx1"/>
                  </w14:solidFill>
                </w14:textFill>
              </w:rPr>
              <w:t>响应文件提交截止日前6个月内</w:t>
            </w:r>
            <w:r>
              <w:rPr>
                <w:rFonts w:hint="eastAsia" w:ascii="宋体" w:hAnsi="宋体"/>
                <w:color w:val="000000" w:themeColor="text1"/>
                <w:szCs w:val="21"/>
                <w:highlight w:val="none"/>
                <w14:textFill>
                  <w14:solidFill>
                    <w14:schemeClr w14:val="tx1"/>
                  </w14:solidFill>
                </w14:textFill>
              </w:rPr>
              <w:t>任意连续</w:t>
            </w:r>
            <w:r>
              <w:rPr>
                <w:rFonts w:ascii="宋体" w:hAnsi="宋体"/>
                <w:color w:val="000000" w:themeColor="text1"/>
                <w:szCs w:val="21"/>
                <w:highlight w:val="none"/>
                <w:u w:val="singl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个月的依法缴纳税收的凭据复印件；依法免税的供应商，必须提供相应文件证明其依法免税。从取得营业执照时间起到竞标文件提交截止时间为止不足要求月数的，只需提供从取得营业执照起的依法缴纳税收相应证明文件）；</w:t>
            </w:r>
            <w:r>
              <w:rPr>
                <w:rFonts w:hint="eastAsia" w:ascii="宋体" w:hAnsi="宋体"/>
                <w:b/>
                <w:color w:val="000000" w:themeColor="text1"/>
                <w:szCs w:val="21"/>
                <w:highlight w:val="none"/>
                <w14:textFill>
                  <w14:solidFill>
                    <w14:schemeClr w14:val="tx1"/>
                  </w14:solidFill>
                </w14:textFill>
              </w:rPr>
              <w:t>（必须提供，否则作无效竞标处理）</w:t>
            </w:r>
          </w:p>
          <w:p w14:paraId="610C62C7">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3.供应商依法缴纳社会保障资金的相关材料：</w:t>
            </w:r>
            <w:r>
              <w:rPr>
                <w:rFonts w:hint="eastAsia" w:ascii="宋体" w:hAnsi="宋体"/>
                <w:color w:val="000000" w:themeColor="text1"/>
                <w:szCs w:val="21"/>
                <w:highlight w:val="none"/>
                <w14:textFill>
                  <w14:solidFill>
                    <w14:schemeClr w14:val="tx1"/>
                  </w14:solidFill>
                </w14:textFill>
              </w:rPr>
              <w:t>响应文件提交截止日前6个月内</w:t>
            </w:r>
            <w:r>
              <w:rPr>
                <w:rFonts w:hint="eastAsia"/>
                <w:color w:val="000000" w:themeColor="text1"/>
                <w:highlight w:val="none"/>
                <w:lang w:val="en-US" w:eastAsia="zh-CN"/>
                <w14:textFill>
                  <w14:solidFill>
                    <w14:schemeClr w14:val="tx1"/>
                  </w14:solidFill>
                </w14:textFill>
              </w:rPr>
              <w:t>任意</w:t>
            </w:r>
            <w:r>
              <w:rPr>
                <w:rFonts w:hint="eastAsia" w:ascii="宋体" w:hAnsi="宋体"/>
                <w:color w:val="000000" w:themeColor="text1"/>
                <w:szCs w:val="21"/>
                <w:highlight w:val="none"/>
                <w14:textFill>
                  <w14:solidFill>
                    <w14:schemeClr w14:val="tx1"/>
                  </w14:solidFill>
                </w14:textFill>
              </w:rPr>
              <w:t>连续</w:t>
            </w:r>
            <w:r>
              <w:rPr>
                <w:rFonts w:ascii="宋体" w:hAnsi="宋体"/>
                <w:color w:val="000000" w:themeColor="text1"/>
                <w:szCs w:val="21"/>
                <w:highlight w:val="none"/>
                <w:u w:val="singl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b/>
                <w:color w:val="000000" w:themeColor="text1"/>
                <w:szCs w:val="21"/>
                <w:highlight w:val="none"/>
                <w14:textFill>
                  <w14:solidFill>
                    <w14:schemeClr w14:val="tx1"/>
                  </w14:solidFill>
                </w14:textFill>
              </w:rPr>
              <w:t>（必须提供，否则作无效竞标处理）</w:t>
            </w:r>
          </w:p>
          <w:p w14:paraId="02673525">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4.供应商财务状况报告：[</w:t>
            </w:r>
            <w:r>
              <w:rPr>
                <w:rFonts w:hint="eastAsia" w:ascii="宋体" w:hAnsi="宋体"/>
                <w:color w:val="000000" w:themeColor="text1"/>
                <w:szCs w:val="21"/>
                <w:highlight w:val="none"/>
                <w:u w:val="single"/>
                <w14:textFill>
                  <w14:solidFill>
                    <w14:schemeClr w14:val="tx1"/>
                  </w14:solidFill>
                </w14:textFill>
              </w:rPr>
              <w:t>2025年</w:t>
            </w:r>
            <w:r>
              <w:rPr>
                <w:rFonts w:hint="eastAsia" w:ascii="宋体" w:hAnsi="宋体"/>
                <w:color w:val="000000" w:themeColor="text1"/>
                <w:szCs w:val="21"/>
                <w:highlight w:val="none"/>
                <w14:textFill>
                  <w14:solidFill>
                    <w14:schemeClr w14:val="tx1"/>
                  </w14:solidFill>
                </w14:textFill>
              </w:rPr>
              <w:t>]财务状况报告复印件；</w:t>
            </w:r>
            <w:r>
              <w:rPr>
                <w:rFonts w:hint="eastAsia" w:ascii="宋体" w:hAnsi="宋体"/>
                <w:color w:val="000000" w:themeColor="text1"/>
                <w:szCs w:val="21"/>
                <w:highlight w:val="none"/>
                <w14:textFill>
                  <w14:solidFill>
                    <w14:schemeClr w14:val="tx1"/>
                  </w14:solidFill>
                </w14:textFill>
              </w:rPr>
              <w:t>供应商成立不满一年的应按提供首次响应文件提交截止时间上一个月的资产负债表、利润表复印件。</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（必须提供，否则作无效竞标处理）</w:t>
            </w:r>
          </w:p>
          <w:p w14:paraId="795383DF">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5.供应商直接控股、管理关系信息表；</w:t>
            </w:r>
            <w:r>
              <w:rPr>
                <w:rFonts w:hint="eastAsia" w:ascii="宋体" w:hAnsi="宋体"/>
                <w:b/>
                <w:color w:val="000000" w:themeColor="text1"/>
                <w:szCs w:val="21"/>
                <w:highlight w:val="none"/>
                <w14:textFill>
                  <w14:solidFill>
                    <w14:schemeClr w14:val="tx1"/>
                  </w14:solidFill>
                </w14:textFill>
              </w:rPr>
              <w:t>（必须提供，否则响应文件按无效响应处理）</w:t>
            </w:r>
          </w:p>
          <w:p w14:paraId="3A4730E6">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6.资格声明；</w:t>
            </w:r>
            <w:r>
              <w:rPr>
                <w:rFonts w:hint="eastAsia" w:ascii="宋体" w:hAnsi="宋体"/>
                <w:b/>
                <w:color w:val="000000" w:themeColor="text1"/>
                <w:szCs w:val="21"/>
                <w:highlight w:val="none"/>
                <w14:textFill>
                  <w14:solidFill>
                    <w14:schemeClr w14:val="tx1"/>
                  </w14:solidFill>
                </w14:textFill>
              </w:rPr>
              <w:t>（必须提供，否则响应文件按无效响应处理）</w:t>
            </w:r>
          </w:p>
          <w:p w14:paraId="558B7A53">
            <w:pPr>
              <w:spacing w:line="360" w:lineRule="auto"/>
              <w:rPr>
                <w:rFonts w:hint="eastAsia" w:ascii="宋体" w:hAnsi="宋体"/>
                <w:b/>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.中小企业声明函或残疾人福利性单位声明函或属于监狱企业的证明文件；</w:t>
            </w:r>
            <w:r>
              <w:rPr>
                <w:rFonts w:hint="eastAsia" w:ascii="宋体" w:hAnsi="宋体"/>
                <w:b/>
                <w:color w:val="000000" w:themeColor="text1"/>
                <w:szCs w:val="21"/>
                <w:highlight w:val="none"/>
                <w14:textFill>
                  <w14:solidFill>
                    <w14:schemeClr w14:val="tx1"/>
                  </w14:solidFill>
                </w14:textFill>
              </w:rPr>
              <w:t>（必须提供，否则响应文件按无效响应处理）</w:t>
            </w:r>
          </w:p>
          <w:p w14:paraId="6FB9310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lang w:val="en-US" w:eastAsia="zh-CN"/>
                <w14:textFill>
                  <w14:solidFill>
                    <w14:schemeClr w14:val="tx1"/>
                  </w14:solidFill>
                </w14:textFill>
              </w:rPr>
              <w:t>8.</w:t>
            </w:r>
            <w:r>
              <w:rPr>
                <w:rFonts w:hint="eastAsia" w:ascii="宋体" w:hAnsi="宋体" w:cs="宋体"/>
                <w:bCs/>
                <w:color w:val="000000" w:themeColor="text1"/>
                <w:szCs w:val="21"/>
                <w:highlight w:val="none"/>
                <w:lang w:val="en-US" w:eastAsia="zh-CN"/>
                <w14:textFill>
                  <w14:solidFill>
                    <w14:schemeClr w14:val="tx1"/>
                  </w14:solidFill>
                </w14:textFill>
              </w:rPr>
              <w:t>特定资格要求及特定条件资格证明材料</w:t>
            </w:r>
            <w:r>
              <w:rPr>
                <w:rFonts w:hint="eastAsia" w:ascii="宋体" w:hAnsi="宋体"/>
                <w:color w:val="000000" w:themeColor="text1"/>
                <w:szCs w:val="21"/>
                <w:highlight w:val="none"/>
                <w14:textFill>
                  <w14:solidFill>
                    <w14:schemeClr w14:val="tx1"/>
                  </w14:solidFill>
                </w14:textFill>
              </w:rPr>
              <w:t>：供应商具有有效的建筑工程施工总承包三级（含）以上资质及有效的安全生产许可证；拟投入本项目的项目经理须具备建筑工程专业二级（含）以上注册建造师执业资格，并持有有效的安全生产考核合格证书（B类）。</w:t>
            </w:r>
            <w:r>
              <w:rPr>
                <w:rFonts w:hint="eastAsia" w:ascii="宋体" w:hAnsi="宋体" w:cs="宋体"/>
                <w:b/>
                <w:color w:val="000000" w:themeColor="text1"/>
                <w:szCs w:val="21"/>
                <w:highlight w:val="none"/>
                <w:lang w:val="en-US" w:eastAsia="zh-CN"/>
                <w14:textFill>
                  <w14:solidFill>
                    <w14:schemeClr w14:val="tx1"/>
                  </w14:solidFill>
                </w14:textFill>
              </w:rPr>
              <w:t>（必须提供，否则响应文件按无效响应处理）</w:t>
            </w:r>
          </w:p>
          <w:p w14:paraId="60C6CBBA">
            <w:pPr>
              <w:spacing w:line="360" w:lineRule="auto"/>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.除谈判文件规定必须提供以外，供应商认为需要提供的其他证明材料</w:t>
            </w:r>
            <w:r>
              <w:rPr>
                <w:rFonts w:hint="eastAsia" w:ascii="宋体" w:hAnsi="宋体"/>
                <w:color w:val="000000" w:themeColor="text1"/>
                <w:szCs w:val="21"/>
                <w:highlight w:val="none"/>
                <w:lang w:val="en-US" w:eastAsia="zh-CN"/>
                <w14:textFill>
                  <w14:solidFill>
                    <w14:schemeClr w14:val="tx1"/>
                  </w14:solidFill>
                </w14:textFill>
              </w:rPr>
              <w:t>。</w:t>
            </w:r>
          </w:p>
          <w:p w14:paraId="794AF938">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注：</w:t>
            </w:r>
          </w:p>
          <w:p w14:paraId="0A6B5409">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1.以上标明“必须提供”的材料属于复印件的扫描件的，必须加盖供应商电子公章，否则响应文件按无效响应处理。</w:t>
            </w:r>
          </w:p>
          <w:p w14:paraId="63B10294">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2.联合体竞标时，第1-5项资格证明文件联合体各方均必须分别提供，联合体各方分别盖章和签字，否则响应文件按无效响应处理。</w:t>
            </w:r>
          </w:p>
        </w:tc>
      </w:tr>
      <w:tr w14:paraId="39B1F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2" w:type="dxa"/>
            <w:vMerge w:val="restart"/>
            <w:tcBorders>
              <w:top w:val="single" w:color="000000" w:sz="4" w:space="0"/>
              <w:left w:val="single" w:color="000000" w:sz="4" w:space="0"/>
              <w:bottom w:val="single" w:color="000000" w:sz="4" w:space="0"/>
              <w:right w:val="single" w:color="000000" w:sz="4" w:space="0"/>
            </w:tcBorders>
            <w:noWrap w:val="0"/>
            <w:vAlign w:val="center"/>
          </w:tcPr>
          <w:p w14:paraId="1845E9E4">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w:t>
            </w: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09EF507F">
            <w:pPr>
              <w:spacing w:line="440" w:lineRule="atLeas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商务文件组成</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4B06EF6F">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1.无串通竞标行为的承诺函；</w:t>
            </w:r>
            <w:r>
              <w:rPr>
                <w:rFonts w:hint="eastAsia" w:ascii="宋体" w:hAnsi="宋体"/>
                <w:b/>
                <w:color w:val="000000" w:themeColor="text1"/>
                <w:szCs w:val="21"/>
                <w:highlight w:val="none"/>
                <w14:textFill>
                  <w14:solidFill>
                    <w14:schemeClr w14:val="tx1"/>
                  </w14:solidFill>
                </w14:textFill>
              </w:rPr>
              <w:t>（必须提供，否则响应文件按无效响应处理）</w:t>
            </w:r>
          </w:p>
          <w:p w14:paraId="617E3B9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2.法定代表人身份证明书及法定代表人有效身份证正反面复印件；</w:t>
            </w:r>
            <w:r>
              <w:rPr>
                <w:rFonts w:hint="eastAsia" w:ascii="宋体" w:hAnsi="宋体"/>
                <w:b/>
                <w:color w:val="000000" w:themeColor="text1"/>
                <w:szCs w:val="21"/>
                <w:highlight w:val="none"/>
                <w14:textFill>
                  <w14:solidFill>
                    <w14:schemeClr w14:val="tx1"/>
                  </w14:solidFill>
                </w14:textFill>
              </w:rPr>
              <w:t>（除自然人竞标外必须提供，否则响应文件按无效响应处理）</w:t>
            </w:r>
          </w:p>
          <w:p w14:paraId="615016A9">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3.法定代表人授权委托书及委托代理人有效身份证正反面复印件；</w:t>
            </w:r>
            <w:r>
              <w:rPr>
                <w:rFonts w:hint="eastAsia" w:ascii="宋体" w:hAnsi="宋体"/>
                <w:b/>
                <w:color w:val="000000" w:themeColor="text1"/>
                <w:szCs w:val="21"/>
                <w:highlight w:val="none"/>
                <w14:textFill>
                  <w14:solidFill>
                    <w14:schemeClr w14:val="tx1"/>
                  </w14:solidFill>
                </w14:textFill>
              </w:rPr>
              <w:t>（委托时必须提供，否则响应文件按无效响应处理）</w:t>
            </w:r>
          </w:p>
          <w:p w14:paraId="55D698E7">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4.商务条款偏离表；</w:t>
            </w:r>
            <w:r>
              <w:rPr>
                <w:rFonts w:hint="eastAsia" w:ascii="宋体" w:hAnsi="宋体"/>
                <w:b/>
                <w:color w:val="000000" w:themeColor="text1"/>
                <w:szCs w:val="21"/>
                <w:highlight w:val="none"/>
                <w14:textFill>
                  <w14:solidFill>
                    <w14:schemeClr w14:val="tx1"/>
                  </w14:solidFill>
                </w14:textFill>
              </w:rPr>
              <w:t>（必须提供，否则响应文件按无效响应处理）</w:t>
            </w:r>
          </w:p>
          <w:p w14:paraId="4778828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5.竞标人情况介绍；</w:t>
            </w:r>
          </w:p>
          <w:p w14:paraId="088D610D">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.供应商认为需要提供的其他有关资料。</w:t>
            </w:r>
          </w:p>
          <w:p w14:paraId="2C96E6D8">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注：</w:t>
            </w:r>
          </w:p>
          <w:p w14:paraId="1C11AFDD">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1.法定代表人授权委托书必须由法定代表人及委托代理人签字，并加盖供应商公章，否则响应文件按无效响应处理。</w:t>
            </w:r>
          </w:p>
          <w:p w14:paraId="29E11447">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r>
              <w:rPr>
                <w:rFonts w:hint="eastAsia" w:ascii="宋体" w:hAnsi="宋体"/>
                <w:b/>
                <w:color w:val="000000" w:themeColor="text1"/>
                <w:szCs w:val="21"/>
                <w:highlight w:val="none"/>
                <w14:textFill>
                  <w14:solidFill>
                    <w14:schemeClr w14:val="tx1"/>
                  </w14:solidFill>
                </w14:textFill>
              </w:rPr>
              <w:t>以上标明“必须提供”的材料属于复印件的扫描件的，必须加盖供应商电子公章，否则响应文件按无效响应处理。</w:t>
            </w:r>
          </w:p>
        </w:tc>
      </w:tr>
      <w:tr w14:paraId="16325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082CE0">
            <w:pPr>
              <w:widowControl/>
              <w:spacing w:line="440" w:lineRule="atLeast"/>
              <w:jc w:val="left"/>
              <w:rPr>
                <w:rFonts w:ascii="宋体" w:hAnsi="宋体" w:cs="宋体"/>
                <w:color w:val="000000" w:themeColor="text1"/>
                <w:szCs w:val="21"/>
                <w:highlight w:val="none"/>
                <w14:textFill>
                  <w14:solidFill>
                    <w14:schemeClr w14:val="tx1"/>
                  </w14:solidFill>
                </w14:textFill>
              </w:rPr>
            </w:pP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002075A0">
            <w:pPr>
              <w:spacing w:line="440" w:lineRule="atLeas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技术文件组成</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043C1BFE">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1.技术需求偏离表；</w:t>
            </w:r>
            <w:r>
              <w:rPr>
                <w:rFonts w:hint="eastAsia" w:ascii="宋体" w:hAnsi="宋体"/>
                <w:b/>
                <w:color w:val="000000" w:themeColor="text1"/>
                <w:szCs w:val="21"/>
                <w:highlight w:val="none"/>
                <w14:textFill>
                  <w14:solidFill>
                    <w14:schemeClr w14:val="tx1"/>
                  </w14:solidFill>
                </w14:textFill>
              </w:rPr>
              <w:t>（必须提供，否则响应文件按无效响应处理）</w:t>
            </w:r>
          </w:p>
          <w:p w14:paraId="6D0A655D">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.企业概况表；</w:t>
            </w:r>
            <w:r>
              <w:rPr>
                <w:rFonts w:hint="eastAsia" w:ascii="宋体" w:hAnsi="宋体"/>
                <w:b/>
                <w:color w:val="000000" w:themeColor="text1"/>
                <w:szCs w:val="21"/>
                <w:highlight w:val="none"/>
                <w14:textFill>
                  <w14:solidFill>
                    <w14:schemeClr w14:val="tx1"/>
                  </w14:solidFill>
                </w14:textFill>
              </w:rPr>
              <w:t>（必须提供，否则响应文件按无效响应处理）</w:t>
            </w:r>
          </w:p>
          <w:p w14:paraId="2E4D2B6F">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.施工组织设计（格式自拟）；</w:t>
            </w:r>
            <w:r>
              <w:rPr>
                <w:rFonts w:hint="eastAsia" w:ascii="宋体" w:hAnsi="宋体"/>
                <w:b/>
                <w:color w:val="000000" w:themeColor="text1"/>
                <w:szCs w:val="21"/>
                <w:highlight w:val="none"/>
                <w14:textFill>
                  <w14:solidFill>
                    <w14:schemeClr w14:val="tx1"/>
                  </w14:solidFill>
                </w14:textFill>
              </w:rPr>
              <w:t>（必须提供，否则响应文件按无效响应处理）</w:t>
            </w:r>
          </w:p>
          <w:p w14:paraId="72477CA7">
            <w:pPr>
              <w:spacing w:line="360" w:lineRule="auto"/>
              <w:rPr>
                <w:rFonts w:ascii="宋体" w:hAnsi="宋体"/>
                <w:b/>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.项目管理机构（格式自拟）；</w:t>
            </w:r>
            <w:r>
              <w:rPr>
                <w:rFonts w:hint="eastAsia" w:ascii="宋体" w:hAnsi="宋体"/>
                <w:b/>
                <w:color w:val="000000" w:themeColor="text1"/>
                <w:szCs w:val="21"/>
                <w:highlight w:val="none"/>
                <w14:textFill>
                  <w14:solidFill>
                    <w14:schemeClr w14:val="tx1"/>
                  </w14:solidFill>
                </w14:textFill>
              </w:rPr>
              <w:t>（必须提供，否则响应文件按无效响应处理）</w:t>
            </w:r>
          </w:p>
          <w:p w14:paraId="49362FBD">
            <w:pPr>
              <w:spacing w:line="360" w:lineRule="auto"/>
              <w:rPr>
                <w:rFonts w:ascii="宋体" w:hAnsi="宋体"/>
                <w:b/>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.建设工程项目管理承诺书；</w:t>
            </w:r>
            <w:r>
              <w:rPr>
                <w:rFonts w:hint="eastAsia" w:ascii="宋体" w:hAnsi="宋体"/>
                <w:b/>
                <w:color w:val="000000" w:themeColor="text1"/>
                <w:szCs w:val="21"/>
                <w:highlight w:val="none"/>
                <w14:textFill>
                  <w14:solidFill>
                    <w14:schemeClr w14:val="tx1"/>
                  </w14:solidFill>
                </w14:textFill>
              </w:rPr>
              <w:t>（必须提供，否则响应文件按无效响应处理）</w:t>
            </w:r>
          </w:p>
          <w:p w14:paraId="2C3D6C53">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6.建筑材料和设备节能环保要求承诺书；</w:t>
            </w:r>
            <w:r>
              <w:rPr>
                <w:rFonts w:hint="eastAsia" w:ascii="宋体" w:hAnsi="宋体"/>
                <w:b/>
                <w:color w:val="000000" w:themeColor="text1"/>
                <w:szCs w:val="21"/>
                <w:highlight w:val="none"/>
                <w14:textFill>
                  <w14:solidFill>
                    <w14:schemeClr w14:val="tx1"/>
                  </w14:solidFill>
                </w14:textFill>
              </w:rPr>
              <w:t>（必须提供，否则响应文件按无效响应处理）</w:t>
            </w:r>
          </w:p>
          <w:p w14:paraId="3679B37B">
            <w:pPr>
              <w:spacing w:line="360" w:lineRule="auto"/>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供应商认为需要提供的其他有关资料。</w:t>
            </w:r>
          </w:p>
          <w:p w14:paraId="0C65A02C">
            <w:pPr>
              <w:spacing w:line="440" w:lineRule="atLeast"/>
              <w:rPr>
                <w:rFonts w:hint="eastAsia" w:ascii="宋体" w:hAnsi="宋体" w:cs="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注：1.以上标明“必须提供”的材料属于复印件的扫描件的，必须加盖供应商电子公章，否则响应文件按无效响应处理。</w:t>
            </w:r>
          </w:p>
        </w:tc>
      </w:tr>
      <w:tr w14:paraId="23CE9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noWrap w:val="0"/>
            <w:vAlign w:val="center"/>
          </w:tcPr>
          <w:p w14:paraId="57403738">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12.1.3</w:t>
            </w: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656E6CE4">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报价文件组成</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29D49D2D">
            <w:pPr>
              <w:spacing w:line="440" w:lineRule="atLeast"/>
              <w:rPr>
                <w:rFonts w:hint="eastAsia"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1.响应函；</w:t>
            </w:r>
            <w:r>
              <w:rPr>
                <w:rFonts w:hint="eastAsia" w:ascii="宋体" w:hAnsi="宋体"/>
                <w:b/>
                <w:bCs/>
                <w:color w:val="000000" w:themeColor="text1"/>
                <w:szCs w:val="21"/>
                <w:highlight w:val="none"/>
                <w14:textFill>
                  <w14:solidFill>
                    <w14:schemeClr w14:val="tx1"/>
                  </w14:solidFill>
                </w14:textFill>
              </w:rPr>
              <w:t>（必须提供，否则作无效响应处理）</w:t>
            </w:r>
          </w:p>
          <w:p w14:paraId="0777E7BF">
            <w:pPr>
              <w:spacing w:line="440" w:lineRule="atLeast"/>
              <w:rPr>
                <w:rFonts w:hint="eastAsia"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2.响应报价表；</w:t>
            </w:r>
            <w:r>
              <w:rPr>
                <w:rFonts w:hint="eastAsia" w:ascii="宋体" w:hAnsi="宋体"/>
                <w:b/>
                <w:bCs/>
                <w:color w:val="000000" w:themeColor="text1"/>
                <w:szCs w:val="21"/>
                <w:highlight w:val="none"/>
                <w14:textFill>
                  <w14:solidFill>
                    <w14:schemeClr w14:val="tx1"/>
                  </w14:solidFill>
                </w14:textFill>
              </w:rPr>
              <w:t>（必须提供，否则作无效响应处理）</w:t>
            </w:r>
          </w:p>
          <w:p w14:paraId="10D4F4DF">
            <w:pPr>
              <w:spacing w:line="440" w:lineRule="atLeast"/>
              <w:rPr>
                <w:rFonts w:hint="eastAsia"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3.已标价工程量清单。</w:t>
            </w:r>
            <w:r>
              <w:rPr>
                <w:rFonts w:hint="eastAsia" w:ascii="宋体" w:hAnsi="宋体"/>
                <w:b/>
                <w:bCs/>
                <w:color w:val="000000" w:themeColor="text1"/>
                <w:szCs w:val="21"/>
                <w:highlight w:val="none"/>
                <w14:textFill>
                  <w14:solidFill>
                    <w14:schemeClr w14:val="tx1"/>
                  </w14:solidFill>
                </w14:textFill>
              </w:rPr>
              <w:t>（必须提供，否则响应文件按无效响应处理）</w:t>
            </w:r>
          </w:p>
          <w:p w14:paraId="48CC82B9">
            <w:pPr>
              <w:spacing w:line="440" w:lineRule="atLeast"/>
              <w:rPr>
                <w:rFonts w:hint="eastAsia" w:ascii="宋体" w:hAnsi="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注：1.上述材料必须在规定盖章处加盖供应商电子公章，否则作无效响应处理。</w:t>
            </w:r>
          </w:p>
        </w:tc>
      </w:tr>
      <w:tr w14:paraId="30FC9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noWrap w:val="0"/>
            <w:vAlign w:val="center"/>
          </w:tcPr>
          <w:p w14:paraId="69CA0832">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12.2</w:t>
            </w: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79BA2233">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响应文件电子版要求</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2C68FB7A">
            <w:pPr>
              <w:snapToGrid w:val="0"/>
              <w:spacing w:line="44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1.响应文件电子版要求：按照本采购文件“</w:t>
            </w:r>
            <w:r>
              <w:rPr>
                <w:rFonts w:hint="eastAsia" w:ascii="宋体" w:hAnsi="宋体"/>
                <w:color w:val="000000" w:themeColor="text1"/>
                <w:szCs w:val="21"/>
                <w:highlight w:val="none"/>
                <w14:textFill>
                  <w14:solidFill>
                    <w14:schemeClr w14:val="tx1"/>
                  </w14:solidFill>
                </w14:textFill>
              </w:rPr>
              <w:t>第五章 响应文件格式</w:t>
            </w:r>
            <w:r>
              <w:rPr>
                <w:rFonts w:hint="eastAsia" w:ascii="宋体" w:hAnsi="宋体" w:cs="宋体"/>
                <w:color w:val="000000" w:themeColor="text1"/>
                <w:szCs w:val="21"/>
                <w:highlight w:val="none"/>
                <w14:textFill>
                  <w14:solidFill>
                    <w14:schemeClr w14:val="tx1"/>
                  </w14:solidFill>
                </w14:textFill>
              </w:rPr>
              <w:t>”编写（第五章未附格式的，由供应商自行拟定），不可涂改并在规定加盖公章处加盖电子公章，</w:t>
            </w:r>
            <w:r>
              <w:rPr>
                <w:rFonts w:hint="eastAsia" w:ascii="宋体" w:hAnsi="宋体" w:cs="宋体"/>
                <w:b/>
                <w:color w:val="000000" w:themeColor="text1"/>
                <w:szCs w:val="21"/>
                <w:highlight w:val="none"/>
                <w14:textFill>
                  <w14:solidFill>
                    <w14:schemeClr w14:val="tx1"/>
                  </w14:solidFill>
                </w14:textFill>
              </w:rPr>
              <w:t>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63B3EF55">
            <w:pPr>
              <w:snapToGrid w:val="0"/>
              <w:spacing w:line="44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Courier New"/>
                <w:color w:val="000000" w:themeColor="text1"/>
                <w:szCs w:val="21"/>
                <w:highlight w:val="none"/>
                <w14:textFill>
                  <w14:solidFill>
                    <w14:schemeClr w14:val="tx1"/>
                  </w14:solidFill>
                </w14:textFill>
              </w:rPr>
              <w:t>.响应文件电子版密封方式：电子响应文件通过平台有效CA加密后在“</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s="Courier New"/>
                <w:color w:val="000000" w:themeColor="text1"/>
                <w:szCs w:val="21"/>
                <w:highlight w:val="none"/>
                <w14:textFill>
                  <w14:solidFill>
                    <w14:schemeClr w14:val="tx1"/>
                  </w14:solidFill>
                </w14:textFill>
              </w:rPr>
              <w:t>”平台投送。（操作方式见公告附件“</w:t>
            </w:r>
            <w:r>
              <w:rPr>
                <w:rFonts w:hint="eastAsia" w:ascii="宋体" w:hAnsi="宋体"/>
                <w:color w:val="000000" w:themeColor="text1"/>
                <w:szCs w:val="21"/>
                <w:highlight w:val="none"/>
                <w14:textFill>
                  <w14:solidFill>
                    <w14:schemeClr w14:val="tx1"/>
                  </w14:solidFill>
                </w14:textFill>
              </w:rPr>
              <w:t>电子响应文件制作与投送教程</w:t>
            </w:r>
            <w:r>
              <w:rPr>
                <w:rFonts w:hint="eastAsia" w:ascii="宋体" w:hAnsi="宋体" w:cs="Courier New"/>
                <w:color w:val="000000" w:themeColor="text1"/>
                <w:szCs w:val="21"/>
                <w:highlight w:val="none"/>
                <w14:textFill>
                  <w14:solidFill>
                    <w14:schemeClr w14:val="tx1"/>
                  </w14:solidFill>
                </w14:textFill>
              </w:rPr>
              <w:t>”）</w:t>
            </w:r>
          </w:p>
        </w:tc>
      </w:tr>
      <w:tr w14:paraId="38A82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noWrap w:val="0"/>
            <w:vAlign w:val="center"/>
          </w:tcPr>
          <w:p w14:paraId="6284FCE8">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w:t>
            </w: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217A9EA9">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响应报价要求</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49576D8F">
            <w:pPr>
              <w:snapToGrid w:val="0"/>
              <w:spacing w:line="44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响应报价必须包含满足本次竞标全部采购需求所应提供的内容，以及伴随的货物和工程（如有）的价格；包含竞标服务、货物、工程的成本、运输（含保险）、安装（如有）、调试、检验、技术服务、培训、税费等所有费用。</w:t>
            </w:r>
            <w:r>
              <w:rPr>
                <w:rFonts w:hint="eastAsia" w:ascii="宋体" w:hAnsi="宋体"/>
                <w:b/>
                <w:color w:val="000000" w:themeColor="text1"/>
                <w:szCs w:val="21"/>
                <w:highlight w:val="none"/>
                <w14:textFill>
                  <w14:solidFill>
                    <w14:schemeClr w14:val="tx1"/>
                  </w14:solidFill>
                </w14:textFill>
              </w:rPr>
              <w:t>（采购需求另有约定的，从其约定。）</w:t>
            </w:r>
          </w:p>
        </w:tc>
      </w:tr>
      <w:tr w14:paraId="676E0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noWrap w:val="0"/>
            <w:vAlign w:val="center"/>
          </w:tcPr>
          <w:p w14:paraId="39A2707A">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w:t>
            </w: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51CDB7A5">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竞标有效期</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6F806C86">
            <w:pPr>
              <w:pStyle w:val="15"/>
              <w:widowControl w:val="0"/>
              <w:tabs>
                <w:tab w:val="clear" w:pos="454"/>
              </w:tabs>
              <w:snapToGrid w:val="0"/>
              <w:spacing w:after="156" w:line="440" w:lineRule="atLeast"/>
              <w:ind w:left="283" w:hanging="283" w:hangingChars="135"/>
              <w:rPr>
                <w:rFonts w:hint="eastAsia"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kern w:val="2"/>
                <w:sz w:val="21"/>
                <w:szCs w:val="21"/>
                <w:highlight w:val="none"/>
                <w14:textFill>
                  <w14:solidFill>
                    <w14:schemeClr w14:val="tx1"/>
                  </w14:solidFill>
                </w14:textFill>
              </w:rPr>
              <w:t>自首次响应文件提交截止之日起</w:t>
            </w:r>
            <w:r>
              <w:rPr>
                <w:rFonts w:hint="eastAsia" w:ascii="宋体" w:hAnsi="宋体" w:cs="宋体"/>
                <w:color w:val="000000" w:themeColor="text1"/>
                <w:kern w:val="2"/>
                <w:sz w:val="21"/>
                <w:szCs w:val="21"/>
                <w:highlight w:val="none"/>
                <w:u w:val="single"/>
                <w14:textFill>
                  <w14:solidFill>
                    <w14:schemeClr w14:val="tx1"/>
                  </w14:solidFill>
                </w14:textFill>
              </w:rPr>
              <w:t xml:space="preserve">90 </w:t>
            </w:r>
            <w:r>
              <w:rPr>
                <w:rFonts w:hint="eastAsia" w:ascii="宋体" w:hAnsi="宋体" w:cs="宋体"/>
                <w:color w:val="000000" w:themeColor="text1"/>
                <w:kern w:val="2"/>
                <w:sz w:val="21"/>
                <w:szCs w:val="21"/>
                <w:highlight w:val="none"/>
                <w14:textFill>
                  <w14:solidFill>
                    <w14:schemeClr w14:val="tx1"/>
                  </w14:solidFill>
                </w14:textFill>
              </w:rPr>
              <w:t>日。</w:t>
            </w:r>
          </w:p>
        </w:tc>
      </w:tr>
      <w:tr w14:paraId="0D6DE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noWrap w:val="0"/>
            <w:vAlign w:val="center"/>
          </w:tcPr>
          <w:p w14:paraId="1773DADE">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w:t>
            </w: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74CACCD8">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谈判保证金</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3A0EE85A">
            <w:pPr>
              <w:autoSpaceDE w:val="0"/>
              <w:autoSpaceDN w:val="0"/>
              <w:snapToGrid w:val="0"/>
              <w:spacing w:line="440" w:lineRule="atLeas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本项目不收取谈判保证金。</w:t>
            </w:r>
          </w:p>
        </w:tc>
      </w:tr>
      <w:tr w14:paraId="3D385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72" w:type="dxa"/>
            <w:vMerge w:val="restart"/>
            <w:tcBorders>
              <w:top w:val="single" w:color="000000" w:sz="4" w:space="0"/>
              <w:left w:val="single" w:color="000000" w:sz="4" w:space="0"/>
              <w:bottom w:val="single" w:color="000000" w:sz="4" w:space="0"/>
              <w:right w:val="single" w:color="000000" w:sz="4" w:space="0"/>
            </w:tcBorders>
            <w:noWrap w:val="0"/>
            <w:vAlign w:val="center"/>
          </w:tcPr>
          <w:p w14:paraId="4C6640E6">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20.1</w:t>
            </w: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7F5C58DE">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首次响应文件提交起止时间</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38A0DABD">
            <w:pPr>
              <w:snapToGrid w:val="0"/>
              <w:spacing w:line="440" w:lineRule="atLeast"/>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详见竞争性谈判公告。</w:t>
            </w:r>
          </w:p>
        </w:tc>
      </w:tr>
      <w:tr w14:paraId="03582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B3E2A7">
            <w:pPr>
              <w:widowControl/>
              <w:spacing w:line="440" w:lineRule="atLeast"/>
              <w:jc w:val="left"/>
              <w:rPr>
                <w:rFonts w:ascii="宋体" w:hAnsi="宋体" w:cs="宋体"/>
                <w:color w:val="000000" w:themeColor="text1"/>
                <w:szCs w:val="21"/>
                <w:highlight w:val="none"/>
                <w14:textFill>
                  <w14:solidFill>
                    <w14:schemeClr w14:val="tx1"/>
                  </w14:solidFill>
                </w14:textFill>
              </w:rPr>
            </w:pP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5F78E1AC">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首次响应文件提交地点</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0AB8BE81">
            <w:pPr>
              <w:snapToGrid w:val="0"/>
              <w:spacing w:line="440" w:lineRule="atLeast"/>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详见竞争性谈判公告。</w:t>
            </w:r>
          </w:p>
        </w:tc>
      </w:tr>
      <w:tr w14:paraId="17557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72" w:type="dxa"/>
            <w:tcBorders>
              <w:top w:val="single" w:color="000000" w:sz="4" w:space="0"/>
              <w:left w:val="single" w:color="000000" w:sz="4" w:space="0"/>
              <w:bottom w:val="single" w:color="000000" w:sz="4" w:space="0"/>
              <w:right w:val="single" w:color="000000" w:sz="4" w:space="0"/>
            </w:tcBorders>
            <w:noWrap w:val="0"/>
            <w:vAlign w:val="center"/>
          </w:tcPr>
          <w:p w14:paraId="02D16CE6">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20.6</w:t>
            </w: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565EC6AA">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备份响应文件</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3D3D867F">
            <w:pPr>
              <w:snapToGrid w:val="0"/>
              <w:spacing w:line="44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本项目不接受备份响应文件。</w:t>
            </w:r>
          </w:p>
        </w:tc>
      </w:tr>
      <w:tr w14:paraId="4DA1B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72" w:type="dxa"/>
            <w:tcBorders>
              <w:top w:val="single" w:color="000000" w:sz="4" w:space="0"/>
              <w:left w:val="single" w:color="000000" w:sz="4" w:space="0"/>
              <w:bottom w:val="single" w:color="000000" w:sz="4" w:space="0"/>
              <w:right w:val="single" w:color="000000" w:sz="4" w:space="0"/>
            </w:tcBorders>
            <w:noWrap w:val="0"/>
            <w:vAlign w:val="center"/>
          </w:tcPr>
          <w:p w14:paraId="60F90256">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w:t>
            </w: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30570F62">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首次响应文件的退回</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1F2F99C5">
            <w:pPr>
              <w:snapToGrid w:val="0"/>
              <w:spacing w:line="44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详见竞争性谈判公告。</w:t>
            </w:r>
          </w:p>
        </w:tc>
      </w:tr>
      <w:tr w14:paraId="7B1A8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72" w:type="dxa"/>
            <w:vMerge w:val="restart"/>
            <w:tcBorders>
              <w:top w:val="single" w:color="000000" w:sz="4" w:space="0"/>
              <w:left w:val="single" w:color="000000" w:sz="4" w:space="0"/>
              <w:bottom w:val="single" w:color="000000" w:sz="4" w:space="0"/>
              <w:right w:val="single" w:color="000000" w:sz="4" w:space="0"/>
            </w:tcBorders>
            <w:noWrap w:val="0"/>
            <w:vAlign w:val="center"/>
          </w:tcPr>
          <w:p w14:paraId="297EE190">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26.2</w:t>
            </w: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72365A7F">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负偏离要求</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1BF783DF">
            <w:pPr>
              <w:snapToGrid w:val="0"/>
              <w:spacing w:line="440" w:lineRule="atLeas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商务条款评审中允许负偏离的条款数为</w:t>
            </w:r>
            <w:r>
              <w:rPr>
                <w:rFonts w:hint="eastAsia" w:ascii="宋体" w:hAnsi="宋体" w:cs="宋体"/>
                <w:color w:val="000000" w:themeColor="text1"/>
                <w:szCs w:val="21"/>
                <w:highlight w:val="none"/>
                <w:u w:val="single"/>
                <w14:textFill>
                  <w14:solidFill>
                    <w14:schemeClr w14:val="tx1"/>
                  </w14:solidFill>
                </w14:textFill>
              </w:rPr>
              <w:t xml:space="preserve"> 0 </w:t>
            </w:r>
            <w:r>
              <w:rPr>
                <w:rFonts w:hint="eastAsia" w:ascii="宋体" w:hAnsi="宋体" w:cs="宋体"/>
                <w:color w:val="000000" w:themeColor="text1"/>
                <w:szCs w:val="21"/>
                <w:highlight w:val="none"/>
                <w14:textFill>
                  <w14:solidFill>
                    <w14:schemeClr w14:val="tx1"/>
                  </w14:solidFill>
                </w14:textFill>
              </w:rPr>
              <w:t>项。</w:t>
            </w:r>
          </w:p>
          <w:p w14:paraId="17E42B89">
            <w:pPr>
              <w:snapToGrid w:val="0"/>
              <w:spacing w:line="440" w:lineRule="atLeas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技术需求评审中允许负偏离的条款数为</w:t>
            </w:r>
            <w:r>
              <w:rPr>
                <w:rFonts w:hint="eastAsia" w:ascii="宋体" w:hAnsi="宋体" w:cs="宋体"/>
                <w:color w:val="000000" w:themeColor="text1"/>
                <w:szCs w:val="21"/>
                <w:highlight w:val="none"/>
                <w:u w:val="single"/>
                <w14:textFill>
                  <w14:solidFill>
                    <w14:schemeClr w14:val="tx1"/>
                  </w14:solidFill>
                </w14:textFill>
              </w:rPr>
              <w:t xml:space="preserve"> 0 </w:t>
            </w:r>
            <w:r>
              <w:rPr>
                <w:rFonts w:hint="eastAsia" w:ascii="宋体" w:hAnsi="宋体" w:cs="宋体"/>
                <w:color w:val="000000" w:themeColor="text1"/>
                <w:szCs w:val="21"/>
                <w:highlight w:val="none"/>
                <w14:textFill>
                  <w14:solidFill>
                    <w14:schemeClr w14:val="tx1"/>
                  </w14:solidFill>
                </w14:textFill>
              </w:rPr>
              <w:t>项。</w:t>
            </w:r>
          </w:p>
        </w:tc>
      </w:tr>
      <w:tr w14:paraId="3A035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8" w:hRule="atLeast"/>
          <w:jc w:val="center"/>
        </w:trPr>
        <w:tc>
          <w:tcPr>
            <w:tcW w:w="9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8EEC68">
            <w:pPr>
              <w:widowControl/>
              <w:spacing w:line="440" w:lineRule="atLeast"/>
              <w:jc w:val="left"/>
              <w:rPr>
                <w:rFonts w:ascii="宋体" w:hAnsi="宋体" w:cs="宋体"/>
                <w:color w:val="000000" w:themeColor="text1"/>
                <w:szCs w:val="21"/>
                <w:highlight w:val="none"/>
                <w14:textFill>
                  <w14:solidFill>
                    <w14:schemeClr w14:val="tx1"/>
                  </w14:solidFill>
                </w14:textFill>
              </w:rPr>
            </w:pP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0A791698">
            <w:pPr>
              <w:snapToGrid w:val="0"/>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谈判的顺序</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31932711">
            <w:pPr>
              <w:snapToGrid w:val="0"/>
              <w:spacing w:line="440" w:lineRule="atLeas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系统自动提取的顺序</w:t>
            </w:r>
          </w:p>
        </w:tc>
      </w:tr>
      <w:tr w14:paraId="018FF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96C2D4">
            <w:pPr>
              <w:widowControl/>
              <w:spacing w:line="440" w:lineRule="atLeast"/>
              <w:jc w:val="left"/>
              <w:rPr>
                <w:rFonts w:ascii="宋体" w:hAnsi="宋体" w:cs="宋体"/>
                <w:color w:val="000000" w:themeColor="text1"/>
                <w:szCs w:val="21"/>
                <w:highlight w:val="none"/>
                <w14:textFill>
                  <w14:solidFill>
                    <w14:schemeClr w14:val="tx1"/>
                  </w14:solidFill>
                </w14:textFill>
              </w:rPr>
            </w:pP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646A05EA">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评审价相同时成交原则</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43C283DC">
            <w:pPr>
              <w:snapToGrid w:val="0"/>
              <w:spacing w:line="440" w:lineRule="atLeas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评审价相同时，按照最后报价由低到高顺序依次推荐；最后报价相同时，按以下原则确定成交候选人的顺序：</w:t>
            </w:r>
          </w:p>
          <w:p w14:paraId="758916DC">
            <w:pPr>
              <w:snapToGrid w:val="0"/>
              <w:spacing w:line="440" w:lineRule="atLeas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☑依次</w:t>
            </w:r>
            <w:r>
              <w:rPr>
                <w:rFonts w:hint="eastAsia" w:ascii="宋体" w:hAnsi="宋体" w:cs="宋体"/>
                <w:color w:val="000000" w:themeColor="text1"/>
                <w:szCs w:val="21"/>
                <w:highlight w:val="none"/>
                <w14:textFill>
                  <w14:solidFill>
                    <w14:schemeClr w14:val="tx1"/>
                  </w14:solidFill>
                </w14:textFill>
              </w:rPr>
              <w:t>按工期短优先</w:t>
            </w:r>
            <w:r>
              <w:rPr>
                <w:rFonts w:hint="eastAsia" w:ascii="宋体" w:hAnsi="宋体" w:cs="宋体"/>
                <w:color w:val="000000" w:themeColor="text1"/>
                <w:szCs w:val="21"/>
                <w:highlight w:val="none"/>
                <w14:textFill>
                  <w14:solidFill>
                    <w14:schemeClr w14:val="tx1"/>
                  </w14:solidFill>
                </w14:textFill>
              </w:rPr>
              <w:t>、带“▲”的实质性要求正偏离项数多的优先、均无正偏离或者正偏离项数一致时负偏离项数少的优先、响应时间短优先、资质等级高优先的顺序排列。</w:t>
            </w:r>
          </w:p>
          <w:p w14:paraId="154710A6">
            <w:pPr>
              <w:snapToGrid w:val="0"/>
              <w:spacing w:line="440" w:lineRule="atLeas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□由谈判小组推荐代表随机抽取。</w:t>
            </w:r>
          </w:p>
        </w:tc>
      </w:tr>
      <w:tr w14:paraId="7AF55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noWrap w:val="0"/>
            <w:vAlign w:val="center"/>
          </w:tcPr>
          <w:p w14:paraId="71CD46D5">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w:t>
            </w: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26B5C9C1">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履约保证金</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39C0A343">
            <w:pPr>
              <w:snapToGrid w:val="0"/>
              <w:spacing w:line="440" w:lineRule="atLeas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本项目不收取履约保证金 </w:t>
            </w:r>
          </w:p>
        </w:tc>
      </w:tr>
      <w:tr w14:paraId="5762D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noWrap w:val="0"/>
            <w:vAlign w:val="center"/>
          </w:tcPr>
          <w:p w14:paraId="2A3C448B">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29.5</w:t>
            </w: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20079D38">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签订合同携带的材料</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738EC2E3">
            <w:pPr>
              <w:snapToGrid w:val="0"/>
              <w:spacing w:line="440" w:lineRule="atLeast"/>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使用的有效CA证书加盖单位电子公章</w:t>
            </w:r>
          </w:p>
        </w:tc>
      </w:tr>
      <w:tr w14:paraId="0D50C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2" w:type="dxa"/>
            <w:vMerge w:val="restart"/>
            <w:tcBorders>
              <w:top w:val="single" w:color="000000" w:sz="4" w:space="0"/>
              <w:left w:val="single" w:color="000000" w:sz="4" w:space="0"/>
              <w:bottom w:val="single" w:color="000000" w:sz="4" w:space="0"/>
              <w:right w:val="single" w:color="000000" w:sz="4" w:space="0"/>
            </w:tcBorders>
            <w:noWrap w:val="0"/>
            <w:vAlign w:val="center"/>
          </w:tcPr>
          <w:p w14:paraId="4D1D0FA6">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31.2</w:t>
            </w: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05045566">
            <w:pPr>
              <w:spacing w:line="440" w:lineRule="atLeas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接收质疑函方式</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7CBE5D4D">
            <w:pPr>
              <w:snapToGrid w:val="0"/>
              <w:spacing w:line="440" w:lineRule="atLeas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以书面形式</w:t>
            </w:r>
          </w:p>
        </w:tc>
      </w:tr>
      <w:tr w14:paraId="273DB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0" w:hRule="atLeast"/>
          <w:jc w:val="center"/>
        </w:trPr>
        <w:tc>
          <w:tcPr>
            <w:tcW w:w="9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A3BC74">
            <w:pPr>
              <w:widowControl/>
              <w:spacing w:line="440" w:lineRule="atLeast"/>
              <w:jc w:val="left"/>
              <w:rPr>
                <w:rFonts w:ascii="宋体" w:hAnsi="宋体" w:cs="宋体"/>
                <w:color w:val="000000" w:themeColor="text1"/>
                <w:szCs w:val="21"/>
                <w:highlight w:val="none"/>
                <w14:textFill>
                  <w14:solidFill>
                    <w14:schemeClr w14:val="tx1"/>
                  </w14:solidFill>
                </w14:textFill>
              </w:rPr>
            </w:pP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7CB181FB">
            <w:pPr>
              <w:spacing w:line="440" w:lineRule="atLeas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质疑联系部门及联系方式</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145F34F6">
            <w:pPr>
              <w:snapToGrid w:val="0"/>
              <w:spacing w:line="440" w:lineRule="atLeas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（1）广西建通工程咨询有限责任公司；</w:t>
            </w:r>
          </w:p>
          <w:p w14:paraId="137FCB5F">
            <w:pPr>
              <w:snapToGrid w:val="0"/>
              <w:spacing w:line="440" w:lineRule="atLeas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联系电话：0771-2863138</w:t>
            </w:r>
          </w:p>
          <w:p w14:paraId="4F0FB039">
            <w:pPr>
              <w:snapToGrid w:val="0"/>
              <w:spacing w:line="440" w:lineRule="atLeas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通讯地址</w:t>
            </w:r>
            <w:r>
              <w:rPr>
                <w:rFonts w:hint="eastAsia" w:ascii="宋体" w:hAnsi="宋体" w:cs="Helvetica"/>
                <w:color w:val="000000" w:themeColor="text1"/>
                <w:szCs w:val="21"/>
                <w:highlight w:val="none"/>
                <w14:textFill>
                  <w14:solidFill>
                    <w14:schemeClr w14:val="tx1"/>
                  </w14:solidFill>
                </w14:textFill>
              </w:rPr>
              <w:t>：南宁市江南区金凯路26号广西建通中心12楼</w:t>
            </w:r>
            <w:r>
              <w:rPr>
                <w:rFonts w:hint="eastAsia" w:ascii="宋体" w:hAnsi="宋体"/>
                <w:color w:val="000000" w:themeColor="text1"/>
                <w:szCs w:val="21"/>
                <w:highlight w:val="none"/>
                <w14:textFill>
                  <w14:solidFill>
                    <w14:schemeClr w14:val="tx1"/>
                  </w14:solidFill>
                </w14:textFill>
              </w:rPr>
              <w:t xml:space="preserve">  </w:t>
            </w:r>
          </w:p>
          <w:p w14:paraId="5A987DBB">
            <w:pPr>
              <w:snapToGrid w:val="0"/>
              <w:spacing w:line="440" w:lineRule="atLeas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eastAsia="宋体"/>
                <w:color w:val="000000" w:themeColor="text1"/>
                <w:highlight w:val="none"/>
                <w:u w:val="none"/>
                <w:lang w:eastAsia="zh-CN"/>
                <w14:textFill>
                  <w14:solidFill>
                    <w14:schemeClr w14:val="tx1"/>
                  </w14:solidFill>
                </w14:textFill>
              </w:rPr>
              <w:t>南宁市第一看守所</w:t>
            </w:r>
            <w:r>
              <w:rPr>
                <w:rFonts w:hint="eastAsia" w:ascii="宋体" w:hAnsi="宋体"/>
                <w:color w:val="000000" w:themeColor="text1"/>
                <w:szCs w:val="21"/>
                <w:highlight w:val="none"/>
                <w14:textFill>
                  <w14:solidFill>
                    <w14:schemeClr w14:val="tx1"/>
                  </w14:solidFill>
                </w14:textFill>
              </w:rPr>
              <w:t>；</w:t>
            </w:r>
          </w:p>
          <w:p w14:paraId="2591164D">
            <w:pPr>
              <w:snapToGrid w:val="0"/>
              <w:spacing w:line="440" w:lineRule="atLeas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r>
              <w:rPr>
                <w:rFonts w:hint="eastAsia" w:ascii="宋体" w:hAnsi="宋体" w:eastAsia="宋体"/>
                <w:color w:val="000000" w:themeColor="text1"/>
                <w:highlight w:val="none"/>
                <w:u w:val="none"/>
                <w:lang w:eastAsia="zh-CN"/>
                <w14:textFill>
                  <w14:solidFill>
                    <w14:schemeClr w14:val="tx1"/>
                  </w14:solidFill>
                </w14:textFill>
              </w:rPr>
              <w:t>0771-5661076</w:t>
            </w:r>
          </w:p>
          <w:p w14:paraId="2BC99F31">
            <w:pPr>
              <w:snapToGrid w:val="0"/>
              <w:spacing w:line="440" w:lineRule="atLeast"/>
              <w:rPr>
                <w:rFonts w:hint="eastAsia"/>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通讯地址：</w:t>
            </w:r>
            <w:r>
              <w:rPr>
                <w:rFonts w:hint="eastAsia" w:ascii="宋体" w:hAnsi="宋体" w:eastAsia="宋体"/>
                <w:color w:val="000000" w:themeColor="text1"/>
                <w:highlight w:val="none"/>
                <w:u w:val="none"/>
                <w:lang w:eastAsia="zh-CN"/>
                <w14:textFill>
                  <w14:solidFill>
                    <w14:schemeClr w14:val="tx1"/>
                  </w14:solidFill>
                </w14:textFill>
              </w:rPr>
              <w:t>南宁市兴宁区昆仑大道163号</w:t>
            </w:r>
          </w:p>
        </w:tc>
      </w:tr>
      <w:tr w14:paraId="6418E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6A68DB">
            <w:pPr>
              <w:widowControl/>
              <w:spacing w:line="440" w:lineRule="atLeast"/>
              <w:jc w:val="left"/>
              <w:rPr>
                <w:rFonts w:ascii="宋体" w:hAnsi="宋体" w:cs="宋体"/>
                <w:color w:val="000000" w:themeColor="text1"/>
                <w:szCs w:val="21"/>
                <w:highlight w:val="none"/>
                <w14:textFill>
                  <w14:solidFill>
                    <w14:schemeClr w14:val="tx1"/>
                  </w14:solidFill>
                </w14:textFill>
              </w:rPr>
            </w:pP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7EA2A4E4">
            <w:pPr>
              <w:spacing w:line="440" w:lineRule="atLeast"/>
              <w:jc w:val="center"/>
              <w:rPr>
                <w:rFonts w:hint="eastAsia" w:ascii="宋体" w:hAnsi="宋体"/>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现场提交质疑办理业务时间</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08A8BFBE">
            <w:pPr>
              <w:snapToGrid w:val="0"/>
              <w:spacing w:line="440" w:lineRule="atLeast"/>
              <w:rPr>
                <w:rFonts w:hint="eastAsia" w:ascii="宋体" w:hAnsi="宋体"/>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质疑期内每个工作日</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u w:val="single"/>
                <w14:textFill>
                  <w14:solidFill>
                    <w14:schemeClr w14:val="tx1"/>
                  </w14:solidFill>
                </w14:textFill>
              </w:rPr>
              <w:t>09</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14:textFill>
                  <w14:solidFill>
                    <w14:schemeClr w14:val="tx1"/>
                  </w14:solidFill>
                </w14:textFill>
              </w:rPr>
              <w:t>时</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u w:val="single"/>
                <w14:textFill>
                  <w14:solidFill>
                    <w14:schemeClr w14:val="tx1"/>
                  </w14:solidFill>
                </w14:textFill>
              </w:rPr>
              <w:t>30</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14:textFill>
                  <w14:solidFill>
                    <w14:schemeClr w14:val="tx1"/>
                  </w14:solidFill>
                </w14:textFill>
              </w:rPr>
              <w:t>分到</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u w:val="single"/>
                <w14:textFill>
                  <w14:solidFill>
                    <w14:schemeClr w14:val="tx1"/>
                  </w14:solidFill>
                </w14:textFill>
              </w:rPr>
              <w:t>12</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14:textFill>
                  <w14:solidFill>
                    <w14:schemeClr w14:val="tx1"/>
                  </w14:solidFill>
                </w14:textFill>
              </w:rPr>
              <w:t>时</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u w:val="single"/>
                <w14:textFill>
                  <w14:solidFill>
                    <w14:schemeClr w14:val="tx1"/>
                  </w14:solidFill>
                </w14:textFill>
              </w:rPr>
              <w:t>00</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14:textFill>
                  <w14:solidFill>
                    <w14:schemeClr w14:val="tx1"/>
                  </w14:solidFill>
                </w14:textFill>
              </w:rPr>
              <w:t>分，</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u w:val="single"/>
                <w14:textFill>
                  <w14:solidFill>
                    <w14:schemeClr w14:val="tx1"/>
                  </w14:solidFill>
                </w14:textFill>
              </w:rPr>
              <w:t>14</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14:textFill>
                  <w14:solidFill>
                    <w14:schemeClr w14:val="tx1"/>
                  </w14:solidFill>
                </w14:textFill>
              </w:rPr>
              <w:t>时</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u w:val="single"/>
                <w14:textFill>
                  <w14:solidFill>
                    <w14:schemeClr w14:val="tx1"/>
                  </w14:solidFill>
                </w14:textFill>
              </w:rPr>
              <w:t>30</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14:textFill>
                  <w14:solidFill>
                    <w14:schemeClr w14:val="tx1"/>
                  </w14:solidFill>
                </w14:textFill>
              </w:rPr>
              <w:t>分到</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u w:val="single"/>
                <w14:textFill>
                  <w14:solidFill>
                    <w14:schemeClr w14:val="tx1"/>
                  </w14:solidFill>
                </w14:textFill>
              </w:rPr>
              <w:t>18</w:t>
            </w:r>
            <w:r>
              <w:rPr>
                <w:rFonts w:hint="eastAsia" w:hAnsi="宋体"/>
                <w:color w:val="000000" w:themeColor="text1"/>
                <w:highlight w:val="none"/>
                <w14:textFill>
                  <w14:solidFill>
                    <w14:schemeClr w14:val="tx1"/>
                  </w14:solidFill>
                </w14:textFill>
              </w:rPr>
              <w:t>时</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u w:val="single"/>
                <w14:textFill>
                  <w14:solidFill>
                    <w14:schemeClr w14:val="tx1"/>
                  </w14:solidFill>
                </w14:textFill>
              </w:rPr>
              <w:t>00</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14:textFill>
                  <w14:solidFill>
                    <w14:schemeClr w14:val="tx1"/>
                  </w14:solidFill>
                </w14:textFill>
              </w:rPr>
              <w:t>分</w:t>
            </w:r>
          </w:p>
        </w:tc>
      </w:tr>
      <w:tr w14:paraId="5330D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noWrap w:val="0"/>
            <w:vAlign w:val="center"/>
          </w:tcPr>
          <w:p w14:paraId="4429F19E">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31.6</w:t>
            </w: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04805975">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受理投诉方式</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1103459F">
            <w:pPr>
              <w:snapToGrid w:val="0"/>
              <w:spacing w:line="440" w:lineRule="atLeas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1、受理方式：纸质方式受理，投诉书正、副本（经过质疑的事项才可投诉）。</w:t>
            </w:r>
          </w:p>
          <w:p w14:paraId="71BD0BDA">
            <w:pPr>
              <w:snapToGrid w:val="0"/>
              <w:spacing w:line="440" w:lineRule="atLeas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2、邮寄地址：</w:t>
            </w:r>
          </w:p>
          <w:p w14:paraId="4C2D2FBB">
            <w:pPr>
              <w:snapToGrid w:val="0"/>
              <w:spacing w:line="440" w:lineRule="atLeas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名称：南宁市财政局政府采购监督管理科</w:t>
            </w:r>
          </w:p>
          <w:p w14:paraId="297B71BB">
            <w:pPr>
              <w:snapToGrid w:val="0"/>
              <w:spacing w:line="440" w:lineRule="atLeas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地址：南宁市青秀区东葛路129号</w:t>
            </w:r>
          </w:p>
          <w:p w14:paraId="1410E1A8">
            <w:pPr>
              <w:snapToGrid w:val="0"/>
              <w:spacing w:line="440" w:lineRule="atLeas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联系电话：0771-2189091</w:t>
            </w:r>
          </w:p>
        </w:tc>
      </w:tr>
      <w:tr w14:paraId="45E879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noWrap w:val="0"/>
            <w:vAlign w:val="center"/>
          </w:tcPr>
          <w:p w14:paraId="4F6A6105">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w:t>
            </w: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25E245C5">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采购代理费</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0513F78D">
            <w:pPr>
              <w:snapToGrid w:val="0"/>
              <w:spacing w:line="440" w:lineRule="atLeas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 是否收取采购代理费：</w:t>
            </w:r>
          </w:p>
          <w:p w14:paraId="13C7A5DA">
            <w:pPr>
              <w:snapToGrid w:val="0"/>
              <w:spacing w:line="440" w:lineRule="atLeas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☑是    □ 否</w:t>
            </w:r>
          </w:p>
          <w:p w14:paraId="5343CB5A">
            <w:pPr>
              <w:snapToGrid w:val="0"/>
              <w:spacing w:line="440" w:lineRule="atLeas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2.采购代理费支付方式：</w:t>
            </w:r>
          </w:p>
          <w:p w14:paraId="47F961E5">
            <w:pPr>
              <w:snapToGrid w:val="0"/>
              <w:spacing w:line="440" w:lineRule="atLeas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☑本项目代理费由</w:t>
            </w:r>
            <w:r>
              <w:rPr>
                <w:rFonts w:hint="eastAsia" w:hAnsi="宋体" w:cs="宋体"/>
                <w:color w:val="000000" w:themeColor="text1"/>
                <w:sz w:val="21"/>
                <w:highlight w:val="none"/>
                <w:u w:val="single"/>
                <w:lang w:val="en-US" w:eastAsia="zh-CN"/>
                <w14:textFill>
                  <w14:solidFill>
                    <w14:schemeClr w14:val="tx1"/>
                  </w14:solidFill>
                </w14:textFill>
              </w:rPr>
              <w:t>各分标</w:t>
            </w:r>
            <w:r>
              <w:rPr>
                <w:rFonts w:hint="eastAsia" w:ascii="宋体" w:hAnsi="宋体" w:cs="宋体"/>
                <w:color w:val="000000" w:themeColor="text1"/>
                <w:kern w:val="0"/>
                <w:szCs w:val="21"/>
                <w:highlight w:val="none"/>
                <w:u w:val="single"/>
                <w14:textFill>
                  <w14:solidFill>
                    <w14:schemeClr w14:val="tx1"/>
                  </w14:solidFill>
                </w14:textFill>
              </w:rPr>
              <w:t>成交供应商</w:t>
            </w:r>
            <w:r>
              <w:rPr>
                <w:rFonts w:hint="eastAsia" w:ascii="宋体" w:hAnsi="宋体" w:cs="宋体"/>
                <w:color w:val="000000" w:themeColor="text1"/>
                <w:kern w:val="0"/>
                <w:szCs w:val="21"/>
                <w:highlight w:val="none"/>
                <w14:textFill>
                  <w14:solidFill>
                    <w14:schemeClr w14:val="tx1"/>
                  </w14:solidFill>
                </w14:textFill>
              </w:rPr>
              <w:t>领取成交通知书前，一次性向采购代理机构支付。</w:t>
            </w:r>
          </w:p>
          <w:p w14:paraId="3D45FF61">
            <w:pPr>
              <w:snapToGrid w:val="0"/>
              <w:spacing w:line="440" w:lineRule="atLeas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□采购人支付。</w:t>
            </w:r>
          </w:p>
          <w:p w14:paraId="6BFF7636">
            <w:pPr>
              <w:snapToGrid w:val="0"/>
              <w:spacing w:line="440" w:lineRule="atLeas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3.采购代理费收取标准：</w:t>
            </w:r>
          </w:p>
          <w:p w14:paraId="70FBAC8E">
            <w:pPr>
              <w:snapToGrid w:val="0"/>
              <w:spacing w:line="440" w:lineRule="atLeast"/>
              <w:ind w:firstLine="210" w:firstLineChars="1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以成交金额为计费额，按下表“工程招标”费率标准采用差额定率累进法计算出收费基准价格，采购代理收费以收费基准价格收取。不足4500元的按4500元收取。</w:t>
            </w:r>
          </w:p>
          <w:tbl>
            <w:tblPr>
              <w:tblStyle w:val="35"/>
              <w:tblW w:w="6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7"/>
              <w:gridCol w:w="1339"/>
              <w:gridCol w:w="1166"/>
              <w:gridCol w:w="1147"/>
            </w:tblGrid>
            <w:tr w14:paraId="5E382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9" w:hRule="atLeast"/>
                <w:jc w:val="center"/>
              </w:trPr>
              <w:tc>
                <w:tcPr>
                  <w:tcW w:w="2427" w:type="dxa"/>
                  <w:tcBorders>
                    <w:top w:val="single" w:color="auto" w:sz="4" w:space="0"/>
                    <w:left w:val="single" w:color="auto" w:sz="4" w:space="0"/>
                    <w:bottom w:val="single" w:color="auto" w:sz="4" w:space="0"/>
                    <w:right w:val="single" w:color="auto" w:sz="4" w:space="0"/>
                  </w:tcBorders>
                  <w:noWrap w:val="0"/>
                  <w:vAlign w:val="top"/>
                </w:tcPr>
                <w:p w14:paraId="13C861A2">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 xml:space="preserve">               </w:t>
                  </w:r>
                  <w:r>
                    <w:rPr>
                      <w:rFonts w:hint="eastAsia" w:ascii="宋体" w:hAnsi="宋体" w:cs="宋体"/>
                      <w:color w:val="000000" w:themeColor="text1"/>
                      <w:szCs w:val="21"/>
                      <w:highlight w:val="none"/>
                      <w:lang w:bidi="ar"/>
                      <w14:textFill>
                        <w14:solidFill>
                          <w14:schemeClr w14:val="tx1"/>
                        </w14:solidFill>
                      </w14:textFill>
                    </w:rPr>
                    <w:t>费率</w:t>
                  </w:r>
                </w:p>
                <w:p w14:paraId="0162F95A">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中标金额</w:t>
                  </w:r>
                </w:p>
              </w:tc>
              <w:tc>
                <w:tcPr>
                  <w:tcW w:w="1339" w:type="dxa"/>
                  <w:tcBorders>
                    <w:top w:val="single" w:color="auto" w:sz="4" w:space="0"/>
                    <w:left w:val="nil"/>
                    <w:bottom w:val="single" w:color="auto" w:sz="4" w:space="0"/>
                    <w:right w:val="single" w:color="auto" w:sz="4" w:space="0"/>
                  </w:tcBorders>
                  <w:noWrap w:val="0"/>
                  <w:vAlign w:val="center"/>
                </w:tcPr>
                <w:p w14:paraId="6077170E">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货物招标</w:t>
                  </w:r>
                </w:p>
              </w:tc>
              <w:tc>
                <w:tcPr>
                  <w:tcW w:w="1166" w:type="dxa"/>
                  <w:tcBorders>
                    <w:top w:val="single" w:color="auto" w:sz="4" w:space="0"/>
                    <w:left w:val="nil"/>
                    <w:bottom w:val="single" w:color="auto" w:sz="4" w:space="0"/>
                    <w:right w:val="single" w:color="auto" w:sz="4" w:space="0"/>
                  </w:tcBorders>
                  <w:noWrap w:val="0"/>
                  <w:vAlign w:val="center"/>
                </w:tcPr>
                <w:p w14:paraId="28B96C92">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服务招标</w:t>
                  </w:r>
                </w:p>
              </w:tc>
              <w:tc>
                <w:tcPr>
                  <w:tcW w:w="1147" w:type="dxa"/>
                  <w:tcBorders>
                    <w:top w:val="single" w:color="auto" w:sz="4" w:space="0"/>
                    <w:left w:val="nil"/>
                    <w:bottom w:val="single" w:color="auto" w:sz="4" w:space="0"/>
                    <w:right w:val="single" w:color="auto" w:sz="4" w:space="0"/>
                  </w:tcBorders>
                  <w:noWrap w:val="0"/>
                  <w:vAlign w:val="center"/>
                </w:tcPr>
                <w:p w14:paraId="715C02F8">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工程招标</w:t>
                  </w:r>
                </w:p>
              </w:tc>
            </w:tr>
            <w:tr w14:paraId="5AA3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2427" w:type="dxa"/>
                  <w:tcBorders>
                    <w:top w:val="single" w:color="auto" w:sz="4" w:space="0"/>
                    <w:left w:val="single" w:color="auto" w:sz="4" w:space="0"/>
                    <w:bottom w:val="single" w:color="auto" w:sz="4" w:space="0"/>
                    <w:right w:val="single" w:color="auto" w:sz="4" w:space="0"/>
                  </w:tcBorders>
                  <w:noWrap w:val="0"/>
                  <w:vAlign w:val="top"/>
                </w:tcPr>
                <w:p w14:paraId="17A6ACDB">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100</w:t>
                  </w:r>
                  <w:r>
                    <w:rPr>
                      <w:rFonts w:hint="eastAsia" w:ascii="宋体" w:hAnsi="宋体" w:cs="宋体"/>
                      <w:color w:val="000000" w:themeColor="text1"/>
                      <w:szCs w:val="21"/>
                      <w:highlight w:val="none"/>
                      <w:lang w:bidi="ar"/>
                      <w14:textFill>
                        <w14:solidFill>
                          <w14:schemeClr w14:val="tx1"/>
                        </w14:solidFill>
                      </w14:textFill>
                    </w:rPr>
                    <w:t>万元以下</w:t>
                  </w:r>
                </w:p>
              </w:tc>
              <w:tc>
                <w:tcPr>
                  <w:tcW w:w="1339" w:type="dxa"/>
                  <w:tcBorders>
                    <w:top w:val="single" w:color="auto" w:sz="4" w:space="0"/>
                    <w:left w:val="nil"/>
                    <w:bottom w:val="single" w:color="auto" w:sz="4" w:space="0"/>
                    <w:right w:val="single" w:color="auto" w:sz="4" w:space="0"/>
                  </w:tcBorders>
                  <w:noWrap w:val="0"/>
                  <w:vAlign w:val="top"/>
                </w:tcPr>
                <w:p w14:paraId="7CAFD233">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1.5%</w:t>
                  </w:r>
                </w:p>
              </w:tc>
              <w:tc>
                <w:tcPr>
                  <w:tcW w:w="1166" w:type="dxa"/>
                  <w:tcBorders>
                    <w:top w:val="single" w:color="auto" w:sz="4" w:space="0"/>
                    <w:left w:val="nil"/>
                    <w:bottom w:val="single" w:color="auto" w:sz="4" w:space="0"/>
                    <w:right w:val="single" w:color="auto" w:sz="4" w:space="0"/>
                  </w:tcBorders>
                  <w:noWrap w:val="0"/>
                  <w:vAlign w:val="top"/>
                </w:tcPr>
                <w:p w14:paraId="273922A3">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1.5%</w:t>
                  </w:r>
                </w:p>
              </w:tc>
              <w:tc>
                <w:tcPr>
                  <w:tcW w:w="1147" w:type="dxa"/>
                  <w:tcBorders>
                    <w:top w:val="single" w:color="auto" w:sz="4" w:space="0"/>
                    <w:left w:val="nil"/>
                    <w:bottom w:val="single" w:color="auto" w:sz="4" w:space="0"/>
                    <w:right w:val="single" w:color="auto" w:sz="4" w:space="0"/>
                  </w:tcBorders>
                  <w:noWrap w:val="0"/>
                  <w:vAlign w:val="top"/>
                </w:tcPr>
                <w:p w14:paraId="34654F6C">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1.0%</w:t>
                  </w:r>
                </w:p>
              </w:tc>
            </w:tr>
            <w:tr w14:paraId="16E2F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2427" w:type="dxa"/>
                  <w:tcBorders>
                    <w:top w:val="single" w:color="auto" w:sz="4" w:space="0"/>
                    <w:left w:val="single" w:color="auto" w:sz="4" w:space="0"/>
                    <w:bottom w:val="single" w:color="auto" w:sz="4" w:space="0"/>
                    <w:right w:val="single" w:color="auto" w:sz="4" w:space="0"/>
                  </w:tcBorders>
                  <w:noWrap w:val="0"/>
                  <w:vAlign w:val="top"/>
                </w:tcPr>
                <w:p w14:paraId="433E1528">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100</w:t>
                  </w:r>
                  <w:r>
                    <w:rPr>
                      <w:rFonts w:hint="eastAsia" w:ascii="宋体" w:hAnsi="宋体" w:cs="宋体"/>
                      <w:color w:val="000000" w:themeColor="text1"/>
                      <w:szCs w:val="21"/>
                      <w:highlight w:val="none"/>
                      <w:lang w:bidi="ar"/>
                      <w14:textFill>
                        <w14:solidFill>
                          <w14:schemeClr w14:val="tx1"/>
                        </w14:solidFill>
                      </w14:textFill>
                    </w:rPr>
                    <w:t>～</w:t>
                  </w:r>
                  <w:r>
                    <w:rPr>
                      <w:color w:val="000000" w:themeColor="text1"/>
                      <w:szCs w:val="21"/>
                      <w:highlight w:val="none"/>
                      <w:lang w:bidi="ar"/>
                      <w14:textFill>
                        <w14:solidFill>
                          <w14:schemeClr w14:val="tx1"/>
                        </w14:solidFill>
                      </w14:textFill>
                    </w:rPr>
                    <w:t>500</w:t>
                  </w:r>
                  <w:r>
                    <w:rPr>
                      <w:rFonts w:hint="eastAsia" w:ascii="宋体" w:hAnsi="宋体" w:cs="宋体"/>
                      <w:color w:val="000000" w:themeColor="text1"/>
                      <w:szCs w:val="21"/>
                      <w:highlight w:val="none"/>
                      <w:lang w:bidi="ar"/>
                      <w14:textFill>
                        <w14:solidFill>
                          <w14:schemeClr w14:val="tx1"/>
                        </w14:solidFill>
                      </w14:textFill>
                    </w:rPr>
                    <w:t>万元</w:t>
                  </w:r>
                </w:p>
              </w:tc>
              <w:tc>
                <w:tcPr>
                  <w:tcW w:w="1339" w:type="dxa"/>
                  <w:tcBorders>
                    <w:top w:val="single" w:color="auto" w:sz="4" w:space="0"/>
                    <w:left w:val="nil"/>
                    <w:bottom w:val="single" w:color="auto" w:sz="4" w:space="0"/>
                    <w:right w:val="single" w:color="auto" w:sz="4" w:space="0"/>
                  </w:tcBorders>
                  <w:noWrap w:val="0"/>
                  <w:vAlign w:val="top"/>
                </w:tcPr>
                <w:p w14:paraId="0B1DF457">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1.1%</w:t>
                  </w:r>
                </w:p>
              </w:tc>
              <w:tc>
                <w:tcPr>
                  <w:tcW w:w="1166" w:type="dxa"/>
                  <w:tcBorders>
                    <w:top w:val="single" w:color="auto" w:sz="4" w:space="0"/>
                    <w:left w:val="nil"/>
                    <w:bottom w:val="single" w:color="auto" w:sz="4" w:space="0"/>
                    <w:right w:val="single" w:color="auto" w:sz="4" w:space="0"/>
                  </w:tcBorders>
                  <w:noWrap w:val="0"/>
                  <w:vAlign w:val="top"/>
                </w:tcPr>
                <w:p w14:paraId="6EAA353D">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0.8%</w:t>
                  </w:r>
                </w:p>
              </w:tc>
              <w:tc>
                <w:tcPr>
                  <w:tcW w:w="1147" w:type="dxa"/>
                  <w:tcBorders>
                    <w:top w:val="single" w:color="auto" w:sz="4" w:space="0"/>
                    <w:left w:val="nil"/>
                    <w:bottom w:val="single" w:color="auto" w:sz="4" w:space="0"/>
                    <w:right w:val="single" w:color="auto" w:sz="4" w:space="0"/>
                  </w:tcBorders>
                  <w:noWrap w:val="0"/>
                  <w:vAlign w:val="top"/>
                </w:tcPr>
                <w:p w14:paraId="5FE59603">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0.7%</w:t>
                  </w:r>
                </w:p>
              </w:tc>
            </w:tr>
            <w:tr w14:paraId="35B66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2427" w:type="dxa"/>
                  <w:tcBorders>
                    <w:top w:val="single" w:color="auto" w:sz="4" w:space="0"/>
                    <w:left w:val="single" w:color="auto" w:sz="4" w:space="0"/>
                    <w:bottom w:val="single" w:color="auto" w:sz="4" w:space="0"/>
                    <w:right w:val="single" w:color="auto" w:sz="4" w:space="0"/>
                  </w:tcBorders>
                  <w:noWrap w:val="0"/>
                  <w:vAlign w:val="top"/>
                </w:tcPr>
                <w:p w14:paraId="742904B2">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500</w:t>
                  </w:r>
                  <w:r>
                    <w:rPr>
                      <w:rFonts w:hint="eastAsia" w:ascii="宋体" w:hAnsi="宋体" w:cs="宋体"/>
                      <w:color w:val="000000" w:themeColor="text1"/>
                      <w:szCs w:val="21"/>
                      <w:highlight w:val="none"/>
                      <w:lang w:bidi="ar"/>
                      <w14:textFill>
                        <w14:solidFill>
                          <w14:schemeClr w14:val="tx1"/>
                        </w14:solidFill>
                      </w14:textFill>
                    </w:rPr>
                    <w:t>～</w:t>
                  </w:r>
                  <w:r>
                    <w:rPr>
                      <w:color w:val="000000" w:themeColor="text1"/>
                      <w:szCs w:val="21"/>
                      <w:highlight w:val="none"/>
                      <w:lang w:bidi="ar"/>
                      <w14:textFill>
                        <w14:solidFill>
                          <w14:schemeClr w14:val="tx1"/>
                        </w14:solidFill>
                      </w14:textFill>
                    </w:rPr>
                    <w:t>1000</w:t>
                  </w:r>
                  <w:r>
                    <w:rPr>
                      <w:rFonts w:hint="eastAsia" w:ascii="宋体" w:hAnsi="宋体" w:cs="宋体"/>
                      <w:color w:val="000000" w:themeColor="text1"/>
                      <w:szCs w:val="21"/>
                      <w:highlight w:val="none"/>
                      <w:lang w:bidi="ar"/>
                      <w14:textFill>
                        <w14:solidFill>
                          <w14:schemeClr w14:val="tx1"/>
                        </w14:solidFill>
                      </w14:textFill>
                    </w:rPr>
                    <w:t>万元</w:t>
                  </w:r>
                </w:p>
              </w:tc>
              <w:tc>
                <w:tcPr>
                  <w:tcW w:w="1339" w:type="dxa"/>
                  <w:tcBorders>
                    <w:top w:val="single" w:color="auto" w:sz="4" w:space="0"/>
                    <w:left w:val="nil"/>
                    <w:bottom w:val="single" w:color="auto" w:sz="4" w:space="0"/>
                    <w:right w:val="single" w:color="auto" w:sz="4" w:space="0"/>
                  </w:tcBorders>
                  <w:noWrap w:val="0"/>
                  <w:vAlign w:val="top"/>
                </w:tcPr>
                <w:p w14:paraId="680C2E8B">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0.8%</w:t>
                  </w:r>
                </w:p>
              </w:tc>
              <w:tc>
                <w:tcPr>
                  <w:tcW w:w="1166" w:type="dxa"/>
                  <w:tcBorders>
                    <w:top w:val="single" w:color="auto" w:sz="4" w:space="0"/>
                    <w:left w:val="nil"/>
                    <w:bottom w:val="single" w:color="auto" w:sz="4" w:space="0"/>
                    <w:right w:val="single" w:color="auto" w:sz="4" w:space="0"/>
                  </w:tcBorders>
                  <w:noWrap w:val="0"/>
                  <w:vAlign w:val="top"/>
                </w:tcPr>
                <w:p w14:paraId="6BB8024B">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0.45%</w:t>
                  </w:r>
                </w:p>
              </w:tc>
              <w:tc>
                <w:tcPr>
                  <w:tcW w:w="1147" w:type="dxa"/>
                  <w:tcBorders>
                    <w:top w:val="single" w:color="auto" w:sz="4" w:space="0"/>
                    <w:left w:val="nil"/>
                    <w:bottom w:val="single" w:color="auto" w:sz="4" w:space="0"/>
                    <w:right w:val="single" w:color="auto" w:sz="4" w:space="0"/>
                  </w:tcBorders>
                  <w:noWrap w:val="0"/>
                  <w:vAlign w:val="top"/>
                </w:tcPr>
                <w:p w14:paraId="2EF53619">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0.55%</w:t>
                  </w:r>
                </w:p>
              </w:tc>
            </w:tr>
            <w:tr w14:paraId="6601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2427" w:type="dxa"/>
                  <w:tcBorders>
                    <w:top w:val="single" w:color="auto" w:sz="4" w:space="0"/>
                    <w:left w:val="single" w:color="auto" w:sz="4" w:space="0"/>
                    <w:bottom w:val="single" w:color="auto" w:sz="4" w:space="0"/>
                    <w:right w:val="single" w:color="auto" w:sz="4" w:space="0"/>
                  </w:tcBorders>
                  <w:noWrap w:val="0"/>
                  <w:vAlign w:val="top"/>
                </w:tcPr>
                <w:p w14:paraId="63A01A88">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1000</w:t>
                  </w:r>
                  <w:r>
                    <w:rPr>
                      <w:rFonts w:hint="eastAsia" w:ascii="宋体" w:hAnsi="宋体" w:cs="宋体"/>
                      <w:color w:val="000000" w:themeColor="text1"/>
                      <w:szCs w:val="21"/>
                      <w:highlight w:val="none"/>
                      <w:lang w:bidi="ar"/>
                      <w14:textFill>
                        <w14:solidFill>
                          <w14:schemeClr w14:val="tx1"/>
                        </w14:solidFill>
                      </w14:textFill>
                    </w:rPr>
                    <w:t>～</w:t>
                  </w:r>
                  <w:r>
                    <w:rPr>
                      <w:color w:val="000000" w:themeColor="text1"/>
                      <w:szCs w:val="21"/>
                      <w:highlight w:val="none"/>
                      <w:lang w:bidi="ar"/>
                      <w14:textFill>
                        <w14:solidFill>
                          <w14:schemeClr w14:val="tx1"/>
                        </w14:solidFill>
                      </w14:textFill>
                    </w:rPr>
                    <w:t>5000</w:t>
                  </w:r>
                  <w:r>
                    <w:rPr>
                      <w:rFonts w:hint="eastAsia" w:ascii="宋体" w:hAnsi="宋体" w:cs="宋体"/>
                      <w:color w:val="000000" w:themeColor="text1"/>
                      <w:szCs w:val="21"/>
                      <w:highlight w:val="none"/>
                      <w:lang w:bidi="ar"/>
                      <w14:textFill>
                        <w14:solidFill>
                          <w14:schemeClr w14:val="tx1"/>
                        </w14:solidFill>
                      </w14:textFill>
                    </w:rPr>
                    <w:t>万元</w:t>
                  </w:r>
                </w:p>
              </w:tc>
              <w:tc>
                <w:tcPr>
                  <w:tcW w:w="1339" w:type="dxa"/>
                  <w:tcBorders>
                    <w:top w:val="single" w:color="auto" w:sz="4" w:space="0"/>
                    <w:left w:val="nil"/>
                    <w:bottom w:val="single" w:color="auto" w:sz="4" w:space="0"/>
                    <w:right w:val="single" w:color="auto" w:sz="4" w:space="0"/>
                  </w:tcBorders>
                  <w:noWrap w:val="0"/>
                  <w:vAlign w:val="top"/>
                </w:tcPr>
                <w:p w14:paraId="5D1664FF">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0.5%</w:t>
                  </w:r>
                </w:p>
              </w:tc>
              <w:tc>
                <w:tcPr>
                  <w:tcW w:w="1166" w:type="dxa"/>
                  <w:tcBorders>
                    <w:top w:val="single" w:color="auto" w:sz="4" w:space="0"/>
                    <w:left w:val="nil"/>
                    <w:bottom w:val="single" w:color="auto" w:sz="4" w:space="0"/>
                    <w:right w:val="single" w:color="auto" w:sz="4" w:space="0"/>
                  </w:tcBorders>
                  <w:noWrap w:val="0"/>
                  <w:vAlign w:val="top"/>
                </w:tcPr>
                <w:p w14:paraId="3429CDF9">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0.25%</w:t>
                  </w:r>
                </w:p>
              </w:tc>
              <w:tc>
                <w:tcPr>
                  <w:tcW w:w="1147" w:type="dxa"/>
                  <w:tcBorders>
                    <w:top w:val="single" w:color="auto" w:sz="4" w:space="0"/>
                    <w:left w:val="nil"/>
                    <w:bottom w:val="single" w:color="auto" w:sz="4" w:space="0"/>
                    <w:right w:val="single" w:color="auto" w:sz="4" w:space="0"/>
                  </w:tcBorders>
                  <w:noWrap w:val="0"/>
                  <w:vAlign w:val="top"/>
                </w:tcPr>
                <w:p w14:paraId="67F3F690">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0.35%</w:t>
                  </w:r>
                </w:p>
              </w:tc>
            </w:tr>
            <w:tr w14:paraId="685BF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2427" w:type="dxa"/>
                  <w:tcBorders>
                    <w:top w:val="single" w:color="auto" w:sz="4" w:space="0"/>
                    <w:left w:val="single" w:color="auto" w:sz="4" w:space="0"/>
                    <w:bottom w:val="single" w:color="auto" w:sz="4" w:space="0"/>
                    <w:right w:val="single" w:color="auto" w:sz="4" w:space="0"/>
                  </w:tcBorders>
                  <w:noWrap w:val="0"/>
                  <w:vAlign w:val="top"/>
                </w:tcPr>
                <w:p w14:paraId="14B89E9E">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5000</w:t>
                  </w:r>
                  <w:r>
                    <w:rPr>
                      <w:rFonts w:hint="eastAsia" w:ascii="宋体" w:hAnsi="宋体" w:cs="宋体"/>
                      <w:color w:val="000000" w:themeColor="text1"/>
                      <w:szCs w:val="21"/>
                      <w:highlight w:val="none"/>
                      <w:lang w:bidi="ar"/>
                      <w14:textFill>
                        <w14:solidFill>
                          <w14:schemeClr w14:val="tx1"/>
                        </w14:solidFill>
                      </w14:textFill>
                    </w:rPr>
                    <w:t>万元～</w:t>
                  </w:r>
                  <w:r>
                    <w:rPr>
                      <w:color w:val="000000" w:themeColor="text1"/>
                      <w:szCs w:val="21"/>
                      <w:highlight w:val="none"/>
                      <w:lang w:bidi="ar"/>
                      <w14:textFill>
                        <w14:solidFill>
                          <w14:schemeClr w14:val="tx1"/>
                        </w14:solidFill>
                      </w14:textFill>
                    </w:rPr>
                    <w:t>1</w:t>
                  </w:r>
                  <w:r>
                    <w:rPr>
                      <w:rFonts w:hint="eastAsia" w:ascii="宋体" w:hAnsi="宋体" w:cs="宋体"/>
                      <w:color w:val="000000" w:themeColor="text1"/>
                      <w:szCs w:val="21"/>
                      <w:highlight w:val="none"/>
                      <w:lang w:bidi="ar"/>
                      <w14:textFill>
                        <w14:solidFill>
                          <w14:schemeClr w14:val="tx1"/>
                        </w14:solidFill>
                      </w14:textFill>
                    </w:rPr>
                    <w:t>亿元</w:t>
                  </w:r>
                </w:p>
              </w:tc>
              <w:tc>
                <w:tcPr>
                  <w:tcW w:w="1339" w:type="dxa"/>
                  <w:tcBorders>
                    <w:top w:val="single" w:color="auto" w:sz="4" w:space="0"/>
                    <w:left w:val="nil"/>
                    <w:bottom w:val="single" w:color="auto" w:sz="4" w:space="0"/>
                    <w:right w:val="single" w:color="auto" w:sz="4" w:space="0"/>
                  </w:tcBorders>
                  <w:noWrap w:val="0"/>
                  <w:vAlign w:val="top"/>
                </w:tcPr>
                <w:p w14:paraId="4F36295E">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0.25%</w:t>
                  </w:r>
                </w:p>
              </w:tc>
              <w:tc>
                <w:tcPr>
                  <w:tcW w:w="1166" w:type="dxa"/>
                  <w:tcBorders>
                    <w:top w:val="single" w:color="auto" w:sz="4" w:space="0"/>
                    <w:left w:val="nil"/>
                    <w:bottom w:val="single" w:color="auto" w:sz="4" w:space="0"/>
                    <w:right w:val="single" w:color="auto" w:sz="4" w:space="0"/>
                  </w:tcBorders>
                  <w:noWrap w:val="0"/>
                  <w:vAlign w:val="top"/>
                </w:tcPr>
                <w:p w14:paraId="758C349A">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0.1%</w:t>
                  </w:r>
                </w:p>
              </w:tc>
              <w:tc>
                <w:tcPr>
                  <w:tcW w:w="1147" w:type="dxa"/>
                  <w:tcBorders>
                    <w:top w:val="single" w:color="auto" w:sz="4" w:space="0"/>
                    <w:left w:val="nil"/>
                    <w:bottom w:val="single" w:color="auto" w:sz="4" w:space="0"/>
                    <w:right w:val="single" w:color="auto" w:sz="4" w:space="0"/>
                  </w:tcBorders>
                  <w:noWrap w:val="0"/>
                  <w:vAlign w:val="top"/>
                </w:tcPr>
                <w:p w14:paraId="7D58A49D">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0.2%</w:t>
                  </w:r>
                </w:p>
              </w:tc>
            </w:tr>
            <w:tr w14:paraId="4056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2427" w:type="dxa"/>
                  <w:tcBorders>
                    <w:top w:val="single" w:color="auto" w:sz="4" w:space="0"/>
                    <w:left w:val="single" w:color="auto" w:sz="4" w:space="0"/>
                    <w:bottom w:val="single" w:color="auto" w:sz="4" w:space="0"/>
                    <w:right w:val="single" w:color="auto" w:sz="4" w:space="0"/>
                  </w:tcBorders>
                  <w:noWrap w:val="0"/>
                  <w:vAlign w:val="top"/>
                </w:tcPr>
                <w:p w14:paraId="75B4685D">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1</w:t>
                  </w:r>
                  <w:r>
                    <w:rPr>
                      <w:rFonts w:hint="eastAsia" w:ascii="宋体" w:hAnsi="宋体" w:cs="宋体"/>
                      <w:color w:val="000000" w:themeColor="text1"/>
                      <w:szCs w:val="21"/>
                      <w:highlight w:val="none"/>
                      <w:lang w:bidi="ar"/>
                      <w14:textFill>
                        <w14:solidFill>
                          <w14:schemeClr w14:val="tx1"/>
                        </w14:solidFill>
                      </w14:textFill>
                    </w:rPr>
                    <w:t>～</w:t>
                  </w:r>
                  <w:r>
                    <w:rPr>
                      <w:color w:val="000000" w:themeColor="text1"/>
                      <w:szCs w:val="21"/>
                      <w:highlight w:val="none"/>
                      <w:lang w:bidi="ar"/>
                      <w14:textFill>
                        <w14:solidFill>
                          <w14:schemeClr w14:val="tx1"/>
                        </w14:solidFill>
                      </w14:textFill>
                    </w:rPr>
                    <w:t>5</w:t>
                  </w:r>
                  <w:r>
                    <w:rPr>
                      <w:rFonts w:hint="eastAsia" w:ascii="宋体" w:hAnsi="宋体" w:cs="宋体"/>
                      <w:color w:val="000000" w:themeColor="text1"/>
                      <w:szCs w:val="21"/>
                      <w:highlight w:val="none"/>
                      <w:lang w:bidi="ar"/>
                      <w14:textFill>
                        <w14:solidFill>
                          <w14:schemeClr w14:val="tx1"/>
                        </w14:solidFill>
                      </w14:textFill>
                    </w:rPr>
                    <w:t>亿元</w:t>
                  </w:r>
                </w:p>
              </w:tc>
              <w:tc>
                <w:tcPr>
                  <w:tcW w:w="1339" w:type="dxa"/>
                  <w:tcBorders>
                    <w:top w:val="single" w:color="auto" w:sz="4" w:space="0"/>
                    <w:left w:val="nil"/>
                    <w:bottom w:val="single" w:color="auto" w:sz="4" w:space="0"/>
                    <w:right w:val="single" w:color="auto" w:sz="4" w:space="0"/>
                  </w:tcBorders>
                  <w:noWrap w:val="0"/>
                  <w:vAlign w:val="top"/>
                </w:tcPr>
                <w:p w14:paraId="6B17FA63">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0.05%</w:t>
                  </w:r>
                </w:p>
              </w:tc>
              <w:tc>
                <w:tcPr>
                  <w:tcW w:w="1166" w:type="dxa"/>
                  <w:tcBorders>
                    <w:top w:val="single" w:color="auto" w:sz="4" w:space="0"/>
                    <w:left w:val="nil"/>
                    <w:bottom w:val="single" w:color="auto" w:sz="4" w:space="0"/>
                    <w:right w:val="single" w:color="auto" w:sz="4" w:space="0"/>
                  </w:tcBorders>
                  <w:noWrap w:val="0"/>
                  <w:vAlign w:val="top"/>
                </w:tcPr>
                <w:p w14:paraId="05821D93">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0.05%</w:t>
                  </w:r>
                </w:p>
              </w:tc>
              <w:tc>
                <w:tcPr>
                  <w:tcW w:w="1147" w:type="dxa"/>
                  <w:tcBorders>
                    <w:top w:val="single" w:color="auto" w:sz="4" w:space="0"/>
                    <w:left w:val="nil"/>
                    <w:bottom w:val="single" w:color="auto" w:sz="4" w:space="0"/>
                    <w:right w:val="single" w:color="auto" w:sz="4" w:space="0"/>
                  </w:tcBorders>
                  <w:noWrap w:val="0"/>
                  <w:vAlign w:val="top"/>
                </w:tcPr>
                <w:p w14:paraId="1D079098">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0.05%</w:t>
                  </w:r>
                </w:p>
              </w:tc>
            </w:tr>
            <w:tr w14:paraId="285E9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2427" w:type="dxa"/>
                  <w:tcBorders>
                    <w:top w:val="single" w:color="auto" w:sz="4" w:space="0"/>
                    <w:left w:val="single" w:color="auto" w:sz="4" w:space="0"/>
                    <w:bottom w:val="single" w:color="auto" w:sz="4" w:space="0"/>
                    <w:right w:val="single" w:color="auto" w:sz="4" w:space="0"/>
                  </w:tcBorders>
                  <w:noWrap w:val="0"/>
                  <w:vAlign w:val="top"/>
                </w:tcPr>
                <w:p w14:paraId="784A7B07">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5</w:t>
                  </w:r>
                  <w:r>
                    <w:rPr>
                      <w:rFonts w:hint="eastAsia" w:ascii="宋体" w:hAnsi="宋体" w:cs="宋体"/>
                      <w:color w:val="000000" w:themeColor="text1"/>
                      <w:szCs w:val="21"/>
                      <w:highlight w:val="none"/>
                      <w:lang w:bidi="ar"/>
                      <w14:textFill>
                        <w14:solidFill>
                          <w14:schemeClr w14:val="tx1"/>
                        </w14:solidFill>
                      </w14:textFill>
                    </w:rPr>
                    <w:t>～</w:t>
                  </w:r>
                  <w:r>
                    <w:rPr>
                      <w:color w:val="000000" w:themeColor="text1"/>
                      <w:szCs w:val="21"/>
                      <w:highlight w:val="none"/>
                      <w:lang w:bidi="ar"/>
                      <w14:textFill>
                        <w14:solidFill>
                          <w14:schemeClr w14:val="tx1"/>
                        </w14:solidFill>
                      </w14:textFill>
                    </w:rPr>
                    <w:t>10</w:t>
                  </w:r>
                  <w:r>
                    <w:rPr>
                      <w:rFonts w:hint="eastAsia" w:ascii="宋体" w:hAnsi="宋体" w:cs="宋体"/>
                      <w:color w:val="000000" w:themeColor="text1"/>
                      <w:szCs w:val="21"/>
                      <w:highlight w:val="none"/>
                      <w:lang w:bidi="ar"/>
                      <w14:textFill>
                        <w14:solidFill>
                          <w14:schemeClr w14:val="tx1"/>
                        </w14:solidFill>
                      </w14:textFill>
                    </w:rPr>
                    <w:t>亿元</w:t>
                  </w:r>
                </w:p>
              </w:tc>
              <w:tc>
                <w:tcPr>
                  <w:tcW w:w="1339" w:type="dxa"/>
                  <w:tcBorders>
                    <w:top w:val="single" w:color="auto" w:sz="4" w:space="0"/>
                    <w:left w:val="nil"/>
                    <w:bottom w:val="single" w:color="auto" w:sz="4" w:space="0"/>
                    <w:right w:val="single" w:color="auto" w:sz="4" w:space="0"/>
                  </w:tcBorders>
                  <w:noWrap w:val="0"/>
                  <w:vAlign w:val="top"/>
                </w:tcPr>
                <w:p w14:paraId="54FE0CFB">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0.035%</w:t>
                  </w:r>
                </w:p>
              </w:tc>
              <w:tc>
                <w:tcPr>
                  <w:tcW w:w="1166" w:type="dxa"/>
                  <w:tcBorders>
                    <w:top w:val="single" w:color="auto" w:sz="4" w:space="0"/>
                    <w:left w:val="nil"/>
                    <w:bottom w:val="single" w:color="auto" w:sz="4" w:space="0"/>
                    <w:right w:val="single" w:color="auto" w:sz="4" w:space="0"/>
                  </w:tcBorders>
                  <w:noWrap w:val="0"/>
                  <w:vAlign w:val="top"/>
                </w:tcPr>
                <w:p w14:paraId="1B2340AF">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0.035%</w:t>
                  </w:r>
                </w:p>
              </w:tc>
              <w:tc>
                <w:tcPr>
                  <w:tcW w:w="1147" w:type="dxa"/>
                  <w:tcBorders>
                    <w:top w:val="single" w:color="auto" w:sz="4" w:space="0"/>
                    <w:left w:val="nil"/>
                    <w:bottom w:val="single" w:color="auto" w:sz="4" w:space="0"/>
                    <w:right w:val="single" w:color="auto" w:sz="4" w:space="0"/>
                  </w:tcBorders>
                  <w:noWrap w:val="0"/>
                  <w:vAlign w:val="top"/>
                </w:tcPr>
                <w:p w14:paraId="7EA90EC0">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0.035%</w:t>
                  </w:r>
                </w:p>
              </w:tc>
            </w:tr>
            <w:tr w14:paraId="6EA6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2427" w:type="dxa"/>
                  <w:tcBorders>
                    <w:top w:val="single" w:color="auto" w:sz="4" w:space="0"/>
                    <w:left w:val="single" w:color="auto" w:sz="4" w:space="0"/>
                    <w:bottom w:val="single" w:color="auto" w:sz="4" w:space="0"/>
                    <w:right w:val="single" w:color="auto" w:sz="4" w:space="0"/>
                  </w:tcBorders>
                  <w:noWrap w:val="0"/>
                  <w:vAlign w:val="top"/>
                </w:tcPr>
                <w:p w14:paraId="7B943D9B">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10</w:t>
                  </w:r>
                  <w:r>
                    <w:rPr>
                      <w:rFonts w:hint="eastAsia" w:ascii="宋体" w:hAnsi="宋体" w:cs="宋体"/>
                      <w:color w:val="000000" w:themeColor="text1"/>
                      <w:szCs w:val="21"/>
                      <w:highlight w:val="none"/>
                      <w:lang w:bidi="ar"/>
                      <w14:textFill>
                        <w14:solidFill>
                          <w14:schemeClr w14:val="tx1"/>
                        </w14:solidFill>
                      </w14:textFill>
                    </w:rPr>
                    <w:t>～</w:t>
                  </w:r>
                  <w:r>
                    <w:rPr>
                      <w:color w:val="000000" w:themeColor="text1"/>
                      <w:szCs w:val="21"/>
                      <w:highlight w:val="none"/>
                      <w:lang w:bidi="ar"/>
                      <w14:textFill>
                        <w14:solidFill>
                          <w14:schemeClr w14:val="tx1"/>
                        </w14:solidFill>
                      </w14:textFill>
                    </w:rPr>
                    <w:t>50</w:t>
                  </w:r>
                  <w:r>
                    <w:rPr>
                      <w:rFonts w:hint="eastAsia" w:ascii="宋体" w:hAnsi="宋体" w:cs="宋体"/>
                      <w:color w:val="000000" w:themeColor="text1"/>
                      <w:szCs w:val="21"/>
                      <w:highlight w:val="none"/>
                      <w:lang w:bidi="ar"/>
                      <w14:textFill>
                        <w14:solidFill>
                          <w14:schemeClr w14:val="tx1"/>
                        </w14:solidFill>
                      </w14:textFill>
                    </w:rPr>
                    <w:t>亿元</w:t>
                  </w:r>
                </w:p>
              </w:tc>
              <w:tc>
                <w:tcPr>
                  <w:tcW w:w="1339" w:type="dxa"/>
                  <w:tcBorders>
                    <w:top w:val="single" w:color="auto" w:sz="4" w:space="0"/>
                    <w:left w:val="nil"/>
                    <w:bottom w:val="single" w:color="auto" w:sz="4" w:space="0"/>
                    <w:right w:val="single" w:color="auto" w:sz="4" w:space="0"/>
                  </w:tcBorders>
                  <w:noWrap w:val="0"/>
                  <w:vAlign w:val="top"/>
                </w:tcPr>
                <w:p w14:paraId="4CEC3FEF">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0.008%</w:t>
                  </w:r>
                </w:p>
              </w:tc>
              <w:tc>
                <w:tcPr>
                  <w:tcW w:w="1166" w:type="dxa"/>
                  <w:tcBorders>
                    <w:top w:val="single" w:color="auto" w:sz="4" w:space="0"/>
                    <w:left w:val="nil"/>
                    <w:bottom w:val="single" w:color="auto" w:sz="4" w:space="0"/>
                    <w:right w:val="single" w:color="auto" w:sz="4" w:space="0"/>
                  </w:tcBorders>
                  <w:noWrap w:val="0"/>
                  <w:vAlign w:val="top"/>
                </w:tcPr>
                <w:p w14:paraId="063C7736">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0.008%</w:t>
                  </w:r>
                </w:p>
              </w:tc>
              <w:tc>
                <w:tcPr>
                  <w:tcW w:w="1147" w:type="dxa"/>
                  <w:tcBorders>
                    <w:top w:val="single" w:color="auto" w:sz="4" w:space="0"/>
                    <w:left w:val="nil"/>
                    <w:bottom w:val="single" w:color="auto" w:sz="4" w:space="0"/>
                    <w:right w:val="single" w:color="auto" w:sz="4" w:space="0"/>
                  </w:tcBorders>
                  <w:noWrap w:val="0"/>
                  <w:vAlign w:val="top"/>
                </w:tcPr>
                <w:p w14:paraId="6F188DDD">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0.008%</w:t>
                  </w:r>
                </w:p>
              </w:tc>
            </w:tr>
            <w:tr w14:paraId="5A465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2427" w:type="dxa"/>
                  <w:tcBorders>
                    <w:top w:val="single" w:color="auto" w:sz="4" w:space="0"/>
                    <w:left w:val="single" w:color="auto" w:sz="4" w:space="0"/>
                    <w:bottom w:val="single" w:color="auto" w:sz="4" w:space="0"/>
                    <w:right w:val="single" w:color="auto" w:sz="4" w:space="0"/>
                  </w:tcBorders>
                  <w:noWrap w:val="0"/>
                  <w:vAlign w:val="top"/>
                </w:tcPr>
                <w:p w14:paraId="126A6E76">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50</w:t>
                  </w:r>
                  <w:r>
                    <w:rPr>
                      <w:rFonts w:hint="eastAsia" w:ascii="宋体" w:hAnsi="宋体" w:cs="宋体"/>
                      <w:color w:val="000000" w:themeColor="text1"/>
                      <w:szCs w:val="21"/>
                      <w:highlight w:val="none"/>
                      <w:lang w:bidi="ar"/>
                      <w14:textFill>
                        <w14:solidFill>
                          <w14:schemeClr w14:val="tx1"/>
                        </w14:solidFill>
                      </w14:textFill>
                    </w:rPr>
                    <w:t>～</w:t>
                  </w:r>
                  <w:r>
                    <w:rPr>
                      <w:color w:val="000000" w:themeColor="text1"/>
                      <w:szCs w:val="21"/>
                      <w:highlight w:val="none"/>
                      <w:lang w:bidi="ar"/>
                      <w14:textFill>
                        <w14:solidFill>
                          <w14:schemeClr w14:val="tx1"/>
                        </w14:solidFill>
                      </w14:textFill>
                    </w:rPr>
                    <w:t>100</w:t>
                  </w:r>
                  <w:r>
                    <w:rPr>
                      <w:rFonts w:hint="eastAsia" w:ascii="宋体" w:hAnsi="宋体" w:cs="宋体"/>
                      <w:color w:val="000000" w:themeColor="text1"/>
                      <w:szCs w:val="21"/>
                      <w:highlight w:val="none"/>
                      <w:lang w:bidi="ar"/>
                      <w14:textFill>
                        <w14:solidFill>
                          <w14:schemeClr w14:val="tx1"/>
                        </w14:solidFill>
                      </w14:textFill>
                    </w:rPr>
                    <w:t>亿元</w:t>
                  </w:r>
                </w:p>
              </w:tc>
              <w:tc>
                <w:tcPr>
                  <w:tcW w:w="1339" w:type="dxa"/>
                  <w:tcBorders>
                    <w:top w:val="single" w:color="auto" w:sz="4" w:space="0"/>
                    <w:left w:val="nil"/>
                    <w:bottom w:val="single" w:color="auto" w:sz="4" w:space="0"/>
                    <w:right w:val="single" w:color="auto" w:sz="4" w:space="0"/>
                  </w:tcBorders>
                  <w:noWrap w:val="0"/>
                  <w:vAlign w:val="top"/>
                </w:tcPr>
                <w:p w14:paraId="5F4680CE">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0.006%</w:t>
                  </w:r>
                </w:p>
              </w:tc>
              <w:tc>
                <w:tcPr>
                  <w:tcW w:w="1166" w:type="dxa"/>
                  <w:tcBorders>
                    <w:top w:val="single" w:color="auto" w:sz="4" w:space="0"/>
                    <w:left w:val="nil"/>
                    <w:bottom w:val="single" w:color="auto" w:sz="4" w:space="0"/>
                    <w:right w:val="single" w:color="auto" w:sz="4" w:space="0"/>
                  </w:tcBorders>
                  <w:noWrap w:val="0"/>
                  <w:vAlign w:val="top"/>
                </w:tcPr>
                <w:p w14:paraId="0EB2C2AB">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0.006%</w:t>
                  </w:r>
                </w:p>
              </w:tc>
              <w:tc>
                <w:tcPr>
                  <w:tcW w:w="1147" w:type="dxa"/>
                  <w:tcBorders>
                    <w:top w:val="single" w:color="auto" w:sz="4" w:space="0"/>
                    <w:left w:val="nil"/>
                    <w:bottom w:val="single" w:color="auto" w:sz="4" w:space="0"/>
                    <w:right w:val="single" w:color="auto" w:sz="4" w:space="0"/>
                  </w:tcBorders>
                  <w:noWrap w:val="0"/>
                  <w:vAlign w:val="top"/>
                </w:tcPr>
                <w:p w14:paraId="28F4D6D6">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0.006%</w:t>
                  </w:r>
                </w:p>
              </w:tc>
            </w:tr>
            <w:tr w14:paraId="5BA0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427" w:type="dxa"/>
                  <w:tcBorders>
                    <w:top w:val="single" w:color="auto" w:sz="4" w:space="0"/>
                    <w:left w:val="single" w:color="auto" w:sz="4" w:space="0"/>
                    <w:bottom w:val="single" w:color="auto" w:sz="4" w:space="0"/>
                    <w:right w:val="single" w:color="auto" w:sz="4" w:space="0"/>
                  </w:tcBorders>
                  <w:noWrap w:val="0"/>
                  <w:vAlign w:val="top"/>
                </w:tcPr>
                <w:p w14:paraId="7CFB1D84">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100</w:t>
                  </w:r>
                  <w:r>
                    <w:rPr>
                      <w:rFonts w:hint="eastAsia" w:ascii="宋体" w:hAnsi="宋体" w:cs="宋体"/>
                      <w:color w:val="000000" w:themeColor="text1"/>
                      <w:szCs w:val="21"/>
                      <w:highlight w:val="none"/>
                      <w:lang w:bidi="ar"/>
                      <w14:textFill>
                        <w14:solidFill>
                          <w14:schemeClr w14:val="tx1"/>
                        </w14:solidFill>
                      </w14:textFill>
                    </w:rPr>
                    <w:t>亿以上</w:t>
                  </w:r>
                </w:p>
              </w:tc>
              <w:tc>
                <w:tcPr>
                  <w:tcW w:w="1339" w:type="dxa"/>
                  <w:tcBorders>
                    <w:top w:val="single" w:color="auto" w:sz="4" w:space="0"/>
                    <w:left w:val="nil"/>
                    <w:bottom w:val="single" w:color="auto" w:sz="4" w:space="0"/>
                    <w:right w:val="single" w:color="auto" w:sz="4" w:space="0"/>
                  </w:tcBorders>
                  <w:noWrap w:val="0"/>
                  <w:vAlign w:val="top"/>
                </w:tcPr>
                <w:p w14:paraId="6A83ADD4">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0.004%</w:t>
                  </w:r>
                </w:p>
              </w:tc>
              <w:tc>
                <w:tcPr>
                  <w:tcW w:w="1166" w:type="dxa"/>
                  <w:tcBorders>
                    <w:top w:val="single" w:color="auto" w:sz="4" w:space="0"/>
                    <w:left w:val="nil"/>
                    <w:bottom w:val="single" w:color="auto" w:sz="4" w:space="0"/>
                    <w:right w:val="single" w:color="auto" w:sz="4" w:space="0"/>
                  </w:tcBorders>
                  <w:noWrap w:val="0"/>
                  <w:vAlign w:val="top"/>
                </w:tcPr>
                <w:p w14:paraId="1A26EFE2">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0.004%</w:t>
                  </w:r>
                </w:p>
              </w:tc>
              <w:tc>
                <w:tcPr>
                  <w:tcW w:w="1147" w:type="dxa"/>
                  <w:tcBorders>
                    <w:top w:val="single" w:color="auto" w:sz="4" w:space="0"/>
                    <w:left w:val="nil"/>
                    <w:bottom w:val="single" w:color="auto" w:sz="4" w:space="0"/>
                    <w:right w:val="single" w:color="auto" w:sz="4" w:space="0"/>
                  </w:tcBorders>
                  <w:noWrap w:val="0"/>
                  <w:vAlign w:val="top"/>
                </w:tcPr>
                <w:p w14:paraId="1A97E9B2">
                  <w:pPr>
                    <w:rPr>
                      <w:rFonts w:hint="eastAsia" w:ascii="宋体" w:hAnsi="宋体" w:cs="宋体"/>
                      <w:color w:val="000000" w:themeColor="text1"/>
                      <w:highlight w:val="none"/>
                      <w14:textFill>
                        <w14:solidFill>
                          <w14:schemeClr w14:val="tx1"/>
                        </w14:solidFill>
                      </w14:textFill>
                    </w:rPr>
                  </w:pPr>
                  <w:r>
                    <w:rPr>
                      <w:color w:val="000000" w:themeColor="text1"/>
                      <w:szCs w:val="21"/>
                      <w:highlight w:val="none"/>
                      <w:lang w:bidi="ar"/>
                      <w14:textFill>
                        <w14:solidFill>
                          <w14:schemeClr w14:val="tx1"/>
                        </w14:solidFill>
                      </w14:textFill>
                    </w:rPr>
                    <w:t>0.004%</w:t>
                  </w:r>
                </w:p>
              </w:tc>
            </w:tr>
          </w:tbl>
          <w:p w14:paraId="2562A57D">
            <w:pPr>
              <w:snapToGrid w:val="0"/>
              <w:spacing w:line="440" w:lineRule="atLeas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4.采购代理费收取银行账户</w:t>
            </w:r>
          </w:p>
          <w:p w14:paraId="07BA901D">
            <w:pPr>
              <w:snapToGrid w:val="0"/>
              <w:spacing w:line="440" w:lineRule="atLeast"/>
              <w:ind w:firstLine="210" w:firstLineChars="1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账户名称：广西建通工程咨询有限责任公司第六分公司 </w:t>
            </w:r>
          </w:p>
          <w:p w14:paraId="05E5527C">
            <w:pPr>
              <w:snapToGrid w:val="0"/>
              <w:spacing w:line="440" w:lineRule="atLeast"/>
              <w:ind w:firstLine="210" w:firstLineChars="1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开户银行：中国工商银行南宁市天桃支行 </w:t>
            </w:r>
          </w:p>
          <w:p w14:paraId="39F31E45">
            <w:pPr>
              <w:snapToGrid w:val="0"/>
              <w:spacing w:line="440" w:lineRule="atLeast"/>
              <w:ind w:firstLine="210" w:firstLineChars="1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银行账号：2102103419300125894</w:t>
            </w:r>
          </w:p>
        </w:tc>
      </w:tr>
      <w:tr w14:paraId="4D93C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noWrap w:val="0"/>
            <w:vAlign w:val="center"/>
          </w:tcPr>
          <w:p w14:paraId="0D217898">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34.1</w:t>
            </w: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33A9A494">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解释</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38237DBB">
            <w:pPr>
              <w:snapToGrid w:val="0"/>
              <w:spacing w:line="440" w:lineRule="atLeast"/>
              <w:rPr>
                <w:rFonts w:hint="eastAsia" w:ascii="宋体" w:hAnsi="宋体"/>
                <w:b/>
                <w:color w:val="000000" w:themeColor="text1"/>
                <w:kern w:val="0"/>
                <w:szCs w:val="21"/>
                <w:highlight w:val="none"/>
                <w14:textFill>
                  <w14:solidFill>
                    <w14:schemeClr w14:val="tx1"/>
                  </w14:solidFill>
                </w14:textFill>
              </w:rPr>
            </w:pPr>
            <w:r>
              <w:rPr>
                <w:rFonts w:hint="eastAsia" w:ascii="宋体" w:hAnsi="宋体"/>
                <w:b/>
                <w:color w:val="000000" w:themeColor="text1"/>
                <w:kern w:val="0"/>
                <w:szCs w:val="21"/>
                <w:highlight w:val="none"/>
                <w14:textFill>
                  <w14:solidFill>
                    <w14:schemeClr w14:val="tx1"/>
                  </w14:solidFill>
                </w14:textFill>
              </w:rPr>
              <w:t>解释权：</w:t>
            </w:r>
            <w:r>
              <w:rPr>
                <w:rFonts w:hint="eastAsia" w:ascii="宋体" w:hAnsi="宋体"/>
                <w:color w:val="000000" w:themeColor="text1"/>
                <w:kern w:val="0"/>
                <w:szCs w:val="21"/>
                <w:highlight w:val="none"/>
                <w14:textFill>
                  <w14:solidFill>
                    <w14:schemeClr w14:val="tx1"/>
                  </w14:solidFill>
                </w14:textFill>
              </w:rPr>
              <w:t>构成本谈判文件的各个组成文件应互为解释，互为说明；除谈判文件中有特别规定外，仅适用于竞标阶段的规定，按更正公告（澄清公告）、竞争性谈判公告、供应商须知、采购需求、</w:t>
            </w:r>
            <w:r>
              <w:rPr>
                <w:rFonts w:hint="eastAsia" w:ascii="宋体" w:hAnsi="Courier New"/>
                <w:color w:val="000000" w:themeColor="text1"/>
                <w:kern w:val="0"/>
                <w:szCs w:val="21"/>
                <w:highlight w:val="none"/>
                <w14:textFill>
                  <w14:solidFill>
                    <w14:schemeClr w14:val="tx1"/>
                  </w14:solidFill>
                </w14:textFill>
              </w:rPr>
              <w:t>评审程序、评审方法和评审标准</w:t>
            </w:r>
            <w:r>
              <w:rPr>
                <w:rFonts w:hint="eastAsia" w:ascii="宋体" w:hAnsi="宋体"/>
                <w:color w:val="000000" w:themeColor="text1"/>
                <w:kern w:val="0"/>
                <w:szCs w:val="21"/>
                <w:highlight w:val="none"/>
                <w14:textFill>
                  <w14:solidFill>
                    <w14:schemeClr w14:val="tx1"/>
                  </w14:solidFill>
                </w14:textFill>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ascii="宋体" w:hAnsi="宋体"/>
                <w:b/>
                <w:color w:val="000000" w:themeColor="text1"/>
                <w:kern w:val="0"/>
                <w:szCs w:val="21"/>
                <w:highlight w:val="none"/>
                <w14:textFill>
                  <w14:solidFill>
                    <w14:schemeClr w14:val="tx1"/>
                  </w14:solidFill>
                </w14:textFill>
              </w:rPr>
              <w:t>由采购人或者采购代理机构负责解释。</w:t>
            </w:r>
          </w:p>
          <w:p w14:paraId="78D12FB8">
            <w:pPr>
              <w:tabs>
                <w:tab w:val="left" w:pos="1080"/>
              </w:tabs>
              <w:spacing w:line="440" w:lineRule="atLeast"/>
              <w:rPr>
                <w:rFonts w:hint="eastAsia" w:ascii="宋体" w:hAnsi="宋体"/>
                <w:color w:val="000000" w:themeColor="text1"/>
                <w:kern w:val="0"/>
                <w:szCs w:val="21"/>
                <w:highlight w:val="none"/>
                <w14:textFill>
                  <w14:solidFill>
                    <w14:schemeClr w14:val="tx1"/>
                  </w14:solidFill>
                </w14:textFill>
              </w:rPr>
            </w:pPr>
            <w:r>
              <w:rPr>
                <w:rFonts w:hint="eastAsia" w:ascii="宋体" w:hAnsi="宋体"/>
                <w:b/>
                <w:color w:val="000000" w:themeColor="text1"/>
                <w:kern w:val="0"/>
                <w:szCs w:val="21"/>
                <w:highlight w:val="none"/>
                <w14:textFill>
                  <w14:solidFill>
                    <w14:schemeClr w14:val="tx1"/>
                  </w14:solidFill>
                </w14:textFill>
              </w:rPr>
              <w:t>法律责任：</w:t>
            </w:r>
          </w:p>
          <w:p w14:paraId="68637A41">
            <w:pPr>
              <w:tabs>
                <w:tab w:val="left" w:pos="1080"/>
              </w:tabs>
              <w:spacing w:line="440" w:lineRule="atLeast"/>
              <w:rPr>
                <w:rFonts w:hint="eastAsia"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0C7502EE">
            <w:pPr>
              <w:spacing w:line="440" w:lineRule="atLeast"/>
              <w:rPr>
                <w:rFonts w:hint="eastAsia" w:ascii="宋体" w:hAnsi="宋体" w:cs="宋体"/>
                <w:color w:val="000000" w:themeColor="text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00DDA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noWrap w:val="0"/>
            <w:vAlign w:val="center"/>
          </w:tcPr>
          <w:p w14:paraId="2F74B1B0">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34.2</w:t>
            </w:r>
          </w:p>
        </w:tc>
        <w:tc>
          <w:tcPr>
            <w:tcW w:w="2538" w:type="dxa"/>
            <w:tcBorders>
              <w:top w:val="single" w:color="000000" w:sz="4" w:space="0"/>
              <w:left w:val="single" w:color="000000" w:sz="4" w:space="0"/>
              <w:bottom w:val="single" w:color="000000" w:sz="4" w:space="0"/>
              <w:right w:val="single" w:color="000000" w:sz="4" w:space="0"/>
            </w:tcBorders>
            <w:noWrap w:val="0"/>
            <w:vAlign w:val="center"/>
          </w:tcPr>
          <w:p w14:paraId="284FBAE1">
            <w:pPr>
              <w:spacing w:line="44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w:t>
            </w:r>
          </w:p>
        </w:tc>
        <w:tc>
          <w:tcPr>
            <w:tcW w:w="6608" w:type="dxa"/>
            <w:tcBorders>
              <w:top w:val="single" w:color="000000" w:sz="4" w:space="0"/>
              <w:left w:val="single" w:color="000000" w:sz="4" w:space="0"/>
              <w:bottom w:val="single" w:color="000000" w:sz="4" w:space="0"/>
              <w:right w:val="single" w:color="000000" w:sz="4" w:space="0"/>
            </w:tcBorders>
            <w:noWrap w:val="0"/>
            <w:vAlign w:val="center"/>
          </w:tcPr>
          <w:p w14:paraId="617CF77F">
            <w:pPr>
              <w:snapToGrid w:val="0"/>
              <w:spacing w:line="440" w:lineRule="atLeas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1.本谈判文件中描述供应商的“公章”是指供应商通过指定电子化政府采购平台办理数字证书（CA认证）获得的以法定主体行为名称制作的电子印章。</w:t>
            </w:r>
          </w:p>
          <w:p w14:paraId="04FC97C0">
            <w:pPr>
              <w:snapToGrid w:val="0"/>
              <w:spacing w:line="440" w:lineRule="atLeas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2.本谈判文件中描述供应商的“签字”是指供应商通过指定电子化政府采购平台办理数字证书（CA认证）获得的以供应商法定代表人或者委托代理人姓名制作的电子印章或手写签字。</w:t>
            </w:r>
          </w:p>
          <w:p w14:paraId="7C164E43">
            <w:pPr>
              <w:snapToGrid w:val="0"/>
              <w:spacing w:line="440" w:lineRule="atLeas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6E1CD46B">
            <w:pPr>
              <w:snapToGrid w:val="0"/>
              <w:spacing w:line="440" w:lineRule="atLeas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4.自然人竞标的，谈判文件规定盖公章处由自然人摁手指指印。</w:t>
            </w:r>
          </w:p>
          <w:p w14:paraId="33516CC0">
            <w:pPr>
              <w:snapToGrid w:val="0"/>
              <w:spacing w:line="440" w:lineRule="atLeast"/>
              <w:rPr>
                <w:color w:val="000000" w:themeColor="text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5.本谈判文件所称的“以上”“以下”“以内”“届满”，包括本数；所称的“不满”“超过”“以外”，不包括本数。</w:t>
            </w:r>
          </w:p>
        </w:tc>
      </w:tr>
    </w:tbl>
    <w:p w14:paraId="48A0100C">
      <w:pPr>
        <w:keepNext/>
        <w:keepLines/>
        <w:spacing w:before="260" w:after="260" w:line="420" w:lineRule="exact"/>
        <w:jc w:val="center"/>
        <w:outlineLvl w:val="1"/>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bCs/>
          <w:color w:val="000000" w:themeColor="text1"/>
          <w:sz w:val="32"/>
          <w:szCs w:val="32"/>
          <w:highlight w:val="none"/>
          <w14:textFill>
            <w14:solidFill>
              <w14:schemeClr w14:val="tx1"/>
            </w14:solidFill>
          </w14:textFill>
        </w:rPr>
        <w:br w:type="page"/>
      </w:r>
      <w:bookmarkStart w:id="35" w:name="_Toc30531"/>
      <w:bookmarkStart w:id="36" w:name="_Toc7866"/>
      <w:bookmarkStart w:id="37" w:name="_Toc22337"/>
      <w:bookmarkStart w:id="38" w:name="_Toc28191"/>
      <w:bookmarkStart w:id="39" w:name="_Toc16252"/>
      <w:bookmarkStart w:id="40" w:name="_Toc3769"/>
      <w:bookmarkStart w:id="41" w:name="_Toc31776"/>
      <w:bookmarkStart w:id="42" w:name="_Toc14434"/>
      <w:r>
        <w:rPr>
          <w:rFonts w:hint="eastAsia" w:ascii="宋体" w:hAnsi="宋体"/>
          <w:bCs/>
          <w:color w:val="000000" w:themeColor="text1"/>
          <w:sz w:val="32"/>
          <w:szCs w:val="32"/>
          <w:highlight w:val="none"/>
          <w14:textFill>
            <w14:solidFill>
              <w14:schemeClr w14:val="tx1"/>
            </w14:solidFill>
          </w14:textFill>
        </w:rPr>
        <w:t>第二节 供应商须知正文</w:t>
      </w:r>
      <w:bookmarkEnd w:id="35"/>
      <w:bookmarkEnd w:id="36"/>
      <w:bookmarkEnd w:id="37"/>
      <w:bookmarkEnd w:id="38"/>
      <w:bookmarkEnd w:id="39"/>
      <w:bookmarkEnd w:id="40"/>
      <w:bookmarkEnd w:id="41"/>
      <w:bookmarkEnd w:id="42"/>
    </w:p>
    <w:p w14:paraId="310F113B">
      <w:pPr>
        <w:keepNext/>
        <w:keepLines/>
        <w:spacing w:line="360" w:lineRule="auto"/>
        <w:ind w:firstLine="640" w:firstLineChars="200"/>
        <w:outlineLvl w:val="2"/>
        <w:rPr>
          <w:rFonts w:hint="eastAsia" w:ascii="宋体" w:hAnsi="宋体"/>
          <w:bCs/>
          <w:color w:val="000000" w:themeColor="text1"/>
          <w:sz w:val="32"/>
          <w:szCs w:val="32"/>
          <w:highlight w:val="none"/>
          <w14:textFill>
            <w14:solidFill>
              <w14:schemeClr w14:val="tx1"/>
            </w14:solidFill>
          </w14:textFill>
        </w:rPr>
      </w:pPr>
      <w:bookmarkStart w:id="43" w:name="_Toc21558"/>
      <w:bookmarkStart w:id="44" w:name="_Toc4332"/>
      <w:bookmarkStart w:id="45" w:name="_Toc31068"/>
      <w:bookmarkStart w:id="46" w:name="_Toc13922"/>
      <w:bookmarkStart w:id="47" w:name="_Toc25845"/>
      <w:bookmarkStart w:id="48" w:name="_Toc18651"/>
      <w:bookmarkStart w:id="49" w:name="_Toc15543"/>
      <w:bookmarkStart w:id="50" w:name="_Toc16220"/>
      <w:bookmarkStart w:id="51" w:name="_Toc29400"/>
      <w:r>
        <w:rPr>
          <w:rFonts w:hint="eastAsia" w:ascii="宋体" w:hAnsi="宋体"/>
          <w:bCs/>
          <w:color w:val="000000" w:themeColor="text1"/>
          <w:sz w:val="32"/>
          <w:szCs w:val="32"/>
          <w:highlight w:val="none"/>
          <w14:textFill>
            <w14:solidFill>
              <w14:schemeClr w14:val="tx1"/>
            </w14:solidFill>
          </w14:textFill>
        </w:rPr>
        <w:t>一、总则</w:t>
      </w:r>
      <w:bookmarkEnd w:id="43"/>
      <w:bookmarkEnd w:id="44"/>
      <w:bookmarkEnd w:id="45"/>
      <w:bookmarkEnd w:id="46"/>
      <w:bookmarkEnd w:id="47"/>
      <w:bookmarkEnd w:id="48"/>
      <w:bookmarkEnd w:id="49"/>
      <w:bookmarkEnd w:id="50"/>
      <w:bookmarkEnd w:id="51"/>
    </w:p>
    <w:p w14:paraId="22D36271">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1.适用范围</w:t>
      </w:r>
    </w:p>
    <w:p w14:paraId="5041DDF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17C1960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r>
        <w:rPr>
          <w:rFonts w:hint="eastAsia" w:ascii="宋体" w:hAnsi="宋体" w:cs="宋体"/>
          <w:color w:val="000000" w:themeColor="text1"/>
          <w:spacing w:val="-6"/>
          <w:szCs w:val="21"/>
          <w:highlight w:val="none"/>
          <w14:textFill>
            <w14:solidFill>
              <w14:schemeClr w14:val="tx1"/>
            </w14:solidFill>
          </w14:textFill>
        </w:rPr>
        <w:t>本竞争性谈判文件（以下简称谈判文件）适用于本项目的所有采购程序和环节（法律、法规另有规定的，从其规定）。</w:t>
      </w:r>
    </w:p>
    <w:p w14:paraId="46A2AB30">
      <w:pPr>
        <w:spacing w:line="360" w:lineRule="auto"/>
        <w:ind w:firstLine="482" w:firstLineChars="200"/>
        <w:rPr>
          <w:rFonts w:hint="eastAsia" w:ascii="宋体" w:hAnsi="宋体" w:cs="宋体"/>
          <w:color w:val="000000" w:themeColor="text1"/>
          <w:szCs w:val="21"/>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2.定义</w:t>
      </w:r>
    </w:p>
    <w:p w14:paraId="0D55E49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2.1“采购人”是指依法进行采购的国家机关、事业单位、团体组织。</w:t>
      </w:r>
    </w:p>
    <w:p w14:paraId="7D923486">
      <w:pPr>
        <w:spacing w:line="360" w:lineRule="auto"/>
        <w:ind w:firstLine="420"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2.2“采购代理机构”是指政府采购集中采购机构和集中采购机构以外的采购代理机构。</w:t>
      </w:r>
    </w:p>
    <w:p w14:paraId="5BB267A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2.3“供应商”是指向采购人提供货物、工程或者服务的法人、其他组织或者自然人。</w:t>
      </w:r>
    </w:p>
    <w:p w14:paraId="160F7BC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2.4“工程”是指除货物和服务以外的其他政府采购对象。</w:t>
      </w:r>
    </w:p>
    <w:p w14:paraId="2982DA6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2.5“竞标”是指按照本项目竞争性谈判公告或者邀请函规定的方式供应商获取谈判文件、提交响应文件并希望获得标的的行为。</w:t>
      </w:r>
    </w:p>
    <w:p w14:paraId="09D522A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2.6“响应文件”是指：供应商根据本谈判文件要求，编制包含资格证明、报价、商务技术等所有内容的文件。</w:t>
      </w:r>
    </w:p>
    <w:p w14:paraId="44D3327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2.7“书面形式”是指合同书、信件和数据电文（包括电报、电传、传真、电子数据交换和电子邮件）等可以有形地表现所载内容的形式。</w:t>
      </w:r>
    </w:p>
    <w:p w14:paraId="48FEC09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 “实质性要求”是指谈判文件中已经指明不满足则响应文件按无效响应处理的条款，或者不能负偏离的条款，或者采购需求中带“▲”的条款。</w:t>
      </w:r>
    </w:p>
    <w:p w14:paraId="0691622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2.9“正偏离”，是指响应文件对谈判文件“采购需求”中有关条款作出优于条款要求并有利于采购人的响应情形；</w:t>
      </w:r>
    </w:p>
    <w:p w14:paraId="7E6D039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2.10“负偏离”，是指响应文件对谈判文件“采购需求”中有关条款作出的响应不满足条款要求，导致采购人要求不能得到满足的情形。</w:t>
      </w:r>
    </w:p>
    <w:p w14:paraId="48A3463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2.11“允许负偏离的条款”是指采购需求中的不属于“实质性要求”的条款。</w:t>
      </w:r>
    </w:p>
    <w:p w14:paraId="5A7DDA4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2.12“首次报价”是指供应商提交的首次响应文件中的竞标报价。</w:t>
      </w:r>
    </w:p>
    <w:p w14:paraId="6633F4F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2.13“评审报价”是指供应商提交的最后报价并经修正（如有）和政策功能价格扣除（如有）后的价格。</w:t>
      </w:r>
    </w:p>
    <w:p w14:paraId="668A4AD9">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3.供应商的资格条件</w:t>
      </w:r>
    </w:p>
    <w:p w14:paraId="32B21AB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供应商的资格条件详见“供应商须知前附表”。</w:t>
      </w:r>
    </w:p>
    <w:p w14:paraId="17B3B1BA">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4.谈判费用</w:t>
      </w:r>
    </w:p>
    <w:p w14:paraId="25C82CA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供应商应承担参与本次采购活动有关的所有费用，包括但不限于、勘查现场、编制和提交响应文件、参加谈判与应答、签订合同等，不论竞标结果如何，均应自行承担。</w:t>
      </w:r>
    </w:p>
    <w:p w14:paraId="186D6F2D">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5.联合体竞标</w:t>
      </w:r>
    </w:p>
    <w:p w14:paraId="60E3D66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5.1本项目是否接受联合体竞标，详见“供应商须知前附表”。</w:t>
      </w:r>
    </w:p>
    <w:p w14:paraId="00DFE06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w:t>
      </w:r>
      <w:r>
        <w:rPr>
          <w:rFonts w:hint="eastAsia" w:ascii="宋体" w:hAnsi="宋体"/>
          <w:color w:val="000000" w:themeColor="text1"/>
          <w:highlight w:val="none"/>
          <w14:textFill>
            <w14:solidFill>
              <w14:schemeClr w14:val="tx1"/>
            </w14:solidFill>
          </w14:textFill>
        </w:rPr>
        <w:t>如接受联合体竞标，</w:t>
      </w:r>
      <w:r>
        <w:rPr>
          <w:rFonts w:hint="eastAsia" w:ascii="宋体" w:hAnsi="宋体" w:cs="宋体"/>
          <w:color w:val="000000" w:themeColor="text1"/>
          <w:szCs w:val="21"/>
          <w:highlight w:val="none"/>
          <w14:textFill>
            <w14:solidFill>
              <w14:schemeClr w14:val="tx1"/>
            </w14:solidFill>
          </w14:textFill>
        </w:rPr>
        <w:t>联合体竞标要求详见“供应商须知前附表”。</w:t>
      </w:r>
    </w:p>
    <w:p w14:paraId="70BF0391">
      <w:pPr>
        <w:spacing w:line="360" w:lineRule="auto"/>
        <w:ind w:firstLine="420"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5.3</w:t>
      </w:r>
      <w:r>
        <w:rPr>
          <w:rFonts w:hint="eastAsia" w:ascii="宋体" w:hAnsi="宋体"/>
          <w:bCs/>
          <w:color w:val="000000" w:themeColor="text1"/>
          <w:szCs w:val="21"/>
          <w:highlight w:val="none"/>
          <w14:textFill>
            <w14:solidFill>
              <w14:schemeClr w14:val="tx1"/>
            </w14:solidFill>
          </w14:textFill>
        </w:rPr>
        <w:t>根据《政府采购促进中小企业发展管理办法》（财库[2020]46号）第九条及</w:t>
      </w:r>
      <w:r>
        <w:rPr>
          <w:rFonts w:hint="eastAsia"/>
          <w:color w:val="000000" w:themeColor="text1"/>
          <w:highlight w:val="none"/>
          <w14:textFill>
            <w14:solidFill>
              <w14:schemeClr w14:val="tx1"/>
            </w14:solidFill>
          </w14:textFill>
        </w:rPr>
        <w:t>《广西壮族自治区财政厅关于持续优化政府采购营商环境推动高质量发展的通知</w:t>
      </w:r>
      <w:r>
        <w:rPr>
          <w:rFonts w:hint="eastAsia" w:ascii="宋体" w:hAnsi="宋体" w:cs="宋体"/>
          <w:color w:val="000000" w:themeColor="text1"/>
          <w:highlight w:val="none"/>
          <w14:textFill>
            <w14:solidFill>
              <w14:schemeClr w14:val="tx1"/>
            </w14:solidFill>
          </w14:textFill>
        </w:rPr>
        <w:t>》（桂财采〔2024〕55号）</w:t>
      </w:r>
      <w:r>
        <w:rPr>
          <w:rFonts w:hint="eastAsia" w:ascii="宋体" w:hAnsi="宋体" w:cs="宋体"/>
          <w:bCs/>
          <w:color w:val="000000" w:themeColor="text1"/>
          <w:szCs w:val="21"/>
          <w:highlight w:val="none"/>
          <w14:textFill>
            <w14:solidFill>
              <w14:schemeClr w14:val="tx1"/>
            </w14:solidFill>
          </w14:textFill>
        </w:rPr>
        <w:t>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r>
        <w:rPr>
          <w:rFonts w:hint="eastAsia" w:ascii="宋体" w:hAnsi="宋体" w:cs="宋体"/>
          <w:b/>
          <w:color w:val="000000" w:themeColor="text1"/>
          <w:szCs w:val="21"/>
          <w:highlight w:val="none"/>
          <w14:textFill>
            <w14:solidFill>
              <w14:schemeClr w14:val="tx1"/>
            </w14:solidFill>
          </w14:textFill>
        </w:rPr>
        <w:t>专门面向中小企业采购的项目（供应商应为中小企业、监狱企业、残疾人福利性单位)，不再执行价格评审优惠的扶持政策。</w:t>
      </w:r>
    </w:p>
    <w:p w14:paraId="02F0C8CB">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 xml:space="preserve">6.转包与分包             </w:t>
      </w:r>
    </w:p>
    <w:p w14:paraId="30A1588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6.1本项目是否允许分包详见“供应商须知前附表”，本项目不允许违法分包。</w:t>
      </w:r>
    </w:p>
    <w:p w14:paraId="2533EAB5">
      <w:pPr>
        <w:spacing w:line="360" w:lineRule="auto"/>
        <w:ind w:firstLine="420"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w:t>
      </w:r>
      <w:r>
        <w:rPr>
          <w:rFonts w:hint="eastAsia" w:ascii="宋体" w:hAnsi="宋体"/>
          <w:bCs/>
          <w:color w:val="000000" w:themeColor="text1"/>
          <w:szCs w:val="21"/>
          <w:highlight w:val="none"/>
          <w14:textFill>
            <w14:solidFill>
              <w14:schemeClr w14:val="tx1"/>
            </w14:solidFill>
          </w14:textFill>
        </w:rPr>
        <w:t>根据《政府采购促进中小企业发</w:t>
      </w:r>
      <w:r>
        <w:rPr>
          <w:rFonts w:hint="eastAsia" w:ascii="宋体" w:hAnsi="宋体" w:cs="宋体"/>
          <w:bCs/>
          <w:color w:val="000000" w:themeColor="text1"/>
          <w:szCs w:val="21"/>
          <w:highlight w:val="none"/>
          <w14:textFill>
            <w14:solidFill>
              <w14:schemeClr w14:val="tx1"/>
            </w14:solidFill>
          </w14:textFill>
        </w:rPr>
        <w:t>展</w:t>
      </w:r>
      <w:r>
        <w:rPr>
          <w:rFonts w:hint="eastAsia" w:ascii="宋体" w:hAnsi="宋体" w:cs="宋体"/>
          <w:color w:val="000000" w:themeColor="text1"/>
          <w:highlight w:val="none"/>
          <w14:textFill>
            <w14:solidFill>
              <w14:schemeClr w14:val="tx1"/>
            </w14:solidFill>
          </w14:textFill>
        </w:rPr>
        <w:t>管理</w:t>
      </w:r>
      <w:r>
        <w:rPr>
          <w:rFonts w:hint="eastAsia" w:ascii="宋体" w:hAnsi="宋体" w:cs="宋体"/>
          <w:bCs/>
          <w:color w:val="000000" w:themeColor="text1"/>
          <w:szCs w:val="21"/>
          <w:highlight w:val="none"/>
          <w14:textFill>
            <w14:solidFill>
              <w14:schemeClr w14:val="tx1"/>
            </w14:solidFill>
          </w14:textFill>
        </w:rPr>
        <w:t>办法》（财库[2020]46号）第九条及</w:t>
      </w:r>
      <w:r>
        <w:rPr>
          <w:rFonts w:hint="eastAsia"/>
          <w:color w:val="000000" w:themeColor="text1"/>
          <w:highlight w:val="none"/>
          <w14:textFill>
            <w14:solidFill>
              <w14:schemeClr w14:val="tx1"/>
            </w14:solidFill>
          </w14:textFill>
        </w:rPr>
        <w:t>《广西壮族自治区财政厅关于持续优化政府采购营商环境推动高质量发展的通知</w:t>
      </w:r>
      <w:r>
        <w:rPr>
          <w:rFonts w:hint="eastAsia" w:ascii="宋体" w:hAnsi="宋体" w:cs="宋体"/>
          <w:color w:val="000000" w:themeColor="text1"/>
          <w:highlight w:val="none"/>
          <w14:textFill>
            <w14:solidFill>
              <w14:schemeClr w14:val="tx1"/>
            </w14:solidFill>
          </w14:textFill>
        </w:rPr>
        <w:t>》（桂财采〔2024〕55号）</w:t>
      </w:r>
      <w:r>
        <w:rPr>
          <w:rFonts w:hint="eastAsia" w:ascii="宋体" w:hAnsi="宋体" w:cs="宋体"/>
          <w:bCs/>
          <w:color w:val="000000" w:themeColor="text1"/>
          <w:szCs w:val="21"/>
          <w:highlight w:val="none"/>
          <w14:textFill>
            <w14:solidFill>
              <w14:schemeClr w14:val="tx1"/>
            </w14:solidFill>
          </w14:textFill>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r>
        <w:rPr>
          <w:rFonts w:hint="eastAsia" w:ascii="宋体" w:hAnsi="宋体" w:cs="宋体"/>
          <w:b/>
          <w:color w:val="000000" w:themeColor="text1"/>
          <w:szCs w:val="21"/>
          <w:highlight w:val="none"/>
          <w14:textFill>
            <w14:solidFill>
              <w14:schemeClr w14:val="tx1"/>
            </w14:solidFill>
          </w14:textFill>
        </w:rPr>
        <w:t>专门面向中小企业采购的项目（供应商应为中小企业、监狱企业、残疾人福利性单位)，不再执行价格评审优惠的扶持政策。</w:t>
      </w:r>
    </w:p>
    <w:p w14:paraId="27008862">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7.特别说明</w:t>
      </w:r>
    </w:p>
    <w:p w14:paraId="66D3379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7.1如果本谈判文件要求提供供应商或制造商的资格、信誉、荣誉、业绩与企业认证等材料的，资格、信誉、荣誉、业绩与企业认证等必须为供应商或者制造商所拥有或自身获得。</w:t>
      </w:r>
    </w:p>
    <w:p w14:paraId="4042E71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7.2供应商应仔细阅读谈判文件的所有内容，按照谈判文件的要求提交响应文件，并对所提供的全部资料的真实性承担法律责任。</w:t>
      </w:r>
    </w:p>
    <w:p w14:paraId="248E7B7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7.3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3F380C7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7.4在政府采购活动中，采购人员及相关人员与供应商有下列利害关系之一的，应当回避：</w:t>
      </w:r>
    </w:p>
    <w:p w14:paraId="5E504C3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（1）参加采购活动前3年内与供应商存在劳动关系；</w:t>
      </w:r>
    </w:p>
    <w:p w14:paraId="360B471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（2）参加采购活动前3年内担任供应商的董事、监事；</w:t>
      </w:r>
    </w:p>
    <w:p w14:paraId="29C8E52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（3）参加采购活动前3年内是供应商的控股股东或者实际控制人；</w:t>
      </w:r>
    </w:p>
    <w:p w14:paraId="14590CA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（4）与供应商的法定代表人或者负责人有夫妻、直系血亲、三代以内旁系血亲或者近姻亲关系；</w:t>
      </w:r>
    </w:p>
    <w:p w14:paraId="35B1B7A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（5）与供应商有其他可能影响政府采购活动公平、公正进行的关系。</w:t>
      </w:r>
    </w:p>
    <w:p w14:paraId="452ACBF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2407A2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7.5有下列情形之一的视为供应商相互串通竞标，响应文件将被视为无效：</w:t>
      </w:r>
    </w:p>
    <w:p w14:paraId="3F72D57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（1）不同供应商的响应文件由同一单位或者个人编制；或者不同供应商报名的IP地址一致的；或者编制响应文件硬件设备CPU编号、硬盘编号、网卡地址一致的情况。</w:t>
      </w:r>
    </w:p>
    <w:p w14:paraId="694D468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（2）不同供应商委托同一单位或者个人办理竞标事宜；</w:t>
      </w:r>
    </w:p>
    <w:p w14:paraId="773832B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（3）不同的供应商的响应文件载明的项目管理员为同一个人；</w:t>
      </w:r>
    </w:p>
    <w:p w14:paraId="3C56CEC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（4）不同供应商的响应文件异常一致或者报价呈规律性差异；</w:t>
      </w:r>
    </w:p>
    <w:p w14:paraId="4DD5E3E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（5）不同供应商的响应文件相互混装；</w:t>
      </w:r>
    </w:p>
    <w:p w14:paraId="059E34A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（6）不同供应商的竞标保证金从同一单位或者个人账户转出。</w:t>
      </w:r>
    </w:p>
    <w:p w14:paraId="6E883CA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7.6供应商有下列情形之一的，属于恶意串通行为，将报同级监督管理部门：</w:t>
      </w:r>
    </w:p>
    <w:p w14:paraId="0CF5869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w:t>
      </w:r>
    </w:p>
    <w:p w14:paraId="4855D29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（2）供应商按照采购人或者采购代理机构的授意撤换、修改响应文件；</w:t>
      </w:r>
    </w:p>
    <w:p w14:paraId="05AC570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（3）供应商之间协商报价、技术方案等响应文件或者响应文件的实质性内容；</w:t>
      </w:r>
    </w:p>
    <w:p w14:paraId="5BCFA5D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4C13D32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（5）供应商之间事先约定一致抬高或者压低报价,或者在政府采购活动中事先约定轮流以高价位或者低价位成交,或者事先约定由某一特定供应商成交,然后再参加竞标；</w:t>
      </w:r>
    </w:p>
    <w:p w14:paraId="5CFB172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（6）供应商之间商定部分供应商放弃参加政府采购活动或者放弃成交；</w:t>
      </w:r>
    </w:p>
    <w:p w14:paraId="262709C4">
      <w:pPr>
        <w:spacing w:line="360" w:lineRule="auto"/>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7</w:t>
      </w:r>
      <w:r>
        <w:rPr>
          <w:rFonts w:hint="eastAsia"/>
          <w:color w:val="000000" w:themeColor="text1"/>
          <w:highlight w:val="none"/>
          <w14:textFill>
            <w14:solidFill>
              <w14:schemeClr w14:val="tx1"/>
            </w14:solidFill>
          </w14:textFill>
        </w:rPr>
        <w:t>）供应商与采购人或者采购代理机构之间、供应商相互之间，为谋求特定供应商成交或者排斥其他供应商的其他串通行为。</w:t>
      </w:r>
    </w:p>
    <w:p w14:paraId="2A040DB6">
      <w:pPr>
        <w:keepNext/>
        <w:keepLines/>
        <w:spacing w:line="360" w:lineRule="auto"/>
        <w:ind w:firstLine="640" w:firstLineChars="200"/>
        <w:outlineLvl w:val="2"/>
        <w:rPr>
          <w:rFonts w:ascii="宋体" w:hAnsi="宋体"/>
          <w:color w:val="000000" w:themeColor="text1"/>
          <w:sz w:val="32"/>
          <w:szCs w:val="32"/>
          <w:highlight w:val="none"/>
          <w14:textFill>
            <w14:solidFill>
              <w14:schemeClr w14:val="tx1"/>
            </w14:solidFill>
          </w14:textFill>
        </w:rPr>
      </w:pPr>
      <w:bookmarkStart w:id="52" w:name="_Toc14978"/>
      <w:bookmarkStart w:id="53" w:name="_Toc26823"/>
      <w:bookmarkStart w:id="54" w:name="_Toc26127"/>
      <w:bookmarkStart w:id="55" w:name="_Toc15722"/>
      <w:bookmarkStart w:id="56" w:name="_Toc5687"/>
      <w:bookmarkStart w:id="57" w:name="_Toc27640"/>
      <w:bookmarkStart w:id="58" w:name="_Toc8641"/>
      <w:bookmarkStart w:id="59" w:name="_Toc4529"/>
      <w:bookmarkStart w:id="60" w:name="_Toc2745"/>
      <w:r>
        <w:rPr>
          <w:rFonts w:hint="eastAsia" w:ascii="宋体" w:hAnsi="宋体"/>
          <w:color w:val="000000" w:themeColor="text1"/>
          <w:sz w:val="32"/>
          <w:szCs w:val="32"/>
          <w:highlight w:val="none"/>
          <w14:textFill>
            <w14:solidFill>
              <w14:schemeClr w14:val="tx1"/>
            </w14:solidFill>
          </w14:textFill>
        </w:rPr>
        <w:t>二、谈判文件</w:t>
      </w:r>
      <w:bookmarkEnd w:id="52"/>
      <w:bookmarkEnd w:id="53"/>
      <w:bookmarkEnd w:id="54"/>
      <w:bookmarkEnd w:id="55"/>
      <w:bookmarkEnd w:id="56"/>
      <w:bookmarkEnd w:id="57"/>
      <w:bookmarkEnd w:id="58"/>
      <w:bookmarkEnd w:id="59"/>
      <w:bookmarkEnd w:id="60"/>
    </w:p>
    <w:p w14:paraId="113DAE1E">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8.谈判文件的构成</w:t>
      </w:r>
    </w:p>
    <w:p w14:paraId="5352D3C5">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第一章 竞争性谈判公告；</w:t>
      </w:r>
    </w:p>
    <w:p w14:paraId="7500149A">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第二章 采购需求；</w:t>
      </w:r>
    </w:p>
    <w:p w14:paraId="5817E1FF">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第三章 供应商须知； </w:t>
      </w:r>
    </w:p>
    <w:p w14:paraId="402B994F">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第四章 评审程序、评审方法和成交标准；</w:t>
      </w:r>
    </w:p>
    <w:p w14:paraId="793408DA">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第五章 响应文件格式；</w:t>
      </w:r>
    </w:p>
    <w:p w14:paraId="74B3C98B">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第六章 合同文本；</w:t>
      </w:r>
    </w:p>
    <w:p w14:paraId="7C958FD6">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第七章 质疑、投诉材料格式。</w:t>
      </w:r>
    </w:p>
    <w:p w14:paraId="09BB019A">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9.供应商的询问</w:t>
      </w:r>
    </w:p>
    <w:p w14:paraId="3454D6C4">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供应商应认真阅读谈判文件的采购需求，如供应商对谈判文件有疑问的，如要求采购人作出澄清或者修改的，供应商尽应在提交首次响应文件截止之日前，以书面形式向采购人、采购代理机构提出。</w:t>
      </w:r>
    </w:p>
    <w:p w14:paraId="4CD86AAC">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10.谈判文件的澄清和修改</w:t>
      </w:r>
    </w:p>
    <w:p w14:paraId="222608F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10.1已获取谈判文件的潜在供应商，若有问题需要澄清，应于应标截止时间前，以书面形式向采购代理机构提出，采购代理机构与采购人研究后，对认为有必要回答的问题，按照本章10.3的内容处理。</w:t>
      </w:r>
    </w:p>
    <w:p w14:paraId="59088A5C">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109DA98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获取谈判文件的供应商，不足3个工作日的，应当顺延提交首次响应文件截止之日。</w:t>
      </w:r>
    </w:p>
    <w:p w14:paraId="112C2FF4">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10.4</w:t>
      </w:r>
      <w:r>
        <w:rPr>
          <w:rFonts w:hint="eastAsia" w:ascii="Arial" w:hAnsi="Arial" w:cs="Arial"/>
          <w:color w:val="000000" w:themeColor="text1"/>
          <w:highlight w:val="none"/>
          <w:shd w:val="clear" w:color="auto" w:fill="FFFFFF"/>
          <w14:textFill>
            <w14:solidFill>
              <w14:schemeClr w14:val="tx1"/>
            </w14:solidFill>
          </w14:textFill>
        </w:rPr>
        <w:t>采购信息更正公告的内容应当包括采购人和采购代理机构名称、地址、联系方式，原公告的采购项目名称及首次公告日期，更正事项、内容及日期，采购项目联系人和电话。</w:t>
      </w:r>
    </w:p>
    <w:p w14:paraId="6F0ADC4A">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10.5采购人和采购代理机构可以视采购具体情况，变更提交首次响应文件截止时间和竞谈时间，将变更时间将在“采购文件公告”中“七、其他补充事宜3.网上查询地址”规定的政府采购信息发布媒体上发布更正公告。</w:t>
      </w:r>
    </w:p>
    <w:p w14:paraId="585C0645">
      <w:pPr>
        <w:spacing w:line="360" w:lineRule="auto"/>
        <w:ind w:firstLine="400" w:firstLineChars="200"/>
        <w:rPr>
          <w:rFonts w:ascii="宋体" w:hAnsi="Courier New"/>
          <w:color w:val="000000" w:themeColor="text1"/>
          <w:kern w:val="0"/>
          <w:sz w:val="20"/>
          <w:szCs w:val="21"/>
          <w:highlight w:val="none"/>
          <w14:textFill>
            <w14:solidFill>
              <w14:schemeClr w14:val="tx1"/>
            </w14:solidFill>
          </w14:textFill>
        </w:rPr>
      </w:pPr>
      <w:r>
        <w:rPr>
          <w:rFonts w:hint="eastAsia" w:ascii="宋体" w:hAnsi="Courier New"/>
          <w:color w:val="000000" w:themeColor="text1"/>
          <w:kern w:val="0"/>
          <w:sz w:val="20"/>
          <w:szCs w:val="21"/>
          <w:highlight w:val="none"/>
          <w14:textFill>
            <w14:solidFill>
              <w14:schemeClr w14:val="tx1"/>
            </w14:solidFill>
          </w14:textFill>
        </w:rPr>
        <w:t>▲</w:t>
      </w:r>
      <w:r>
        <w:rPr>
          <w:rFonts w:hint="eastAsia" w:ascii="宋体" w:hAnsi="Courier New"/>
          <w:b/>
          <w:color w:val="000000" w:themeColor="text1"/>
          <w:kern w:val="0"/>
          <w:sz w:val="20"/>
          <w:szCs w:val="21"/>
          <w:highlight w:val="none"/>
          <w14:textFill>
            <w14:solidFill>
              <w14:schemeClr w14:val="tx1"/>
            </w14:solidFill>
          </w14:textFill>
        </w:rPr>
        <w:t>响应文件未按谈判文件的澄清、修改的内容编制，又不符合实质性要求的，其响应文件作无效处理。</w:t>
      </w:r>
    </w:p>
    <w:p w14:paraId="6885DB71">
      <w:pPr>
        <w:keepNext/>
        <w:keepLines/>
        <w:spacing w:line="360" w:lineRule="auto"/>
        <w:ind w:firstLine="640" w:firstLineChars="200"/>
        <w:outlineLvl w:val="2"/>
        <w:rPr>
          <w:rFonts w:hint="eastAsia" w:ascii="宋体" w:hAnsi="宋体"/>
          <w:color w:val="000000" w:themeColor="text1"/>
          <w:sz w:val="32"/>
          <w:szCs w:val="32"/>
          <w:highlight w:val="none"/>
          <w14:textFill>
            <w14:solidFill>
              <w14:schemeClr w14:val="tx1"/>
            </w14:solidFill>
          </w14:textFill>
        </w:rPr>
      </w:pPr>
      <w:bookmarkStart w:id="61" w:name="_Toc15009"/>
      <w:bookmarkStart w:id="62" w:name="_Toc13243"/>
      <w:bookmarkStart w:id="63" w:name="_Toc24310"/>
      <w:bookmarkStart w:id="64" w:name="_Toc6669"/>
      <w:bookmarkStart w:id="65" w:name="_Toc19178"/>
      <w:bookmarkStart w:id="66" w:name="_Toc6770"/>
      <w:bookmarkStart w:id="67" w:name="_Toc4523"/>
      <w:bookmarkStart w:id="68" w:name="_Toc32482"/>
      <w:bookmarkStart w:id="69" w:name="_Toc8824"/>
      <w:r>
        <w:rPr>
          <w:rFonts w:hint="eastAsia" w:ascii="宋体" w:hAnsi="宋体"/>
          <w:color w:val="000000" w:themeColor="text1"/>
          <w:sz w:val="32"/>
          <w:szCs w:val="32"/>
          <w:highlight w:val="none"/>
          <w14:textFill>
            <w14:solidFill>
              <w14:schemeClr w14:val="tx1"/>
            </w14:solidFill>
          </w14:textFill>
        </w:rPr>
        <w:t>三、响应文件的编制</w:t>
      </w:r>
      <w:bookmarkEnd w:id="61"/>
      <w:bookmarkEnd w:id="62"/>
      <w:bookmarkEnd w:id="63"/>
      <w:bookmarkEnd w:id="64"/>
      <w:bookmarkEnd w:id="65"/>
      <w:bookmarkEnd w:id="66"/>
      <w:bookmarkEnd w:id="67"/>
      <w:bookmarkEnd w:id="68"/>
      <w:bookmarkEnd w:id="69"/>
    </w:p>
    <w:p w14:paraId="1DE00C37">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11.响应文件的编制原则</w:t>
      </w:r>
    </w:p>
    <w:p w14:paraId="6B81A85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供应商必须按照谈判文件的要求编制响应文件，并对其提交的响应文件的真实性、合法性承担法律责任。响应文件必须对谈判文件作出实质性响应。</w:t>
      </w:r>
    </w:p>
    <w:p w14:paraId="0C6C13B6">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12.响应文件的组成</w:t>
      </w:r>
    </w:p>
    <w:p w14:paraId="3778224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12.1响应文件由资格证明文件、报价文件、商务和技术文件三部分组成。</w:t>
      </w:r>
    </w:p>
    <w:p w14:paraId="6AEB5331">
      <w:pPr>
        <w:spacing w:line="360" w:lineRule="auto"/>
        <w:ind w:left="420" w:leftChars="20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12.1.1资格证明文件：详见须知前附表</w:t>
      </w:r>
    </w:p>
    <w:p w14:paraId="1DA000A7">
      <w:pPr>
        <w:spacing w:line="360" w:lineRule="auto"/>
        <w:ind w:left="420" w:leftChars="20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12.1.2商务技术文件：详见须知前附表</w:t>
      </w:r>
    </w:p>
    <w:p w14:paraId="494D9969">
      <w:pPr>
        <w:spacing w:line="360" w:lineRule="auto"/>
        <w:ind w:left="420" w:leftChars="20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12.1.3报价文件：详见须知前附表</w:t>
      </w:r>
    </w:p>
    <w:p w14:paraId="5DB945BC">
      <w:pPr>
        <w:spacing w:line="360" w:lineRule="auto"/>
        <w:ind w:left="420" w:leftChars="20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12.2响应文件电子版：详见须知前附表</w:t>
      </w:r>
    </w:p>
    <w:p w14:paraId="2266EA43">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13.计量单位</w:t>
      </w:r>
    </w:p>
    <w:p w14:paraId="1EB797C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谈判文件已有明确规定的，使用谈判文件规定的计量单位；谈判文件没有规定的，应采用中华人民共和国法定计量单位，货币种类为人民币，否则视同未响应。</w:t>
      </w:r>
    </w:p>
    <w:p w14:paraId="2B6BCC3F">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14.竞标的风险</w:t>
      </w:r>
    </w:p>
    <w:p w14:paraId="3226381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供应商没有按照谈判文件要求提供全部资料，或者供应商没有对谈判文件在各方面作出实质性响应可能导致其响应无效，是供应商应当考虑的风险。</w:t>
      </w:r>
    </w:p>
    <w:p w14:paraId="5DBEBAB0">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15.响应报价要求和构成</w:t>
      </w:r>
    </w:p>
    <w:p w14:paraId="0FFEE49B">
      <w:pPr>
        <w:tabs>
          <w:tab w:val="left" w:pos="2492"/>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15.1响应报价应按“第五章 响应文件格式”中“响应报价表、已标价工程量清单”格式填写。</w:t>
      </w:r>
    </w:p>
    <w:p w14:paraId="1D6DB832">
      <w:pPr>
        <w:tabs>
          <w:tab w:val="left" w:pos="2492"/>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15.2响应报价的价格构成见“供应商须知前附表”。</w:t>
      </w:r>
    </w:p>
    <w:p w14:paraId="1BAA74D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15.3响应报价要求</w:t>
      </w:r>
    </w:p>
    <w:p w14:paraId="1A3C9A4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15.3.1供应商的响应报价应符合以下要求，否则响应文件按无效响应处理：</w:t>
      </w:r>
    </w:p>
    <w:p w14:paraId="47CE3A37">
      <w:pPr>
        <w:spacing w:line="360" w:lineRule="auto"/>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（1）供应商必须就“采购需求”中所竞标的每个分标的全部内容分别作完整唯一总价报价，不得存在漏项报价；</w:t>
      </w:r>
    </w:p>
    <w:p w14:paraId="1A48F1C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（2）供应商必须就所竞标的分标的单项内容作唯一报价。</w:t>
      </w:r>
    </w:p>
    <w:p w14:paraId="5F6E256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15.3.2响应报价（包含首次报价、最后报价）超过所竞标分标规定的采购预算金额或者最高限价的，其响应文件将作无效处理。</w:t>
      </w:r>
    </w:p>
    <w:p w14:paraId="71324E5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15.3.3响应报价（包含首次报价、最后报价）超过分项采购预算金额或者最高限价的，其响应文件将作无效处理。</w:t>
      </w:r>
    </w:p>
    <w:p w14:paraId="27C70892">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16.竞标有效期</w:t>
      </w:r>
    </w:p>
    <w:p w14:paraId="4A453A0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16.1竞标有效期是指为保证采购人有足够的时间在提交响应文件后完成评审、确定成交供应商、合同签订等工作而要求供应商提交的响应文件在一定时间内保持有效的期限。</w:t>
      </w:r>
    </w:p>
    <w:p w14:paraId="0262541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 竞标有效期应由供应商按“供应商须知前附表”规定的期限作出响应。</w:t>
      </w:r>
    </w:p>
    <w:p w14:paraId="72F3541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16.3供应商的响应文件在竞标有效期内均保持有效。</w:t>
      </w:r>
    </w:p>
    <w:p w14:paraId="5F38C0C6">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17.谈判保证金</w:t>
      </w:r>
    </w:p>
    <w:p w14:paraId="149DF2F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详见“供应商须知前附表”。</w:t>
      </w:r>
    </w:p>
    <w:p w14:paraId="5046E9D8">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18.响应文件编制的要求</w:t>
      </w:r>
    </w:p>
    <w:p w14:paraId="6847616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cs="宋体"/>
          <w:color w:val="000000" w:themeColor="text1"/>
          <w:highlight w:val="none"/>
          <w14:textFill>
            <w14:solidFill>
              <w14:schemeClr w14:val="tx1"/>
            </w14:solidFill>
          </w14:textFill>
        </w:rPr>
        <w:t>由此引发的</w:t>
      </w:r>
      <w:r>
        <w:rPr>
          <w:rFonts w:hint="eastAsia" w:ascii="宋体" w:hAnsi="宋体" w:cs="宋体"/>
          <w:color w:val="000000" w:themeColor="text1"/>
          <w:szCs w:val="21"/>
          <w:highlight w:val="none"/>
          <w14:textFill>
            <w14:solidFill>
              <w14:schemeClr w14:val="tx1"/>
            </w14:solidFill>
          </w14:textFill>
        </w:rPr>
        <w:t>后果由供应商承担。</w:t>
      </w:r>
    </w:p>
    <w:p w14:paraId="4BFF290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18.2响应文件应按资格证明、报价分别编制，商务技术文件合并编制，本谈判只接收电子版响应文件，要求见本章“12.2响应文件电子版要求”。</w:t>
      </w:r>
    </w:p>
    <w:p w14:paraId="4D08744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18.3</w:t>
      </w:r>
      <w:r>
        <w:rPr>
          <w:rFonts w:hint="eastAsia" w:ascii="宋体" w:hAnsi="宋体"/>
          <w:color w:val="000000" w:themeColor="text1"/>
          <w:szCs w:val="21"/>
          <w:highlight w:val="none"/>
          <w14:textFill>
            <w14:solidFill>
              <w14:schemeClr w14:val="tx1"/>
            </w14:solidFill>
          </w14:textFill>
        </w:rPr>
        <w:t>响应文件须由供应商在</w:t>
      </w:r>
      <w:r>
        <w:rPr>
          <w:rFonts w:hint="eastAsia" w:ascii="宋体" w:hAnsi="宋体" w:cs="仿宋_GB2312"/>
          <w:color w:val="000000" w:themeColor="text1"/>
          <w:kern w:val="0"/>
          <w:szCs w:val="21"/>
          <w:highlight w:val="none"/>
          <w:lang w:val="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第五章 响应文件格式</w:t>
      </w:r>
      <w:r>
        <w:rPr>
          <w:rFonts w:hint="eastAsia" w:ascii="宋体" w:hAnsi="宋体" w:cs="仿宋_GB2312"/>
          <w:color w:val="000000" w:themeColor="text1"/>
          <w:kern w:val="0"/>
          <w:szCs w:val="21"/>
          <w:highlight w:val="none"/>
          <w:lang w:val="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规定位置</w:t>
      </w:r>
      <w:r>
        <w:rPr>
          <w:rFonts w:hint="eastAsia" w:ascii="宋体" w:hAnsi="宋体" w:cs="仿宋_GB2312"/>
          <w:color w:val="000000" w:themeColor="text1"/>
          <w:szCs w:val="21"/>
          <w:highlight w:val="none"/>
          <w14:textFill>
            <w14:solidFill>
              <w14:schemeClr w14:val="tx1"/>
            </w14:solidFill>
          </w14:textFill>
        </w:rPr>
        <w:t>进行签署、盖章</w:t>
      </w:r>
      <w:r>
        <w:rPr>
          <w:rFonts w:hint="eastAsia" w:ascii="宋体" w:hAnsi="宋体" w:cs="宋体"/>
          <w:color w:val="000000" w:themeColor="text1"/>
          <w:szCs w:val="21"/>
          <w:highlight w:val="none"/>
          <w14:textFill>
            <w14:solidFill>
              <w14:schemeClr w14:val="tx1"/>
            </w14:solidFill>
          </w14:textFill>
        </w:rPr>
        <w:t>，否则其响应文件按无效响应处理。骑缝盖公章不视为在规定位置盖章。</w:t>
      </w:r>
    </w:p>
    <w:p w14:paraId="34DDCD3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18.4响应文件中标注的供应商名称应与营业执照（事业单位法人证书、执业许可证、自然人身份证）及电子公章一致，否则其响应文件按无效响应处理。</w:t>
      </w:r>
    </w:p>
    <w:p w14:paraId="63A5D71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18.5响应文件应避免涂改、行间插字或者删除，否则其响应文件按无效响应处理。</w:t>
      </w:r>
    </w:p>
    <w:p w14:paraId="3EA0FCA8">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19.响应文件的密封和标记</w:t>
      </w:r>
    </w:p>
    <w:p w14:paraId="42529AEE">
      <w:pPr>
        <w:spacing w:line="360" w:lineRule="auto"/>
        <w:ind w:firstLine="420" w:firstLineChars="200"/>
        <w:rPr>
          <w:rFonts w:hint="eastAsia" w:ascii="宋体" w:hAnsi="宋体" w:cs="仿宋_GB2312"/>
          <w:color w:val="000000" w:themeColor="text1"/>
          <w:kern w:val="0"/>
          <w:szCs w:val="21"/>
          <w:highlight w:val="none"/>
          <w:lang w:val="zh-CN"/>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19.1供应商进行电子交易应安装客户端软件—“政采云电子交易客户端”，并按照谈判文件和电子交易平台的要求编制并加密响应文件。供应商未按规定加密的响应文件，电子交易平台将拒收并提示。</w:t>
      </w:r>
    </w:p>
    <w:p w14:paraId="2D19FE4A">
      <w:pPr>
        <w:spacing w:line="360" w:lineRule="auto"/>
        <w:ind w:firstLine="420" w:firstLineChars="200"/>
        <w:rPr>
          <w:rFonts w:hint="eastAsia" w:ascii="宋体" w:hAnsi="宋体" w:cs="仿宋_GB2312"/>
          <w:color w:val="000000" w:themeColor="text1"/>
          <w:kern w:val="0"/>
          <w:szCs w:val="21"/>
          <w:highlight w:val="none"/>
          <w:lang w:val="zh-CN"/>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19.2使用“政采云电子交易客户端”需要提前申领CA数字证书，申领流程见该项目采购公告附件。</w:t>
      </w:r>
    </w:p>
    <w:p w14:paraId="788046FD">
      <w:pPr>
        <w:spacing w:line="360" w:lineRule="auto"/>
        <w:ind w:firstLine="420" w:firstLineChars="200"/>
        <w:rPr>
          <w:rFonts w:hint="eastAsia"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19.3为确保网上操作合法、有效和安全，供应商应当在响应文件提交截止时间前完成在“广西政府采购云平台”的身份认证，确保在电子交易过程中能够对相关数据电文进行加密和使用电子签名。</w:t>
      </w:r>
    </w:p>
    <w:p w14:paraId="1E89584D">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20.响应文件的提交</w:t>
      </w:r>
    </w:p>
    <w:p w14:paraId="4190422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20.1供应商必须在“供应商须知前附表”规定的时间和地点提交响应文件。</w:t>
      </w:r>
    </w:p>
    <w:p w14:paraId="2FC82C3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w:t>
      </w:r>
      <w:r>
        <w:rPr>
          <w:rFonts w:hint="eastAsia" w:ascii="宋体" w:hAnsi="宋体"/>
          <w:color w:val="000000" w:themeColor="text1"/>
          <w:szCs w:val="21"/>
          <w:highlight w:val="none"/>
          <w14:textFill>
            <w14:solidFill>
              <w14:schemeClr w14:val="tx1"/>
            </w14:solidFill>
          </w14:textFill>
        </w:rPr>
        <w:t>.2 在响应文件提交截止时间以后，不能补充、修改响应文件。</w:t>
      </w:r>
    </w:p>
    <w:p w14:paraId="11B40FB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20.3 在提交“最后报价”后，供应商不能退出谈判。</w:t>
      </w:r>
    </w:p>
    <w:p w14:paraId="1629CCB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20.4 电子交易平台收到响应文件，将妥善保存并即时向供应商发出确认回执通知。在响应文件提交截止时间前，除供应商补充、修改或者撤回响应文件外，任何单位和个人不得解密或提取响应文件。</w:t>
      </w:r>
    </w:p>
    <w:p w14:paraId="257617B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20.5 采购机构不可视情况延长提交响应文件的截止时间。</w:t>
      </w:r>
    </w:p>
    <w:p w14:paraId="28BEC4F4">
      <w:pPr>
        <w:spacing w:line="360" w:lineRule="auto"/>
        <w:ind w:firstLine="420" w:firstLineChars="200"/>
        <w:rPr>
          <w:rFonts w:hint="eastAsia" w:ascii="黑体" w:hAnsi="黑体" w:eastAsia="黑体"/>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20.6备份响应文件。详见</w:t>
      </w:r>
      <w:r>
        <w:rPr>
          <w:rFonts w:hint="eastAsia" w:hAnsi="宋体"/>
          <w:bCs/>
          <w:color w:val="000000" w:themeColor="text1"/>
          <w:szCs w:val="21"/>
          <w:highlight w:val="none"/>
          <w14:textFill>
            <w14:solidFill>
              <w14:schemeClr w14:val="tx1"/>
            </w14:solidFill>
          </w14:textFill>
        </w:rPr>
        <w:t>“供应商须知前附表”。</w:t>
      </w:r>
    </w:p>
    <w:p w14:paraId="0F793147">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21.首次响应文件的补充、修改与撤回</w:t>
      </w:r>
    </w:p>
    <w:p w14:paraId="79516E1C">
      <w:pPr>
        <w:pStyle w:val="87"/>
        <w:spacing w:before="0"/>
        <w:ind w:firstLine="420"/>
        <w:rPr>
          <w:rFonts w:hint="eastAsia" w:ascii="宋体" w:hAnsi="宋体" w:cs="仿宋_GB2312"/>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603CAE5F">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22. 首次响应文件的退回</w:t>
      </w:r>
    </w:p>
    <w:p w14:paraId="676B626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详见“供应商须知前附表”。</w:t>
      </w:r>
    </w:p>
    <w:p w14:paraId="77834977">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23. 截止时间后的撤回</w:t>
      </w:r>
    </w:p>
    <w:p w14:paraId="63DE7EA2">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本项目不收取谈判保证金，供应商在首次响应文件提交截止时间后可向采购人、采购代理机构书面申请撤回响应文件。</w:t>
      </w:r>
    </w:p>
    <w:p w14:paraId="4A85C872">
      <w:pPr>
        <w:keepNext/>
        <w:keepLines/>
        <w:spacing w:line="360" w:lineRule="auto"/>
        <w:ind w:firstLine="640" w:firstLineChars="200"/>
        <w:outlineLvl w:val="2"/>
        <w:rPr>
          <w:rFonts w:hint="eastAsia" w:ascii="宋体" w:hAnsi="宋体"/>
          <w:color w:val="000000" w:themeColor="text1"/>
          <w:sz w:val="32"/>
          <w:szCs w:val="32"/>
          <w:highlight w:val="none"/>
          <w14:textFill>
            <w14:solidFill>
              <w14:schemeClr w14:val="tx1"/>
            </w14:solidFill>
          </w14:textFill>
        </w:rPr>
      </w:pPr>
      <w:bookmarkStart w:id="70" w:name="_Toc12108"/>
      <w:bookmarkStart w:id="71" w:name="_Toc22974"/>
      <w:bookmarkStart w:id="72" w:name="_Toc24126"/>
      <w:bookmarkStart w:id="73" w:name="_Toc9176"/>
      <w:bookmarkStart w:id="74" w:name="_Toc16127"/>
      <w:bookmarkStart w:id="75" w:name="_Toc24446"/>
      <w:bookmarkStart w:id="76" w:name="_Toc27539"/>
      <w:bookmarkStart w:id="77" w:name="_Toc3070"/>
      <w:bookmarkStart w:id="78" w:name="_Toc11469"/>
      <w:r>
        <w:rPr>
          <w:rFonts w:hint="eastAsia" w:ascii="宋体" w:hAnsi="宋体"/>
          <w:color w:val="000000" w:themeColor="text1"/>
          <w:sz w:val="32"/>
          <w:szCs w:val="32"/>
          <w:highlight w:val="none"/>
          <w14:textFill>
            <w14:solidFill>
              <w14:schemeClr w14:val="tx1"/>
            </w14:solidFill>
          </w14:textFill>
        </w:rPr>
        <w:t>四、评审及谈判</w:t>
      </w:r>
      <w:bookmarkEnd w:id="70"/>
      <w:bookmarkEnd w:id="71"/>
      <w:bookmarkEnd w:id="72"/>
      <w:bookmarkEnd w:id="73"/>
      <w:bookmarkEnd w:id="74"/>
      <w:bookmarkEnd w:id="75"/>
      <w:bookmarkEnd w:id="76"/>
      <w:bookmarkEnd w:id="77"/>
      <w:bookmarkEnd w:id="78"/>
    </w:p>
    <w:p w14:paraId="2463A0CE">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24.谈判小组成立</w:t>
      </w:r>
    </w:p>
    <w:p w14:paraId="7D1C66F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62FAA81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竞争性谈判采购项目，评审专家中应当包含1名法律专家。</w:t>
      </w:r>
    </w:p>
    <w:p w14:paraId="64C1326E">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25.首次响应文件的开启</w:t>
      </w:r>
    </w:p>
    <w:p w14:paraId="28B2EDF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25.1首次响应文件由谈判小组或者采购代理机构在“供应商须知前附表”规定的时间开启。</w:t>
      </w:r>
    </w:p>
    <w:p w14:paraId="0636219A">
      <w:pPr>
        <w:spacing w:line="360" w:lineRule="auto"/>
        <w:ind w:firstLine="400" w:firstLineChars="200"/>
        <w:rPr>
          <w:rFonts w:hint="eastAsia" w:ascii="宋体" w:hAnsi="宋体"/>
          <w:bCs/>
          <w:color w:val="000000" w:themeColor="text1"/>
          <w:kern w:val="0"/>
          <w:sz w:val="20"/>
          <w:szCs w:val="21"/>
          <w:highlight w:val="none"/>
          <w14:textFill>
            <w14:solidFill>
              <w14:schemeClr w14:val="tx1"/>
            </w14:solidFill>
          </w14:textFill>
        </w:rPr>
      </w:pPr>
      <w:r>
        <w:rPr>
          <w:rFonts w:hint="eastAsia" w:ascii="宋体" w:hAnsi="宋体" w:cs="宋体"/>
          <w:color w:val="000000" w:themeColor="text1"/>
          <w:kern w:val="0"/>
          <w:sz w:val="20"/>
          <w:szCs w:val="21"/>
          <w:highlight w:val="none"/>
          <w14:textFill>
            <w14:solidFill>
              <w14:schemeClr w14:val="tx1"/>
            </w14:solidFill>
          </w14:textFill>
        </w:rPr>
        <w:t xml:space="preserve">25.2 </w:t>
      </w:r>
      <w:r>
        <w:rPr>
          <w:rFonts w:hint="eastAsia" w:ascii="宋体" w:hAnsi="宋体"/>
          <w:bCs/>
          <w:color w:val="000000" w:themeColor="text1"/>
          <w:kern w:val="0"/>
          <w:sz w:val="20"/>
          <w:szCs w:val="21"/>
          <w:highlight w:val="none"/>
          <w14:textFill>
            <w14:solidFill>
              <w14:schemeClr w14:val="tx1"/>
            </w14:solidFill>
          </w14:textFill>
        </w:rPr>
        <w:t>响应文件解密</w:t>
      </w:r>
    </w:p>
    <w:p w14:paraId="71960173">
      <w:pPr>
        <w:snapToGrid w:val="0"/>
        <w:spacing w:line="360" w:lineRule="auto"/>
        <w:ind w:firstLine="420" w:firstLineChars="200"/>
        <w:rPr>
          <w:rFonts w:hint="eastAsia" w:ascii="宋体" w:hAnsi="宋体"/>
          <w:color w:val="000000" w:themeColor="text1"/>
          <w:kern w:val="0"/>
          <w:szCs w:val="21"/>
          <w:highlight w:val="none"/>
          <w14:textFill>
            <w14:solidFill>
              <w14:schemeClr w14:val="tx1"/>
            </w14:solidFill>
          </w14:textFill>
        </w:rPr>
      </w:pPr>
      <w:r>
        <w:rPr>
          <w:rFonts w:hint="eastAsia" w:ascii="宋体" w:hAnsi="宋体"/>
          <w:bCs/>
          <w:color w:val="000000" w:themeColor="text1"/>
          <w:kern w:val="0"/>
          <w:szCs w:val="21"/>
          <w:highlight w:val="none"/>
          <w14:textFill>
            <w14:solidFill>
              <w14:schemeClr w14:val="tx1"/>
            </w14:solidFill>
          </w14:textFill>
        </w:rPr>
        <w:t>采购代理机构将在“供应商须知前附表”规定的时</w:t>
      </w:r>
      <w:r>
        <w:rPr>
          <w:rFonts w:hint="eastAsia" w:ascii="宋体" w:hAnsi="宋体"/>
          <w:color w:val="000000" w:themeColor="text1"/>
          <w:kern w:val="0"/>
          <w:szCs w:val="21"/>
          <w:highlight w:val="none"/>
          <w14:textFill>
            <w14:solidFill>
              <w14:schemeClr w14:val="tx1"/>
            </w14:solidFill>
          </w14:textFill>
        </w:rPr>
        <w:t>间通过电子交易平台组织响应文件开启，采购机构依托电子交易平台发起开始解密指令，供应商的法定代表人或其委托代理人</w:t>
      </w:r>
      <w:r>
        <w:rPr>
          <w:rFonts w:hint="eastAsia" w:ascii="宋体" w:hAnsi="宋体"/>
          <w:b/>
          <w:color w:val="000000" w:themeColor="text1"/>
          <w:kern w:val="0"/>
          <w:szCs w:val="21"/>
          <w:highlight w:val="none"/>
          <w14:textFill>
            <w14:solidFill>
              <w14:schemeClr w14:val="tx1"/>
            </w14:solidFill>
          </w14:textFill>
        </w:rPr>
        <w:t>须携带加密时所用的CA锁按平台提示和采购文件的规定登录到广西政府采购云平台电子开标大厅签到并在发起解密指令之时起30分钟内完成对电子响应文件在线解密</w:t>
      </w:r>
      <w:r>
        <w:rPr>
          <w:rFonts w:hint="eastAsia" w:ascii="宋体" w:hAnsi="宋体"/>
          <w:color w:val="000000" w:themeColor="text1"/>
          <w:kern w:val="0"/>
          <w:szCs w:val="21"/>
          <w:highlight w:val="none"/>
          <w14:textFill>
            <w14:solidFill>
              <w14:schemeClr w14:val="tx1"/>
            </w14:solidFill>
          </w14:textFill>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b/>
          <w:color w:val="000000" w:themeColor="text1"/>
          <w:kern w:val="0"/>
          <w:szCs w:val="21"/>
          <w:highlight w:val="none"/>
          <w14:textFill>
            <w14:solidFill>
              <w14:schemeClr w14:val="tx1"/>
            </w14:solidFill>
          </w14:textFill>
        </w:rPr>
        <w:t>视为响应文件无效。</w:t>
      </w:r>
      <w:r>
        <w:rPr>
          <w:rFonts w:hint="eastAsia" w:ascii="宋体" w:hAnsi="宋体"/>
          <w:color w:val="000000" w:themeColor="text1"/>
          <w:kern w:val="0"/>
          <w:szCs w:val="21"/>
          <w:highlight w:val="none"/>
          <w14:textFill>
            <w14:solidFill>
              <w14:schemeClr w14:val="tx1"/>
            </w14:solidFill>
          </w14:textFill>
        </w:rPr>
        <w:t>（解密</w:t>
      </w:r>
      <w:r>
        <w:rPr>
          <w:rFonts w:hint="eastAsia" w:ascii="宋体" w:hAnsi="宋体"/>
          <w:bCs/>
          <w:color w:val="000000" w:themeColor="text1"/>
          <w:kern w:val="0"/>
          <w:szCs w:val="21"/>
          <w:highlight w:val="none"/>
          <w14:textFill>
            <w14:solidFill>
              <w14:schemeClr w14:val="tx1"/>
            </w14:solidFill>
          </w14:textFill>
        </w:rPr>
        <w:t>异常情况处理：详见本章</w:t>
      </w:r>
      <w:r>
        <w:rPr>
          <w:rFonts w:hint="eastAsia" w:ascii="宋体" w:hAnsi="宋体"/>
          <w:color w:val="000000" w:themeColor="text1"/>
          <w:kern w:val="0"/>
          <w:szCs w:val="21"/>
          <w:highlight w:val="none"/>
          <w14:textFill>
            <w14:solidFill>
              <w14:schemeClr w14:val="tx1"/>
            </w14:solidFill>
          </w14:textFill>
        </w:rPr>
        <w:t>26.3 电子交易活动的中止。）</w:t>
      </w:r>
    </w:p>
    <w:p w14:paraId="56E6D205">
      <w:pPr>
        <w:spacing w:line="360" w:lineRule="auto"/>
        <w:ind w:firstLine="420" w:firstLineChars="200"/>
        <w:rPr>
          <w:rFonts w:hint="eastAsia"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如</w:t>
      </w:r>
      <w:r>
        <w:rPr>
          <w:rFonts w:hint="eastAsia" w:ascii="宋体" w:hAnsi="宋体"/>
          <w:bCs/>
          <w:color w:val="000000" w:themeColor="text1"/>
          <w:kern w:val="0"/>
          <w:szCs w:val="21"/>
          <w:highlight w:val="none"/>
          <w14:textFill>
            <w14:solidFill>
              <w14:schemeClr w14:val="tx1"/>
            </w14:solidFill>
          </w14:textFill>
        </w:rPr>
        <w:t>供应商成功解密响应文件，但未在广西政府采购云平台电子开标大厅参加谈判的，视同认可谈判过程和结果，</w:t>
      </w:r>
      <w:r>
        <w:rPr>
          <w:rFonts w:hint="eastAsia" w:ascii="宋体" w:hAnsi="宋体"/>
          <w:color w:val="000000" w:themeColor="text1"/>
          <w:kern w:val="0"/>
          <w:szCs w:val="21"/>
          <w:highlight w:val="none"/>
          <w14:textFill>
            <w14:solidFill>
              <w14:schemeClr w14:val="tx1"/>
            </w14:solidFill>
          </w14:textFill>
        </w:rPr>
        <w:t>由此产生的后果由供应商自行负责。 参与谈判的供应商不足3家的，不得谈判。</w:t>
      </w:r>
    </w:p>
    <w:p w14:paraId="14F6275F">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26.评审程序、评审方法和成交标准</w:t>
      </w:r>
    </w:p>
    <w:p w14:paraId="211EEB9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26.1谈判小组按照“第四章 评审程序、评审方法和成交标准”规定的方法、评审因素、标准和程序对响应文件进行评审。</w:t>
      </w:r>
    </w:p>
    <w:p w14:paraId="2A2E7AA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26</w:t>
      </w:r>
      <w:r>
        <w:rPr>
          <w:rFonts w:hint="eastAsia" w:ascii="宋体" w:hAnsi="宋体" w:cs="宋体"/>
          <w:color w:val="000000" w:themeColor="text1"/>
          <w:szCs w:val="21"/>
          <w:highlight w:val="none"/>
          <w14:textFill>
            <w14:solidFill>
              <w14:schemeClr w14:val="tx1"/>
            </w14:solidFill>
          </w14:textFill>
        </w:rPr>
        <w:t>.2 采购需求负偏离要求及谈判顺序详见 “供应商须知前附表”。</w:t>
      </w:r>
    </w:p>
    <w:p w14:paraId="16180709">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26.3电子交易活动的中止。采购过程中出现以下情形，导致电子交易平台无法正常运行，或者无法保证电子交易的公平、公正和安全时，采购机构可中止电子交易活动：</w:t>
      </w:r>
    </w:p>
    <w:p w14:paraId="1F37079A">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（1）电子交易平台发生故障而无法登录访问的； </w:t>
      </w:r>
    </w:p>
    <w:p w14:paraId="2FA6DB0E">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（2）电子交易平台应用或数据库出现错误，不能进行正常操作的；</w:t>
      </w:r>
    </w:p>
    <w:p w14:paraId="30499911">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（3）电子交易平台发现严重安全漏洞，有潜在泄密危险的；</w:t>
      </w:r>
    </w:p>
    <w:p w14:paraId="545D3B98">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（4）病毒发作导致不能进行正常操作的； </w:t>
      </w:r>
    </w:p>
    <w:p w14:paraId="5641505A">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（5）其他无法保证电子交易的公平、公正和安全的情况。</w:t>
      </w:r>
    </w:p>
    <w:p w14:paraId="4B5626BF">
      <w:pPr>
        <w:spacing w:line="360" w:lineRule="auto"/>
        <w:ind w:firstLine="420" w:firstLineChars="200"/>
        <w:rPr>
          <w:rFonts w:hAnsi="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26.4出现以上情形，不影响采购公平、公正性的，采购组织机构可以待上述情形消除后继续组织电子交易活动；影响或可能影响采</w:t>
      </w:r>
      <w:r>
        <w:rPr>
          <w:rFonts w:hint="eastAsia" w:hAnsi="宋体"/>
          <w:color w:val="000000" w:themeColor="text1"/>
          <w:highlight w:val="none"/>
          <w14:textFill>
            <w14:solidFill>
              <w14:schemeClr w14:val="tx1"/>
            </w14:solidFill>
          </w14:textFill>
        </w:rPr>
        <w:t>购公平、公正性的，经采购代理机构确认后，应当重新采购。采购代理机构必须对原有的资料及信息作出妥善保密处理，并报财政部门备案。</w:t>
      </w:r>
    </w:p>
    <w:p w14:paraId="50D50C22">
      <w:pPr>
        <w:keepNext/>
        <w:keepLines/>
        <w:spacing w:line="360" w:lineRule="auto"/>
        <w:ind w:firstLine="640" w:firstLineChars="200"/>
        <w:outlineLvl w:val="2"/>
        <w:rPr>
          <w:rFonts w:ascii="宋体" w:hAnsi="宋体"/>
          <w:color w:val="000000" w:themeColor="text1"/>
          <w:sz w:val="32"/>
          <w:szCs w:val="32"/>
          <w:highlight w:val="none"/>
          <w14:textFill>
            <w14:solidFill>
              <w14:schemeClr w14:val="tx1"/>
            </w14:solidFill>
          </w14:textFill>
        </w:rPr>
      </w:pPr>
      <w:bookmarkStart w:id="79" w:name="_Toc19010"/>
      <w:bookmarkStart w:id="80" w:name="_Toc13936"/>
      <w:bookmarkStart w:id="81" w:name="_Toc12276"/>
      <w:bookmarkStart w:id="82" w:name="_Toc26432"/>
      <w:bookmarkStart w:id="83" w:name="_Toc13598"/>
      <w:bookmarkStart w:id="84" w:name="_Toc10190"/>
      <w:bookmarkStart w:id="85" w:name="_Toc15705"/>
      <w:bookmarkStart w:id="86" w:name="_Toc30333"/>
      <w:bookmarkStart w:id="87" w:name="_Toc22475"/>
      <w:r>
        <w:rPr>
          <w:rFonts w:hint="eastAsia" w:ascii="宋体" w:hAnsi="宋体"/>
          <w:color w:val="000000" w:themeColor="text1"/>
          <w:sz w:val="32"/>
          <w:szCs w:val="32"/>
          <w:highlight w:val="none"/>
          <w14:textFill>
            <w14:solidFill>
              <w14:schemeClr w14:val="tx1"/>
            </w14:solidFill>
          </w14:textFill>
        </w:rPr>
        <w:t>五、成交及合同</w:t>
      </w:r>
      <w:bookmarkEnd w:id="79"/>
      <w:bookmarkEnd w:id="80"/>
      <w:bookmarkEnd w:id="81"/>
      <w:bookmarkEnd w:id="82"/>
      <w:bookmarkEnd w:id="83"/>
      <w:bookmarkEnd w:id="84"/>
      <w:bookmarkEnd w:id="85"/>
      <w:bookmarkEnd w:id="86"/>
      <w:bookmarkEnd w:id="87"/>
    </w:p>
    <w:p w14:paraId="3C8B599C">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27.确定成交供应商及结果公告</w:t>
      </w:r>
    </w:p>
    <w:p w14:paraId="0CC698F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27.1确定成交供应商。</w:t>
      </w:r>
      <w:r>
        <w:rPr>
          <w:rFonts w:hint="eastAsia" w:ascii="宋体" w:hAnsi="宋体" w:cs="宋体"/>
          <w:color w:val="000000" w:themeColor="text1"/>
          <w:kern w:val="0"/>
          <w:szCs w:val="21"/>
          <w:highlight w:val="none"/>
          <w:u w:val="single"/>
          <w14:textFill>
            <w14:solidFill>
              <w14:schemeClr w14:val="tx1"/>
            </w14:solidFill>
          </w14:textFill>
        </w:rPr>
        <w:t xml:space="preserve"> 由采购人直接委托评审专家确定</w:t>
      </w:r>
      <w:r>
        <w:rPr>
          <w:rFonts w:hint="eastAsia" w:ascii="宋体" w:hAnsi="宋体" w:cs="宋体"/>
          <w:color w:val="000000" w:themeColor="text1"/>
          <w:szCs w:val="21"/>
          <w:highlight w:val="none"/>
          <w:u w:val="single"/>
          <w14:textFill>
            <w14:solidFill>
              <w14:schemeClr w14:val="tx1"/>
            </w14:solidFill>
          </w14:textFill>
        </w:rPr>
        <w:t>，评审报告提出的排序第一的供应商为成交供应商。</w:t>
      </w:r>
    </w:p>
    <w:p w14:paraId="2EE9C71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27.2成交通知及成交结果公告。</w:t>
      </w:r>
      <w:r>
        <w:rPr>
          <w:rFonts w:hint="eastAsia" w:ascii="宋体" w:hAnsi="宋体" w:cs="宋体"/>
          <w:color w:val="000000" w:themeColor="text1"/>
          <w:kern w:val="0"/>
          <w:szCs w:val="21"/>
          <w:highlight w:val="none"/>
          <w14:textFill>
            <w14:solidFill>
              <w14:schemeClr w14:val="tx1"/>
            </w14:solidFill>
          </w14:textFill>
        </w:rPr>
        <w:t>成交</w:t>
      </w:r>
      <w:r>
        <w:rPr>
          <w:rFonts w:hint="eastAsia" w:ascii="宋体" w:hAnsi="宋体" w:cs="宋体"/>
          <w:color w:val="000000" w:themeColor="text1"/>
          <w:szCs w:val="21"/>
          <w:highlight w:val="none"/>
          <w14:textFill>
            <w14:solidFill>
              <w14:schemeClr w14:val="tx1"/>
            </w14:solidFill>
          </w14:textFill>
        </w:rPr>
        <w:t>供应商确定后2个工作日内，在省级以上财政部门指定的媒体上公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不得超过25日。</w:t>
      </w:r>
    </w:p>
    <w:p w14:paraId="07DB1456">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w:t>
      </w:r>
      <w:r>
        <w:rPr>
          <w:rFonts w:hint="eastAsia" w:ascii="宋体" w:hAnsi="宋体" w:cs="Courier New"/>
          <w:color w:val="000000" w:themeColor="text1"/>
          <w:szCs w:val="21"/>
          <w:highlight w:val="none"/>
          <w14:textFill>
            <w14:solidFill>
              <w14:schemeClr w14:val="tx1"/>
            </w14:solidFill>
          </w14:textFill>
        </w:rPr>
        <w:t>成交供应商享受</w:t>
      </w:r>
      <w:r>
        <w:rPr>
          <w:rFonts w:hint="eastAsia" w:ascii="宋体" w:hAnsi="宋体"/>
          <w:color w:val="000000" w:themeColor="text1"/>
          <w:szCs w:val="21"/>
          <w:highlight w:val="none"/>
          <w14:textFill>
            <w14:solidFill>
              <w14:schemeClr w14:val="tx1"/>
            </w14:solidFill>
          </w14:textFill>
        </w:rPr>
        <w:t>《政府采购促进中小企业发展管理办法》（财库〔2020〕46号）规定的中小企业扶持</w:t>
      </w:r>
      <w:r>
        <w:rPr>
          <w:rFonts w:hint="eastAsia" w:ascii="宋体" w:hAnsi="宋体" w:cs="Courier New"/>
          <w:color w:val="000000" w:themeColor="text1"/>
          <w:szCs w:val="21"/>
          <w:highlight w:val="none"/>
          <w14:textFill>
            <w14:solidFill>
              <w14:schemeClr w14:val="tx1"/>
            </w14:solidFill>
          </w14:textFill>
        </w:rPr>
        <w:t>政策的，采购人、采购代理机构应当随成交结果公开成交供应商的《中小企业声明函》。</w:t>
      </w:r>
    </w:p>
    <w:p w14:paraId="6F941EC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0491FDC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006E3FA7">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28.履约保证金</w:t>
      </w:r>
    </w:p>
    <w:p w14:paraId="0B10D062">
      <w:pPr>
        <w:spacing w:line="360" w:lineRule="auto"/>
        <w:ind w:firstLine="420"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详见“供应商须知前附表”</w:t>
      </w:r>
    </w:p>
    <w:p w14:paraId="01223533">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29.签订合同</w:t>
      </w:r>
    </w:p>
    <w:p w14:paraId="57684839">
      <w:pPr>
        <w:pStyle w:val="87"/>
        <w:snapToGrid w:val="0"/>
        <w:spacing w:before="0"/>
        <w:ind w:firstLine="420"/>
        <w:rPr>
          <w:rFonts w:hint="eastAsia" w:ascii="宋体" w:hAnsi="宋体"/>
          <w:color w:val="000000" w:themeColor="text1"/>
          <w:sz w:val="21"/>
          <w:szCs w:val="21"/>
          <w:highlight w:val="none"/>
          <w:lang w:val="zh-CN"/>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29.1采购人与成交供应商应当在成交通知书规定的时间内，按照谈判文件确定的合同文本以及采购标的、服务技术、采购金额、采购数量、技术和服务要求等事项签订政府采购合同。</w:t>
      </w:r>
      <w:r>
        <w:rPr>
          <w:rFonts w:hint="eastAsia" w:ascii="宋体" w:hAnsi="宋体" w:cs="宋体"/>
          <w:color w:val="000000" w:themeColor="text1"/>
          <w:sz w:val="21"/>
          <w:szCs w:val="21"/>
          <w:highlight w:val="none"/>
          <w:lang w:val="zh-CN"/>
          <w14:textFill>
            <w14:solidFill>
              <w14:schemeClr w14:val="tx1"/>
            </w14:solidFill>
          </w14:textFill>
        </w:rPr>
        <w:t>如成交供应商为联合体的，由联合体成员各方法定代表人或其授权代表与采购人代表签订合同。</w:t>
      </w:r>
    </w:p>
    <w:p w14:paraId="1DACC45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29.2采购人不得向成交供应商提出超出谈判文件以外的任何要求作为签订合同的条件，不得与成交供应商订立背离谈判文件确定的合同文本以及采购标的、</w:t>
      </w:r>
      <w:r>
        <w:rPr>
          <w:rFonts w:hint="eastAsia" w:ascii="宋体" w:hAnsi="宋体" w:cs="宋体"/>
          <w:color w:val="000000" w:themeColor="text1"/>
          <w:szCs w:val="21"/>
          <w:highlight w:val="none"/>
          <w14:textFill>
            <w14:solidFill>
              <w14:schemeClr w14:val="tx1"/>
            </w14:solidFill>
          </w14:textFill>
        </w:rPr>
        <w:t>服务技术、采购金额、采购数量、技术和服务要求等实质性内容的协议。</w:t>
      </w:r>
    </w:p>
    <w:p w14:paraId="01B6217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29.3成交供应商拒绝签订政府采购合同的，</w:t>
      </w:r>
      <w:r>
        <w:rPr>
          <w:rFonts w:hint="eastAsia" w:ascii="宋体" w:hAnsi="宋体" w:cs="宋体"/>
          <w:color w:val="000000" w:themeColor="text1"/>
          <w:szCs w:val="21"/>
          <w:highlight w:val="none"/>
          <w14:textFill>
            <w14:solidFill>
              <w14:schemeClr w14:val="tx1"/>
            </w14:solidFill>
          </w14:textFill>
        </w:rPr>
        <w:t>采购人可以按照评审报告推荐的成交候选人名单排序，确定下一候选人为成交供应商</w:t>
      </w:r>
      <w:r>
        <w:rPr>
          <w:rFonts w:hint="eastAsia" w:ascii="宋体" w:hAnsi="宋体"/>
          <w:color w:val="000000" w:themeColor="text1"/>
          <w:szCs w:val="21"/>
          <w:highlight w:val="none"/>
          <w14:textFill>
            <w14:solidFill>
              <w14:schemeClr w14:val="tx1"/>
            </w14:solidFill>
          </w14:textFill>
        </w:rPr>
        <w:t>，也可以重新开展采购活动。拒绝签订政府采购合同的成交供应商不得参加对该项目重新开展的采购活动。</w:t>
      </w:r>
    </w:p>
    <w:p w14:paraId="18ACE1D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29.4如签订合同并生效后，供应商无故拒绝或延期，除按照合同条款处理外，列入不良行为记录，并给予通报。</w:t>
      </w:r>
    </w:p>
    <w:p w14:paraId="3C5DF375">
      <w:pPr>
        <w:pStyle w:val="87"/>
        <w:spacing w:before="0"/>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29.5采购合同由采购人与成交供应商根据</w:t>
      </w:r>
      <w:r>
        <w:rPr>
          <w:rFonts w:hint="eastAsia" w:ascii="宋体" w:hAnsi="宋体"/>
          <w:color w:val="000000" w:themeColor="text1"/>
          <w:sz w:val="21"/>
          <w:szCs w:val="21"/>
          <w:highlight w:val="none"/>
          <w14:textFill>
            <w14:solidFill>
              <w14:schemeClr w14:val="tx1"/>
            </w14:solidFill>
          </w14:textFill>
        </w:rPr>
        <w:t>谈判</w:t>
      </w:r>
      <w:r>
        <w:rPr>
          <w:rFonts w:hint="eastAsia" w:ascii="宋体" w:hAnsi="宋体" w:cs="仿宋_GB2312"/>
          <w:color w:val="000000" w:themeColor="text1"/>
          <w:sz w:val="21"/>
          <w:szCs w:val="21"/>
          <w:highlight w:val="none"/>
          <w14:textFill>
            <w14:solidFill>
              <w14:schemeClr w14:val="tx1"/>
            </w14:solidFill>
          </w14:textFill>
        </w:rPr>
        <w:t>文件、响应文件等内容通过政府采购电子交易平台在线签订，自动备案，在线签订须携带的材料见“供应商须</w:t>
      </w:r>
      <w:r>
        <w:rPr>
          <w:rFonts w:hint="eastAsia" w:ascii="宋体" w:hAnsi="宋体"/>
          <w:color w:val="000000" w:themeColor="text1"/>
          <w:sz w:val="21"/>
          <w:szCs w:val="21"/>
          <w:highlight w:val="none"/>
          <w14:textFill>
            <w14:solidFill>
              <w14:schemeClr w14:val="tx1"/>
            </w14:solidFill>
          </w14:textFill>
        </w:rPr>
        <w:t>知前附表</w:t>
      </w:r>
      <w:r>
        <w:rPr>
          <w:rFonts w:hint="eastAsia" w:ascii="宋体" w:hAnsi="宋体" w:cs="仿宋_GB2312"/>
          <w:color w:val="000000" w:themeColor="text1"/>
          <w:sz w:val="21"/>
          <w:szCs w:val="21"/>
          <w:highlight w:val="none"/>
          <w14:textFill>
            <w14:solidFill>
              <w14:schemeClr w14:val="tx1"/>
            </w14:solidFill>
          </w14:textFill>
        </w:rPr>
        <w:t>”。</w:t>
      </w:r>
    </w:p>
    <w:p w14:paraId="157D4DA4">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30.政府采购合同公告</w:t>
      </w:r>
    </w:p>
    <w:p w14:paraId="7BF20AC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0C31E2E9">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31.询问、质疑和投诉</w:t>
      </w:r>
    </w:p>
    <w:p w14:paraId="6645DC77">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31.1供应商对政府采购活动事项有疑问的，可以向采购人、采购代理机构提出询问，采购人或者采购代理机构应当在3个工作日内对供应商依法提出的询问作出答复。</w:t>
      </w:r>
    </w:p>
    <w:p w14:paraId="2DC4E109">
      <w:pPr>
        <w:spacing w:line="360" w:lineRule="auto"/>
        <w:ind w:firstLine="420"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31.2供应商认为谈判文件、采购过程或者成交结果使自己的合法权益受到损害的，应当在知道或者应知其权益受到损害之日起7个工作日内，以书面形式向采购人、采购代理机构提出质疑，</w:t>
      </w:r>
      <w:r>
        <w:rPr>
          <w:rFonts w:hint="eastAsia" w:ascii="宋体" w:hAnsi="宋体" w:cs="Arial"/>
          <w:color w:val="000000" w:themeColor="text1"/>
          <w:highlight w:val="none"/>
          <w:shd w:val="clear" w:color="auto" w:fill="FFFFFF"/>
          <w14:textFill>
            <w14:solidFill>
              <w14:schemeClr w14:val="tx1"/>
            </w14:solidFill>
          </w14:textFill>
        </w:rPr>
        <w:t>接收质疑函的方式、联系部门、联系电话和通讯地址等信息详见</w:t>
      </w:r>
      <w:r>
        <w:rPr>
          <w:rFonts w:hint="eastAsia" w:ascii="宋体" w:hAnsi="宋体" w:cs="宋体"/>
          <w:color w:val="000000" w:themeColor="text1"/>
          <w:szCs w:val="21"/>
          <w:highlight w:val="none"/>
          <w14:textFill>
            <w14:solidFill>
              <w14:schemeClr w14:val="tx1"/>
            </w14:solidFill>
          </w14:textFill>
        </w:rPr>
        <w:t>“供应商须知前附表”</w:t>
      </w:r>
      <w:r>
        <w:rPr>
          <w:rFonts w:hint="eastAsia" w:ascii="宋体" w:hAnsi="宋体" w:cs="宋体"/>
          <w:color w:val="000000" w:themeColor="text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 xml:space="preserve">具体质疑起算时间及处理方式如下： </w:t>
      </w:r>
    </w:p>
    <w:p w14:paraId="60389835">
      <w:pPr>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（1）潜在供应商依法获取采购文件后，认为采购文件使自己的权益受到损害的，应当在竞争性谈判采购文件公告期限届满之日起7个工作日内提出质疑。</w:t>
      </w:r>
      <w:r>
        <w:rPr>
          <w:rFonts w:hint="eastAsia" w:ascii="宋体" w:hAnsi="宋体" w:cs="宋体"/>
          <w:color w:val="000000" w:themeColor="text1"/>
          <w:highlight w:val="none"/>
          <w14:textFill>
            <w14:solidFill>
              <w14:schemeClr w14:val="tx1"/>
            </w14:solidFill>
          </w14:textFill>
        </w:rPr>
        <w:t>委托代理协议无特殊约定的，</w:t>
      </w:r>
      <w:r>
        <w:rPr>
          <w:rFonts w:hint="eastAsia" w:ascii="宋体" w:hAnsi="宋体" w:cs="宋体"/>
          <w:bCs/>
          <w:color w:val="000000" w:themeColor="text1"/>
          <w:highlight w:val="none"/>
          <w14:textFill>
            <w14:solidFill>
              <w14:schemeClr w14:val="tx1"/>
            </w14:solidFill>
          </w14:textFill>
        </w:rPr>
        <w:t>对竞争性谈判文件中采购需求（含资格要求、采购预算和评分办法）的质疑由采购人受理并负责答复；对竞争性谈判文件中的采购执行程序的质疑由采购代理机构受理并负责答复。</w:t>
      </w:r>
    </w:p>
    <w:p w14:paraId="6F04AFA8">
      <w:pPr>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0A1F67B8">
      <w:pPr>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（3）供应商认为成交结果使自己的权益受到损害的，应当在成交结果公告期限届满之日起7个工作日内提出质疑，由采购人受理并负责答复。</w:t>
      </w:r>
    </w:p>
    <w:p w14:paraId="5570764C">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C359420">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31.4 供应商提出质疑应当提交质疑函和必要的证明材料，针对同一采购程序环节的质疑必须在法定质疑期内一次性提出。质疑函应当包括下列内容</w:t>
      </w:r>
      <w:r>
        <w:rPr>
          <w:rFonts w:hint="eastAsia" w:hAnsi="宋体"/>
          <w:bCs/>
          <w:color w:val="000000" w:themeColor="text1"/>
          <w:highlight w:val="none"/>
          <w14:textFill>
            <w14:solidFill>
              <w14:schemeClr w14:val="tx1"/>
            </w14:solidFill>
          </w14:textFill>
        </w:rPr>
        <w:t>（质疑函格式后附）</w:t>
      </w:r>
      <w:r>
        <w:rPr>
          <w:rFonts w:hint="eastAsia" w:ascii="宋体" w:hAnsi="宋体" w:cs="宋体"/>
          <w:color w:val="000000" w:themeColor="text1"/>
          <w:highlight w:val="none"/>
          <w14:textFill>
            <w14:solidFill>
              <w14:schemeClr w14:val="tx1"/>
            </w14:solidFill>
          </w14:textFill>
        </w:rPr>
        <w:t>：</w:t>
      </w:r>
    </w:p>
    <w:p w14:paraId="1431FCC0">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（1）供应商的姓名或者名称、地址、邮编、联系人及联系电话；</w:t>
      </w:r>
    </w:p>
    <w:p w14:paraId="1B8C6BF0">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（2）质疑项目的名称、编号；</w:t>
      </w:r>
    </w:p>
    <w:p w14:paraId="237FA03D">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（3）具体、明确的质疑事项和与质疑事项相关的请求；</w:t>
      </w:r>
    </w:p>
    <w:p w14:paraId="484B2C02">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（4）事实依据；</w:t>
      </w:r>
    </w:p>
    <w:p w14:paraId="5CF79EAE">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（5）必要的法律依据；</w:t>
      </w:r>
    </w:p>
    <w:p w14:paraId="19AFC42A">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（6）提出质疑的日期。</w:t>
      </w:r>
    </w:p>
    <w:p w14:paraId="58D7374C">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63DBDF6D">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31.5采购人、采购代理机构认为供应商质疑不成立，或者成立但未对成交结果构成影响的，继续开展采购活动；认为供应商质疑成立且影响或者可能影响成交结果的，按照下列情况处理：</w:t>
      </w:r>
    </w:p>
    <w:p w14:paraId="12004D1A">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380AEF0B">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550DF36F">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质疑答复导致成交结果改变的，采购人或者采购代理机构应当将有关情况书面报告本级财政部门。</w:t>
      </w:r>
    </w:p>
    <w:p w14:paraId="607BB9E7">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18654BA6">
      <w:pPr>
        <w:keepNext/>
        <w:keepLines/>
        <w:spacing w:line="360" w:lineRule="auto"/>
        <w:ind w:firstLine="640" w:firstLineChars="200"/>
        <w:outlineLvl w:val="2"/>
        <w:rPr>
          <w:rFonts w:hint="eastAsia" w:ascii="宋体" w:hAnsi="宋体"/>
          <w:color w:val="000000" w:themeColor="text1"/>
          <w:sz w:val="32"/>
          <w:szCs w:val="32"/>
          <w:highlight w:val="none"/>
          <w14:textFill>
            <w14:solidFill>
              <w14:schemeClr w14:val="tx1"/>
            </w14:solidFill>
          </w14:textFill>
        </w:rPr>
      </w:pPr>
      <w:bookmarkStart w:id="88" w:name="_Toc1883"/>
      <w:bookmarkStart w:id="89" w:name="_Toc30383"/>
      <w:bookmarkStart w:id="90" w:name="_Toc22985"/>
      <w:bookmarkStart w:id="91" w:name="_Toc24526"/>
      <w:bookmarkStart w:id="92" w:name="_Toc24127"/>
      <w:bookmarkStart w:id="93" w:name="_Toc3315"/>
      <w:bookmarkStart w:id="94" w:name="_Toc674"/>
      <w:bookmarkStart w:id="95" w:name="_Toc2373"/>
      <w:bookmarkStart w:id="96" w:name="_Toc29508"/>
      <w:r>
        <w:rPr>
          <w:rFonts w:hint="eastAsia" w:ascii="宋体" w:hAnsi="宋体"/>
          <w:color w:val="000000" w:themeColor="text1"/>
          <w:sz w:val="32"/>
          <w:szCs w:val="32"/>
          <w:highlight w:val="none"/>
          <w14:textFill>
            <w14:solidFill>
              <w14:schemeClr w14:val="tx1"/>
            </w14:solidFill>
          </w14:textFill>
        </w:rPr>
        <w:t>六、验收</w:t>
      </w:r>
      <w:bookmarkEnd w:id="88"/>
      <w:bookmarkEnd w:id="89"/>
      <w:bookmarkEnd w:id="90"/>
      <w:bookmarkEnd w:id="91"/>
      <w:bookmarkEnd w:id="92"/>
      <w:bookmarkEnd w:id="93"/>
      <w:bookmarkEnd w:id="94"/>
      <w:bookmarkEnd w:id="95"/>
      <w:bookmarkEnd w:id="96"/>
    </w:p>
    <w:p w14:paraId="294FB8A2">
      <w:pPr>
        <w:tabs>
          <w:tab w:val="left" w:pos="0"/>
        </w:tabs>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32.验收</w:t>
      </w:r>
    </w:p>
    <w:p w14:paraId="7B4DF6BF">
      <w:pPr>
        <w:tabs>
          <w:tab w:val="left" w:pos="0"/>
        </w:tabs>
        <w:spacing w:line="360" w:lineRule="auto"/>
        <w:ind w:firstLine="420" w:firstLineChars="200"/>
        <w:rPr>
          <w:rFonts w:ascii="宋体" w:hAnsi="宋体" w:cs="Helvetica"/>
          <w:color w:val="000000" w:themeColor="text1"/>
          <w:kern w:val="0"/>
          <w:szCs w:val="21"/>
          <w:highlight w:val="none"/>
          <w14:textFill>
            <w14:solidFill>
              <w14:schemeClr w14:val="tx1"/>
            </w14:solidFill>
          </w14:textFill>
        </w:rPr>
      </w:pPr>
      <w:r>
        <w:rPr>
          <w:rFonts w:hint="eastAsia" w:ascii="宋体" w:hAnsi="宋体" w:cs="Helvetica"/>
          <w:color w:val="000000" w:themeColor="text1"/>
          <w:kern w:val="0"/>
          <w:szCs w:val="21"/>
          <w:highlight w:val="none"/>
          <w14:textFill>
            <w14:solidFill>
              <w14:schemeClr w14:val="tx1"/>
            </w14:solidFill>
          </w14:textFill>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1123096">
      <w:pPr>
        <w:tabs>
          <w:tab w:val="left" w:pos="0"/>
        </w:tabs>
        <w:spacing w:line="360" w:lineRule="auto"/>
        <w:ind w:firstLine="420" w:firstLineChars="200"/>
        <w:rPr>
          <w:rFonts w:ascii="宋体" w:hAnsi="宋体" w:cs="Helvetica"/>
          <w:color w:val="000000" w:themeColor="text1"/>
          <w:kern w:val="0"/>
          <w:szCs w:val="21"/>
          <w:highlight w:val="none"/>
          <w14:textFill>
            <w14:solidFill>
              <w14:schemeClr w14:val="tx1"/>
            </w14:solidFill>
          </w14:textFill>
        </w:rPr>
      </w:pPr>
      <w:r>
        <w:rPr>
          <w:rFonts w:hint="eastAsia" w:ascii="宋体" w:hAnsi="宋体" w:cs="Helvetica"/>
          <w:color w:val="000000" w:themeColor="text1"/>
          <w:kern w:val="0"/>
          <w:szCs w:val="21"/>
          <w:highlight w:val="none"/>
          <w14:textFill>
            <w14:solidFill>
              <w14:schemeClr w14:val="tx1"/>
            </w14:solidFill>
          </w14:textFill>
        </w:rPr>
        <w:t>32.2采购人可以邀请参加本项目的其他供应商或者第三方机构参与验收。参与验收的供应商或者第三方机构的意见作为验收书的参考资料一并存档。</w:t>
      </w:r>
    </w:p>
    <w:p w14:paraId="58F4B577">
      <w:pPr>
        <w:tabs>
          <w:tab w:val="left" w:pos="0"/>
        </w:tabs>
        <w:spacing w:line="360" w:lineRule="auto"/>
        <w:ind w:firstLine="420" w:firstLineChars="200"/>
        <w:rPr>
          <w:rFonts w:ascii="宋体" w:hAnsi="宋体" w:cs="Helvetica"/>
          <w:color w:val="000000" w:themeColor="text1"/>
          <w:kern w:val="0"/>
          <w:szCs w:val="21"/>
          <w:highlight w:val="none"/>
          <w14:textFill>
            <w14:solidFill>
              <w14:schemeClr w14:val="tx1"/>
            </w14:solidFill>
          </w14:textFill>
        </w:rPr>
      </w:pPr>
      <w:r>
        <w:rPr>
          <w:rFonts w:hint="eastAsia" w:ascii="宋体" w:hAnsi="宋体" w:cs="Helvetica"/>
          <w:color w:val="000000" w:themeColor="text1"/>
          <w:kern w:val="0"/>
          <w:szCs w:val="21"/>
          <w:highlight w:val="none"/>
          <w14:textFill>
            <w14:solidFill>
              <w14:schemeClr w14:val="tx1"/>
            </w14:solidFill>
          </w14:textFill>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42868DB">
      <w:pPr>
        <w:tabs>
          <w:tab w:val="left" w:pos="0"/>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Helvetica"/>
          <w:color w:val="000000" w:themeColor="text1"/>
          <w:kern w:val="0"/>
          <w:szCs w:val="21"/>
          <w:highlight w:val="none"/>
          <w14:textFill>
            <w14:solidFill>
              <w14:schemeClr w14:val="tx1"/>
            </w14:solidFill>
          </w14:textFill>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086C51A">
      <w:pPr>
        <w:keepNext/>
        <w:keepLines/>
        <w:spacing w:line="360" w:lineRule="auto"/>
        <w:ind w:firstLine="640" w:firstLineChars="200"/>
        <w:outlineLvl w:val="2"/>
        <w:rPr>
          <w:rFonts w:hint="eastAsia" w:ascii="宋体" w:hAnsi="宋体"/>
          <w:color w:val="000000" w:themeColor="text1"/>
          <w:sz w:val="32"/>
          <w:szCs w:val="32"/>
          <w:highlight w:val="none"/>
          <w14:textFill>
            <w14:solidFill>
              <w14:schemeClr w14:val="tx1"/>
            </w14:solidFill>
          </w14:textFill>
        </w:rPr>
      </w:pPr>
      <w:bookmarkStart w:id="97" w:name="_Toc26592"/>
      <w:bookmarkStart w:id="98" w:name="_Toc19021"/>
      <w:bookmarkStart w:id="99" w:name="_Toc22601"/>
      <w:bookmarkStart w:id="100" w:name="_Toc11668"/>
      <w:bookmarkStart w:id="101" w:name="_Toc27520"/>
      <w:bookmarkStart w:id="102" w:name="_Toc19704"/>
      <w:bookmarkStart w:id="103" w:name="_Toc23789"/>
      <w:bookmarkStart w:id="104" w:name="_Toc29657"/>
      <w:bookmarkStart w:id="105" w:name="_Toc24552"/>
      <w:r>
        <w:rPr>
          <w:rFonts w:hint="eastAsia" w:ascii="宋体" w:hAnsi="宋体"/>
          <w:color w:val="000000" w:themeColor="text1"/>
          <w:sz w:val="32"/>
          <w:szCs w:val="32"/>
          <w:highlight w:val="none"/>
          <w14:textFill>
            <w14:solidFill>
              <w14:schemeClr w14:val="tx1"/>
            </w14:solidFill>
          </w14:textFill>
        </w:rPr>
        <w:t>七、其他事项</w:t>
      </w:r>
      <w:bookmarkEnd w:id="97"/>
      <w:bookmarkEnd w:id="98"/>
      <w:bookmarkEnd w:id="99"/>
      <w:bookmarkEnd w:id="100"/>
      <w:bookmarkEnd w:id="101"/>
      <w:bookmarkEnd w:id="102"/>
      <w:bookmarkEnd w:id="103"/>
      <w:bookmarkEnd w:id="104"/>
      <w:bookmarkEnd w:id="105"/>
    </w:p>
    <w:p w14:paraId="1B8EAF40">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33.代理服务费</w:t>
      </w:r>
    </w:p>
    <w:p w14:paraId="77403617">
      <w:pPr>
        <w:tabs>
          <w:tab w:val="left" w:pos="2835"/>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代理服务收费标准及缴费账户详见“供应商须知前附表”，供应商为联合体的，可以由联合体中的一方或者多方共同缴纳代理服务费。</w:t>
      </w:r>
    </w:p>
    <w:p w14:paraId="4B7A8224">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34.需要补充的其他内容</w:t>
      </w:r>
    </w:p>
    <w:p w14:paraId="6C3E4927">
      <w:pPr>
        <w:spacing w:line="360" w:lineRule="auto"/>
        <w:ind w:firstLine="420" w:firstLineChars="200"/>
        <w:rPr>
          <w:rFonts w:hint="eastAsia"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34.1</w:t>
      </w:r>
      <w:r>
        <w:rPr>
          <w:rFonts w:hint="eastAsia" w:ascii="宋体" w:hAnsi="宋体" w:cs="宋体"/>
          <w:color w:val="000000" w:themeColor="text1"/>
          <w:kern w:val="0"/>
          <w:szCs w:val="21"/>
          <w:highlight w:val="none"/>
          <w14:textFill>
            <w14:solidFill>
              <w14:schemeClr w14:val="tx1"/>
            </w14:solidFill>
          </w14:textFill>
        </w:rPr>
        <w:t>本谈判文件解释规则详见</w:t>
      </w:r>
      <w:r>
        <w:rPr>
          <w:rFonts w:hint="eastAsia" w:ascii="宋体" w:hAnsi="宋体"/>
          <w:color w:val="000000" w:themeColor="text1"/>
          <w:kern w:val="0"/>
          <w:szCs w:val="21"/>
          <w:highlight w:val="none"/>
          <w14:textFill>
            <w14:solidFill>
              <w14:schemeClr w14:val="tx1"/>
            </w14:solidFill>
          </w14:textFill>
        </w:rPr>
        <w:t>“供应商须知前附表”。</w:t>
      </w:r>
    </w:p>
    <w:p w14:paraId="7174F9B4">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34.2 其他事</w:t>
      </w:r>
      <w:r>
        <w:rPr>
          <w:rFonts w:hint="eastAsia" w:hAnsi="宋体"/>
          <w:color w:val="000000" w:themeColor="text1"/>
          <w:highlight w:val="none"/>
          <w14:textFill>
            <w14:solidFill>
              <w14:schemeClr w14:val="tx1"/>
            </w14:solidFill>
          </w14:textFill>
        </w:rPr>
        <w:t>项详见“供应商须知前附表”。</w:t>
      </w:r>
    </w:p>
    <w:p w14:paraId="70197AE3">
      <w:pPr>
        <w:spacing w:line="360" w:lineRule="auto"/>
        <w:ind w:firstLine="400" w:firstLine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 w:val="20"/>
          <w:szCs w:val="21"/>
          <w:highlight w:val="none"/>
          <w14:textFill>
            <w14:solidFill>
              <w14:schemeClr w14:val="tx1"/>
            </w14:solidFill>
          </w14:textFill>
        </w:rPr>
        <w:t>34.3</w:t>
      </w:r>
      <w:r>
        <w:rPr>
          <w:rFonts w:hint="eastAsia" w:ascii="宋体" w:hAnsi="宋体"/>
          <w:color w:val="000000" w:themeColor="text1"/>
          <w:kern w:val="0"/>
          <w:szCs w:val="21"/>
          <w:highlight w:val="none"/>
          <w14:textFill>
            <w14:solidFill>
              <w14:schemeClr w14:val="tx1"/>
            </w14:solidFill>
          </w14:textFill>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14:paraId="16EDECA6">
      <w:pPr>
        <w:spacing w:line="360" w:lineRule="auto"/>
        <w:ind w:firstLine="420" w:firstLineChars="200"/>
        <w:rPr>
          <w:rFonts w:hint="eastAsia"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在货物采购项目中，货物由中小企业制造，即货物由中小企业生产且使用该中小企业商号或者注册商标，不对其中涉及的工程承建商和货物的承接商作出要求；</w:t>
      </w:r>
    </w:p>
    <w:p w14:paraId="0F3EC3E7">
      <w:pPr>
        <w:spacing w:line="360" w:lineRule="auto"/>
        <w:ind w:firstLine="420" w:firstLineChars="200"/>
        <w:rPr>
          <w:rFonts w:hint="eastAsia"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0211104A">
      <w:pPr>
        <w:spacing w:line="360" w:lineRule="auto"/>
        <w:ind w:firstLine="420" w:firstLineChars="200"/>
        <w:textAlignment w:val="center"/>
        <w:rPr>
          <w:rFonts w:hint="eastAsia"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依据本文件规定享受扶持政策获得政府采购合同的，小微企业不得将合同分包给大中型企业，中型企业不得将合同分包给大型企业。</w:t>
      </w:r>
    </w:p>
    <w:p w14:paraId="023F9E9F">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35.政采贷相关说明</w:t>
      </w:r>
    </w:p>
    <w:p w14:paraId="4AF46A1E">
      <w:pPr>
        <w:spacing w:line="360" w:lineRule="auto"/>
        <w:ind w:firstLine="420" w:firstLineChars="200"/>
        <w:rPr>
          <w:rFonts w:hint="eastAsia"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为优化政府采购营商环境，缓解供应商资金难题，南宁市政府采购试行政府采购信用融资制度，中标供应商如有融资需求，可凭政府采购合同通过以下方式申请政府采购信用融资贷款：</w:t>
      </w:r>
    </w:p>
    <w:p w14:paraId="03D1181A">
      <w:pPr>
        <w:numPr>
          <w:ilvl w:val="0"/>
          <w:numId w:val="2"/>
        </w:numPr>
        <w:spacing w:line="360" w:lineRule="auto"/>
        <w:ind w:firstLine="420" w:firstLineChars="200"/>
        <w:rPr>
          <w:rFonts w:hint="eastAsia"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线下渠道：在“南宁市公共资源交易中心”官网（网址：</w:t>
      </w:r>
      <w:r>
        <w:rPr>
          <w:rFonts w:hint="eastAsia" w:ascii="宋体" w:hAnsi="宋体"/>
          <w:color w:val="000000" w:themeColor="text1"/>
          <w:kern w:val="0"/>
          <w:szCs w:val="21"/>
          <w:highlight w:val="none"/>
          <w14:textFill>
            <w14:solidFill>
              <w14:schemeClr w14:val="tx1"/>
            </w14:solidFill>
          </w14:textFill>
        </w:rPr>
        <w:fldChar w:fldCharType="begin"/>
      </w:r>
      <w:r>
        <w:rPr>
          <w:rFonts w:hint="eastAsia" w:ascii="宋体" w:hAnsi="宋体"/>
          <w:color w:val="000000" w:themeColor="text1"/>
          <w:kern w:val="0"/>
          <w:szCs w:val="21"/>
          <w:highlight w:val="none"/>
          <w14:textFill>
            <w14:solidFill>
              <w14:schemeClr w14:val="tx1"/>
            </w14:solidFill>
          </w14:textFill>
        </w:rPr>
        <w:instrText xml:space="preserve"> HYPERLINK "http://www.nnggzy.org.cn）\“交易信息-政府采购-政府采购信用融资\”中融资银行和南宁市企业融资货物中心专栏信息申请政府采购信用融资。" </w:instrText>
      </w:r>
      <w:r>
        <w:rPr>
          <w:rFonts w:hint="eastAsia" w:ascii="宋体" w:hAnsi="宋体"/>
          <w:color w:val="000000" w:themeColor="text1"/>
          <w:kern w:val="0"/>
          <w:szCs w:val="21"/>
          <w:highlight w:val="none"/>
          <w14:textFill>
            <w14:solidFill>
              <w14:schemeClr w14:val="tx1"/>
            </w14:solidFill>
          </w14:textFill>
        </w:rPr>
        <w:fldChar w:fldCharType="separate"/>
      </w:r>
      <w:r>
        <w:rPr>
          <w:rStyle w:val="41"/>
          <w:rFonts w:hint="eastAsia" w:hAnsi="宋体"/>
          <w:color w:val="000000" w:themeColor="text1"/>
          <w:highlight w:val="none"/>
          <w14:textFill>
            <w14:solidFill>
              <w14:schemeClr w14:val="tx1"/>
            </w14:solidFill>
          </w14:textFill>
        </w:rPr>
        <w:t>http://www.nnggzy.org.cn）“交易信息-政府采购-政府采购信用融资”中融资银行和南宁市企业融资货物中心专栏信息申请政府采购信用融资。</w:t>
      </w:r>
      <w:r>
        <w:rPr>
          <w:rFonts w:hint="eastAsia" w:ascii="宋体" w:hAnsi="宋体"/>
          <w:color w:val="000000" w:themeColor="text1"/>
          <w:kern w:val="0"/>
          <w:szCs w:val="21"/>
          <w:highlight w:val="none"/>
          <w14:textFill>
            <w14:solidFill>
              <w14:schemeClr w14:val="tx1"/>
            </w14:solidFill>
          </w14:textFill>
        </w:rPr>
        <w:fldChar w:fldCharType="end"/>
      </w:r>
    </w:p>
    <w:p w14:paraId="20602EDE">
      <w:pPr>
        <w:numPr>
          <w:ilvl w:val="0"/>
          <w:numId w:val="2"/>
        </w:numPr>
        <w:wordWrap w:val="0"/>
        <w:spacing w:line="360" w:lineRule="auto"/>
        <w:ind w:firstLine="402" w:firstLineChars="200"/>
        <w:rPr>
          <w:rFonts w:hint="eastAsia" w:ascii="宋体" w:hAnsi="Courier New"/>
          <w:color w:val="000000" w:themeColor="text1"/>
          <w:kern w:val="0"/>
          <w:sz w:val="20"/>
          <w:szCs w:val="21"/>
          <w:highlight w:val="none"/>
          <w14:textFill>
            <w14:solidFill>
              <w14:schemeClr w14:val="tx1"/>
            </w14:solidFill>
          </w14:textFill>
        </w:rPr>
      </w:pPr>
      <w:r>
        <w:rPr>
          <w:rFonts w:hint="eastAsia" w:ascii="宋体" w:hAnsi="宋体"/>
          <w:b/>
          <w:color w:val="000000" w:themeColor="text1"/>
          <w:kern w:val="0"/>
          <w:sz w:val="20"/>
          <w:szCs w:val="21"/>
          <w:highlight w:val="none"/>
          <w14:textFill>
            <w14:solidFill>
              <w14:schemeClr w14:val="tx1"/>
            </w14:solidFill>
          </w14:textFill>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b/>
          <w:color w:val="000000" w:themeColor="text1"/>
          <w:kern w:val="0"/>
          <w:sz w:val="20"/>
          <w:szCs w:val="21"/>
          <w:highlight w:val="none"/>
          <w14:textFill>
            <w14:solidFill>
              <w14:schemeClr w14:val="tx1"/>
            </w14:solidFill>
          </w14:textFill>
        </w:rPr>
        <w:br w:type="page"/>
      </w:r>
    </w:p>
    <w:p w14:paraId="64299CB0">
      <w:pPr>
        <w:pStyle w:val="3"/>
        <w:jc w:val="center"/>
        <w:rPr>
          <w:rFonts w:hint="eastAsia"/>
          <w:color w:val="000000" w:themeColor="text1"/>
          <w:highlight w:val="none"/>
          <w14:textFill>
            <w14:solidFill>
              <w14:schemeClr w14:val="tx1"/>
            </w14:solidFill>
          </w14:textFill>
        </w:rPr>
      </w:pPr>
      <w:bookmarkStart w:id="106" w:name="_Toc16059"/>
      <w:bookmarkStart w:id="107" w:name="_Toc20686"/>
      <w:bookmarkStart w:id="108" w:name="_Toc2412"/>
      <w:bookmarkStart w:id="109" w:name="_Toc21830"/>
      <w:bookmarkStart w:id="110" w:name="_Toc3186"/>
      <w:bookmarkStart w:id="111" w:name="_Toc9506"/>
      <w:bookmarkStart w:id="112" w:name="_Toc5966"/>
      <w:bookmarkStart w:id="113" w:name="_Toc13889"/>
      <w:r>
        <w:rPr>
          <w:rFonts w:hint="eastAsia"/>
          <w:color w:val="000000" w:themeColor="text1"/>
          <w:highlight w:val="none"/>
          <w14:textFill>
            <w14:solidFill>
              <w14:schemeClr w14:val="tx1"/>
            </w14:solidFill>
          </w14:textFill>
        </w:rPr>
        <w:t>第四章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评审程序、评审方法和成交标准</w:t>
      </w:r>
      <w:bookmarkEnd w:id="106"/>
      <w:bookmarkEnd w:id="107"/>
      <w:bookmarkEnd w:id="108"/>
      <w:bookmarkEnd w:id="109"/>
      <w:bookmarkEnd w:id="110"/>
      <w:bookmarkEnd w:id="111"/>
      <w:bookmarkEnd w:id="112"/>
      <w:bookmarkEnd w:id="113"/>
    </w:p>
    <w:p w14:paraId="08CD572D">
      <w:pPr>
        <w:keepNext/>
        <w:keepLines/>
        <w:spacing w:line="360" w:lineRule="auto"/>
        <w:ind w:firstLine="640" w:firstLineChars="200"/>
        <w:jc w:val="center"/>
        <w:outlineLvl w:val="1"/>
        <w:rPr>
          <w:rFonts w:ascii="宋体" w:hAnsi="宋体"/>
          <w:bCs/>
          <w:color w:val="000000" w:themeColor="text1"/>
          <w:sz w:val="32"/>
          <w:szCs w:val="32"/>
          <w:highlight w:val="none"/>
          <w14:textFill>
            <w14:solidFill>
              <w14:schemeClr w14:val="tx1"/>
            </w14:solidFill>
          </w14:textFill>
        </w:rPr>
      </w:pPr>
      <w:bookmarkStart w:id="114" w:name="_Toc1704"/>
      <w:bookmarkStart w:id="115" w:name="_Toc25792"/>
      <w:bookmarkStart w:id="116" w:name="_Toc18027"/>
      <w:bookmarkStart w:id="117" w:name="_Toc30713"/>
      <w:bookmarkStart w:id="118" w:name="_Toc26722"/>
      <w:bookmarkStart w:id="119" w:name="_Toc32155"/>
      <w:bookmarkStart w:id="120" w:name="_Toc27194"/>
      <w:bookmarkStart w:id="121" w:name="_Toc21573"/>
      <w:r>
        <w:rPr>
          <w:rFonts w:hint="eastAsia" w:ascii="宋体" w:hAnsi="宋体"/>
          <w:bCs/>
          <w:color w:val="000000" w:themeColor="text1"/>
          <w:sz w:val="32"/>
          <w:szCs w:val="32"/>
          <w:highlight w:val="none"/>
          <w14:textFill>
            <w14:solidFill>
              <w14:schemeClr w14:val="tx1"/>
            </w14:solidFill>
          </w14:textFill>
        </w:rPr>
        <w:t>第一节 评审程序和评审方法</w:t>
      </w:r>
      <w:bookmarkEnd w:id="114"/>
      <w:bookmarkEnd w:id="115"/>
      <w:bookmarkEnd w:id="116"/>
      <w:bookmarkEnd w:id="117"/>
      <w:bookmarkEnd w:id="118"/>
      <w:bookmarkEnd w:id="119"/>
      <w:bookmarkEnd w:id="120"/>
      <w:bookmarkEnd w:id="121"/>
    </w:p>
    <w:p w14:paraId="7D09677F">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1.确认谈判文件</w:t>
      </w:r>
    </w:p>
    <w:p w14:paraId="6B34258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由谈判小组确认谈判文件。</w:t>
      </w:r>
    </w:p>
    <w:p w14:paraId="1AE34183">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2.资格审查</w:t>
      </w:r>
    </w:p>
    <w:p w14:paraId="33732E80">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w:t>
      </w:r>
      <w:r>
        <w:rPr>
          <w:rFonts w:hint="eastAsia" w:ascii="宋体" w:hAnsi="宋体"/>
          <w:color w:val="000000" w:themeColor="text1"/>
          <w:szCs w:val="21"/>
          <w:highlight w:val="none"/>
          <w14:textFill>
            <w14:solidFill>
              <w14:schemeClr w14:val="tx1"/>
            </w14:solidFill>
          </w14:textFill>
        </w:rPr>
        <w:t>响应文件开启后，谈判小组依法对供应商的资格证明文件进行审查。</w:t>
      </w:r>
    </w:p>
    <w:p w14:paraId="799D6823">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注：采购人代表或者采购代理机构在资格审查结束前，对供应商进行信用查询。</w:t>
      </w:r>
    </w:p>
    <w:p w14:paraId="4F3B6766">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（1）查询渠道：广西政府采购云平台“信用中国”网站(</w:t>
      </w:r>
      <w:r>
        <w:rPr>
          <w:rFonts w:ascii="宋体" w:hAnsi="宋体" w:cs="宋体"/>
          <w:color w:val="000000" w:themeColor="text1"/>
          <w:szCs w:val="21"/>
          <w:highlight w:val="none"/>
          <w14:textFill>
            <w14:solidFill>
              <w14:schemeClr w14:val="tx1"/>
            </w14:solidFill>
          </w14:textFill>
        </w:rPr>
        <w:fldChar w:fldCharType="begin"/>
      </w:r>
      <w:r>
        <w:rPr>
          <w:rFonts w:ascii="宋体" w:hAnsi="宋体" w:cs="宋体"/>
          <w:color w:val="000000" w:themeColor="text1"/>
          <w:szCs w:val="21"/>
          <w:highlight w:val="none"/>
          <w14:textFill>
            <w14:solidFill>
              <w14:schemeClr w14:val="tx1"/>
            </w14:solidFill>
          </w14:textFill>
        </w:rPr>
        <w:instrText xml:space="preserve"> HYPERLINK "http://www.creditchina.gov.cn" </w:instrText>
      </w:r>
      <w:r>
        <w:rPr>
          <w:rFonts w:ascii="宋体" w:hAnsi="宋体" w:cs="宋体"/>
          <w:color w:val="000000" w:themeColor="text1"/>
          <w:szCs w:val="21"/>
          <w:highlight w:val="none"/>
          <w14:textFill>
            <w14:solidFill>
              <w14:schemeClr w14:val="tx1"/>
            </w14:solidFill>
          </w14:textFill>
        </w:rPr>
        <w:fldChar w:fldCharType="separate"/>
      </w:r>
      <w:r>
        <w:rPr>
          <w:rStyle w:val="41"/>
          <w:rFonts w:hint="eastAsia" w:ascii="宋体" w:hAnsi="宋体" w:cs="宋体"/>
          <w:color w:val="000000" w:themeColor="text1"/>
          <w:highlight w:val="none"/>
          <w14:textFill>
            <w14:solidFill>
              <w14:schemeClr w14:val="tx1"/>
            </w14:solidFill>
          </w14:textFill>
        </w:rPr>
        <w:t>www.creditchina.gov.cn</w:t>
      </w:r>
      <w:r>
        <w:rPr>
          <w:rFonts w:ascii="宋体" w:hAnsi="宋体" w:cs="宋体"/>
          <w:color w:val="000000" w:themeColor="text1"/>
          <w:szCs w:val="21"/>
          <w:highlight w:val="none"/>
          <w14:textFill>
            <w14:solidFill>
              <w14:schemeClr w14:val="tx1"/>
            </w14:solidFill>
          </w14:textFill>
        </w:rPr>
        <w:fldChar w:fldCharType="end"/>
      </w:r>
      <w:r>
        <w:rPr>
          <w:rFonts w:hint="eastAsia" w:ascii="宋体" w:hAnsi="宋体" w:cs="宋体"/>
          <w:color w:val="000000" w:themeColor="text1"/>
          <w:szCs w:val="21"/>
          <w:highlight w:val="none"/>
          <w14:textFill>
            <w14:solidFill>
              <w14:schemeClr w14:val="tx1"/>
            </w14:solidFill>
          </w14:textFill>
        </w:rPr>
        <w:t>)、中国政府采购网(</w:t>
      </w:r>
      <w:r>
        <w:rPr>
          <w:rFonts w:ascii="宋体" w:hAnsi="宋体" w:cs="宋体"/>
          <w:color w:val="000000" w:themeColor="text1"/>
          <w:szCs w:val="21"/>
          <w:highlight w:val="none"/>
          <w14:textFill>
            <w14:solidFill>
              <w14:schemeClr w14:val="tx1"/>
            </w14:solidFill>
          </w14:textFill>
        </w:rPr>
        <w:fldChar w:fldCharType="begin"/>
      </w:r>
      <w:r>
        <w:rPr>
          <w:rFonts w:ascii="宋体" w:hAnsi="宋体" w:cs="宋体"/>
          <w:color w:val="000000" w:themeColor="text1"/>
          <w:szCs w:val="21"/>
          <w:highlight w:val="none"/>
          <w14:textFill>
            <w14:solidFill>
              <w14:schemeClr w14:val="tx1"/>
            </w14:solidFill>
          </w14:textFill>
        </w:rPr>
        <w:instrText xml:space="preserve"> HYPERLINK "http://www.ccgp.gov.cn" </w:instrText>
      </w:r>
      <w:r>
        <w:rPr>
          <w:rFonts w:ascii="宋体" w:hAnsi="宋体" w:cs="宋体"/>
          <w:color w:val="000000" w:themeColor="text1"/>
          <w:szCs w:val="21"/>
          <w:highlight w:val="none"/>
          <w14:textFill>
            <w14:solidFill>
              <w14:schemeClr w14:val="tx1"/>
            </w14:solidFill>
          </w14:textFill>
        </w:rPr>
        <w:fldChar w:fldCharType="separate"/>
      </w:r>
      <w:r>
        <w:rPr>
          <w:rStyle w:val="41"/>
          <w:rFonts w:hint="eastAsia" w:ascii="宋体" w:hAnsi="宋体" w:cs="宋体"/>
          <w:color w:val="000000" w:themeColor="text1"/>
          <w:highlight w:val="none"/>
          <w14:textFill>
            <w14:solidFill>
              <w14:schemeClr w14:val="tx1"/>
            </w14:solidFill>
          </w14:textFill>
        </w:rPr>
        <w:t>www.ccgp.gov.cn</w:t>
      </w:r>
      <w:r>
        <w:rPr>
          <w:rFonts w:ascii="宋体" w:hAnsi="宋体" w:cs="宋体"/>
          <w:color w:val="000000" w:themeColor="text1"/>
          <w:szCs w:val="21"/>
          <w:highlight w:val="none"/>
          <w14:textFill>
            <w14:solidFill>
              <w14:schemeClr w14:val="tx1"/>
            </w14:solidFill>
          </w14:textFill>
        </w:rPr>
        <w:fldChar w:fldCharType="end"/>
      </w:r>
      <w:r>
        <w:rPr>
          <w:rFonts w:hint="eastAsia" w:ascii="宋体" w:hAnsi="宋体" w:cs="宋体"/>
          <w:color w:val="000000" w:themeColor="text1"/>
          <w:szCs w:val="21"/>
          <w:highlight w:val="none"/>
          <w14:textFill>
            <w14:solidFill>
              <w14:schemeClr w14:val="tx1"/>
            </w14:solidFill>
          </w14:textFill>
        </w:rPr>
        <w:t>)链接入口。</w:t>
      </w:r>
    </w:p>
    <w:p w14:paraId="1E40B644">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（2）信用查询截止时点：资格审查结束前。</w:t>
      </w:r>
    </w:p>
    <w:p w14:paraId="6C8497BA">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查询记录和证据留存方式：在查询网站中直接打印查询记录，截图另存为电子文档作为评审资料保存。</w:t>
      </w:r>
    </w:p>
    <w:p w14:paraId="226272C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C2C88C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2.2资格审查标准为本谈判文件中载明对供应商资格要求的条件。资格审查采用合格制，凡符合谈判文件规定的供应商资格要求的响应文件均通过资格审查。</w:t>
      </w:r>
    </w:p>
    <w:p w14:paraId="25BDCBC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2.3供应商有下列情形之一的，资格审查不通过，其响应文件按无效响应处理：</w:t>
      </w:r>
    </w:p>
    <w:p w14:paraId="040966BF">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（1）不具备谈判文件中规定的资格要求的；</w:t>
      </w:r>
    </w:p>
    <w:p w14:paraId="074A75A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（2）响应文件未提供任一项“供应商须知前附表”资格证明文件规定的“必须提供”的文件资料的；</w:t>
      </w:r>
    </w:p>
    <w:p w14:paraId="03CE362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（3）响应文件提供的资格证明文件出现任一项不符合“供应商须知前附表”资格证明文件规定的“必须提供”的文件资料要求或者无效的。</w:t>
      </w:r>
    </w:p>
    <w:p w14:paraId="7B3D217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（4）同一合同项下的不同供应商，单位负责人为同一人或者存在直接控股、管理关系的；为本项目提供过整体设计、规范编制或者项目管理、监理、检测等货物的。</w:t>
      </w:r>
    </w:p>
    <w:p w14:paraId="26AB88F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2.4通过资格审查的合格供应商不足3家的，不得进入符合性审查环节，</w:t>
      </w:r>
      <w:r>
        <w:rPr>
          <w:rFonts w:hint="eastAsia" w:ascii="宋体" w:hAnsi="宋体"/>
          <w:color w:val="000000" w:themeColor="text1"/>
          <w:szCs w:val="21"/>
          <w:highlight w:val="none"/>
          <w14:textFill>
            <w14:solidFill>
              <w14:schemeClr w14:val="tx1"/>
            </w14:solidFill>
          </w14:textFill>
        </w:rPr>
        <w:t>采购人或者采购代理机构应当重新开展采购活动。</w:t>
      </w:r>
    </w:p>
    <w:p w14:paraId="6FF3D70F">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3.符合性审查</w:t>
      </w:r>
    </w:p>
    <w:p w14:paraId="553023D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3.1由谈判小组对</w:t>
      </w:r>
      <w:r>
        <w:rPr>
          <w:rFonts w:hint="eastAsia" w:ascii="宋体" w:hAnsi="宋体"/>
          <w:color w:val="000000" w:themeColor="text1"/>
          <w:szCs w:val="21"/>
          <w:highlight w:val="none"/>
          <w14:textFill>
            <w14:solidFill>
              <w14:schemeClr w14:val="tx1"/>
            </w14:solidFill>
          </w14:textFill>
        </w:rPr>
        <w:t>通过资格审查的合格供应商</w:t>
      </w:r>
      <w:r>
        <w:rPr>
          <w:rFonts w:hint="eastAsia" w:ascii="宋体" w:hAnsi="宋体" w:cs="宋体"/>
          <w:color w:val="000000" w:themeColor="text1"/>
          <w:szCs w:val="21"/>
          <w:highlight w:val="none"/>
          <w14:textFill>
            <w14:solidFill>
              <w14:schemeClr w14:val="tx1"/>
            </w14:solidFill>
          </w14:textFill>
        </w:rPr>
        <w:t>的响应文件的响应报价、商务、技术等实质性要求进行符合性审查，以确定其是否满足谈判文件的实质性要求。</w:t>
      </w:r>
    </w:p>
    <w:p w14:paraId="0BBA196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00C42B9">
      <w:pPr>
        <w:spacing w:line="360" w:lineRule="auto"/>
        <w:ind w:firstLine="420" w:firstLineChars="200"/>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w:t>
      </w:r>
      <w:r>
        <w:rPr>
          <w:rFonts w:hint="eastAsia" w:ascii="宋体" w:hAnsi="宋体" w:cs="宋体"/>
          <w:color w:val="000000" w:themeColor="text1"/>
          <w:spacing w:val="-6"/>
          <w:szCs w:val="21"/>
          <w:highlight w:val="none"/>
          <w14:textFill>
            <w14:solidFill>
              <w14:schemeClr w14:val="tx1"/>
            </w14:solidFill>
          </w14:textFill>
        </w:rPr>
        <w:t>。供应商为自然人的，必须由本人签字并附身份证明。</w:t>
      </w:r>
    </w:p>
    <w:p w14:paraId="42D0ED5D">
      <w:pPr>
        <w:spacing w:line="360" w:lineRule="auto"/>
        <w:ind w:firstLine="396"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3.4</w:t>
      </w:r>
      <w:r>
        <w:rPr>
          <w:rFonts w:hint="eastAsia" w:ascii="宋体" w:hAnsi="宋体" w:cs="宋体"/>
          <w:color w:val="000000" w:themeColor="text1"/>
          <w:szCs w:val="21"/>
          <w:highlight w:val="none"/>
          <w14:textFill>
            <w14:solidFill>
              <w14:schemeClr w14:val="tx1"/>
            </w14:solidFill>
          </w14:textFill>
        </w:rPr>
        <w:t xml:space="preserve">首次响应文件报价出现前后不一致的，按照下列规定修正： </w:t>
      </w:r>
    </w:p>
    <w:p w14:paraId="56A666F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（1）响应文件中报价表内容与响应文件中相应内容不一致的，以报价表为准；</w:t>
      </w:r>
    </w:p>
    <w:p w14:paraId="63AD006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（2）大写金额和小写金额不一致的，以大写金额为准；</w:t>
      </w:r>
    </w:p>
    <w:p w14:paraId="0FB7C85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（3）单价金额小数点或者百分比有明显错位的，以报价表的总价为准，并修改单价；</w:t>
      </w:r>
    </w:p>
    <w:p w14:paraId="31BE158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（4）总价金额与按单价汇总金额不一致的，以单价金额计算结果为准。</w:t>
      </w:r>
    </w:p>
    <w:p w14:paraId="3437BCC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同时出现两种以上不一致的，按照以上（1）-（4）规定的顺序逐条进行修正。修正后的报价经供应商确认后产生约束力，供应商不确认的，其响应文件按无效响应处理。</w:t>
      </w:r>
    </w:p>
    <w:p w14:paraId="349560B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3.5商务技术、报价评审</w:t>
      </w:r>
    </w:p>
    <w:p w14:paraId="2C8DC1E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在评审时，如发现下列情形之一的，将被视为响应文件无效处理：</w:t>
      </w:r>
    </w:p>
    <w:p w14:paraId="4327705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（1）商务技术评审</w:t>
      </w:r>
    </w:p>
    <w:p w14:paraId="178BCBE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1）响应文件未按谈判文件要求签署、盖章；</w:t>
      </w:r>
    </w:p>
    <w:p w14:paraId="10D0C4F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2）委托代理人未能出具有效身份证明或者出具的身份证明与授权委托书中的信息不符； </w:t>
      </w:r>
    </w:p>
    <w:p w14:paraId="78A1C7E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2DFDE8D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4）商务条款中标“▲”的条款发生负偏离的或者允许负偏离的条款数超过“供应商须知前附表”规定项数的或者标明实质性的要求发生负偏离；</w:t>
      </w:r>
    </w:p>
    <w:p w14:paraId="5B832A8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5）未对竞标有效期作出响应或者响应文件承诺的竞标有效期不满足谈判文件要求；</w:t>
      </w:r>
    </w:p>
    <w:p w14:paraId="58873F7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6）响应文件的实质性内容未使用中文表述、使用计量单位不符合谈判文件要求；</w:t>
      </w:r>
    </w:p>
    <w:p w14:paraId="2F331DC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7）响应文件中的文件资料因填写不齐全或者内容虚假或者出现其他情形而导致被谈判小组认定无效；</w:t>
      </w:r>
    </w:p>
    <w:p w14:paraId="3E97D5B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8）响应文件含有采购人不能接受的附加条件；</w:t>
      </w:r>
    </w:p>
    <w:p w14:paraId="1B53D60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9）属于“供应商须知正文”第7.5条情形；</w:t>
      </w:r>
    </w:p>
    <w:p w14:paraId="58FF4C7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10）技术需求允许负偏离的条款数超过“供应商须知前附表”规定项数；</w:t>
      </w:r>
    </w:p>
    <w:p w14:paraId="739D861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11）虚假竞标，或者出现其他情形而导致被谈判小组认定无效；</w:t>
      </w:r>
    </w:p>
    <w:p w14:paraId="6C32EA3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12）竞标技术方案不明确，谈判文件未允许</w:t>
      </w:r>
      <w:r>
        <w:rPr>
          <w:rFonts w:hint="eastAsia" w:ascii="宋体" w:hAnsi="宋体"/>
          <w:color w:val="000000" w:themeColor="text1"/>
          <w:szCs w:val="21"/>
          <w:highlight w:val="none"/>
          <w14:textFill>
            <w14:solidFill>
              <w14:schemeClr w14:val="tx1"/>
            </w14:solidFill>
          </w14:textFill>
        </w:rPr>
        <w:t>但响应文件中</w:t>
      </w:r>
      <w:r>
        <w:rPr>
          <w:rFonts w:hint="eastAsia" w:ascii="宋体" w:hAnsi="宋体" w:cs="宋体"/>
          <w:color w:val="000000" w:themeColor="text1"/>
          <w:szCs w:val="21"/>
          <w:highlight w:val="none"/>
          <w14:textFill>
            <w14:solidFill>
              <w14:schemeClr w14:val="tx1"/>
            </w14:solidFill>
          </w14:textFill>
        </w:rPr>
        <w:t>存在一个或者一个以上备选（替代）竞标方案；</w:t>
      </w:r>
    </w:p>
    <w:p w14:paraId="326D2CD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13）响应文件标注的项目名称或者项目编号与竞争性谈判文件标注的项目名称或者项目编号不一致的；</w:t>
      </w:r>
    </w:p>
    <w:p w14:paraId="25C612D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14）未响应谈判文件实质性要求；</w:t>
      </w:r>
    </w:p>
    <w:p w14:paraId="01DA37D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15）法律、法规和谈判文件规定的其他无效情形。</w:t>
      </w:r>
    </w:p>
    <w:p w14:paraId="0AD845F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（2）报价评审</w:t>
      </w:r>
    </w:p>
    <w:p w14:paraId="19E06938">
      <w:pPr>
        <w:snapToGrid w:val="0"/>
        <w:spacing w:line="360" w:lineRule="auto"/>
        <w:ind w:firstLine="420" w:firstLineChars="200"/>
        <w:textAlignment w:val="baseline"/>
        <w:rPr>
          <w:rStyle w:val="92"/>
          <w:rFonts w:hint="eastAsia" w:ascii="宋体" w:hAnsi="宋体" w:cs="宋体"/>
          <w:color w:val="000000" w:themeColor="text1"/>
          <w:szCs w:val="21"/>
          <w:highlight w:val="none"/>
          <w14:textFill>
            <w14:solidFill>
              <w14:schemeClr w14:val="tx1"/>
            </w14:solidFill>
          </w14:textFill>
        </w:rPr>
      </w:pPr>
      <w:r>
        <w:rPr>
          <w:rStyle w:val="92"/>
          <w:rFonts w:hint="eastAsia" w:ascii="宋体" w:hAnsi="宋体" w:cs="宋体"/>
          <w:color w:val="000000" w:themeColor="text1"/>
          <w:szCs w:val="21"/>
          <w:highlight w:val="none"/>
          <w14:textFill>
            <w14:solidFill>
              <w14:schemeClr w14:val="tx1"/>
            </w14:solidFill>
          </w14:textFill>
        </w:rPr>
        <w:t>1) 响应文件未提供“供应商须知前附表” 报价文件中规定的“响应报价表、已标价工程量清单”；</w:t>
      </w:r>
    </w:p>
    <w:p w14:paraId="055CB582">
      <w:pPr>
        <w:snapToGrid w:val="0"/>
        <w:spacing w:line="360" w:lineRule="auto"/>
        <w:ind w:firstLine="420" w:firstLineChars="200"/>
        <w:textAlignment w:val="baseline"/>
        <w:rPr>
          <w:rStyle w:val="92"/>
          <w:rFonts w:hint="eastAsia" w:ascii="宋体" w:hAnsi="宋体" w:cs="宋体"/>
          <w:color w:val="000000" w:themeColor="text1"/>
          <w:szCs w:val="21"/>
          <w:highlight w:val="none"/>
          <w14:textFill>
            <w14:solidFill>
              <w14:schemeClr w14:val="tx1"/>
            </w14:solidFill>
          </w14:textFill>
        </w:rPr>
      </w:pPr>
      <w:r>
        <w:rPr>
          <w:rStyle w:val="92"/>
          <w:rFonts w:hint="eastAsia" w:ascii="宋体" w:hAnsi="宋体" w:cs="宋体"/>
          <w:color w:val="000000" w:themeColor="text1"/>
          <w:szCs w:val="21"/>
          <w:highlight w:val="none"/>
          <w14:textFill>
            <w14:solidFill>
              <w14:schemeClr w14:val="tx1"/>
            </w14:solidFill>
          </w14:textFill>
        </w:rPr>
        <w:t>2）未采用人民币报价或者未按照谈判文件标明的币种报价；</w:t>
      </w:r>
    </w:p>
    <w:p w14:paraId="34978817">
      <w:pPr>
        <w:snapToGrid w:val="0"/>
        <w:spacing w:line="360" w:lineRule="auto"/>
        <w:ind w:firstLine="420" w:firstLineChars="200"/>
        <w:textAlignment w:val="baseline"/>
        <w:rPr>
          <w:rStyle w:val="92"/>
          <w:rFonts w:hint="eastAsia" w:ascii="宋体" w:hAnsi="宋体" w:cs="宋体"/>
          <w:color w:val="000000" w:themeColor="text1"/>
          <w:szCs w:val="21"/>
          <w:highlight w:val="none"/>
          <w14:textFill>
            <w14:solidFill>
              <w14:schemeClr w14:val="tx1"/>
            </w14:solidFill>
          </w14:textFill>
        </w:rPr>
      </w:pPr>
      <w:r>
        <w:rPr>
          <w:rStyle w:val="92"/>
          <w:rFonts w:hint="eastAsia" w:ascii="宋体" w:hAnsi="宋体" w:cs="宋体"/>
          <w:color w:val="000000" w:themeColor="text1"/>
          <w:szCs w:val="21"/>
          <w:highlight w:val="none"/>
          <w14:textFill>
            <w14:solidFill>
              <w14:schemeClr w14:val="tx1"/>
            </w14:solidFill>
          </w14:textFill>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13EE29F5">
      <w:pPr>
        <w:snapToGrid w:val="0"/>
        <w:spacing w:line="360" w:lineRule="auto"/>
        <w:ind w:firstLine="420" w:firstLineChars="200"/>
        <w:textAlignment w:val="baseline"/>
        <w:rPr>
          <w:rStyle w:val="92"/>
          <w:rFonts w:hint="eastAsia" w:ascii="宋体" w:hAnsi="宋体" w:cs="宋体"/>
          <w:color w:val="000000" w:themeColor="text1"/>
          <w:szCs w:val="21"/>
          <w:highlight w:val="none"/>
          <w14:textFill>
            <w14:solidFill>
              <w14:schemeClr w14:val="tx1"/>
            </w14:solidFill>
          </w14:textFill>
        </w:rPr>
      </w:pPr>
      <w:r>
        <w:rPr>
          <w:rStyle w:val="92"/>
          <w:rFonts w:hint="eastAsia" w:ascii="宋体" w:hAnsi="宋体" w:cs="宋体"/>
          <w:color w:val="000000" w:themeColor="text1"/>
          <w:szCs w:val="21"/>
          <w:highlight w:val="none"/>
          <w14:textFill>
            <w14:solidFill>
              <w14:schemeClr w14:val="tx1"/>
            </w14:solidFill>
          </w14:textFill>
        </w:rPr>
        <w:t>4）响应报价（包含首次报价、最后报价）超过所竞标分标规定的采购预算金额或者最高限价的（如本项目公布了最高限价）；响应报价（包含首次报价、最后报价）超过谈判文件分项采购预算金额或者最高限价的（如本项目公布了最高限价）；</w:t>
      </w:r>
    </w:p>
    <w:p w14:paraId="56B5FA68">
      <w:pPr>
        <w:snapToGrid w:val="0"/>
        <w:spacing w:line="360" w:lineRule="auto"/>
        <w:ind w:firstLine="420" w:firstLineChars="200"/>
        <w:textAlignment w:val="baseline"/>
        <w:rPr>
          <w:rStyle w:val="92"/>
          <w:rFonts w:hint="eastAsia" w:ascii="宋体" w:hAnsi="宋体" w:cs="宋体"/>
          <w:color w:val="000000" w:themeColor="text1"/>
          <w:szCs w:val="21"/>
          <w:highlight w:val="none"/>
          <w14:textFill>
            <w14:solidFill>
              <w14:schemeClr w14:val="tx1"/>
            </w14:solidFill>
          </w14:textFill>
        </w:rPr>
      </w:pPr>
      <w:r>
        <w:rPr>
          <w:rStyle w:val="92"/>
          <w:rFonts w:hint="eastAsia" w:ascii="宋体" w:hAnsi="宋体" w:cs="宋体"/>
          <w:color w:val="000000" w:themeColor="text1"/>
          <w:szCs w:val="21"/>
          <w:highlight w:val="none"/>
          <w14:textFill>
            <w14:solidFill>
              <w14:schemeClr w14:val="tx1"/>
            </w14:solidFill>
          </w14:textFill>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14:paraId="03D07E61">
      <w:pPr>
        <w:snapToGrid w:val="0"/>
        <w:spacing w:line="360" w:lineRule="auto"/>
        <w:ind w:firstLine="420" w:firstLineChars="200"/>
        <w:textAlignment w:val="baseline"/>
        <w:rPr>
          <w:rStyle w:val="92"/>
          <w:rFonts w:hint="eastAsia" w:ascii="宋体" w:hAnsi="宋体" w:cs="宋体"/>
          <w:color w:val="000000" w:themeColor="text1"/>
          <w:szCs w:val="21"/>
          <w:highlight w:val="none"/>
          <w14:textFill>
            <w14:solidFill>
              <w14:schemeClr w14:val="tx1"/>
            </w14:solidFill>
          </w14:textFill>
        </w:rPr>
      </w:pPr>
      <w:r>
        <w:rPr>
          <w:rStyle w:val="92"/>
          <w:rFonts w:hint="eastAsia" w:ascii="宋体" w:hAnsi="宋体" w:cs="宋体"/>
          <w:color w:val="000000" w:themeColor="text1"/>
          <w:szCs w:val="21"/>
          <w:highlight w:val="none"/>
          <w14:textFill>
            <w14:solidFill>
              <w14:schemeClr w14:val="tx1"/>
            </w14:solidFill>
          </w14:textFill>
        </w:rPr>
        <w:t>6）响应文件响应的标的数量及单位与竞争性谈判采购文件要求实质性不一致的。</w:t>
      </w:r>
    </w:p>
    <w:p w14:paraId="7D2B253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532CAD4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3.7通过符合性审查的合格供应商不足3家的，不得进入谈判环节，应当重新开展采购活动。</w:t>
      </w:r>
    </w:p>
    <w:p w14:paraId="445E9D53">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4.谈判程序</w:t>
      </w:r>
    </w:p>
    <w:p w14:paraId="3619B3DD">
      <w:pPr>
        <w:spacing w:line="360" w:lineRule="auto"/>
        <w:ind w:firstLine="420" w:firstLineChars="200"/>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4.1谈判小组按照“供应商须知前附表”</w:t>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确定的</w:t>
      </w:r>
      <w:r>
        <w:rPr>
          <w:rFonts w:hint="eastAsia" w:ascii="宋体" w:hAnsi="宋体" w:cs="宋体"/>
          <w:color w:val="000000" w:themeColor="text1"/>
          <w:szCs w:val="21"/>
          <w:highlight w:val="none"/>
          <w14:textFill>
            <w14:solidFill>
              <w14:schemeClr w14:val="tx1"/>
            </w14:solidFill>
          </w14:textFill>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cs="宋体"/>
          <w:b/>
          <w:color w:val="000000" w:themeColor="text1"/>
          <w:szCs w:val="21"/>
          <w:highlight w:val="none"/>
          <w14:textFill>
            <w14:solidFill>
              <w14:schemeClr w14:val="tx1"/>
            </w14:solidFill>
          </w14:textFill>
        </w:rPr>
        <w:t>其响应文件按无效响应处理。</w:t>
      </w:r>
    </w:p>
    <w:p w14:paraId="29C403A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792AAA8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4.3对谈判文件作出的实质性变动是谈判文件的有效组成部分，由谈判小组及时以电子澄清函形式同时通知所有参加谈判的供应商。</w:t>
      </w:r>
    </w:p>
    <w:p w14:paraId="0C76CCE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0872F2B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4.5谈判中，</w:t>
      </w:r>
      <w:r>
        <w:rPr>
          <w:rFonts w:hint="eastAsia" w:ascii="宋体" w:hAnsi="宋体" w:cs="宋体"/>
          <w:color w:val="000000" w:themeColor="text1"/>
          <w:spacing w:val="-6"/>
          <w:szCs w:val="21"/>
          <w:highlight w:val="none"/>
          <w14:textFill>
            <w14:solidFill>
              <w14:schemeClr w14:val="tx1"/>
            </w14:solidFill>
          </w14:textFill>
        </w:rPr>
        <w:t>谈判的任何一方不得透露与谈判有关的其他供应商的技术资料、价格和其他信息。</w:t>
      </w:r>
    </w:p>
    <w:p w14:paraId="60B3552E">
      <w:pPr>
        <w:widowControl/>
        <w:tabs>
          <w:tab w:val="left" w:pos="540"/>
        </w:tabs>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4.6谈判小组应对谈判过程和重要谈判内容进行记录，作为评标报告一部分，谈判小组在记录上签字确认。</w:t>
      </w:r>
      <w:r>
        <w:rPr>
          <w:rFonts w:hint="eastAsia" w:ascii="宋体" w:hAnsi="宋体" w:cs="宋体"/>
          <w:b/>
          <w:color w:val="000000" w:themeColor="text1"/>
          <w:highlight w:val="none"/>
          <w14:textFill>
            <w14:solidFill>
              <w14:schemeClr w14:val="tx1"/>
            </w14:solidFill>
          </w14:textFill>
        </w:rPr>
        <w:t>主要内容包括：</w:t>
      </w:r>
    </w:p>
    <w:p w14:paraId="77859952">
      <w:pPr>
        <w:pStyle w:val="87"/>
        <w:spacing w:before="0"/>
        <w:ind w:firstLine="396"/>
        <w:rPr>
          <w:rFonts w:hint="eastAsia" w:ascii="宋体" w:hAnsi="宋体" w:cs="宋体"/>
          <w:color w:val="000000" w:themeColor="text1"/>
          <w:spacing w:val="-6"/>
          <w:kern w:val="2"/>
          <w:sz w:val="21"/>
          <w:szCs w:val="21"/>
          <w:highlight w:val="none"/>
          <w14:textFill>
            <w14:solidFill>
              <w14:schemeClr w14:val="tx1"/>
            </w14:solidFill>
          </w14:textFill>
        </w:rPr>
      </w:pPr>
      <w:r>
        <w:rPr>
          <w:rFonts w:hint="eastAsia" w:ascii="宋体" w:hAnsi="宋体" w:cs="宋体"/>
          <w:color w:val="000000" w:themeColor="text1"/>
          <w:spacing w:val="-6"/>
          <w:kern w:val="2"/>
          <w:sz w:val="21"/>
          <w:szCs w:val="21"/>
          <w:highlight w:val="none"/>
          <w14:textFill>
            <w14:solidFill>
              <w14:schemeClr w14:val="tx1"/>
            </w14:solidFill>
          </w14:textFill>
        </w:rPr>
        <w:t>（1）按照相关规定进行公示的，公示情况说明；</w:t>
      </w:r>
    </w:p>
    <w:p w14:paraId="5C31296B">
      <w:pPr>
        <w:pStyle w:val="87"/>
        <w:spacing w:before="0"/>
        <w:ind w:firstLine="396"/>
        <w:rPr>
          <w:rFonts w:hint="eastAsia" w:ascii="宋体" w:hAnsi="宋体" w:cs="宋体"/>
          <w:color w:val="000000" w:themeColor="text1"/>
          <w:spacing w:val="-6"/>
          <w:kern w:val="2"/>
          <w:sz w:val="21"/>
          <w:szCs w:val="21"/>
          <w:highlight w:val="none"/>
          <w14:textFill>
            <w14:solidFill>
              <w14:schemeClr w14:val="tx1"/>
            </w14:solidFill>
          </w14:textFill>
        </w:rPr>
      </w:pPr>
      <w:r>
        <w:rPr>
          <w:rFonts w:hint="eastAsia" w:ascii="宋体" w:hAnsi="宋体" w:cs="宋体"/>
          <w:color w:val="000000" w:themeColor="text1"/>
          <w:spacing w:val="-6"/>
          <w:kern w:val="2"/>
          <w:sz w:val="21"/>
          <w:szCs w:val="21"/>
          <w:highlight w:val="none"/>
          <w14:textFill>
            <w14:solidFill>
              <w14:schemeClr w14:val="tx1"/>
            </w14:solidFill>
          </w14:textFill>
        </w:rPr>
        <w:t>（2）谈判日期和地点，谈判人员名单；</w:t>
      </w:r>
    </w:p>
    <w:p w14:paraId="74C6F435">
      <w:pPr>
        <w:pStyle w:val="87"/>
        <w:spacing w:before="0"/>
        <w:ind w:firstLine="396"/>
        <w:rPr>
          <w:rFonts w:hint="eastAsia" w:ascii="宋体" w:hAnsi="宋体" w:cs="宋体"/>
          <w:color w:val="000000" w:themeColor="text1"/>
          <w:spacing w:val="-6"/>
          <w:kern w:val="2"/>
          <w:sz w:val="21"/>
          <w:szCs w:val="21"/>
          <w:highlight w:val="none"/>
          <w14:textFill>
            <w14:solidFill>
              <w14:schemeClr w14:val="tx1"/>
            </w14:solidFill>
          </w14:textFill>
        </w:rPr>
      </w:pPr>
      <w:r>
        <w:rPr>
          <w:rFonts w:hint="eastAsia" w:ascii="宋体" w:hAnsi="宋体" w:cs="宋体"/>
          <w:color w:val="000000" w:themeColor="text1"/>
          <w:spacing w:val="-6"/>
          <w:kern w:val="2"/>
          <w:sz w:val="21"/>
          <w:szCs w:val="21"/>
          <w:highlight w:val="none"/>
          <w14:textFill>
            <w14:solidFill>
              <w14:schemeClr w14:val="tx1"/>
            </w14:solidFill>
          </w14:textFill>
        </w:rPr>
        <w:t>（3）合同主要条款及价格商定情况。</w:t>
      </w:r>
    </w:p>
    <w:p w14:paraId="0D784634">
      <w:pPr>
        <w:widowControl/>
        <w:tabs>
          <w:tab w:val="left" w:pos="540"/>
        </w:tabs>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4.7谈判过程中重新提交的响应文件，供应商可以在开启前补充、修改。</w:t>
      </w:r>
    </w:p>
    <w:p w14:paraId="4C87C59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4.8</w:t>
      </w:r>
      <w:r>
        <w:rPr>
          <w:rFonts w:hint="eastAsia" w:ascii="宋体" w:hAnsi="宋体"/>
          <w:color w:val="000000" w:themeColor="text1"/>
          <w:szCs w:val="21"/>
          <w:highlight w:val="none"/>
          <w14:textFill>
            <w14:solidFill>
              <w14:schemeClr w14:val="tx1"/>
            </w14:solidFill>
          </w14:textFill>
        </w:rPr>
        <w:t>对谈判过程提交的响应文件进行有效性、完整性和响应程度审查，通过审查的合格供应商不足3家的，采购人或者采购代理机构应当重新开展采购活动。</w:t>
      </w:r>
    </w:p>
    <w:p w14:paraId="30894D5B">
      <w:pPr>
        <w:spacing w:line="360" w:lineRule="auto"/>
        <w:ind w:firstLine="482" w:firstLineChars="200"/>
        <w:rPr>
          <w:rFonts w:hint="eastAsia" w:ascii="宋体" w:hAnsi="宋体" w:cs="宋体"/>
          <w:color w:val="000000" w:themeColor="text1"/>
          <w:szCs w:val="21"/>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5.最后报价</w:t>
      </w:r>
    </w:p>
    <w:p w14:paraId="75CE2BD3">
      <w:pPr>
        <w:snapToGrid w:val="0"/>
        <w:spacing w:line="360" w:lineRule="auto"/>
        <w:ind w:firstLine="420" w:firstLineChars="200"/>
        <w:textAlignment w:val="baseline"/>
        <w:rPr>
          <w:rStyle w:val="92"/>
          <w:rFonts w:hint="eastAsia" w:ascii="宋体" w:hAnsi="宋体" w:cs="宋体"/>
          <w:color w:val="000000" w:themeColor="text1"/>
          <w:szCs w:val="21"/>
          <w:highlight w:val="none"/>
          <w14:textFill>
            <w14:solidFill>
              <w14:schemeClr w14:val="tx1"/>
            </w14:solidFill>
          </w14:textFill>
        </w:rPr>
      </w:pPr>
      <w:r>
        <w:rPr>
          <w:rStyle w:val="92"/>
          <w:rFonts w:hint="eastAsia" w:ascii="宋体" w:hAnsi="宋体" w:cs="宋体"/>
          <w:color w:val="000000" w:themeColor="text1"/>
          <w:szCs w:val="21"/>
          <w:highlight w:val="none"/>
          <w14:textFill>
            <w14:solidFill>
              <w14:schemeClr w14:val="tx1"/>
            </w14:solidFill>
          </w14:textFill>
        </w:rPr>
        <w:t>5.1谈判文件能够详细列明采购标的的技术、服务要求的，谈判结束后，由谈判小组要求所有继续参加谈判的供应商在规定时间内通过“</w:t>
      </w:r>
      <w:r>
        <w:rPr>
          <w:rFonts w:hint="eastAsia" w:ascii="宋体" w:hAnsi="宋体" w:cs="宋体"/>
          <w:color w:val="000000" w:themeColor="text1"/>
          <w:szCs w:val="21"/>
          <w:highlight w:val="none"/>
          <w14:textFill>
            <w14:solidFill>
              <w14:schemeClr w14:val="tx1"/>
            </w14:solidFill>
          </w14:textFill>
        </w:rPr>
        <w:t>广西政府采购云平台</w:t>
      </w:r>
      <w:r>
        <w:rPr>
          <w:rStyle w:val="92"/>
          <w:rFonts w:hint="eastAsia" w:ascii="宋体" w:hAnsi="宋体" w:cs="宋体"/>
          <w:color w:val="000000" w:themeColor="text1"/>
          <w:szCs w:val="21"/>
          <w:highlight w:val="none"/>
          <w14:textFill>
            <w14:solidFill>
              <w14:schemeClr w14:val="tx1"/>
            </w14:solidFill>
          </w14:textFill>
        </w:rPr>
        <w:t>”提交最后报价，提交最后报价的供应商不得少于3家，否则必须重新采购。</w:t>
      </w:r>
    </w:p>
    <w:p w14:paraId="01B3F5BB">
      <w:pPr>
        <w:snapToGrid w:val="0"/>
        <w:spacing w:line="360" w:lineRule="auto"/>
        <w:ind w:firstLine="420" w:firstLineChars="200"/>
        <w:textAlignment w:val="baseline"/>
        <w:rPr>
          <w:rStyle w:val="92"/>
          <w:rFonts w:hint="eastAsia" w:ascii="宋体" w:hAnsi="宋体" w:cs="宋体"/>
          <w:color w:val="000000" w:themeColor="text1"/>
          <w:szCs w:val="21"/>
          <w:highlight w:val="none"/>
          <w14:textFill>
            <w14:solidFill>
              <w14:schemeClr w14:val="tx1"/>
            </w14:solidFill>
          </w14:textFill>
        </w:rPr>
      </w:pPr>
      <w:r>
        <w:rPr>
          <w:rStyle w:val="92"/>
          <w:rFonts w:hint="eastAsia" w:ascii="宋体" w:hAnsi="宋体" w:cs="宋体"/>
          <w:color w:val="000000" w:themeColor="text1"/>
          <w:szCs w:val="21"/>
          <w:highlight w:val="none"/>
          <w14:textFill>
            <w14:solidFill>
              <w14:schemeClr w14:val="tx1"/>
            </w14:solidFill>
          </w14:textFill>
        </w:rPr>
        <w:t>5.2</w:t>
      </w:r>
      <w:r>
        <w:rPr>
          <w:rFonts w:hint="eastAsia" w:ascii="宋体" w:hAnsi="宋体"/>
          <w:color w:val="000000" w:themeColor="text1"/>
          <w:highlight w:val="none"/>
          <w14:textFill>
            <w14:solidFill>
              <w14:schemeClr w14:val="tx1"/>
            </w14:solidFill>
          </w14:textFill>
        </w:rPr>
        <w:t>谈判文件不能详细列明采购标的的技术、服务要求，需经谈判由供应商提供最后设计方案或者解决方案的，谈判结束后，由谈判小组按照少数服从多数的原则投票推荐3家以上供应商的设计方案或者解决方案，并要求其在规定时间内</w:t>
      </w:r>
      <w:r>
        <w:rPr>
          <w:rStyle w:val="92"/>
          <w:rFonts w:hint="eastAsia" w:ascii="宋体" w:hAnsi="宋体" w:cs="宋体"/>
          <w:color w:val="000000" w:themeColor="text1"/>
          <w:szCs w:val="21"/>
          <w:highlight w:val="none"/>
          <w14:textFill>
            <w14:solidFill>
              <w14:schemeClr w14:val="tx1"/>
            </w14:solidFill>
          </w14:textFill>
        </w:rPr>
        <w:t>通过“</w:t>
      </w:r>
      <w:r>
        <w:rPr>
          <w:rFonts w:hint="eastAsia" w:ascii="宋体" w:hAnsi="宋体" w:cs="宋体"/>
          <w:color w:val="000000" w:themeColor="text1"/>
          <w:szCs w:val="21"/>
          <w:highlight w:val="none"/>
          <w14:textFill>
            <w14:solidFill>
              <w14:schemeClr w14:val="tx1"/>
            </w14:solidFill>
          </w14:textFill>
        </w:rPr>
        <w:t>广西政府采购云平台</w:t>
      </w:r>
      <w:r>
        <w:rPr>
          <w:rStyle w:val="92"/>
          <w:rFonts w:hint="eastAsia" w:ascii="宋体" w:hAnsi="宋体" w:cs="宋体"/>
          <w:color w:val="000000" w:themeColor="text1"/>
          <w:szCs w:val="21"/>
          <w:highlight w:val="none"/>
          <w14:textFill>
            <w14:solidFill>
              <w14:schemeClr w14:val="tx1"/>
            </w14:solidFill>
          </w14:textFill>
        </w:rPr>
        <w:t>”提交</w:t>
      </w:r>
      <w:r>
        <w:rPr>
          <w:rFonts w:hint="eastAsia" w:ascii="宋体" w:hAnsi="宋体"/>
          <w:color w:val="000000" w:themeColor="text1"/>
          <w:highlight w:val="none"/>
          <w14:textFill>
            <w14:solidFill>
              <w14:schemeClr w14:val="tx1"/>
            </w14:solidFill>
          </w14:textFill>
        </w:rPr>
        <w:t>最后报价。</w:t>
      </w:r>
    </w:p>
    <w:p w14:paraId="69A84208">
      <w:pPr>
        <w:snapToGrid w:val="0"/>
        <w:spacing w:line="360" w:lineRule="auto"/>
        <w:ind w:firstLine="420" w:firstLineChars="200"/>
        <w:textAlignment w:val="baseline"/>
        <w:rPr>
          <w:rStyle w:val="92"/>
          <w:rFonts w:hint="eastAsia" w:ascii="宋体" w:hAnsi="宋体" w:cs="宋体"/>
          <w:color w:val="000000" w:themeColor="text1"/>
          <w:szCs w:val="21"/>
          <w:highlight w:val="none"/>
          <w14:textFill>
            <w14:solidFill>
              <w14:schemeClr w14:val="tx1"/>
            </w14:solidFill>
          </w14:textFill>
        </w:rPr>
      </w:pPr>
      <w:r>
        <w:rPr>
          <w:rStyle w:val="92"/>
          <w:rFonts w:hint="eastAsia" w:ascii="宋体" w:hAnsi="宋体" w:cs="宋体"/>
          <w:color w:val="000000" w:themeColor="text1"/>
          <w:szCs w:val="21"/>
          <w:highlight w:val="none"/>
          <w14:textFill>
            <w14:solidFill>
              <w14:schemeClr w14:val="tx1"/>
            </w14:solidFill>
          </w14:textFill>
        </w:rPr>
        <w:t>5.3 最后报价是供应商响应文件的有效组成部分。</w:t>
      </w:r>
    </w:p>
    <w:p w14:paraId="0BA03487">
      <w:pPr>
        <w:snapToGrid w:val="0"/>
        <w:spacing w:line="360" w:lineRule="auto"/>
        <w:ind w:firstLine="420" w:firstLineChars="200"/>
        <w:textAlignment w:val="baseline"/>
        <w:rPr>
          <w:rStyle w:val="92"/>
          <w:rFonts w:hint="eastAsia" w:ascii="宋体" w:hAnsi="宋体" w:cs="宋体"/>
          <w:color w:val="000000" w:themeColor="text1"/>
          <w:szCs w:val="21"/>
          <w:highlight w:val="none"/>
          <w14:textFill>
            <w14:solidFill>
              <w14:schemeClr w14:val="tx1"/>
            </w14:solidFill>
          </w14:textFill>
        </w:rPr>
      </w:pPr>
      <w:r>
        <w:rPr>
          <w:rStyle w:val="92"/>
          <w:rFonts w:hint="eastAsia" w:ascii="宋体" w:hAnsi="宋体" w:cs="宋体"/>
          <w:color w:val="000000" w:themeColor="text1"/>
          <w:szCs w:val="21"/>
          <w:highlight w:val="none"/>
          <w14:textFill>
            <w14:solidFill>
              <w14:schemeClr w14:val="tx1"/>
            </w14:solidFill>
          </w14:textFill>
        </w:rPr>
        <w:t>5.4已经提交响应文件的供应商，在提交最后报价之前，可以根据谈判情况退出谈判，退出谈判的供应商的响应文件按无效响应处理。</w:t>
      </w:r>
    </w:p>
    <w:p w14:paraId="01DEC293">
      <w:pPr>
        <w:snapToGrid w:val="0"/>
        <w:spacing w:line="360" w:lineRule="auto"/>
        <w:ind w:firstLine="420" w:firstLineChars="200"/>
        <w:textAlignment w:val="baseline"/>
        <w:rPr>
          <w:rStyle w:val="92"/>
          <w:rFonts w:hint="eastAsia" w:ascii="宋体" w:hAnsi="宋体" w:cs="宋体"/>
          <w:color w:val="000000" w:themeColor="text1"/>
          <w:szCs w:val="21"/>
          <w:highlight w:val="none"/>
          <w14:textFill>
            <w14:solidFill>
              <w14:schemeClr w14:val="tx1"/>
            </w14:solidFill>
          </w14:textFill>
        </w:rPr>
      </w:pPr>
      <w:r>
        <w:rPr>
          <w:rStyle w:val="92"/>
          <w:rFonts w:hint="eastAsia" w:ascii="宋体" w:hAnsi="宋体" w:cs="宋体"/>
          <w:color w:val="000000" w:themeColor="text1"/>
          <w:szCs w:val="21"/>
          <w:highlight w:val="none"/>
          <w14:textFill>
            <w14:solidFill>
              <w14:schemeClr w14:val="tx1"/>
            </w14:solidFill>
          </w14:textFill>
        </w:rPr>
        <w:t>5.5供应商未在规定时间内提交最后报价的，视同退出谈判。</w:t>
      </w:r>
    </w:p>
    <w:p w14:paraId="1F2EEB47">
      <w:pPr>
        <w:snapToGrid w:val="0"/>
        <w:spacing w:line="360" w:lineRule="auto"/>
        <w:ind w:firstLine="420" w:firstLineChars="200"/>
        <w:textAlignment w:val="baseline"/>
        <w:rPr>
          <w:rStyle w:val="92"/>
          <w:rFonts w:hint="eastAsia" w:ascii="宋体" w:hAnsi="宋体" w:cs="宋体"/>
          <w:color w:val="000000" w:themeColor="text1"/>
          <w:szCs w:val="21"/>
          <w:highlight w:val="none"/>
          <w14:textFill>
            <w14:solidFill>
              <w14:schemeClr w14:val="tx1"/>
            </w14:solidFill>
          </w14:textFill>
        </w:rPr>
      </w:pPr>
      <w:r>
        <w:rPr>
          <w:rStyle w:val="92"/>
          <w:rFonts w:hint="eastAsia" w:ascii="宋体" w:hAnsi="宋体" w:cs="宋体"/>
          <w:color w:val="000000" w:themeColor="text1"/>
          <w:szCs w:val="21"/>
          <w:highlight w:val="none"/>
          <w14:textFill>
            <w14:solidFill>
              <w14:schemeClr w14:val="tx1"/>
            </w14:solidFill>
          </w14:textFill>
        </w:rPr>
        <w:t>5.6谈判小组收齐某一分标最后报价后统一开启，谈判小组对最后报价进行有效性、完整性和响应程度的审查。</w:t>
      </w:r>
    </w:p>
    <w:p w14:paraId="7EC60C3D">
      <w:pPr>
        <w:snapToGrid w:val="0"/>
        <w:spacing w:line="360" w:lineRule="auto"/>
        <w:ind w:firstLine="420" w:firstLineChars="200"/>
        <w:textAlignment w:val="baseline"/>
        <w:rPr>
          <w:rStyle w:val="92"/>
          <w:rFonts w:hint="eastAsia" w:ascii="宋体" w:hAnsi="宋体" w:cs="宋体"/>
          <w:color w:val="000000" w:themeColor="text1"/>
          <w:szCs w:val="21"/>
          <w:highlight w:val="none"/>
          <w14:textFill>
            <w14:solidFill>
              <w14:schemeClr w14:val="tx1"/>
            </w14:solidFill>
          </w14:textFill>
        </w:rPr>
      </w:pPr>
      <w:r>
        <w:rPr>
          <w:rStyle w:val="92"/>
          <w:rFonts w:hint="eastAsia" w:ascii="宋体" w:hAnsi="宋体" w:cs="宋体"/>
          <w:color w:val="000000" w:themeColor="text1"/>
          <w:szCs w:val="21"/>
          <w:highlight w:val="none"/>
          <w14:textFill>
            <w14:solidFill>
              <w14:schemeClr w14:val="tx1"/>
            </w14:solidFill>
          </w14:textFill>
        </w:rPr>
        <w:t xml:space="preserve">5.7最终响应文件的报价出现前后不一致的，按照本章第3.4条的规定修正。 </w:t>
      </w:r>
    </w:p>
    <w:p w14:paraId="0EA3E0F2">
      <w:pPr>
        <w:snapToGrid w:val="0"/>
        <w:spacing w:line="360" w:lineRule="auto"/>
        <w:ind w:firstLine="420" w:firstLineChars="200"/>
        <w:textAlignment w:val="baseline"/>
        <w:rPr>
          <w:rStyle w:val="92"/>
          <w:rFonts w:hint="eastAsia" w:ascii="宋体" w:hAnsi="宋体" w:cs="宋体"/>
          <w:color w:val="000000" w:themeColor="text1"/>
          <w:szCs w:val="21"/>
          <w:highlight w:val="none"/>
          <w14:textFill>
            <w14:solidFill>
              <w14:schemeClr w14:val="tx1"/>
            </w14:solidFill>
          </w14:textFill>
        </w:rPr>
      </w:pPr>
      <w:r>
        <w:rPr>
          <w:rStyle w:val="92"/>
          <w:rFonts w:hint="eastAsia" w:ascii="宋体" w:hAnsi="宋体" w:cs="宋体"/>
          <w:color w:val="000000" w:themeColor="text1"/>
          <w:szCs w:val="21"/>
          <w:highlight w:val="none"/>
          <w14:textFill>
            <w14:solidFill>
              <w14:schemeClr w14:val="tx1"/>
            </w14:solidFill>
          </w14:textFill>
        </w:rPr>
        <w:t>5.8修正后的最后报价出现下列情形的，按无效响应处理：</w:t>
      </w:r>
    </w:p>
    <w:p w14:paraId="16D6FBA5">
      <w:pPr>
        <w:snapToGrid w:val="0"/>
        <w:spacing w:line="360" w:lineRule="auto"/>
        <w:ind w:firstLine="420" w:firstLineChars="200"/>
        <w:textAlignment w:val="baseline"/>
        <w:rPr>
          <w:rStyle w:val="92"/>
          <w:rFonts w:hint="eastAsia" w:ascii="宋体" w:hAnsi="宋体" w:cs="宋体"/>
          <w:color w:val="000000" w:themeColor="text1"/>
          <w:szCs w:val="21"/>
          <w:highlight w:val="none"/>
          <w14:textFill>
            <w14:solidFill>
              <w14:schemeClr w14:val="tx1"/>
            </w14:solidFill>
          </w14:textFill>
        </w:rPr>
      </w:pPr>
      <w:r>
        <w:rPr>
          <w:rStyle w:val="92"/>
          <w:rFonts w:hint="eastAsia" w:ascii="宋体" w:hAnsi="宋体" w:cs="宋体"/>
          <w:color w:val="000000" w:themeColor="text1"/>
          <w:szCs w:val="21"/>
          <w:highlight w:val="none"/>
          <w14:textFill>
            <w14:solidFill>
              <w14:schemeClr w14:val="tx1"/>
            </w14:solidFill>
          </w14:textFill>
        </w:rPr>
        <w:t>（1）供应商不确认的（全流程电子化评标采取在线确认）；</w:t>
      </w:r>
    </w:p>
    <w:p w14:paraId="2085D4F0">
      <w:pPr>
        <w:snapToGrid w:val="0"/>
        <w:spacing w:line="360" w:lineRule="auto"/>
        <w:ind w:firstLine="420" w:firstLineChars="200"/>
        <w:textAlignment w:val="baseline"/>
        <w:rPr>
          <w:rStyle w:val="92"/>
          <w:rFonts w:hint="eastAsia" w:ascii="宋体" w:hAnsi="宋体" w:cs="宋体"/>
          <w:color w:val="000000" w:themeColor="text1"/>
          <w:szCs w:val="21"/>
          <w:highlight w:val="none"/>
          <w14:textFill>
            <w14:solidFill>
              <w14:schemeClr w14:val="tx1"/>
            </w14:solidFill>
          </w14:textFill>
        </w:rPr>
      </w:pPr>
      <w:r>
        <w:rPr>
          <w:rStyle w:val="92"/>
          <w:rFonts w:hint="eastAsia" w:ascii="宋体" w:hAnsi="宋体" w:cs="宋体"/>
          <w:color w:val="000000" w:themeColor="text1"/>
          <w:szCs w:val="21"/>
          <w:highlight w:val="none"/>
          <w14:textFill>
            <w14:solidFill>
              <w14:schemeClr w14:val="tx1"/>
            </w14:solidFill>
          </w14:textFill>
        </w:rPr>
        <w:t>（2）经供应商确认修正后的响应报价（包含首次报价、最后报价）超过所竞标项目规定的采购预算金额或者最高限价的（如本项目公布了最高限价）；</w:t>
      </w:r>
    </w:p>
    <w:p w14:paraId="6B2E5A12">
      <w:pPr>
        <w:snapToGrid w:val="0"/>
        <w:spacing w:line="360" w:lineRule="auto"/>
        <w:ind w:firstLine="420" w:firstLineChars="200"/>
        <w:textAlignment w:val="baseline"/>
        <w:rPr>
          <w:rStyle w:val="92"/>
          <w:rFonts w:hint="eastAsia" w:ascii="宋体" w:hAnsi="宋体" w:cs="宋体"/>
          <w:color w:val="000000" w:themeColor="text1"/>
          <w:szCs w:val="21"/>
          <w:highlight w:val="none"/>
          <w14:textFill>
            <w14:solidFill>
              <w14:schemeClr w14:val="tx1"/>
            </w14:solidFill>
          </w14:textFill>
        </w:rPr>
      </w:pPr>
      <w:r>
        <w:rPr>
          <w:rStyle w:val="92"/>
          <w:rFonts w:hint="eastAsia" w:ascii="宋体" w:hAnsi="宋体" w:cs="宋体"/>
          <w:color w:val="000000" w:themeColor="text1"/>
          <w:szCs w:val="21"/>
          <w:highlight w:val="none"/>
          <w14:textFill>
            <w14:solidFill>
              <w14:schemeClr w14:val="tx1"/>
            </w14:solidFill>
          </w14:textFill>
        </w:rPr>
        <w:t>（3）经供应商确认修正后的响应报价（包含首次报价、最后报价）超过分项采购预算金额或者最高限价的（如本项目公布了最高限价）。</w:t>
      </w:r>
    </w:p>
    <w:p w14:paraId="4C6CC837">
      <w:pPr>
        <w:snapToGrid w:val="0"/>
        <w:spacing w:line="360" w:lineRule="auto"/>
        <w:ind w:firstLine="420" w:firstLineChars="200"/>
        <w:textAlignment w:val="baseline"/>
        <w:rPr>
          <w:rStyle w:val="92"/>
          <w:rFonts w:hint="eastAsia" w:ascii="宋体" w:hAnsi="宋体" w:cs="宋体"/>
          <w:color w:val="000000" w:themeColor="text1"/>
          <w:szCs w:val="21"/>
          <w:highlight w:val="none"/>
          <w14:textFill>
            <w14:solidFill>
              <w14:schemeClr w14:val="tx1"/>
            </w14:solidFill>
          </w14:textFill>
        </w:rPr>
      </w:pPr>
      <w:r>
        <w:rPr>
          <w:rStyle w:val="92"/>
          <w:rFonts w:hint="eastAsia" w:ascii="宋体" w:hAnsi="宋体" w:cs="宋体"/>
          <w:color w:val="000000" w:themeColor="text1"/>
          <w:szCs w:val="21"/>
          <w:highlight w:val="none"/>
          <w14:textFill>
            <w14:solidFill>
              <w14:schemeClr w14:val="tx1"/>
            </w14:solidFill>
          </w14:textFill>
        </w:rPr>
        <w:t>5.9经供应商确认修正后的最后报价作为评审及签订合同的依据。</w:t>
      </w:r>
    </w:p>
    <w:p w14:paraId="4C3E257B">
      <w:pPr>
        <w:snapToGrid w:val="0"/>
        <w:spacing w:line="360" w:lineRule="auto"/>
        <w:ind w:firstLine="420" w:firstLineChars="200"/>
        <w:textAlignment w:val="baseline"/>
        <w:rPr>
          <w:rStyle w:val="92"/>
          <w:rFonts w:hint="eastAsia" w:ascii="宋体" w:hAnsi="宋体" w:cs="宋体"/>
          <w:color w:val="000000" w:themeColor="text1"/>
          <w:szCs w:val="21"/>
          <w:highlight w:val="none"/>
          <w14:textFill>
            <w14:solidFill>
              <w14:schemeClr w14:val="tx1"/>
            </w14:solidFill>
          </w14:textFill>
        </w:rPr>
      </w:pPr>
      <w:r>
        <w:rPr>
          <w:rStyle w:val="92"/>
          <w:rFonts w:hint="eastAsia" w:ascii="宋体" w:hAnsi="宋体" w:cs="宋体"/>
          <w:color w:val="000000" w:themeColor="text1"/>
          <w:szCs w:val="21"/>
          <w:highlight w:val="none"/>
          <w14:textFill>
            <w14:solidFill>
              <w14:schemeClr w14:val="tx1"/>
            </w14:solidFill>
          </w14:textFill>
        </w:rPr>
        <w:t>5.10供应商出现最后报价按无效响应处理或者响应文件按无效处理时，谈判小组应当告知有关供应商。</w:t>
      </w:r>
    </w:p>
    <w:p w14:paraId="2FA11873">
      <w:pPr>
        <w:spacing w:line="360" w:lineRule="auto"/>
        <w:ind w:firstLine="420" w:firstLineChars="200"/>
        <w:rPr>
          <w:rStyle w:val="92"/>
          <w:rFonts w:hint="eastAsia" w:ascii="宋体" w:hAnsi="宋体" w:cs="宋体"/>
          <w:color w:val="000000" w:themeColor="text1"/>
          <w:szCs w:val="21"/>
          <w:highlight w:val="none"/>
          <w14:textFill>
            <w14:solidFill>
              <w14:schemeClr w14:val="tx1"/>
            </w14:solidFill>
          </w14:textFill>
        </w:rPr>
      </w:pPr>
      <w:r>
        <w:rPr>
          <w:rStyle w:val="92"/>
          <w:rFonts w:hint="eastAsia" w:ascii="宋体" w:hAnsi="宋体" w:cs="宋体"/>
          <w:color w:val="000000" w:themeColor="text1"/>
          <w:szCs w:val="21"/>
          <w:highlight w:val="none"/>
          <w14:textFill>
            <w14:solidFill>
              <w14:schemeClr w14:val="tx1"/>
            </w14:solidFill>
          </w14:textFill>
        </w:rPr>
        <w:t>5.11最后报价结束后，谈判小组不得再与供应商进行任何形式的商谈。</w:t>
      </w:r>
    </w:p>
    <w:p w14:paraId="0F62F288">
      <w:pPr>
        <w:snapToGrid w:val="0"/>
        <w:spacing w:line="360" w:lineRule="auto"/>
        <w:ind w:firstLine="422" w:firstLineChars="200"/>
        <w:textAlignment w:val="baseline"/>
        <w:rPr>
          <w:rStyle w:val="92"/>
          <w:rFonts w:hint="eastAsia" w:ascii="宋体" w:hAnsi="宋体" w:cs="宋体"/>
          <w:b/>
          <w:bCs/>
          <w:color w:val="000000" w:themeColor="text1"/>
          <w:szCs w:val="21"/>
          <w:highlight w:val="none"/>
          <w14:textFill>
            <w14:solidFill>
              <w14:schemeClr w14:val="tx1"/>
            </w14:solidFill>
          </w14:textFill>
        </w:rPr>
      </w:pPr>
      <w:r>
        <w:rPr>
          <w:rStyle w:val="92"/>
          <w:rFonts w:hint="eastAsia" w:ascii="宋体" w:hAnsi="宋体" w:cs="宋体"/>
          <w:b/>
          <w:bCs/>
          <w:color w:val="000000" w:themeColor="text1"/>
          <w:szCs w:val="21"/>
          <w:highlight w:val="none"/>
          <w14:textFill>
            <w14:solidFill>
              <w14:schemeClr w14:val="tx1"/>
            </w14:solidFill>
          </w14:textFill>
        </w:rPr>
        <w:t>5.12供应商的最终竞标报价总额与首次递交响应文件中竞标报价总额不一致，须重新提交一份已标价工程量清单。</w:t>
      </w:r>
    </w:p>
    <w:p w14:paraId="02C2037B">
      <w:pPr>
        <w:spacing w:line="400" w:lineRule="exact"/>
        <w:ind w:firstLine="422" w:firstLineChars="200"/>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5.13异常低价响应审查</w:t>
      </w:r>
    </w:p>
    <w:p w14:paraId="0C81601C">
      <w:pPr>
        <w:spacing w:line="40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（1）谈判小组在评审中发现下列情形之一的，应当启动异常低价响应审查程序：</w:t>
      </w:r>
    </w:p>
    <w:p w14:paraId="1A6AD65A">
      <w:pPr>
        <w:spacing w:line="40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①响应报价低于全部通过符合性审查供应商响应报价平均值</w:t>
      </w:r>
      <w:bookmarkStart w:id="122" w:name="_Hlk221263232"/>
      <w:r>
        <w:rPr>
          <w:rFonts w:hint="eastAsia" w:ascii="宋体" w:hAnsi="宋体" w:cs="宋体"/>
          <w:color w:val="000000" w:themeColor="text1"/>
          <w:highlight w:val="none"/>
          <w14:textFill>
            <w14:solidFill>
              <w14:schemeClr w14:val="tx1"/>
            </w14:solidFill>
          </w14:textFill>
        </w:rPr>
        <w:t xml:space="preserve"> 65% </w:t>
      </w:r>
      <w:bookmarkEnd w:id="122"/>
      <w:r>
        <w:rPr>
          <w:rFonts w:hint="eastAsia" w:ascii="宋体" w:hAnsi="宋体" w:cs="宋体"/>
          <w:color w:val="000000" w:themeColor="text1"/>
          <w:highlight w:val="none"/>
          <w14:textFill>
            <w14:solidFill>
              <w14:schemeClr w14:val="tx1"/>
            </w14:solidFill>
          </w14:textFill>
        </w:rPr>
        <w:t xml:space="preserve">的，即响应报价＜全部通过符合性审查供应商响应报价平均值×65%； </w:t>
      </w:r>
    </w:p>
    <w:p w14:paraId="0F7F2EC7">
      <w:pPr>
        <w:spacing w:line="40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②响应报价低于通过符合性审查的次低报价供应商响应报价65%的，即响应报价＜通过符合性审查的次低报价供应商响应报价×65%；</w:t>
      </w:r>
    </w:p>
    <w:p w14:paraId="32010E06">
      <w:pPr>
        <w:spacing w:line="40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③响应报价低于采购项目最高限价65%的，即响应报价＜采购项目最高限价×65%；</w:t>
      </w:r>
    </w:p>
    <w:p w14:paraId="7A72E551">
      <w:pPr>
        <w:spacing w:line="40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④谈判小组基于专业判断，认为供应商报价过低，有可能影响产品质量或者不能诚信履约的其他情形。</w:t>
      </w:r>
    </w:p>
    <w:p w14:paraId="51D584B8">
      <w:pPr>
        <w:spacing w:line="40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5506D0F8">
      <w:pPr>
        <w:spacing w:line="40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谈判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谈判小组应当将其作为无效响应处理。</w:t>
      </w:r>
    </w:p>
    <w:p w14:paraId="5427546B">
      <w:pPr>
        <w:spacing w:line="40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5307216A">
      <w:pPr>
        <w:spacing w:line="40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异常低价响应审查的启动原因、审查意见和审查结果应当在评审报告中记录，并随供应商提供的相关书面说明及证明材料，以及谈判小组有关互联网浏览、查询历史一并归档。</w:t>
      </w:r>
    </w:p>
    <w:p w14:paraId="2CCC4171">
      <w:pPr>
        <w:snapToGrid w:val="0"/>
        <w:spacing w:line="360" w:lineRule="auto"/>
        <w:ind w:firstLine="422" w:firstLineChars="200"/>
        <w:textAlignment w:val="baseline"/>
        <w:rPr>
          <w:rStyle w:val="92"/>
          <w:rFonts w:hint="eastAsia" w:ascii="宋体" w:hAnsi="宋体" w:cs="宋体"/>
          <w:b/>
          <w:bCs/>
          <w:color w:val="000000" w:themeColor="text1"/>
          <w:szCs w:val="21"/>
          <w:highlight w:val="none"/>
          <w14:textFill>
            <w14:solidFill>
              <w14:schemeClr w14:val="tx1"/>
            </w14:solidFill>
          </w14:textFill>
        </w:rPr>
      </w:pPr>
    </w:p>
    <w:p w14:paraId="0C20D6D2">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6. 最后报价政府采购政策性扣除</w:t>
      </w:r>
    </w:p>
    <w:p w14:paraId="12635F2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6.1评审价为供应商的最后报价进行政策性扣除后的价格，评审价只是作为评审时使用。最终成交供应商的成交金额等于最后报价（如有修正，以确认修正后的最后报价为准）。</w:t>
      </w:r>
    </w:p>
    <w:p w14:paraId="18F5E020">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w:t>
      </w:r>
      <w:r>
        <w:rPr>
          <w:rFonts w:hint="eastAsia" w:ascii="宋体" w:hAnsi="宋体" w:cs="宋体"/>
          <w:color w:val="000000" w:themeColor="text1"/>
          <w:highlight w:val="none"/>
          <w14:textFill>
            <w14:solidFill>
              <w14:schemeClr w14:val="tx1"/>
            </w14:solidFill>
          </w14:textFill>
        </w:rPr>
        <w:t>政策性扣除计算方法。</w:t>
      </w:r>
    </w:p>
    <w:p w14:paraId="65601BE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按照《政府采购促进中小企业发展管理办法》（财库[2020]46号），</w:t>
      </w:r>
      <w:r>
        <w:rPr>
          <w:rFonts w:hint="eastAsia" w:ascii="宋体" w:hAnsi="宋体"/>
          <w:color w:val="000000" w:themeColor="text1"/>
          <w:szCs w:val="21"/>
          <w:highlight w:val="none"/>
          <w14:textFill>
            <w14:solidFill>
              <w14:schemeClr w14:val="tx1"/>
            </w14:solidFill>
          </w14:textFill>
        </w:rPr>
        <w:t>专门面向中小企业采购的项目（供应商应为中小企业、监狱企业、残疾人福利性单位)</w:t>
      </w:r>
      <w:r>
        <w:rPr>
          <w:rFonts w:hint="eastAsia" w:ascii="宋体" w:hAnsi="宋体" w:cs="宋体"/>
          <w:color w:val="000000" w:themeColor="text1"/>
          <w:szCs w:val="21"/>
          <w:highlight w:val="none"/>
          <w14:textFill>
            <w14:solidFill>
              <w14:schemeClr w14:val="tx1"/>
            </w14:solidFill>
          </w14:textFill>
        </w:rPr>
        <w:t>，不再执行价格评审优惠的扶持政策。</w:t>
      </w:r>
    </w:p>
    <w:p w14:paraId="55D6FEB0">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评审价＝最后报价</w:t>
      </w:r>
    </w:p>
    <w:p w14:paraId="07E8B8EF">
      <w:pPr>
        <w:spacing w:line="360" w:lineRule="auto"/>
        <w:ind w:firstLine="436" w:firstLineChars="181"/>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7.评审复核</w:t>
      </w:r>
    </w:p>
    <w:p w14:paraId="23BEC83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7.1评审报告签署前，评审委员会要对评审结果进行复核，复核意见要体现在评审报告中。</w:t>
      </w:r>
    </w:p>
    <w:p w14:paraId="30E1B215">
      <w:pPr>
        <w:widowControl/>
        <w:spacing w:line="360"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7.2除资格性审查认定错误和价格计算错误外，采购人或者采购代理机构不得以任何理由组织重新评审。</w:t>
      </w:r>
    </w:p>
    <w:p w14:paraId="3B35E636">
      <w:pPr>
        <w:keepNext/>
        <w:keepLines/>
        <w:spacing w:line="360" w:lineRule="auto"/>
        <w:ind w:firstLine="640" w:firstLineChars="200"/>
        <w:jc w:val="center"/>
        <w:outlineLvl w:val="1"/>
        <w:rPr>
          <w:rFonts w:hint="eastAsia" w:ascii="宋体" w:hAnsi="宋体" w:cs="宋体"/>
          <w:bCs/>
          <w:color w:val="000000" w:themeColor="text1"/>
          <w:sz w:val="32"/>
          <w:szCs w:val="32"/>
          <w:highlight w:val="none"/>
          <w14:textFill>
            <w14:solidFill>
              <w14:schemeClr w14:val="tx1"/>
            </w14:solidFill>
          </w14:textFill>
        </w:rPr>
      </w:pPr>
      <w:bookmarkStart w:id="123" w:name="_Toc26759"/>
      <w:bookmarkStart w:id="124" w:name="_Toc1633"/>
      <w:bookmarkStart w:id="125" w:name="_Toc29556"/>
      <w:bookmarkStart w:id="126" w:name="_Toc14759"/>
      <w:bookmarkStart w:id="127" w:name="_Toc18357"/>
      <w:bookmarkStart w:id="128" w:name="_Toc18546"/>
      <w:bookmarkStart w:id="129" w:name="_Toc22994"/>
      <w:bookmarkStart w:id="130" w:name="_Toc29396"/>
      <w:r>
        <w:rPr>
          <w:rFonts w:hint="eastAsia" w:ascii="宋体" w:hAnsi="宋体"/>
          <w:bCs/>
          <w:color w:val="000000" w:themeColor="text1"/>
          <w:sz w:val="32"/>
          <w:szCs w:val="32"/>
          <w:highlight w:val="none"/>
          <w14:textFill>
            <w14:solidFill>
              <w14:schemeClr w14:val="tx1"/>
            </w14:solidFill>
          </w14:textFill>
        </w:rPr>
        <w:t>第二节 评审原则</w:t>
      </w:r>
      <w:bookmarkEnd w:id="123"/>
      <w:bookmarkEnd w:id="124"/>
      <w:bookmarkEnd w:id="125"/>
      <w:bookmarkEnd w:id="126"/>
      <w:bookmarkEnd w:id="127"/>
      <w:bookmarkEnd w:id="128"/>
      <w:bookmarkEnd w:id="129"/>
      <w:bookmarkEnd w:id="130"/>
    </w:p>
    <w:p w14:paraId="527A3CB3">
      <w:pPr>
        <w:spacing w:line="360" w:lineRule="auto"/>
        <w:ind w:firstLine="480" w:firstLineChars="200"/>
        <w:jc w:val="left"/>
        <w:rPr>
          <w:rFonts w:hint="eastAsia" w:ascii="黑体" w:hAnsi="黑体" w:eastAsia="黑体" w:cs="宋体"/>
          <w:color w:val="000000" w:themeColor="text1"/>
          <w:sz w:val="24"/>
          <w:szCs w:val="32"/>
          <w:highlight w:val="none"/>
          <w14:textFill>
            <w14:solidFill>
              <w14:schemeClr w14:val="tx1"/>
            </w14:solidFill>
          </w14:textFill>
        </w:rPr>
      </w:pPr>
      <w:r>
        <w:rPr>
          <w:rFonts w:hint="eastAsia" w:ascii="黑体" w:hAnsi="黑体" w:eastAsia="黑体" w:cs="宋体"/>
          <w:color w:val="000000" w:themeColor="text1"/>
          <w:sz w:val="24"/>
          <w:szCs w:val="32"/>
          <w:highlight w:val="none"/>
          <w14:textFill>
            <w14:solidFill>
              <w14:schemeClr w14:val="tx1"/>
            </w14:solidFill>
          </w14:textFill>
        </w:rPr>
        <w:t>1.评审原则</w:t>
      </w:r>
    </w:p>
    <w:p w14:paraId="3757C566">
      <w:pPr>
        <w:spacing w:line="360"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79EDA087">
      <w:pPr>
        <w:spacing w:line="360"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1.2根据</w:t>
      </w:r>
      <w:r>
        <w:rPr>
          <w:rFonts w:hint="eastAsia"/>
          <w:color w:val="000000" w:themeColor="text1"/>
          <w:highlight w:val="none"/>
          <w14:textFill>
            <w14:solidFill>
              <w14:schemeClr w14:val="tx1"/>
            </w14:solidFill>
          </w14:textFill>
        </w:rPr>
        <w:t>《政府采购非招标采购方式管理办法》（财政部令第</w:t>
      </w:r>
      <w:r>
        <w:rPr>
          <w:color w:val="000000" w:themeColor="text1"/>
          <w:highlight w:val="none"/>
          <w14:textFill>
            <w14:solidFill>
              <w14:schemeClr w14:val="tx1"/>
            </w14:solidFill>
          </w14:textFill>
        </w:rPr>
        <w:t>74</w:t>
      </w:r>
      <w:r>
        <w:rPr>
          <w:rFonts w:hint="eastAsia"/>
          <w:color w:val="000000" w:themeColor="text1"/>
          <w:highlight w:val="none"/>
          <w14:textFill>
            <w14:solidFill>
              <w14:schemeClr w14:val="tx1"/>
            </w14:solidFill>
          </w14:textFill>
        </w:rPr>
        <w:t>号）第二十一条</w:t>
      </w:r>
      <w:r>
        <w:rPr>
          <w:rFonts w:hint="eastAsia" w:ascii="宋体" w:hAnsi="宋体" w:cs="宋体"/>
          <w:color w:val="000000" w:themeColor="text1"/>
          <w:highlight w:val="none"/>
          <w14:textFill>
            <w14:solidFill>
              <w14:schemeClr w14:val="tx1"/>
            </w14:solidFill>
          </w14:textFill>
        </w:rPr>
        <w:t>规定，评审结果汇总完成后，采购人、采购代理机构和谈判小组均不得修改评审结果或者要求重新评审，但资格性检查认定错误、分值汇总计算错误、分项评分超出评分标准范围、客观分评分不一致、经评审委员会一致认定评分畸高、畸低的情形除外。出现上述除外情形的，谈判小组应当现场修改评审结果，并在评审报告中明确记载。</w:t>
      </w:r>
    </w:p>
    <w:p w14:paraId="19E87730">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040052EC">
      <w:pPr>
        <w:spacing w:line="360" w:lineRule="auto"/>
        <w:ind w:firstLine="480" w:firstLineChars="200"/>
        <w:rPr>
          <w:rFonts w:hint="eastAsia" w:ascii="黑体" w:hAnsi="黑体" w:eastAsia="黑体" w:cs="宋体"/>
          <w:color w:val="000000" w:themeColor="text1"/>
          <w:sz w:val="24"/>
          <w:szCs w:val="32"/>
          <w:highlight w:val="none"/>
          <w14:textFill>
            <w14:solidFill>
              <w14:schemeClr w14:val="tx1"/>
            </w14:solidFill>
          </w14:textFill>
        </w:rPr>
      </w:pPr>
      <w:r>
        <w:rPr>
          <w:rFonts w:hint="eastAsia" w:ascii="黑体" w:hAnsi="黑体" w:eastAsia="黑体" w:cs="宋体"/>
          <w:color w:val="000000" w:themeColor="text1"/>
          <w:sz w:val="24"/>
          <w:szCs w:val="32"/>
          <w:highlight w:val="none"/>
          <w14:textFill>
            <w14:solidFill>
              <w14:schemeClr w14:val="tx1"/>
            </w14:solidFill>
          </w14:textFill>
        </w:rPr>
        <w:t>2.终止竞争性谈判采购活动</w:t>
      </w:r>
    </w:p>
    <w:p w14:paraId="3A213533">
      <w:pPr>
        <w:spacing w:line="360"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出现下列情形之一的，采购人或者采购代理机构应当终止竞争性谈判采购活动，发布项目终止公告并说明原因，重新开展采购活动：</w:t>
      </w:r>
    </w:p>
    <w:p w14:paraId="78C9DDA7">
      <w:pPr>
        <w:spacing w:line="360"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（1）因情况变化，不再符合规定的竞争性谈判采购方式适用情形的； </w:t>
      </w:r>
    </w:p>
    <w:p w14:paraId="6032316B">
      <w:pPr>
        <w:spacing w:line="360"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（2）出现影响采购公正的违法、违规行为的；</w:t>
      </w:r>
    </w:p>
    <w:p w14:paraId="0F2BE893">
      <w:pPr>
        <w:spacing w:line="360"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（3）在采购过程中符合竞争要求的供应商或者报价未超过采购预算的供应商不足3家的，但《政府采购非招标采购方式管理办法》第二十七条第二款规定的情形除外。</w:t>
      </w:r>
    </w:p>
    <w:p w14:paraId="5EBA7F1E">
      <w:pPr>
        <w:keepNext/>
        <w:keepLines/>
        <w:spacing w:line="360" w:lineRule="auto"/>
        <w:ind w:firstLine="640" w:firstLineChars="200"/>
        <w:jc w:val="center"/>
        <w:outlineLvl w:val="1"/>
        <w:rPr>
          <w:rFonts w:hint="eastAsia" w:ascii="宋体" w:hAnsi="宋体" w:cs="宋体"/>
          <w:bCs/>
          <w:color w:val="000000" w:themeColor="text1"/>
          <w:sz w:val="32"/>
          <w:szCs w:val="32"/>
          <w:highlight w:val="none"/>
          <w14:textFill>
            <w14:solidFill>
              <w14:schemeClr w14:val="tx1"/>
            </w14:solidFill>
          </w14:textFill>
        </w:rPr>
      </w:pPr>
      <w:bookmarkStart w:id="131" w:name="_Toc15826"/>
      <w:bookmarkStart w:id="132" w:name="_Toc6994"/>
      <w:bookmarkStart w:id="133" w:name="_Toc13079"/>
      <w:bookmarkStart w:id="134" w:name="_Toc32391"/>
      <w:bookmarkStart w:id="135" w:name="_Toc7182"/>
      <w:bookmarkStart w:id="136" w:name="_Toc996"/>
      <w:bookmarkStart w:id="137" w:name="_Toc25353"/>
      <w:bookmarkStart w:id="138" w:name="_Toc23259"/>
      <w:r>
        <w:rPr>
          <w:rFonts w:hint="eastAsia" w:ascii="宋体" w:hAnsi="宋体"/>
          <w:bCs/>
          <w:color w:val="000000" w:themeColor="text1"/>
          <w:sz w:val="32"/>
          <w:szCs w:val="32"/>
          <w:highlight w:val="none"/>
          <w14:textFill>
            <w14:solidFill>
              <w14:schemeClr w14:val="tx1"/>
            </w14:solidFill>
          </w14:textFill>
        </w:rPr>
        <w:t>第三节 评标报告</w:t>
      </w:r>
      <w:bookmarkEnd w:id="131"/>
      <w:bookmarkEnd w:id="132"/>
      <w:bookmarkEnd w:id="133"/>
      <w:bookmarkEnd w:id="134"/>
      <w:bookmarkEnd w:id="135"/>
      <w:bookmarkEnd w:id="136"/>
      <w:bookmarkEnd w:id="137"/>
      <w:bookmarkEnd w:id="138"/>
    </w:p>
    <w:p w14:paraId="64D98755">
      <w:pPr>
        <w:spacing w:line="360" w:lineRule="auto"/>
        <w:ind w:firstLine="480" w:firstLineChars="200"/>
        <w:rPr>
          <w:rFonts w:hint="eastAsia" w:ascii="黑体" w:hAnsi="黑体" w:eastAsia="黑体" w:cs="宋体"/>
          <w:color w:val="000000" w:themeColor="text1"/>
          <w:sz w:val="24"/>
          <w:szCs w:val="32"/>
          <w:highlight w:val="none"/>
          <w14:textFill>
            <w14:solidFill>
              <w14:schemeClr w14:val="tx1"/>
            </w14:solidFill>
          </w14:textFill>
        </w:rPr>
      </w:pPr>
      <w:r>
        <w:rPr>
          <w:rFonts w:hint="eastAsia" w:ascii="黑体" w:hAnsi="黑体" w:eastAsia="黑体" w:cs="宋体"/>
          <w:color w:val="000000" w:themeColor="text1"/>
          <w:sz w:val="24"/>
          <w:szCs w:val="32"/>
          <w:highlight w:val="none"/>
          <w14:textFill>
            <w14:solidFill>
              <w14:schemeClr w14:val="tx1"/>
            </w14:solidFill>
          </w14:textFill>
        </w:rPr>
        <w:t>1.成交标准</w:t>
      </w:r>
    </w:p>
    <w:p w14:paraId="3BA04758">
      <w:pPr>
        <w:snapToGrid w:val="0"/>
        <w:spacing w:line="360" w:lineRule="auto"/>
        <w:ind w:firstLine="420" w:firstLineChars="200"/>
        <w:textAlignment w:val="baseline"/>
        <w:rPr>
          <w:rStyle w:val="92"/>
          <w:rFonts w:hint="eastAsia" w:ascii="宋体" w:hAnsi="宋体" w:cs="宋体"/>
          <w:color w:val="000000" w:themeColor="text1"/>
          <w:sz w:val="24"/>
          <w:highlight w:val="none"/>
          <w14:textFill>
            <w14:solidFill>
              <w14:schemeClr w14:val="tx1"/>
            </w14:solidFill>
          </w14:textFill>
        </w:rPr>
      </w:pPr>
      <w:r>
        <w:rPr>
          <w:rStyle w:val="92"/>
          <w:rFonts w:hint="eastAsia" w:ascii="宋体" w:hAnsi="宋体" w:cs="宋体"/>
          <w:bCs/>
          <w:color w:val="000000" w:themeColor="text1"/>
          <w:szCs w:val="21"/>
          <w:highlight w:val="none"/>
          <w14:textFill>
            <w14:solidFill>
              <w14:schemeClr w14:val="tx1"/>
            </w14:solidFill>
          </w14:textFill>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26.2条规定的顺序推荐），并在线编写电子评审报告。</w:t>
      </w:r>
    </w:p>
    <w:p w14:paraId="7A6F8F1D">
      <w:pPr>
        <w:spacing w:line="360" w:lineRule="auto"/>
        <w:ind w:firstLine="480" w:firstLineChars="200"/>
        <w:rPr>
          <w:rFonts w:hint="eastAsia" w:ascii="黑体" w:hAnsi="黑体" w:eastAsia="黑体" w:cs="宋体"/>
          <w:color w:val="000000" w:themeColor="text1"/>
          <w:sz w:val="24"/>
          <w:szCs w:val="32"/>
          <w:highlight w:val="none"/>
          <w14:textFill>
            <w14:solidFill>
              <w14:schemeClr w14:val="tx1"/>
            </w14:solidFill>
          </w14:textFill>
        </w:rPr>
      </w:pPr>
      <w:r>
        <w:rPr>
          <w:rFonts w:hint="eastAsia" w:ascii="黑体" w:hAnsi="黑体" w:eastAsia="黑体" w:cs="宋体"/>
          <w:color w:val="000000" w:themeColor="text1"/>
          <w:sz w:val="24"/>
          <w:szCs w:val="32"/>
          <w:highlight w:val="none"/>
          <w14:textFill>
            <w14:solidFill>
              <w14:schemeClr w14:val="tx1"/>
            </w14:solidFill>
          </w14:textFill>
        </w:rPr>
        <w:t>2.评标争议事项处理</w:t>
      </w:r>
    </w:p>
    <w:p w14:paraId="26EB9FB3">
      <w:pPr>
        <w:pStyle w:val="87"/>
        <w:spacing w:before="0"/>
        <w:ind w:firstLine="420"/>
        <w:rPr>
          <w:rFonts w:hint="eastAsia" w:ascii="宋体" w:hAnsi="宋体" w:cs="宋体"/>
          <w:color w:val="000000" w:themeColor="text1"/>
          <w:kern w:val="2"/>
          <w:sz w:val="21"/>
          <w:szCs w:val="24"/>
          <w:highlight w:val="none"/>
          <w14:textFill>
            <w14:solidFill>
              <w14:schemeClr w14:val="tx1"/>
            </w14:solidFill>
          </w14:textFill>
        </w:rPr>
      </w:pPr>
      <w:r>
        <w:rPr>
          <w:rFonts w:hint="eastAsia" w:ascii="宋体" w:hAnsi="宋体" w:cs="宋体"/>
          <w:color w:val="000000" w:themeColor="text1"/>
          <w:kern w:val="2"/>
          <w:sz w:val="21"/>
          <w:szCs w:val="24"/>
          <w:highlight w:val="none"/>
          <w14:textFill>
            <w14:solidFill>
              <w14:schemeClr w14:val="tx1"/>
            </w14:solidFill>
          </w14:textFill>
        </w:rPr>
        <w:t>谈判小组成员对需要共同认定的事项存在争议的，应当按照少数服从多数的原则作出结论。持不同意见的谈判小组成员应当在评标报告上签署不同意见及理由，否则视为同意评标报告。</w:t>
      </w:r>
    </w:p>
    <w:p w14:paraId="6E44A8AB">
      <w:pPr>
        <w:pStyle w:val="87"/>
        <w:spacing w:before="0"/>
        <w:ind w:firstLine="420"/>
        <w:rPr>
          <w:rFonts w:hint="eastAsia" w:ascii="宋体" w:hAnsi="宋体" w:cs="宋体"/>
          <w:color w:val="000000" w:themeColor="text1"/>
          <w:kern w:val="2"/>
          <w:sz w:val="21"/>
          <w:szCs w:val="24"/>
          <w:highlight w:val="none"/>
          <w14:textFill>
            <w14:solidFill>
              <w14:schemeClr w14:val="tx1"/>
            </w14:solidFill>
          </w14:textFill>
        </w:rPr>
      </w:pPr>
    </w:p>
    <w:p w14:paraId="3C056BDE">
      <w:pPr>
        <w:keepNext/>
        <w:keepLines/>
        <w:spacing w:line="360" w:lineRule="auto"/>
        <w:ind w:firstLine="640" w:firstLineChars="200"/>
        <w:jc w:val="center"/>
        <w:outlineLvl w:val="1"/>
        <w:rPr>
          <w:rFonts w:hint="eastAsia" w:ascii="宋体" w:hAnsi="宋体" w:cs="宋体"/>
          <w:bCs/>
          <w:color w:val="000000" w:themeColor="text1"/>
          <w:sz w:val="32"/>
          <w:szCs w:val="32"/>
          <w:highlight w:val="none"/>
          <w14:textFill>
            <w14:solidFill>
              <w14:schemeClr w14:val="tx1"/>
            </w14:solidFill>
          </w14:textFill>
        </w:rPr>
      </w:pPr>
      <w:bookmarkStart w:id="139" w:name="_Toc24497"/>
      <w:bookmarkStart w:id="140" w:name="_Toc14881"/>
      <w:bookmarkStart w:id="141" w:name="_Toc9083"/>
      <w:bookmarkStart w:id="142" w:name="_Toc13265"/>
      <w:bookmarkStart w:id="143" w:name="_Toc31300"/>
      <w:bookmarkStart w:id="144" w:name="_Toc2537"/>
      <w:bookmarkStart w:id="145" w:name="_Toc3609"/>
      <w:bookmarkStart w:id="146" w:name="_Toc16914"/>
      <w:r>
        <w:rPr>
          <w:rFonts w:hint="eastAsia" w:ascii="宋体" w:hAnsi="宋体"/>
          <w:bCs/>
          <w:color w:val="000000" w:themeColor="text1"/>
          <w:sz w:val="32"/>
          <w:szCs w:val="32"/>
          <w:highlight w:val="none"/>
          <w14:textFill>
            <w14:solidFill>
              <w14:schemeClr w14:val="tx1"/>
            </w14:solidFill>
          </w14:textFill>
        </w:rPr>
        <w:t>第四节 评审过程的保密与录像</w:t>
      </w:r>
      <w:bookmarkEnd w:id="139"/>
      <w:bookmarkEnd w:id="140"/>
      <w:bookmarkEnd w:id="141"/>
      <w:bookmarkEnd w:id="142"/>
      <w:bookmarkEnd w:id="143"/>
      <w:bookmarkEnd w:id="144"/>
      <w:bookmarkEnd w:id="145"/>
      <w:bookmarkEnd w:id="146"/>
    </w:p>
    <w:p w14:paraId="20EA938C">
      <w:pPr>
        <w:spacing w:line="360" w:lineRule="auto"/>
        <w:ind w:firstLine="480" w:firstLineChars="200"/>
        <w:rPr>
          <w:rFonts w:hint="eastAsia" w:ascii="黑体" w:hAnsi="黑体" w:eastAsia="黑体" w:cs="宋体"/>
          <w:color w:val="000000" w:themeColor="text1"/>
          <w:sz w:val="24"/>
          <w:szCs w:val="32"/>
          <w:highlight w:val="none"/>
          <w14:textFill>
            <w14:solidFill>
              <w14:schemeClr w14:val="tx1"/>
            </w14:solidFill>
          </w14:textFill>
        </w:rPr>
      </w:pPr>
      <w:r>
        <w:rPr>
          <w:rFonts w:hint="eastAsia" w:ascii="黑体" w:hAnsi="黑体" w:eastAsia="黑体" w:cs="宋体"/>
          <w:color w:val="000000" w:themeColor="text1"/>
          <w:sz w:val="24"/>
          <w:szCs w:val="32"/>
          <w:highlight w:val="none"/>
          <w14:textFill>
            <w14:solidFill>
              <w14:schemeClr w14:val="tx1"/>
            </w14:solidFill>
          </w14:textFill>
        </w:rPr>
        <w:t>1.保密</w:t>
      </w:r>
    </w:p>
    <w:p w14:paraId="126D28A8">
      <w:pPr>
        <w:widowControl/>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71BC9506">
      <w:pPr>
        <w:widowControl/>
        <w:spacing w:line="360" w:lineRule="auto"/>
        <w:ind w:firstLine="480" w:firstLineChars="200"/>
        <w:rPr>
          <w:rFonts w:hint="eastAsia" w:ascii="黑体" w:hAnsi="黑体" w:eastAsia="黑体" w:cs="宋体"/>
          <w:color w:val="000000" w:themeColor="text1"/>
          <w:sz w:val="24"/>
          <w:szCs w:val="32"/>
          <w:highlight w:val="none"/>
          <w14:textFill>
            <w14:solidFill>
              <w14:schemeClr w14:val="tx1"/>
            </w14:solidFill>
          </w14:textFill>
        </w:rPr>
      </w:pPr>
      <w:r>
        <w:rPr>
          <w:rFonts w:hint="eastAsia" w:ascii="黑体" w:hAnsi="黑体" w:eastAsia="黑体" w:cs="宋体"/>
          <w:color w:val="000000" w:themeColor="text1"/>
          <w:sz w:val="24"/>
          <w:szCs w:val="32"/>
          <w:highlight w:val="none"/>
          <w14:textFill>
            <w14:solidFill>
              <w14:schemeClr w14:val="tx1"/>
            </w14:solidFill>
          </w14:textFill>
        </w:rPr>
        <w:t>2.录音录像</w:t>
      </w:r>
    </w:p>
    <w:p w14:paraId="0898FDDD">
      <w:pPr>
        <w:spacing w:line="360" w:lineRule="auto"/>
        <w:ind w:firstLine="420" w:firstLineChars="200"/>
        <w:rPr>
          <w:rFonts w:hint="eastAsia"/>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采购代理机构对评审工作现场及操作屏幕进行全过程录音录像，录音录像资料作为采购项目文件随其他文件一并存档。</w:t>
      </w:r>
      <w:r>
        <w:rPr>
          <w:color w:val="000000" w:themeColor="text1"/>
          <w:highlight w:val="none"/>
          <w14:textFill>
            <w14:solidFill>
              <w14:schemeClr w14:val="tx1"/>
            </w14:solidFill>
          </w14:textFill>
        </w:rPr>
        <w:br w:type="page"/>
      </w:r>
    </w:p>
    <w:p w14:paraId="4E4A5A0B">
      <w:pPr>
        <w:jc w:val="center"/>
        <w:rPr>
          <w:color w:val="000000" w:themeColor="text1"/>
          <w:highlight w:val="none"/>
          <w14:textFill>
            <w14:solidFill>
              <w14:schemeClr w14:val="tx1"/>
            </w14:solidFill>
          </w14:textFill>
        </w:rPr>
      </w:pPr>
    </w:p>
    <w:p w14:paraId="2B5C71EE">
      <w:pPr>
        <w:jc w:val="center"/>
        <w:rPr>
          <w:color w:val="000000" w:themeColor="text1"/>
          <w:highlight w:val="none"/>
          <w14:textFill>
            <w14:solidFill>
              <w14:schemeClr w14:val="tx1"/>
            </w14:solidFill>
          </w14:textFill>
        </w:rPr>
      </w:pPr>
    </w:p>
    <w:p w14:paraId="10C3A59C">
      <w:pPr>
        <w:jc w:val="center"/>
        <w:rPr>
          <w:color w:val="000000" w:themeColor="text1"/>
          <w:highlight w:val="none"/>
          <w14:textFill>
            <w14:solidFill>
              <w14:schemeClr w14:val="tx1"/>
            </w14:solidFill>
          </w14:textFill>
        </w:rPr>
      </w:pPr>
    </w:p>
    <w:p w14:paraId="36213A7A">
      <w:pPr>
        <w:jc w:val="center"/>
        <w:rPr>
          <w:color w:val="000000" w:themeColor="text1"/>
          <w:highlight w:val="none"/>
          <w14:textFill>
            <w14:solidFill>
              <w14:schemeClr w14:val="tx1"/>
            </w14:solidFill>
          </w14:textFill>
        </w:rPr>
      </w:pPr>
    </w:p>
    <w:p w14:paraId="4BA54189">
      <w:pPr>
        <w:jc w:val="center"/>
        <w:rPr>
          <w:color w:val="000000" w:themeColor="text1"/>
          <w:highlight w:val="none"/>
          <w14:textFill>
            <w14:solidFill>
              <w14:schemeClr w14:val="tx1"/>
            </w14:solidFill>
          </w14:textFill>
        </w:rPr>
      </w:pPr>
    </w:p>
    <w:p w14:paraId="7535D25E">
      <w:pPr>
        <w:jc w:val="center"/>
        <w:rPr>
          <w:rFonts w:hint="eastAsia"/>
          <w:color w:val="000000" w:themeColor="text1"/>
          <w:highlight w:val="none"/>
          <w14:textFill>
            <w14:solidFill>
              <w14:schemeClr w14:val="tx1"/>
            </w14:solidFill>
          </w14:textFill>
        </w:rPr>
      </w:pPr>
      <w:bookmarkStart w:id="147" w:name="_Toc29269"/>
    </w:p>
    <w:p w14:paraId="0C1E8C71">
      <w:pPr>
        <w:rPr>
          <w:rFonts w:hint="eastAsia"/>
          <w:color w:val="000000" w:themeColor="text1"/>
          <w:highlight w:val="none"/>
          <w14:textFill>
            <w14:solidFill>
              <w14:schemeClr w14:val="tx1"/>
            </w14:solidFill>
          </w14:textFill>
        </w:rPr>
      </w:pPr>
    </w:p>
    <w:p w14:paraId="438D57A2">
      <w:pPr>
        <w:rPr>
          <w:rFonts w:hint="eastAsia"/>
          <w:color w:val="000000" w:themeColor="text1"/>
          <w:highlight w:val="none"/>
          <w14:textFill>
            <w14:solidFill>
              <w14:schemeClr w14:val="tx1"/>
            </w14:solidFill>
          </w14:textFill>
        </w:rPr>
      </w:pPr>
    </w:p>
    <w:p w14:paraId="304553FE">
      <w:pPr>
        <w:rPr>
          <w:rFonts w:hint="eastAsia"/>
          <w:color w:val="000000" w:themeColor="text1"/>
          <w:highlight w:val="none"/>
          <w14:textFill>
            <w14:solidFill>
              <w14:schemeClr w14:val="tx1"/>
            </w14:solidFill>
          </w14:textFill>
        </w:rPr>
      </w:pPr>
    </w:p>
    <w:p w14:paraId="28B9AACC">
      <w:pPr>
        <w:rPr>
          <w:rFonts w:hint="eastAsia"/>
          <w:color w:val="000000" w:themeColor="text1"/>
          <w:highlight w:val="none"/>
          <w14:textFill>
            <w14:solidFill>
              <w14:schemeClr w14:val="tx1"/>
            </w14:solidFill>
          </w14:textFill>
        </w:rPr>
      </w:pPr>
    </w:p>
    <w:p w14:paraId="575FD039">
      <w:pPr>
        <w:pStyle w:val="3"/>
        <w:jc w:val="center"/>
        <w:rPr>
          <w:color w:val="000000" w:themeColor="text1"/>
          <w:highlight w:val="none"/>
          <w14:textFill>
            <w14:solidFill>
              <w14:schemeClr w14:val="tx1"/>
            </w14:solidFill>
          </w14:textFill>
        </w:rPr>
      </w:pPr>
      <w:bookmarkStart w:id="148" w:name="_Toc6856"/>
      <w:bookmarkStart w:id="149" w:name="_Toc29288"/>
      <w:bookmarkStart w:id="150" w:name="_Toc14846"/>
      <w:bookmarkStart w:id="151" w:name="_Toc29476"/>
      <w:bookmarkStart w:id="152" w:name="_Toc2930"/>
      <w:bookmarkStart w:id="153" w:name="_Toc30533"/>
      <w:bookmarkStart w:id="154" w:name="_Toc3102"/>
      <w:r>
        <w:rPr>
          <w:rFonts w:hint="eastAsia"/>
          <w:color w:val="000000" w:themeColor="text1"/>
          <w:highlight w:val="none"/>
          <w14:textFill>
            <w14:solidFill>
              <w14:schemeClr w14:val="tx1"/>
            </w14:solidFill>
          </w14:textFill>
        </w:rPr>
        <w:t>第五章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响应文件格式</w:t>
      </w:r>
      <w:r>
        <w:rPr>
          <w:color w:val="000000" w:themeColor="text1"/>
          <w:highlight w:val="none"/>
          <w14:textFill>
            <w14:solidFill>
              <w14:schemeClr w14:val="tx1"/>
            </w14:solidFill>
          </w14:textFill>
        </w:rPr>
        <w:br w:type="page"/>
      </w:r>
      <w:bookmarkEnd w:id="147"/>
      <w:bookmarkEnd w:id="148"/>
      <w:bookmarkEnd w:id="149"/>
      <w:bookmarkEnd w:id="150"/>
      <w:bookmarkEnd w:id="151"/>
      <w:bookmarkEnd w:id="152"/>
      <w:bookmarkEnd w:id="153"/>
      <w:bookmarkEnd w:id="154"/>
    </w:p>
    <w:p w14:paraId="647B6F72">
      <w:pPr>
        <w:keepNext/>
        <w:keepLines/>
        <w:spacing w:before="260" w:after="260" w:line="416" w:lineRule="auto"/>
        <w:jc w:val="center"/>
        <w:outlineLvl w:val="1"/>
        <w:rPr>
          <w:rFonts w:ascii="Calibri Light" w:hAnsi="Calibri Light"/>
          <w:b/>
          <w:bCs/>
          <w:color w:val="000000" w:themeColor="text1"/>
          <w:sz w:val="32"/>
          <w:szCs w:val="32"/>
          <w:highlight w:val="none"/>
          <w14:textFill>
            <w14:solidFill>
              <w14:schemeClr w14:val="tx1"/>
            </w14:solidFill>
          </w14:textFill>
        </w:rPr>
      </w:pPr>
      <w:bookmarkStart w:id="155" w:name="_Toc217642145"/>
      <w:bookmarkStart w:id="156" w:name="_Toc6728"/>
      <w:r>
        <w:rPr>
          <w:rFonts w:hint="eastAsia" w:ascii="Calibri Light" w:hAnsi="Calibri Light"/>
          <w:b/>
          <w:bCs/>
          <w:color w:val="000000" w:themeColor="text1"/>
          <w:sz w:val="32"/>
          <w:szCs w:val="32"/>
          <w:highlight w:val="none"/>
          <w14:textFill>
            <w14:solidFill>
              <w14:schemeClr w14:val="tx1"/>
            </w14:solidFill>
          </w14:textFill>
        </w:rPr>
        <w:t>第一</w:t>
      </w:r>
      <w:r>
        <w:rPr>
          <w:rFonts w:hint="eastAsia" w:ascii="Calibri Light" w:hAnsi="Calibri Light"/>
          <w:b/>
          <w:bCs/>
          <w:color w:val="000000" w:themeColor="text1"/>
          <w:spacing w:val="120"/>
          <w:sz w:val="32"/>
          <w:szCs w:val="32"/>
          <w:highlight w:val="none"/>
          <w14:textFill>
            <w14:solidFill>
              <w14:schemeClr w14:val="tx1"/>
            </w14:solidFill>
          </w14:textFill>
        </w:rPr>
        <w:t>节</w:t>
      </w:r>
      <w:r>
        <w:rPr>
          <w:rFonts w:hint="eastAsia" w:ascii="Calibri Light" w:hAnsi="Calibri Light"/>
          <w:b/>
          <w:bCs/>
          <w:color w:val="000000" w:themeColor="text1"/>
          <w:sz w:val="32"/>
          <w:szCs w:val="32"/>
          <w:highlight w:val="none"/>
          <w14:textFill>
            <w14:solidFill>
              <w14:schemeClr w14:val="tx1"/>
            </w14:solidFill>
          </w14:textFill>
        </w:rPr>
        <w:t>封面格式</w:t>
      </w:r>
      <w:bookmarkEnd w:id="155"/>
      <w:bookmarkEnd w:id="156"/>
    </w:p>
    <w:p w14:paraId="132705DC">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44380719">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61BEB032">
      <w:pPr>
        <w:spacing w:line="360" w:lineRule="auto"/>
        <w:jc w:val="center"/>
        <w:rPr>
          <w:rFonts w:ascii="宋体" w:hAnsi="宋体"/>
          <w:b/>
          <w:color w:val="000000" w:themeColor="text1"/>
          <w:sz w:val="84"/>
          <w:szCs w:val="84"/>
          <w:highlight w:val="none"/>
          <w14:textFill>
            <w14:solidFill>
              <w14:schemeClr w14:val="tx1"/>
            </w14:solidFill>
          </w14:textFill>
        </w:rPr>
      </w:pPr>
      <w:r>
        <w:rPr>
          <w:rFonts w:hint="eastAsia" w:ascii="宋体" w:hAnsi="宋体"/>
          <w:b/>
          <w:color w:val="000000" w:themeColor="text1"/>
          <w:sz w:val="84"/>
          <w:szCs w:val="84"/>
          <w:highlight w:val="none"/>
          <w14:textFill>
            <w14:solidFill>
              <w14:schemeClr w14:val="tx1"/>
            </w14:solidFill>
          </w14:textFill>
        </w:rPr>
        <w:t>响应文件</w:t>
      </w:r>
    </w:p>
    <w:p w14:paraId="5DFF5539">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9A850AA">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7AD72272">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3AE12A49">
      <w:pPr>
        <w:spacing w:line="360" w:lineRule="auto"/>
        <w:ind w:firstLine="640" w:firstLineChars="200"/>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项目名称：</w:t>
      </w:r>
    </w:p>
    <w:p w14:paraId="4BD1D497">
      <w:pPr>
        <w:spacing w:line="360" w:lineRule="auto"/>
        <w:ind w:firstLine="640" w:firstLineChars="200"/>
        <w:rPr>
          <w:rFonts w:ascii="宋体" w:hAnsi="宋体"/>
          <w:color w:val="000000" w:themeColor="text1"/>
          <w:sz w:val="32"/>
          <w:szCs w:val="32"/>
          <w:highlight w:val="none"/>
          <w14:textFill>
            <w14:solidFill>
              <w14:schemeClr w14:val="tx1"/>
            </w14:solidFill>
          </w14:textFill>
        </w:rPr>
      </w:pPr>
    </w:p>
    <w:p w14:paraId="0645BB05">
      <w:pPr>
        <w:spacing w:line="360" w:lineRule="auto"/>
        <w:ind w:firstLine="640" w:firstLineChars="200"/>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项目编号：</w:t>
      </w:r>
    </w:p>
    <w:p w14:paraId="1ED3FDD7">
      <w:pPr>
        <w:spacing w:line="360" w:lineRule="auto"/>
        <w:ind w:firstLine="640" w:firstLineChars="200"/>
        <w:rPr>
          <w:rFonts w:ascii="宋体" w:hAnsi="宋体"/>
          <w:color w:val="000000" w:themeColor="text1"/>
          <w:sz w:val="32"/>
          <w:szCs w:val="32"/>
          <w:highlight w:val="none"/>
          <w14:textFill>
            <w14:solidFill>
              <w14:schemeClr w14:val="tx1"/>
            </w14:solidFill>
          </w14:textFill>
        </w:rPr>
      </w:pPr>
    </w:p>
    <w:p w14:paraId="7B321538">
      <w:pPr>
        <w:spacing w:line="360" w:lineRule="auto"/>
        <w:ind w:firstLine="640" w:firstLineChars="200"/>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所竞分标（如有则填写，无分标时填写“无”或者留空）：</w:t>
      </w:r>
    </w:p>
    <w:p w14:paraId="7FE18C1B">
      <w:pPr>
        <w:spacing w:line="360" w:lineRule="auto"/>
        <w:ind w:firstLine="640" w:firstLineChars="200"/>
        <w:rPr>
          <w:rFonts w:ascii="宋体" w:hAnsi="宋体"/>
          <w:color w:val="000000" w:themeColor="text1"/>
          <w:sz w:val="32"/>
          <w:szCs w:val="32"/>
          <w:highlight w:val="none"/>
          <w14:textFill>
            <w14:solidFill>
              <w14:schemeClr w14:val="tx1"/>
            </w14:solidFill>
          </w14:textFill>
        </w:rPr>
      </w:pPr>
    </w:p>
    <w:p w14:paraId="22BCA101">
      <w:pPr>
        <w:spacing w:line="360" w:lineRule="auto"/>
        <w:ind w:firstLine="640" w:firstLineChars="200"/>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供应商名称：</w:t>
      </w:r>
    </w:p>
    <w:p w14:paraId="7C49409E">
      <w:pPr>
        <w:spacing w:line="360" w:lineRule="auto"/>
        <w:ind w:firstLine="640" w:firstLineChars="200"/>
        <w:rPr>
          <w:rFonts w:ascii="宋体" w:hAnsi="宋体"/>
          <w:color w:val="000000" w:themeColor="text1"/>
          <w:sz w:val="32"/>
          <w:szCs w:val="32"/>
          <w:highlight w:val="none"/>
          <w14:textFill>
            <w14:solidFill>
              <w14:schemeClr w14:val="tx1"/>
            </w14:solidFill>
          </w14:textFill>
        </w:rPr>
      </w:pPr>
    </w:p>
    <w:p w14:paraId="22A8E7A3">
      <w:pPr>
        <w:spacing w:line="360" w:lineRule="auto"/>
        <w:jc w:val="center"/>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首次响应文件提交截止时间前不得解密</w:t>
      </w:r>
    </w:p>
    <w:p w14:paraId="7862E6F5">
      <w:pPr>
        <w:spacing w:line="360" w:lineRule="auto"/>
        <w:ind w:firstLine="640" w:firstLineChars="200"/>
        <w:rPr>
          <w:rFonts w:ascii="宋体" w:hAnsi="宋体"/>
          <w:color w:val="000000" w:themeColor="text1"/>
          <w:sz w:val="32"/>
          <w:szCs w:val="32"/>
          <w:highlight w:val="none"/>
          <w14:textFill>
            <w14:solidFill>
              <w14:schemeClr w14:val="tx1"/>
            </w14:solidFill>
          </w14:textFill>
        </w:rPr>
      </w:pPr>
    </w:p>
    <w:p w14:paraId="3E01AE9A">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 w:val="32"/>
          <w:szCs w:val="32"/>
          <w:highlight w:val="none"/>
          <w14:textFill>
            <w14:solidFill>
              <w14:schemeClr w14:val="tx1"/>
            </w14:solidFill>
          </w14:textFill>
        </w:rPr>
        <w:t>___</w:t>
      </w:r>
      <w:r>
        <w:rPr>
          <w:rFonts w:hint="eastAsia" w:ascii="宋体" w:hAnsi="宋体"/>
          <w:color w:val="000000" w:themeColor="text1"/>
          <w:sz w:val="32"/>
          <w:szCs w:val="32"/>
          <w:highlight w:val="none"/>
          <w14:textFill>
            <w14:solidFill>
              <w14:schemeClr w14:val="tx1"/>
            </w14:solidFill>
          </w14:textFill>
        </w:rPr>
        <w:t>年</w:t>
      </w:r>
      <w:r>
        <w:rPr>
          <w:rFonts w:ascii="宋体" w:hAnsi="宋体"/>
          <w:color w:val="000000" w:themeColor="text1"/>
          <w:sz w:val="32"/>
          <w:szCs w:val="32"/>
          <w:highlight w:val="none"/>
          <w14:textFill>
            <w14:solidFill>
              <w14:schemeClr w14:val="tx1"/>
            </w14:solidFill>
          </w14:textFill>
        </w:rPr>
        <w:t>___</w:t>
      </w:r>
      <w:r>
        <w:rPr>
          <w:rFonts w:hint="eastAsia" w:ascii="宋体" w:hAnsi="宋体"/>
          <w:color w:val="000000" w:themeColor="text1"/>
          <w:sz w:val="32"/>
          <w:szCs w:val="32"/>
          <w:highlight w:val="none"/>
          <w14:textFill>
            <w14:solidFill>
              <w14:schemeClr w14:val="tx1"/>
            </w14:solidFill>
          </w14:textFill>
        </w:rPr>
        <w:t>月</w:t>
      </w:r>
      <w:r>
        <w:rPr>
          <w:rFonts w:ascii="宋体" w:hAnsi="宋体"/>
          <w:color w:val="000000" w:themeColor="text1"/>
          <w:sz w:val="32"/>
          <w:szCs w:val="32"/>
          <w:highlight w:val="none"/>
          <w14:textFill>
            <w14:solidFill>
              <w14:schemeClr w14:val="tx1"/>
            </w14:solidFill>
          </w14:textFill>
        </w:rPr>
        <w:t>___</w:t>
      </w:r>
      <w:r>
        <w:rPr>
          <w:rFonts w:hint="eastAsia" w:ascii="宋体" w:hAnsi="宋体"/>
          <w:color w:val="000000" w:themeColor="text1"/>
          <w:sz w:val="32"/>
          <w:szCs w:val="32"/>
          <w:highlight w:val="none"/>
          <w14:textFill>
            <w14:solidFill>
              <w14:schemeClr w14:val="tx1"/>
            </w14:solidFill>
          </w14:textFill>
        </w:rPr>
        <w:t>日</w:t>
      </w:r>
    </w:p>
    <w:p w14:paraId="1D19AA25">
      <w:pPr>
        <w:jc w:val="center"/>
        <w:rPr>
          <w:color w:val="000000" w:themeColor="text1"/>
          <w:highlight w:val="none"/>
          <w14:textFill>
            <w14:solidFill>
              <w14:schemeClr w14:val="tx1"/>
            </w14:solidFill>
          </w14:textFill>
        </w:rPr>
        <w:sectPr>
          <w:footerReference r:id="rId5" w:type="default"/>
          <w:pgSz w:w="11906" w:h="16838"/>
          <w:pgMar w:top="1134" w:right="1134" w:bottom="1134" w:left="1134" w:header="851" w:footer="680" w:gutter="0"/>
          <w:cols w:space="720" w:num="1"/>
          <w:docGrid w:type="lines" w:linePitch="312" w:charSpace="0"/>
        </w:sectPr>
      </w:pPr>
    </w:p>
    <w:p w14:paraId="12A16311">
      <w:pPr>
        <w:keepNext/>
        <w:keepLines/>
        <w:spacing w:before="260" w:after="260" w:line="416" w:lineRule="auto"/>
        <w:jc w:val="center"/>
        <w:outlineLvl w:val="1"/>
        <w:rPr>
          <w:rFonts w:ascii="Calibri Light" w:hAnsi="Calibri Light"/>
          <w:b/>
          <w:bCs/>
          <w:color w:val="000000" w:themeColor="text1"/>
          <w:sz w:val="32"/>
          <w:szCs w:val="32"/>
          <w:highlight w:val="none"/>
          <w14:textFill>
            <w14:solidFill>
              <w14:schemeClr w14:val="tx1"/>
            </w14:solidFill>
          </w14:textFill>
        </w:rPr>
      </w:pPr>
      <w:bookmarkStart w:id="157" w:name="_Toc217642146"/>
      <w:bookmarkStart w:id="158" w:name="_Toc94"/>
      <w:r>
        <w:rPr>
          <w:rFonts w:hint="eastAsia" w:ascii="Calibri Light" w:hAnsi="Calibri Light"/>
          <w:b/>
          <w:bCs/>
          <w:color w:val="000000" w:themeColor="text1"/>
          <w:sz w:val="32"/>
          <w:szCs w:val="32"/>
          <w:highlight w:val="none"/>
          <w14:textFill>
            <w14:solidFill>
              <w14:schemeClr w14:val="tx1"/>
            </w14:solidFill>
          </w14:textFill>
        </w:rPr>
        <w:t>第二</w:t>
      </w:r>
      <w:r>
        <w:rPr>
          <w:rFonts w:hint="eastAsia" w:ascii="Calibri Light" w:hAnsi="Calibri Light"/>
          <w:b/>
          <w:bCs/>
          <w:color w:val="000000" w:themeColor="text1"/>
          <w:spacing w:val="120"/>
          <w:sz w:val="32"/>
          <w:szCs w:val="32"/>
          <w:highlight w:val="none"/>
          <w14:textFill>
            <w14:solidFill>
              <w14:schemeClr w14:val="tx1"/>
            </w14:solidFill>
          </w14:textFill>
        </w:rPr>
        <w:t>节</w:t>
      </w:r>
      <w:r>
        <w:rPr>
          <w:rFonts w:hint="eastAsia" w:ascii="Calibri Light" w:hAnsi="Calibri Light"/>
          <w:b/>
          <w:bCs/>
          <w:color w:val="000000" w:themeColor="text1"/>
          <w:sz w:val="32"/>
          <w:szCs w:val="32"/>
          <w:highlight w:val="none"/>
          <w14:textFill>
            <w14:solidFill>
              <w14:schemeClr w14:val="tx1"/>
            </w14:solidFill>
          </w14:textFill>
        </w:rPr>
        <w:t>资格证明文件格式</w:t>
      </w:r>
      <w:bookmarkEnd w:id="157"/>
      <w:bookmarkEnd w:id="158"/>
    </w:p>
    <w:p w14:paraId="4F2CD0D7">
      <w:pPr>
        <w:spacing w:line="360" w:lineRule="auto"/>
        <w:ind w:firstLine="640" w:firstLineChars="200"/>
        <w:jc w:val="center"/>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全流程电子文件</w:t>
      </w:r>
    </w:p>
    <w:p w14:paraId="36D9CC19">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6FFC5642">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388D61D7">
      <w:pPr>
        <w:spacing w:line="360" w:lineRule="auto"/>
        <w:jc w:val="center"/>
        <w:rPr>
          <w:rFonts w:ascii="宋体" w:hAnsi="宋体"/>
          <w:b/>
          <w:color w:val="000000" w:themeColor="text1"/>
          <w:sz w:val="84"/>
          <w:szCs w:val="84"/>
          <w:highlight w:val="none"/>
          <w14:textFill>
            <w14:solidFill>
              <w14:schemeClr w14:val="tx1"/>
            </w14:solidFill>
          </w14:textFill>
        </w:rPr>
      </w:pPr>
      <w:r>
        <w:rPr>
          <w:rFonts w:hint="eastAsia" w:ascii="宋体" w:hAnsi="宋体"/>
          <w:b/>
          <w:color w:val="000000" w:themeColor="text1"/>
          <w:sz w:val="84"/>
          <w:szCs w:val="84"/>
          <w:highlight w:val="none"/>
          <w14:textFill>
            <w14:solidFill>
              <w14:schemeClr w14:val="tx1"/>
            </w14:solidFill>
          </w14:textFill>
        </w:rPr>
        <w:t>资格证明文件（封面）</w:t>
      </w:r>
    </w:p>
    <w:p w14:paraId="31D7C201">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6A4C835E">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1C79A72E">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30C095FA">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74FE4A6">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03BD72E0">
      <w:pPr>
        <w:spacing w:line="360" w:lineRule="auto"/>
        <w:ind w:firstLine="640" w:firstLineChars="200"/>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项目名称：</w:t>
      </w:r>
    </w:p>
    <w:p w14:paraId="771528FE">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E198BBB">
      <w:pPr>
        <w:spacing w:line="360" w:lineRule="auto"/>
        <w:ind w:firstLine="640" w:firstLineChars="200"/>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项目编号：</w:t>
      </w:r>
    </w:p>
    <w:p w14:paraId="4DED5A9E">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1726809A">
      <w:pPr>
        <w:spacing w:line="360" w:lineRule="auto"/>
        <w:ind w:firstLine="640" w:firstLineChars="200"/>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所竞分标（如有则填写，无分标时填写“无”或者留空）：</w:t>
      </w:r>
    </w:p>
    <w:p w14:paraId="75FED877">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91B7CCB">
      <w:pPr>
        <w:spacing w:line="360" w:lineRule="auto"/>
        <w:ind w:firstLine="640" w:firstLineChars="200"/>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供应商名称：</w:t>
      </w:r>
    </w:p>
    <w:p w14:paraId="06A9A909">
      <w:pPr>
        <w:spacing w:line="360" w:lineRule="auto"/>
        <w:ind w:firstLine="640" w:firstLineChars="200"/>
        <w:rPr>
          <w:rFonts w:ascii="宋体" w:hAnsi="宋体"/>
          <w:color w:val="000000" w:themeColor="text1"/>
          <w:sz w:val="32"/>
          <w:szCs w:val="32"/>
          <w:highlight w:val="none"/>
          <w14:textFill>
            <w14:solidFill>
              <w14:schemeClr w14:val="tx1"/>
            </w14:solidFill>
          </w14:textFill>
        </w:rPr>
      </w:pPr>
    </w:p>
    <w:p w14:paraId="3412E174">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5E8FE61">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77691F1F">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4E03BD8F">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 w:val="32"/>
          <w:szCs w:val="32"/>
          <w:highlight w:val="none"/>
          <w14:textFill>
            <w14:solidFill>
              <w14:schemeClr w14:val="tx1"/>
            </w14:solidFill>
          </w14:textFill>
        </w:rPr>
        <w:t>___</w:t>
      </w:r>
      <w:r>
        <w:rPr>
          <w:rFonts w:hint="eastAsia" w:ascii="宋体" w:hAnsi="宋体"/>
          <w:color w:val="000000" w:themeColor="text1"/>
          <w:sz w:val="32"/>
          <w:szCs w:val="32"/>
          <w:highlight w:val="none"/>
          <w14:textFill>
            <w14:solidFill>
              <w14:schemeClr w14:val="tx1"/>
            </w14:solidFill>
          </w14:textFill>
        </w:rPr>
        <w:t>年</w:t>
      </w:r>
      <w:r>
        <w:rPr>
          <w:rFonts w:ascii="宋体" w:hAnsi="宋体"/>
          <w:color w:val="000000" w:themeColor="text1"/>
          <w:sz w:val="32"/>
          <w:szCs w:val="32"/>
          <w:highlight w:val="none"/>
          <w14:textFill>
            <w14:solidFill>
              <w14:schemeClr w14:val="tx1"/>
            </w14:solidFill>
          </w14:textFill>
        </w:rPr>
        <w:t>___</w:t>
      </w:r>
      <w:r>
        <w:rPr>
          <w:rFonts w:hint="eastAsia" w:ascii="宋体" w:hAnsi="宋体"/>
          <w:color w:val="000000" w:themeColor="text1"/>
          <w:sz w:val="32"/>
          <w:szCs w:val="32"/>
          <w:highlight w:val="none"/>
          <w14:textFill>
            <w14:solidFill>
              <w14:schemeClr w14:val="tx1"/>
            </w14:solidFill>
          </w14:textFill>
        </w:rPr>
        <w:t>月</w:t>
      </w:r>
      <w:r>
        <w:rPr>
          <w:rFonts w:ascii="宋体" w:hAnsi="宋体"/>
          <w:color w:val="000000" w:themeColor="text1"/>
          <w:sz w:val="32"/>
          <w:szCs w:val="32"/>
          <w:highlight w:val="none"/>
          <w14:textFill>
            <w14:solidFill>
              <w14:schemeClr w14:val="tx1"/>
            </w14:solidFill>
          </w14:textFill>
        </w:rPr>
        <w:t>___</w:t>
      </w:r>
      <w:r>
        <w:rPr>
          <w:rFonts w:hint="eastAsia" w:ascii="宋体" w:hAnsi="宋体"/>
          <w:color w:val="000000" w:themeColor="text1"/>
          <w:sz w:val="32"/>
          <w:szCs w:val="32"/>
          <w:highlight w:val="none"/>
          <w14:textFill>
            <w14:solidFill>
              <w14:schemeClr w14:val="tx1"/>
            </w14:solidFill>
          </w14:textFill>
        </w:rPr>
        <w:t>日</w:t>
      </w:r>
    </w:p>
    <w:p w14:paraId="68BDC8C8">
      <w:pPr>
        <w:spacing w:line="360" w:lineRule="auto"/>
        <w:ind w:firstLine="420" w:firstLineChars="200"/>
        <w:rPr>
          <w:rFonts w:ascii="宋体" w:hAnsi="宋体"/>
          <w:color w:val="000000" w:themeColor="text1"/>
          <w:szCs w:val="2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453BE69A">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资格证明文件目录</w:t>
      </w:r>
    </w:p>
    <w:p w14:paraId="598A881C">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1C128AA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一、营业执照（或事业法人登记证或其他工商等登记证明材料）复印件（供应商为自然人的，须提供自然人的身份证明）………………………………………………………………………………………………（页码）</w:t>
      </w:r>
    </w:p>
    <w:p w14:paraId="3AE1FAB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二、符合参与政府采购活动的资格条件依法缴纳税收、社会保障资金等方面的材料………………（页码）</w:t>
      </w:r>
    </w:p>
    <w:p w14:paraId="1B2F0AA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三、财务状况报告方面的材料………………………………………………………………………………（页码）</w:t>
      </w:r>
    </w:p>
    <w:p w14:paraId="37A7A9C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四、供应商直接控股股东信息………………………………………………………………………………（页码）</w:t>
      </w:r>
    </w:p>
    <w:p w14:paraId="029DE8C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五、供应商直接管理关系信息表……………………………………………………………………………（页码）</w:t>
      </w:r>
    </w:p>
    <w:p w14:paraId="68740EB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六、资格声明函………………………………………………………………………………………………（页码）</w:t>
      </w:r>
    </w:p>
    <w:p w14:paraId="21E7E76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七、联合体协议书（以联合体形式响应的，提供联合体协议；本项目不接受联合体响应或者供应商不以联合体形式响应的，则不需要提供）…………………………………………………………………………（页码）</w:t>
      </w:r>
    </w:p>
    <w:p w14:paraId="3BE1062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八、符合特定资格条件（如有）的有关证明材料（复印件）……………………………………………（页码）</w:t>
      </w:r>
    </w:p>
    <w:p w14:paraId="6933A575">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9FC1AAE">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注：以上目录是编制供应商响应文件的基本格式要求，各供应商可根据自身情况进一步细化。</w:t>
      </w:r>
    </w:p>
    <w:p w14:paraId="04DEE39F">
      <w:pPr>
        <w:spacing w:line="360" w:lineRule="auto"/>
        <w:rPr>
          <w:rFonts w:ascii="宋体" w:hAnsi="宋体"/>
          <w:b/>
          <w:color w:val="000000" w:themeColor="text1"/>
          <w:szCs w:val="2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0D6246B4">
      <w:pPr>
        <w:spacing w:line="360" w:lineRule="auto"/>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一、营业执照（或事业法人登记证或其他工商等登记证明材料）复印件（供应商为自然人的，提供自然人的身份证明）</w:t>
      </w:r>
    </w:p>
    <w:p w14:paraId="15FB6B40">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3260B104">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6A624830">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01820BE9">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038DDCB6">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1EA9392E">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2AF20F84">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7353D991">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178B6EB8">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39DFB39E">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63844E8E">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6226C1FD">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1929617D">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2B391803">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5588081C">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12772FB8">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01E5E138">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49050B4D">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08684FF8">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39ED2C72">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2316D937">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0819C4A1">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031F7FEB">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6B1F9984">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rFonts w:ascii="宋体" w:hAnsi="宋体"/>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rFonts w:ascii="宋体" w:hAnsi="宋体"/>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rFonts w:ascii="宋体" w:hAnsi="宋体"/>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404E7A6B">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2EBCE3F0">
      <w:pPr>
        <w:spacing w:line="360" w:lineRule="auto"/>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br w:type="page"/>
      </w:r>
      <w:r>
        <w:rPr>
          <w:rFonts w:hint="eastAsia" w:ascii="宋体" w:hAnsi="宋体"/>
          <w:b/>
          <w:color w:val="000000" w:themeColor="text1"/>
          <w:sz w:val="32"/>
          <w:szCs w:val="32"/>
          <w:highlight w:val="none"/>
          <w14:textFill>
            <w14:solidFill>
              <w14:schemeClr w14:val="tx1"/>
            </w14:solidFill>
          </w14:textFill>
        </w:rPr>
        <w:t>二、符合参与政府采购活动的资格条件依法缴纳税收、社会保障资金等方面的材料</w:t>
      </w:r>
    </w:p>
    <w:p w14:paraId="29F46E89">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0490D915">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41273ACF">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2EF20AC2">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01A1AC80">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12D9D019">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719A3BFB">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676FE6B8">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05C059FE">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09F58C41">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7610800F">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227C477A">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592B93C3">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642A53EB">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17CF18C6">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35394B51">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3996C670">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74EA55AC">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46150012">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71C9A8E6">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2AD848C3">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0508E50D">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511FDED8">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654008B2">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5DF62D44">
      <w:pPr>
        <w:spacing w:line="360" w:lineRule="auto"/>
        <w:ind w:firstLine="420" w:firstLineChars="200"/>
        <w:jc w:val="right"/>
        <w:rPr>
          <w:rFonts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rFonts w:ascii="宋体" w:hAnsi="宋体"/>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rFonts w:ascii="宋体" w:hAnsi="宋体"/>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rFonts w:ascii="宋体" w:hAnsi="宋体"/>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0C0BA768">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75317A66">
      <w:pPr>
        <w:spacing w:line="360" w:lineRule="auto"/>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br w:type="page"/>
      </w:r>
      <w:r>
        <w:rPr>
          <w:rFonts w:hint="eastAsia" w:ascii="宋体" w:hAnsi="宋体"/>
          <w:b/>
          <w:color w:val="000000" w:themeColor="text1"/>
          <w:sz w:val="32"/>
          <w:szCs w:val="32"/>
          <w:highlight w:val="none"/>
          <w14:textFill>
            <w14:solidFill>
              <w14:schemeClr w14:val="tx1"/>
            </w14:solidFill>
          </w14:textFill>
        </w:rPr>
        <w:t>三、财务状况报告方面的材料</w:t>
      </w:r>
    </w:p>
    <w:p w14:paraId="38FC2EAC">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66857399">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7CE72626">
      <w:pPr>
        <w:spacing w:line="360" w:lineRule="auto"/>
        <w:ind w:firstLine="420" w:firstLineChars="200"/>
        <w:jc w:val="right"/>
        <w:rPr>
          <w:rFonts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rFonts w:ascii="宋体" w:hAnsi="宋体"/>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rFonts w:ascii="宋体" w:hAnsi="宋体"/>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rFonts w:ascii="宋体" w:hAnsi="宋体"/>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1C21DF7D">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1B1FEA3B">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2B485563">
      <w:pPr>
        <w:spacing w:line="360" w:lineRule="auto"/>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br w:type="page"/>
      </w:r>
      <w:r>
        <w:rPr>
          <w:rFonts w:hint="eastAsia" w:ascii="宋体" w:hAnsi="宋体"/>
          <w:b/>
          <w:color w:val="000000" w:themeColor="text1"/>
          <w:sz w:val="32"/>
          <w:szCs w:val="32"/>
          <w:highlight w:val="none"/>
          <w14:textFill>
            <w14:solidFill>
              <w14:schemeClr w14:val="tx1"/>
            </w14:solidFill>
          </w14:textFill>
        </w:rPr>
        <w:t>四、供应商直接控股股东信息</w:t>
      </w:r>
    </w:p>
    <w:p w14:paraId="70B51538">
      <w:pPr>
        <w:spacing w:line="360" w:lineRule="auto"/>
        <w:ind w:firstLine="420" w:firstLineChars="200"/>
        <w:rPr>
          <w:rFonts w:ascii="宋体" w:hAnsi="宋体"/>
          <w:color w:val="000000" w:themeColor="text1"/>
          <w:szCs w:val="21"/>
          <w:highlight w:val="none"/>
          <w14:textFill>
            <w14:solidFill>
              <w14:schemeClr w14:val="tx1"/>
            </w14:solidFill>
          </w14:textFill>
        </w:rPr>
      </w:pPr>
    </w:p>
    <w:tbl>
      <w:tblPr>
        <w:tblStyle w:val="3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2680"/>
        <w:gridCol w:w="1449"/>
        <w:gridCol w:w="3917"/>
        <w:gridCol w:w="1144"/>
      </w:tblGrid>
      <w:tr w14:paraId="50D7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noWrap w:val="0"/>
            <w:vAlign w:val="top"/>
          </w:tcPr>
          <w:p w14:paraId="2FF3AD2A">
            <w:pPr>
              <w:spacing w:line="360" w:lineRule="auto"/>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序号</w:t>
            </w:r>
          </w:p>
        </w:tc>
        <w:tc>
          <w:tcPr>
            <w:tcW w:w="1361" w:type="pct"/>
            <w:noWrap w:val="0"/>
            <w:vAlign w:val="top"/>
          </w:tcPr>
          <w:p w14:paraId="6B542798">
            <w:pPr>
              <w:spacing w:line="360" w:lineRule="auto"/>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直接控股股东名称</w:t>
            </w:r>
          </w:p>
        </w:tc>
        <w:tc>
          <w:tcPr>
            <w:tcW w:w="736" w:type="pct"/>
            <w:noWrap w:val="0"/>
            <w:vAlign w:val="top"/>
          </w:tcPr>
          <w:p w14:paraId="09735220">
            <w:pPr>
              <w:spacing w:line="360" w:lineRule="auto"/>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出资比例</w:t>
            </w:r>
          </w:p>
        </w:tc>
        <w:tc>
          <w:tcPr>
            <w:tcW w:w="1989" w:type="pct"/>
            <w:noWrap w:val="0"/>
            <w:vAlign w:val="top"/>
          </w:tcPr>
          <w:p w14:paraId="629DC96E">
            <w:pPr>
              <w:spacing w:line="360" w:lineRule="auto"/>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身份证号码或者统一社会信用代码</w:t>
            </w:r>
          </w:p>
        </w:tc>
        <w:tc>
          <w:tcPr>
            <w:tcW w:w="581" w:type="pct"/>
            <w:noWrap w:val="0"/>
            <w:vAlign w:val="top"/>
          </w:tcPr>
          <w:p w14:paraId="5C9501BC">
            <w:pPr>
              <w:spacing w:line="360" w:lineRule="auto"/>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备注</w:t>
            </w:r>
          </w:p>
        </w:tc>
      </w:tr>
      <w:tr w14:paraId="2644A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noWrap w:val="0"/>
            <w:vAlign w:val="top"/>
          </w:tcPr>
          <w:p w14:paraId="1EEBD5A2">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361" w:type="pct"/>
            <w:noWrap w:val="0"/>
            <w:vAlign w:val="top"/>
          </w:tcPr>
          <w:p w14:paraId="2615B6DE">
            <w:pPr>
              <w:spacing w:line="360" w:lineRule="auto"/>
              <w:jc w:val="center"/>
              <w:rPr>
                <w:rFonts w:ascii="宋体" w:hAnsi="宋体"/>
                <w:color w:val="000000" w:themeColor="text1"/>
                <w:szCs w:val="21"/>
                <w:highlight w:val="none"/>
                <w14:textFill>
                  <w14:solidFill>
                    <w14:schemeClr w14:val="tx1"/>
                  </w14:solidFill>
                </w14:textFill>
              </w:rPr>
            </w:pPr>
          </w:p>
        </w:tc>
        <w:tc>
          <w:tcPr>
            <w:tcW w:w="736" w:type="pct"/>
            <w:noWrap w:val="0"/>
            <w:vAlign w:val="top"/>
          </w:tcPr>
          <w:p w14:paraId="0A590903">
            <w:pPr>
              <w:spacing w:line="360" w:lineRule="auto"/>
              <w:jc w:val="center"/>
              <w:rPr>
                <w:rFonts w:ascii="宋体" w:hAnsi="宋体"/>
                <w:color w:val="000000" w:themeColor="text1"/>
                <w:szCs w:val="21"/>
                <w:highlight w:val="none"/>
                <w14:textFill>
                  <w14:solidFill>
                    <w14:schemeClr w14:val="tx1"/>
                  </w14:solidFill>
                </w14:textFill>
              </w:rPr>
            </w:pPr>
          </w:p>
        </w:tc>
        <w:tc>
          <w:tcPr>
            <w:tcW w:w="1989" w:type="pct"/>
            <w:noWrap w:val="0"/>
            <w:vAlign w:val="top"/>
          </w:tcPr>
          <w:p w14:paraId="675848A1">
            <w:pPr>
              <w:spacing w:line="360" w:lineRule="auto"/>
              <w:jc w:val="center"/>
              <w:rPr>
                <w:rFonts w:ascii="宋体" w:hAnsi="宋体"/>
                <w:color w:val="000000" w:themeColor="text1"/>
                <w:szCs w:val="21"/>
                <w:highlight w:val="none"/>
                <w14:textFill>
                  <w14:solidFill>
                    <w14:schemeClr w14:val="tx1"/>
                  </w14:solidFill>
                </w14:textFill>
              </w:rPr>
            </w:pPr>
          </w:p>
        </w:tc>
        <w:tc>
          <w:tcPr>
            <w:tcW w:w="581" w:type="pct"/>
            <w:noWrap w:val="0"/>
            <w:vAlign w:val="top"/>
          </w:tcPr>
          <w:p w14:paraId="33F0EAF8">
            <w:pPr>
              <w:spacing w:line="360" w:lineRule="auto"/>
              <w:jc w:val="center"/>
              <w:rPr>
                <w:rFonts w:ascii="宋体" w:hAnsi="宋体"/>
                <w:color w:val="000000" w:themeColor="text1"/>
                <w:szCs w:val="21"/>
                <w:highlight w:val="none"/>
                <w14:textFill>
                  <w14:solidFill>
                    <w14:schemeClr w14:val="tx1"/>
                  </w14:solidFill>
                </w14:textFill>
              </w:rPr>
            </w:pPr>
          </w:p>
        </w:tc>
      </w:tr>
      <w:tr w14:paraId="54E9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noWrap w:val="0"/>
            <w:vAlign w:val="top"/>
          </w:tcPr>
          <w:p w14:paraId="22E114F4">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1361" w:type="pct"/>
            <w:noWrap w:val="0"/>
            <w:vAlign w:val="top"/>
          </w:tcPr>
          <w:p w14:paraId="7F6F2C18">
            <w:pPr>
              <w:spacing w:line="360" w:lineRule="auto"/>
              <w:jc w:val="center"/>
              <w:rPr>
                <w:rFonts w:ascii="宋体" w:hAnsi="宋体"/>
                <w:color w:val="000000" w:themeColor="text1"/>
                <w:szCs w:val="21"/>
                <w:highlight w:val="none"/>
                <w14:textFill>
                  <w14:solidFill>
                    <w14:schemeClr w14:val="tx1"/>
                  </w14:solidFill>
                </w14:textFill>
              </w:rPr>
            </w:pPr>
          </w:p>
        </w:tc>
        <w:tc>
          <w:tcPr>
            <w:tcW w:w="736" w:type="pct"/>
            <w:noWrap w:val="0"/>
            <w:vAlign w:val="top"/>
          </w:tcPr>
          <w:p w14:paraId="1FAAD5AE">
            <w:pPr>
              <w:spacing w:line="360" w:lineRule="auto"/>
              <w:jc w:val="center"/>
              <w:rPr>
                <w:rFonts w:ascii="宋体" w:hAnsi="宋体"/>
                <w:color w:val="000000" w:themeColor="text1"/>
                <w:szCs w:val="21"/>
                <w:highlight w:val="none"/>
                <w14:textFill>
                  <w14:solidFill>
                    <w14:schemeClr w14:val="tx1"/>
                  </w14:solidFill>
                </w14:textFill>
              </w:rPr>
            </w:pPr>
          </w:p>
        </w:tc>
        <w:tc>
          <w:tcPr>
            <w:tcW w:w="1989" w:type="pct"/>
            <w:noWrap w:val="0"/>
            <w:vAlign w:val="top"/>
          </w:tcPr>
          <w:p w14:paraId="606F6C42">
            <w:pPr>
              <w:spacing w:line="360" w:lineRule="auto"/>
              <w:jc w:val="center"/>
              <w:rPr>
                <w:rFonts w:ascii="宋体" w:hAnsi="宋体"/>
                <w:color w:val="000000" w:themeColor="text1"/>
                <w:szCs w:val="21"/>
                <w:highlight w:val="none"/>
                <w14:textFill>
                  <w14:solidFill>
                    <w14:schemeClr w14:val="tx1"/>
                  </w14:solidFill>
                </w14:textFill>
              </w:rPr>
            </w:pPr>
          </w:p>
        </w:tc>
        <w:tc>
          <w:tcPr>
            <w:tcW w:w="581" w:type="pct"/>
            <w:noWrap w:val="0"/>
            <w:vAlign w:val="top"/>
          </w:tcPr>
          <w:p w14:paraId="6C4EA211">
            <w:pPr>
              <w:spacing w:line="360" w:lineRule="auto"/>
              <w:jc w:val="center"/>
              <w:rPr>
                <w:rFonts w:ascii="宋体" w:hAnsi="宋体"/>
                <w:color w:val="000000" w:themeColor="text1"/>
                <w:szCs w:val="21"/>
                <w:highlight w:val="none"/>
                <w14:textFill>
                  <w14:solidFill>
                    <w14:schemeClr w14:val="tx1"/>
                  </w14:solidFill>
                </w14:textFill>
              </w:rPr>
            </w:pPr>
          </w:p>
        </w:tc>
      </w:tr>
      <w:tr w14:paraId="45AF0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noWrap w:val="0"/>
            <w:vAlign w:val="top"/>
          </w:tcPr>
          <w:p w14:paraId="13854E3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tc>
        <w:tc>
          <w:tcPr>
            <w:tcW w:w="1361" w:type="pct"/>
            <w:noWrap w:val="0"/>
            <w:vAlign w:val="top"/>
          </w:tcPr>
          <w:p w14:paraId="5C763C16">
            <w:pPr>
              <w:spacing w:line="360" w:lineRule="auto"/>
              <w:jc w:val="center"/>
              <w:rPr>
                <w:rFonts w:ascii="宋体" w:hAnsi="宋体"/>
                <w:color w:val="000000" w:themeColor="text1"/>
                <w:szCs w:val="21"/>
                <w:highlight w:val="none"/>
                <w14:textFill>
                  <w14:solidFill>
                    <w14:schemeClr w14:val="tx1"/>
                  </w14:solidFill>
                </w14:textFill>
              </w:rPr>
            </w:pPr>
          </w:p>
        </w:tc>
        <w:tc>
          <w:tcPr>
            <w:tcW w:w="736" w:type="pct"/>
            <w:noWrap w:val="0"/>
            <w:vAlign w:val="top"/>
          </w:tcPr>
          <w:p w14:paraId="77EA80BB">
            <w:pPr>
              <w:spacing w:line="360" w:lineRule="auto"/>
              <w:jc w:val="center"/>
              <w:rPr>
                <w:rFonts w:ascii="宋体" w:hAnsi="宋体"/>
                <w:color w:val="000000" w:themeColor="text1"/>
                <w:szCs w:val="21"/>
                <w:highlight w:val="none"/>
                <w14:textFill>
                  <w14:solidFill>
                    <w14:schemeClr w14:val="tx1"/>
                  </w14:solidFill>
                </w14:textFill>
              </w:rPr>
            </w:pPr>
          </w:p>
        </w:tc>
        <w:tc>
          <w:tcPr>
            <w:tcW w:w="1989" w:type="pct"/>
            <w:noWrap w:val="0"/>
            <w:vAlign w:val="top"/>
          </w:tcPr>
          <w:p w14:paraId="06DF260A">
            <w:pPr>
              <w:spacing w:line="360" w:lineRule="auto"/>
              <w:jc w:val="center"/>
              <w:rPr>
                <w:rFonts w:ascii="宋体" w:hAnsi="宋体"/>
                <w:color w:val="000000" w:themeColor="text1"/>
                <w:szCs w:val="21"/>
                <w:highlight w:val="none"/>
                <w14:textFill>
                  <w14:solidFill>
                    <w14:schemeClr w14:val="tx1"/>
                  </w14:solidFill>
                </w14:textFill>
              </w:rPr>
            </w:pPr>
          </w:p>
        </w:tc>
        <w:tc>
          <w:tcPr>
            <w:tcW w:w="581" w:type="pct"/>
            <w:noWrap w:val="0"/>
            <w:vAlign w:val="top"/>
          </w:tcPr>
          <w:p w14:paraId="449F4D9D">
            <w:pPr>
              <w:spacing w:line="360" w:lineRule="auto"/>
              <w:jc w:val="center"/>
              <w:rPr>
                <w:rFonts w:ascii="宋体" w:hAnsi="宋体"/>
                <w:color w:val="000000" w:themeColor="text1"/>
                <w:szCs w:val="21"/>
                <w:highlight w:val="none"/>
                <w14:textFill>
                  <w14:solidFill>
                    <w14:schemeClr w14:val="tx1"/>
                  </w14:solidFill>
                </w14:textFill>
              </w:rPr>
            </w:pPr>
          </w:p>
        </w:tc>
      </w:tr>
      <w:tr w14:paraId="79DA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noWrap w:val="0"/>
            <w:vAlign w:val="top"/>
          </w:tcPr>
          <w:p w14:paraId="3A21128A">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361" w:type="pct"/>
            <w:noWrap w:val="0"/>
            <w:vAlign w:val="top"/>
          </w:tcPr>
          <w:p w14:paraId="564F7065">
            <w:pPr>
              <w:spacing w:line="360" w:lineRule="auto"/>
              <w:jc w:val="center"/>
              <w:rPr>
                <w:rFonts w:ascii="宋体" w:hAnsi="宋体"/>
                <w:color w:val="000000" w:themeColor="text1"/>
                <w:szCs w:val="21"/>
                <w:highlight w:val="none"/>
                <w14:textFill>
                  <w14:solidFill>
                    <w14:schemeClr w14:val="tx1"/>
                  </w14:solidFill>
                </w14:textFill>
              </w:rPr>
            </w:pPr>
          </w:p>
        </w:tc>
        <w:tc>
          <w:tcPr>
            <w:tcW w:w="736" w:type="pct"/>
            <w:noWrap w:val="0"/>
            <w:vAlign w:val="top"/>
          </w:tcPr>
          <w:p w14:paraId="18D6E99C">
            <w:pPr>
              <w:spacing w:line="360" w:lineRule="auto"/>
              <w:jc w:val="center"/>
              <w:rPr>
                <w:rFonts w:ascii="宋体" w:hAnsi="宋体"/>
                <w:color w:val="000000" w:themeColor="text1"/>
                <w:szCs w:val="21"/>
                <w:highlight w:val="none"/>
                <w14:textFill>
                  <w14:solidFill>
                    <w14:schemeClr w14:val="tx1"/>
                  </w14:solidFill>
                </w14:textFill>
              </w:rPr>
            </w:pPr>
          </w:p>
        </w:tc>
        <w:tc>
          <w:tcPr>
            <w:tcW w:w="1989" w:type="pct"/>
            <w:noWrap w:val="0"/>
            <w:vAlign w:val="top"/>
          </w:tcPr>
          <w:p w14:paraId="4B785DC6">
            <w:pPr>
              <w:spacing w:line="360" w:lineRule="auto"/>
              <w:jc w:val="center"/>
              <w:rPr>
                <w:rFonts w:ascii="宋体" w:hAnsi="宋体"/>
                <w:color w:val="000000" w:themeColor="text1"/>
                <w:szCs w:val="21"/>
                <w:highlight w:val="none"/>
                <w14:textFill>
                  <w14:solidFill>
                    <w14:schemeClr w14:val="tx1"/>
                  </w14:solidFill>
                </w14:textFill>
              </w:rPr>
            </w:pPr>
          </w:p>
        </w:tc>
        <w:tc>
          <w:tcPr>
            <w:tcW w:w="581" w:type="pct"/>
            <w:noWrap w:val="0"/>
            <w:vAlign w:val="top"/>
          </w:tcPr>
          <w:p w14:paraId="476BF232">
            <w:pPr>
              <w:spacing w:line="360" w:lineRule="auto"/>
              <w:jc w:val="center"/>
              <w:rPr>
                <w:rFonts w:ascii="宋体" w:hAnsi="宋体"/>
                <w:color w:val="000000" w:themeColor="text1"/>
                <w:szCs w:val="21"/>
                <w:highlight w:val="none"/>
                <w14:textFill>
                  <w14:solidFill>
                    <w14:schemeClr w14:val="tx1"/>
                  </w14:solidFill>
                </w14:textFill>
              </w:rPr>
            </w:pPr>
          </w:p>
        </w:tc>
      </w:tr>
    </w:tbl>
    <w:p w14:paraId="426EBDB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w:t>
      </w:r>
    </w:p>
    <w:p w14:paraId="79A60D8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28E376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1733061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3.供应商不存在直接控股股东的，则填“无”。</w:t>
      </w:r>
    </w:p>
    <w:p w14:paraId="024077BA">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4E16F209">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4AF72D55">
      <w:pPr>
        <w:spacing w:line="360" w:lineRule="auto"/>
        <w:ind w:firstLine="420" w:firstLineChars="200"/>
        <w:jc w:val="right"/>
        <w:rPr>
          <w:rFonts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rFonts w:ascii="宋体" w:hAnsi="宋体"/>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rFonts w:ascii="宋体" w:hAnsi="宋体"/>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rFonts w:ascii="宋体" w:hAnsi="宋体"/>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35423E20">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7CA633C5">
      <w:pPr>
        <w:spacing w:line="360" w:lineRule="auto"/>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br w:type="page"/>
      </w:r>
      <w:r>
        <w:rPr>
          <w:rFonts w:hint="eastAsia" w:ascii="宋体" w:hAnsi="宋体"/>
          <w:b/>
          <w:color w:val="000000" w:themeColor="text1"/>
          <w:sz w:val="32"/>
          <w:szCs w:val="32"/>
          <w:highlight w:val="none"/>
          <w14:textFill>
            <w14:solidFill>
              <w14:schemeClr w14:val="tx1"/>
            </w14:solidFill>
          </w14:textFill>
        </w:rPr>
        <w:t>五、供应商直接管理关系信息表</w:t>
      </w:r>
    </w:p>
    <w:p w14:paraId="2187AB26">
      <w:pPr>
        <w:spacing w:line="360" w:lineRule="auto"/>
        <w:ind w:firstLine="420" w:firstLineChars="200"/>
        <w:rPr>
          <w:rFonts w:ascii="宋体" w:hAnsi="宋体"/>
          <w:color w:val="000000" w:themeColor="text1"/>
          <w:szCs w:val="21"/>
          <w:highlight w:val="none"/>
          <w14:textFill>
            <w14:solidFill>
              <w14:schemeClr w14:val="tx1"/>
            </w14:solidFill>
          </w14:textFill>
        </w:rPr>
      </w:pPr>
    </w:p>
    <w:tbl>
      <w:tblPr>
        <w:tblStyle w:val="3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1"/>
        <w:gridCol w:w="2461"/>
        <w:gridCol w:w="2461"/>
        <w:gridCol w:w="2461"/>
      </w:tblGrid>
      <w:tr w14:paraId="71F5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noWrap w:val="0"/>
            <w:vAlign w:val="top"/>
          </w:tcPr>
          <w:p w14:paraId="5FFBA868">
            <w:pPr>
              <w:spacing w:line="360" w:lineRule="auto"/>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序号</w:t>
            </w:r>
          </w:p>
        </w:tc>
        <w:tc>
          <w:tcPr>
            <w:tcW w:w="1250" w:type="pct"/>
            <w:noWrap w:val="0"/>
            <w:vAlign w:val="top"/>
          </w:tcPr>
          <w:p w14:paraId="230B942C">
            <w:pPr>
              <w:spacing w:line="360" w:lineRule="auto"/>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直接管理关系单位名称</w:t>
            </w:r>
          </w:p>
        </w:tc>
        <w:tc>
          <w:tcPr>
            <w:tcW w:w="1250" w:type="pct"/>
            <w:noWrap w:val="0"/>
            <w:vAlign w:val="top"/>
          </w:tcPr>
          <w:p w14:paraId="6BDC7DF7">
            <w:pPr>
              <w:spacing w:line="360" w:lineRule="auto"/>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统一社会信用代码</w:t>
            </w:r>
          </w:p>
        </w:tc>
        <w:tc>
          <w:tcPr>
            <w:tcW w:w="1250" w:type="pct"/>
            <w:noWrap w:val="0"/>
            <w:vAlign w:val="top"/>
          </w:tcPr>
          <w:p w14:paraId="2178DF17">
            <w:pPr>
              <w:spacing w:line="360" w:lineRule="auto"/>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备注</w:t>
            </w:r>
          </w:p>
        </w:tc>
      </w:tr>
      <w:tr w14:paraId="61915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noWrap w:val="0"/>
            <w:vAlign w:val="top"/>
          </w:tcPr>
          <w:p w14:paraId="6CE5710E">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250" w:type="pct"/>
            <w:noWrap w:val="0"/>
            <w:vAlign w:val="top"/>
          </w:tcPr>
          <w:p w14:paraId="175E664A">
            <w:pPr>
              <w:spacing w:line="360" w:lineRule="auto"/>
              <w:jc w:val="center"/>
              <w:rPr>
                <w:rFonts w:ascii="宋体" w:hAnsi="宋体"/>
                <w:color w:val="000000" w:themeColor="text1"/>
                <w:szCs w:val="21"/>
                <w:highlight w:val="none"/>
                <w14:textFill>
                  <w14:solidFill>
                    <w14:schemeClr w14:val="tx1"/>
                  </w14:solidFill>
                </w14:textFill>
              </w:rPr>
            </w:pPr>
          </w:p>
        </w:tc>
        <w:tc>
          <w:tcPr>
            <w:tcW w:w="1250" w:type="pct"/>
            <w:noWrap w:val="0"/>
            <w:vAlign w:val="top"/>
          </w:tcPr>
          <w:p w14:paraId="17B2D1C8">
            <w:pPr>
              <w:spacing w:line="360" w:lineRule="auto"/>
              <w:jc w:val="center"/>
              <w:rPr>
                <w:rFonts w:ascii="宋体" w:hAnsi="宋体"/>
                <w:color w:val="000000" w:themeColor="text1"/>
                <w:szCs w:val="21"/>
                <w:highlight w:val="none"/>
                <w14:textFill>
                  <w14:solidFill>
                    <w14:schemeClr w14:val="tx1"/>
                  </w14:solidFill>
                </w14:textFill>
              </w:rPr>
            </w:pPr>
          </w:p>
        </w:tc>
        <w:tc>
          <w:tcPr>
            <w:tcW w:w="1250" w:type="pct"/>
            <w:noWrap w:val="0"/>
            <w:vAlign w:val="top"/>
          </w:tcPr>
          <w:p w14:paraId="04D1F549">
            <w:pPr>
              <w:spacing w:line="360" w:lineRule="auto"/>
              <w:jc w:val="center"/>
              <w:rPr>
                <w:rFonts w:ascii="宋体" w:hAnsi="宋体"/>
                <w:color w:val="000000" w:themeColor="text1"/>
                <w:szCs w:val="21"/>
                <w:highlight w:val="none"/>
                <w14:textFill>
                  <w14:solidFill>
                    <w14:schemeClr w14:val="tx1"/>
                  </w14:solidFill>
                </w14:textFill>
              </w:rPr>
            </w:pPr>
          </w:p>
        </w:tc>
      </w:tr>
      <w:tr w14:paraId="4DB2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noWrap w:val="0"/>
            <w:vAlign w:val="top"/>
          </w:tcPr>
          <w:p w14:paraId="76F9E8A0">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1250" w:type="pct"/>
            <w:noWrap w:val="0"/>
            <w:vAlign w:val="top"/>
          </w:tcPr>
          <w:p w14:paraId="46F5EA31">
            <w:pPr>
              <w:spacing w:line="360" w:lineRule="auto"/>
              <w:jc w:val="center"/>
              <w:rPr>
                <w:rFonts w:ascii="宋体" w:hAnsi="宋体"/>
                <w:color w:val="000000" w:themeColor="text1"/>
                <w:szCs w:val="21"/>
                <w:highlight w:val="none"/>
                <w14:textFill>
                  <w14:solidFill>
                    <w14:schemeClr w14:val="tx1"/>
                  </w14:solidFill>
                </w14:textFill>
              </w:rPr>
            </w:pPr>
          </w:p>
        </w:tc>
        <w:tc>
          <w:tcPr>
            <w:tcW w:w="1250" w:type="pct"/>
            <w:noWrap w:val="0"/>
            <w:vAlign w:val="top"/>
          </w:tcPr>
          <w:p w14:paraId="5488E9E5">
            <w:pPr>
              <w:spacing w:line="360" w:lineRule="auto"/>
              <w:jc w:val="center"/>
              <w:rPr>
                <w:rFonts w:ascii="宋体" w:hAnsi="宋体"/>
                <w:color w:val="000000" w:themeColor="text1"/>
                <w:szCs w:val="21"/>
                <w:highlight w:val="none"/>
                <w14:textFill>
                  <w14:solidFill>
                    <w14:schemeClr w14:val="tx1"/>
                  </w14:solidFill>
                </w14:textFill>
              </w:rPr>
            </w:pPr>
          </w:p>
        </w:tc>
        <w:tc>
          <w:tcPr>
            <w:tcW w:w="1250" w:type="pct"/>
            <w:noWrap w:val="0"/>
            <w:vAlign w:val="top"/>
          </w:tcPr>
          <w:p w14:paraId="723CD81A">
            <w:pPr>
              <w:spacing w:line="360" w:lineRule="auto"/>
              <w:jc w:val="center"/>
              <w:rPr>
                <w:rFonts w:ascii="宋体" w:hAnsi="宋体"/>
                <w:color w:val="000000" w:themeColor="text1"/>
                <w:szCs w:val="21"/>
                <w:highlight w:val="none"/>
                <w14:textFill>
                  <w14:solidFill>
                    <w14:schemeClr w14:val="tx1"/>
                  </w14:solidFill>
                </w14:textFill>
              </w:rPr>
            </w:pPr>
          </w:p>
        </w:tc>
      </w:tr>
      <w:tr w14:paraId="7615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noWrap w:val="0"/>
            <w:vAlign w:val="top"/>
          </w:tcPr>
          <w:p w14:paraId="7A068279">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tc>
        <w:tc>
          <w:tcPr>
            <w:tcW w:w="1250" w:type="pct"/>
            <w:noWrap w:val="0"/>
            <w:vAlign w:val="top"/>
          </w:tcPr>
          <w:p w14:paraId="3A437900">
            <w:pPr>
              <w:spacing w:line="360" w:lineRule="auto"/>
              <w:jc w:val="center"/>
              <w:rPr>
                <w:rFonts w:ascii="宋体" w:hAnsi="宋体"/>
                <w:color w:val="000000" w:themeColor="text1"/>
                <w:szCs w:val="21"/>
                <w:highlight w:val="none"/>
                <w14:textFill>
                  <w14:solidFill>
                    <w14:schemeClr w14:val="tx1"/>
                  </w14:solidFill>
                </w14:textFill>
              </w:rPr>
            </w:pPr>
          </w:p>
        </w:tc>
        <w:tc>
          <w:tcPr>
            <w:tcW w:w="1250" w:type="pct"/>
            <w:noWrap w:val="0"/>
            <w:vAlign w:val="top"/>
          </w:tcPr>
          <w:p w14:paraId="6C226D4D">
            <w:pPr>
              <w:spacing w:line="360" w:lineRule="auto"/>
              <w:jc w:val="center"/>
              <w:rPr>
                <w:rFonts w:ascii="宋体" w:hAnsi="宋体"/>
                <w:color w:val="000000" w:themeColor="text1"/>
                <w:szCs w:val="21"/>
                <w:highlight w:val="none"/>
                <w14:textFill>
                  <w14:solidFill>
                    <w14:schemeClr w14:val="tx1"/>
                  </w14:solidFill>
                </w14:textFill>
              </w:rPr>
            </w:pPr>
          </w:p>
        </w:tc>
        <w:tc>
          <w:tcPr>
            <w:tcW w:w="1250" w:type="pct"/>
            <w:noWrap w:val="0"/>
            <w:vAlign w:val="top"/>
          </w:tcPr>
          <w:p w14:paraId="4DD630B6">
            <w:pPr>
              <w:spacing w:line="360" w:lineRule="auto"/>
              <w:jc w:val="center"/>
              <w:rPr>
                <w:rFonts w:ascii="宋体" w:hAnsi="宋体"/>
                <w:color w:val="000000" w:themeColor="text1"/>
                <w:szCs w:val="21"/>
                <w:highlight w:val="none"/>
                <w14:textFill>
                  <w14:solidFill>
                    <w14:schemeClr w14:val="tx1"/>
                  </w14:solidFill>
                </w14:textFill>
              </w:rPr>
            </w:pPr>
          </w:p>
        </w:tc>
      </w:tr>
      <w:tr w14:paraId="40CCC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noWrap w:val="0"/>
            <w:vAlign w:val="top"/>
          </w:tcPr>
          <w:p w14:paraId="181098DD">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250" w:type="pct"/>
            <w:noWrap w:val="0"/>
            <w:vAlign w:val="top"/>
          </w:tcPr>
          <w:p w14:paraId="4FB77EED">
            <w:pPr>
              <w:spacing w:line="360" w:lineRule="auto"/>
              <w:jc w:val="center"/>
              <w:rPr>
                <w:rFonts w:ascii="宋体" w:hAnsi="宋体"/>
                <w:color w:val="000000" w:themeColor="text1"/>
                <w:szCs w:val="21"/>
                <w:highlight w:val="none"/>
                <w14:textFill>
                  <w14:solidFill>
                    <w14:schemeClr w14:val="tx1"/>
                  </w14:solidFill>
                </w14:textFill>
              </w:rPr>
            </w:pPr>
          </w:p>
        </w:tc>
        <w:tc>
          <w:tcPr>
            <w:tcW w:w="1250" w:type="pct"/>
            <w:noWrap w:val="0"/>
            <w:vAlign w:val="top"/>
          </w:tcPr>
          <w:p w14:paraId="7F450A28">
            <w:pPr>
              <w:spacing w:line="360" w:lineRule="auto"/>
              <w:jc w:val="center"/>
              <w:rPr>
                <w:rFonts w:ascii="宋体" w:hAnsi="宋体"/>
                <w:color w:val="000000" w:themeColor="text1"/>
                <w:szCs w:val="21"/>
                <w:highlight w:val="none"/>
                <w14:textFill>
                  <w14:solidFill>
                    <w14:schemeClr w14:val="tx1"/>
                  </w14:solidFill>
                </w14:textFill>
              </w:rPr>
            </w:pPr>
          </w:p>
        </w:tc>
        <w:tc>
          <w:tcPr>
            <w:tcW w:w="1250" w:type="pct"/>
            <w:noWrap w:val="0"/>
            <w:vAlign w:val="top"/>
          </w:tcPr>
          <w:p w14:paraId="77E933FF">
            <w:pPr>
              <w:spacing w:line="360" w:lineRule="auto"/>
              <w:jc w:val="center"/>
              <w:rPr>
                <w:rFonts w:ascii="宋体" w:hAnsi="宋体"/>
                <w:color w:val="000000" w:themeColor="text1"/>
                <w:szCs w:val="21"/>
                <w:highlight w:val="none"/>
                <w14:textFill>
                  <w14:solidFill>
                    <w14:schemeClr w14:val="tx1"/>
                  </w14:solidFill>
                </w14:textFill>
              </w:rPr>
            </w:pPr>
          </w:p>
        </w:tc>
      </w:tr>
    </w:tbl>
    <w:p w14:paraId="0A2812B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w:t>
      </w:r>
    </w:p>
    <w:p w14:paraId="66CAC3E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1.管理关系：是指不具有出资持股关系的其他单位之间存在的管理与被管理关系，如一些上下级关系的事业单位和团体组织。</w:t>
      </w:r>
    </w:p>
    <w:p w14:paraId="2C5DFA6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2.本表所指的管理关系仅限于直接管理关系，不包括间接的管理关系。</w:t>
      </w:r>
    </w:p>
    <w:p w14:paraId="0C47709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3.供应商不存在直接管理关系的，则填“无”。</w:t>
      </w:r>
    </w:p>
    <w:p w14:paraId="0D5DA733">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21B1D91F">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45ED6F28">
      <w:pPr>
        <w:spacing w:line="360" w:lineRule="auto"/>
        <w:ind w:firstLine="420" w:firstLineChars="200"/>
        <w:jc w:val="right"/>
        <w:rPr>
          <w:rFonts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rFonts w:ascii="宋体" w:hAnsi="宋体"/>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rFonts w:ascii="宋体" w:hAnsi="宋体"/>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rFonts w:ascii="宋体" w:hAnsi="宋体"/>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2880ACCA">
      <w:pPr>
        <w:spacing w:line="360" w:lineRule="auto"/>
        <w:ind w:firstLine="560" w:firstLineChars="200"/>
        <w:jc w:val="right"/>
        <w:rPr>
          <w:rFonts w:ascii="宋体" w:hAnsi="宋体"/>
          <w:color w:val="000000" w:themeColor="text1"/>
          <w:sz w:val="28"/>
          <w:szCs w:val="28"/>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1DC10DDA">
      <w:pPr>
        <w:spacing w:line="360" w:lineRule="auto"/>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六、资格声明函</w:t>
      </w:r>
    </w:p>
    <w:p w14:paraId="6314188A">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资格声明函</w:t>
      </w:r>
    </w:p>
    <w:p w14:paraId="64DE0F45">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4A10CCA">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致：</w:t>
      </w:r>
      <w:r>
        <w:rPr>
          <w:rFonts w:hint="eastAsia" w:ascii="宋体" w:hAnsi="宋体"/>
          <w:color w:val="000000" w:themeColor="text1"/>
          <w:szCs w:val="21"/>
          <w:highlight w:val="none"/>
          <w:u w:val="single"/>
          <w14:textFill>
            <w14:solidFill>
              <w14:schemeClr w14:val="tx1"/>
            </w14:solidFill>
          </w14:textFill>
        </w:rPr>
        <w:t>[采购组织机构]</w:t>
      </w:r>
      <w:r>
        <w:rPr>
          <w:rFonts w:hint="eastAsia" w:ascii="宋体" w:hAnsi="宋体"/>
          <w:color w:val="000000" w:themeColor="text1"/>
          <w:szCs w:val="21"/>
          <w:highlight w:val="none"/>
          <w14:textFill>
            <w14:solidFill>
              <w14:schemeClr w14:val="tx1"/>
            </w14:solidFill>
          </w14:textFill>
        </w:rPr>
        <w:t>：</w:t>
      </w:r>
    </w:p>
    <w:p w14:paraId="64510B56">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（供应商名称）</w:t>
      </w:r>
      <w:r>
        <w:rPr>
          <w:rFonts w:hint="eastAsia" w:ascii="宋体" w:hAnsi="宋体"/>
          <w:color w:val="000000" w:themeColor="text1"/>
          <w:szCs w:val="21"/>
          <w:highlight w:val="none"/>
          <w14:textFill>
            <w14:solidFill>
              <w14:schemeClr w14:val="tx1"/>
            </w14:solidFill>
          </w14:textFill>
        </w:rPr>
        <w:t>系中华人民共和国合法供应商，经营地址</w:t>
      </w:r>
      <w:r>
        <w:rPr>
          <w:color w:val="000000" w:themeColor="text1"/>
          <w:szCs w:val="21"/>
          <w:highlight w:val="none"/>
          <w14:textFill>
            <w14:solidFill>
              <w14:schemeClr w14:val="tx1"/>
            </w14:solidFill>
          </w14:textFill>
        </w:rPr>
        <w:t>_______________________________________</w:t>
      </w:r>
      <w:r>
        <w:rPr>
          <w:rFonts w:hint="eastAsia" w:ascii="宋体" w:hAnsi="宋体"/>
          <w:color w:val="000000" w:themeColor="text1"/>
          <w:szCs w:val="21"/>
          <w:highlight w:val="none"/>
          <w14:textFill>
            <w14:solidFill>
              <w14:schemeClr w14:val="tx1"/>
            </w14:solidFill>
          </w14:textFill>
        </w:rPr>
        <w:t>。</w:t>
      </w:r>
    </w:p>
    <w:p w14:paraId="5551D294">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我方愿意参加贵方组织的</w:t>
      </w:r>
      <w:r>
        <w:rPr>
          <w:rFonts w:hint="eastAsia" w:ascii="宋体" w:hAnsi="宋体"/>
          <w:color w:val="000000" w:themeColor="text1"/>
          <w:szCs w:val="21"/>
          <w:highlight w:val="none"/>
          <w:u w:val="single"/>
          <w14:textFill>
            <w14:solidFill>
              <w14:schemeClr w14:val="tx1"/>
            </w14:solidFill>
          </w14:textFill>
        </w:rPr>
        <w:t>（[项目名称]）</w:t>
      </w:r>
      <w:r>
        <w:rPr>
          <w:rFonts w:hint="eastAsia" w:ascii="宋体" w:hAnsi="宋体"/>
          <w:color w:val="000000" w:themeColor="text1"/>
          <w:szCs w:val="21"/>
          <w:highlight w:val="none"/>
          <w14:textFill>
            <w14:solidFill>
              <w14:schemeClr w14:val="tx1"/>
            </w14:solidFill>
          </w14:textFill>
        </w:rPr>
        <w:t>项目的竞标，为便于贵方公正、择优地确定成交供应商及其竞标产品和服务，我方就本次竞标有关事项郑重声明如下：</w:t>
      </w:r>
    </w:p>
    <w:p w14:paraId="19BB4774">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1.我方向贵方提交的所有响应文件、资料都是准确的和真实的。</w:t>
      </w:r>
    </w:p>
    <w:p w14:paraId="3B683C05">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C594576">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3.在此，我方宣布同意如下：</w:t>
      </w:r>
    </w:p>
    <w:p w14:paraId="4150C635">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（1）将按谈判文件的约定履行合同责任和义务；</w:t>
      </w:r>
    </w:p>
    <w:p w14:paraId="14F3D270">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（2）已详细审查全部谈判文件，包括澄清或者更正公告（如有）；</w:t>
      </w:r>
    </w:p>
    <w:p w14:paraId="0FDD8C9F">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（3）同意提供按照贵方可能要求的与谈判有关的一切数据或者资料；</w:t>
      </w:r>
    </w:p>
    <w:p w14:paraId="6BDBE384">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（4）响应谈判文件规定的竞标有效期。</w:t>
      </w:r>
    </w:p>
    <w:p w14:paraId="25CDF09A">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32C3CB9C">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C128863">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56A0364">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□我方本次响应文件内容中未涉及商业秘密；</w:t>
      </w:r>
    </w:p>
    <w:p w14:paraId="13861B05">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□我方本次响应文件涉及商业秘密的内容有：</w:t>
      </w:r>
      <w:r>
        <w:rPr>
          <w:color w:val="000000" w:themeColor="text1"/>
          <w:szCs w:val="21"/>
          <w:highlight w:val="none"/>
          <w14:textFill>
            <w14:solidFill>
              <w14:schemeClr w14:val="tx1"/>
            </w14:solidFill>
          </w14:textFill>
        </w:rPr>
        <w:t>________________________________________________</w:t>
      </w:r>
      <w:r>
        <w:rPr>
          <w:rFonts w:hint="eastAsia" w:ascii="宋体" w:hAnsi="宋体"/>
          <w:color w:val="000000" w:themeColor="text1"/>
          <w:szCs w:val="21"/>
          <w:highlight w:val="none"/>
          <w14:textFill>
            <w14:solidFill>
              <w14:schemeClr w14:val="tx1"/>
            </w14:solidFill>
          </w14:textFill>
        </w:rPr>
        <w:t>；</w:t>
      </w:r>
    </w:p>
    <w:p w14:paraId="57032532">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7.与本谈判有关的一切正式往来信函请寄：</w:t>
      </w:r>
      <w:r>
        <w:rPr>
          <w:color w:val="000000" w:themeColor="text1"/>
          <w:szCs w:val="21"/>
          <w:highlight w:val="none"/>
          <w14:textFill>
            <w14:solidFill>
              <w14:schemeClr w14:val="tx1"/>
            </w14:solidFill>
          </w14:textFill>
        </w:rPr>
        <w:t>____________________</w:t>
      </w:r>
      <w:r>
        <w:rPr>
          <w:rFonts w:hint="eastAsia" w:ascii="宋体" w:hAnsi="宋体"/>
          <w:color w:val="000000" w:themeColor="text1"/>
          <w:szCs w:val="21"/>
          <w:highlight w:val="none"/>
          <w14:textFill>
            <w14:solidFill>
              <w14:schemeClr w14:val="tx1"/>
            </w14:solidFill>
          </w14:textFill>
        </w:rPr>
        <w:t>邮政编号：</w:t>
      </w:r>
      <w:r>
        <w:rPr>
          <w:color w:val="000000" w:themeColor="text1"/>
          <w:szCs w:val="21"/>
          <w:highlight w:val="none"/>
          <w14:textFill>
            <w14:solidFill>
              <w14:schemeClr w14:val="tx1"/>
            </w14:solidFill>
          </w14:textFill>
        </w:rPr>
        <w:t>_____________________</w:t>
      </w:r>
    </w:p>
    <w:p w14:paraId="3A1297FB">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电话/传真：</w:t>
      </w:r>
      <w:r>
        <w:rPr>
          <w:color w:val="000000" w:themeColor="text1"/>
          <w:szCs w:val="21"/>
          <w:highlight w:val="none"/>
          <w14:textFill>
            <w14:solidFill>
              <w14:schemeClr w14:val="tx1"/>
            </w14:solidFill>
          </w14:textFill>
        </w:rPr>
        <w:t>__________________________________</w:t>
      </w:r>
      <w:r>
        <w:rPr>
          <w:rFonts w:hint="eastAsia" w:ascii="宋体" w:hAnsi="宋体"/>
          <w:color w:val="000000" w:themeColor="text1"/>
          <w:szCs w:val="21"/>
          <w:highlight w:val="none"/>
          <w14:textFill>
            <w14:solidFill>
              <w14:schemeClr w14:val="tx1"/>
            </w14:solidFill>
          </w14:textFill>
        </w:rPr>
        <w:t>电子函件：</w:t>
      </w:r>
      <w:r>
        <w:rPr>
          <w:color w:val="000000" w:themeColor="text1"/>
          <w:szCs w:val="21"/>
          <w:highlight w:val="none"/>
          <w14:textFill>
            <w14:solidFill>
              <w14:schemeClr w14:val="tx1"/>
            </w14:solidFill>
          </w14:textFill>
        </w:rPr>
        <w:t>__________________________________</w:t>
      </w:r>
    </w:p>
    <w:p w14:paraId="1C683D55">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开户银行：</w:t>
      </w:r>
      <w:r>
        <w:rPr>
          <w:color w:val="000000" w:themeColor="text1"/>
          <w:szCs w:val="21"/>
          <w:highlight w:val="none"/>
          <w14:textFill>
            <w14:solidFill>
              <w14:schemeClr w14:val="tx1"/>
            </w14:solidFill>
          </w14:textFill>
        </w:rPr>
        <w:t>__________________________________</w:t>
      </w:r>
      <w:r>
        <w:rPr>
          <w:rFonts w:hint="eastAsia" w:ascii="宋体" w:hAnsi="宋体"/>
          <w:color w:val="000000" w:themeColor="text1"/>
          <w:szCs w:val="21"/>
          <w:highlight w:val="none"/>
          <w14:textFill>
            <w14:solidFill>
              <w14:schemeClr w14:val="tx1"/>
            </w14:solidFill>
          </w14:textFill>
        </w:rPr>
        <w:t>帐号：</w:t>
      </w:r>
      <w:r>
        <w:rPr>
          <w:color w:val="000000" w:themeColor="text1"/>
          <w:szCs w:val="21"/>
          <w:highlight w:val="none"/>
          <w14:textFill>
            <w14:solidFill>
              <w14:schemeClr w14:val="tx1"/>
            </w14:solidFill>
          </w14:textFill>
        </w:rPr>
        <w:t>______________________________________</w:t>
      </w:r>
    </w:p>
    <w:p w14:paraId="3057990D">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8.以上事项如有虚假或者隐瞒，我方愿意承担一切后果，并不再寻求任何旨在减轻或者免除法律责任的辩解。</w:t>
      </w:r>
    </w:p>
    <w:p w14:paraId="4DC94E32">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特此承诺。</w:t>
      </w:r>
    </w:p>
    <w:p w14:paraId="086F4A3B">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注：如为联合体竞标，盖章处须加盖联合体各方公章并由联合体各方法定代表人签署，否则其响应文件按无效响应处理。</w:t>
      </w:r>
    </w:p>
    <w:p w14:paraId="55DC784F">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6C6F1867">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50FEBA71">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6285A13D">
      <w:pPr>
        <w:spacing w:line="360" w:lineRule="auto"/>
        <w:ind w:firstLine="643" w:firstLineChars="200"/>
        <w:rPr>
          <w:rFonts w:ascii="宋体" w:hAnsi="宋体"/>
          <w:b/>
          <w:color w:val="000000" w:themeColor="text1"/>
          <w:sz w:val="32"/>
          <w:szCs w:val="32"/>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720CC667">
      <w:pPr>
        <w:spacing w:line="360" w:lineRule="auto"/>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七、联合体协议书（如有）</w:t>
      </w:r>
    </w:p>
    <w:p w14:paraId="391DE18D">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联合体竞标协议书（格式）</w:t>
      </w:r>
    </w:p>
    <w:p w14:paraId="5BB5FF9A">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496A4642">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____________________</w:t>
      </w:r>
      <w:r>
        <w:rPr>
          <w:rFonts w:hint="eastAsia" w:ascii="宋体" w:hAnsi="宋体"/>
          <w:color w:val="000000" w:themeColor="text1"/>
          <w:szCs w:val="21"/>
          <w:highlight w:val="none"/>
          <w14:textFill>
            <w14:solidFill>
              <w14:schemeClr w14:val="tx1"/>
            </w14:solidFill>
          </w14:textFill>
        </w:rPr>
        <w:t>（所有成员单位名称）自愿组成联合体，共同参加</w:t>
      </w:r>
      <w:r>
        <w:rPr>
          <w:rFonts w:hint="eastAsia" w:ascii="宋体" w:hAnsi="宋体"/>
          <w:color w:val="000000" w:themeColor="text1"/>
          <w:szCs w:val="21"/>
          <w:highlight w:val="none"/>
          <w:u w:val="single"/>
          <w14:textFill>
            <w14:solidFill>
              <w14:schemeClr w14:val="tx1"/>
            </w14:solidFill>
          </w14:textFill>
        </w:rPr>
        <w:t>[采购组织机构]</w:t>
      </w:r>
      <w:r>
        <w:rPr>
          <w:rFonts w:hint="eastAsia" w:ascii="宋体" w:hAnsi="宋体"/>
          <w:color w:val="000000" w:themeColor="text1"/>
          <w:szCs w:val="21"/>
          <w:highlight w:val="none"/>
          <w14:textFill>
            <w14:solidFill>
              <w14:schemeClr w14:val="tx1"/>
            </w14:solidFill>
          </w14:textFill>
        </w:rPr>
        <w:t>组织的</w:t>
      </w:r>
      <w:r>
        <w:rPr>
          <w:rFonts w:hint="eastAsia" w:ascii="宋体" w:hAnsi="宋体"/>
          <w:color w:val="000000" w:themeColor="text1"/>
          <w:szCs w:val="21"/>
          <w:highlight w:val="none"/>
          <w:u w:val="single"/>
          <w14:textFill>
            <w14:solidFill>
              <w14:schemeClr w14:val="tx1"/>
            </w14:solidFill>
          </w14:textFill>
        </w:rPr>
        <w:t>[项目名称]</w:t>
      </w:r>
      <w:r>
        <w:rPr>
          <w:rFonts w:hint="eastAsia" w:ascii="宋体" w:hAnsi="宋体"/>
          <w:color w:val="000000" w:themeColor="text1"/>
          <w:szCs w:val="21"/>
          <w:highlight w:val="none"/>
          <w14:textFill>
            <w14:solidFill>
              <w14:schemeClr w14:val="tx1"/>
            </w14:solidFill>
          </w14:textFill>
        </w:rPr>
        <w:t>（项目编号：</w:t>
      </w:r>
      <w:r>
        <w:rPr>
          <w:rFonts w:hint="eastAsia" w:ascii="宋体" w:hAnsi="宋体"/>
          <w:color w:val="000000" w:themeColor="text1"/>
          <w:szCs w:val="21"/>
          <w:highlight w:val="none"/>
          <w:u w:val="single"/>
          <w14:textFill>
            <w14:solidFill>
              <w14:schemeClr w14:val="tx1"/>
            </w14:solidFill>
          </w14:textFill>
        </w:rPr>
        <w:t>[项目编号]</w:t>
      </w:r>
      <w:r>
        <w:rPr>
          <w:rFonts w:hint="eastAsia" w:ascii="宋体" w:hAnsi="宋体"/>
          <w:color w:val="000000" w:themeColor="text1"/>
          <w:szCs w:val="21"/>
          <w:highlight w:val="none"/>
          <w14:textFill>
            <w14:solidFill>
              <w14:schemeClr w14:val="tx1"/>
            </w14:solidFill>
          </w14:textFill>
        </w:rPr>
        <w:t>）竞争性谈判采购。现就联合体竞标事宜订立如下协议：</w:t>
      </w:r>
    </w:p>
    <w:p w14:paraId="4EE50156">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____________________</w:t>
      </w:r>
      <w:r>
        <w:rPr>
          <w:rFonts w:hint="eastAsia" w:ascii="宋体" w:hAnsi="宋体"/>
          <w:color w:val="000000" w:themeColor="text1"/>
          <w:szCs w:val="21"/>
          <w:highlight w:val="none"/>
          <w14:textFill>
            <w14:solidFill>
              <w14:schemeClr w14:val="tx1"/>
            </w14:solidFill>
          </w14:textFill>
        </w:rPr>
        <w:t>（某成员单位名称）为联合体名称牵头人。</w:t>
      </w:r>
    </w:p>
    <w:p w14:paraId="4582DF7B">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联合体牵头人合法代表联合体各成员负责本谈判项目响应文件编制和合同谈判活动，并代表联合体提交和接收相关的资料、信息及指示，并处理与之有关的一切事务，负责合同实施阶段的主办、组织和协调工作。</w:t>
      </w:r>
    </w:p>
    <w:p w14:paraId="136CA00E">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3、联合体牵头人在本项目中签署和盖章的一切文件和处理的一切事宜，联合体各成员均予以承认。联合体各成员将严格按照谈判文件、响应文件和合同的要求全面履行义务，并向采购人承担连带责任。</w:t>
      </w:r>
    </w:p>
    <w:p w14:paraId="7FF46863">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4、联合体各成员单位内部的职责分工如下：</w:t>
      </w:r>
      <w:r>
        <w:rPr>
          <w:color w:val="000000" w:themeColor="text1"/>
          <w:szCs w:val="21"/>
          <w:highlight w:val="none"/>
          <w14:textFill>
            <w14:solidFill>
              <w14:schemeClr w14:val="tx1"/>
            </w14:solidFill>
          </w14:textFill>
        </w:rPr>
        <w:t>___________________________________</w:t>
      </w:r>
      <w:r>
        <w:rPr>
          <w:rFonts w:hint="eastAsia" w:ascii="宋体" w:hAnsi="宋体"/>
          <w:color w:val="000000" w:themeColor="text1"/>
          <w:szCs w:val="21"/>
          <w:highlight w:val="none"/>
          <w14:textFill>
            <w14:solidFill>
              <w14:schemeClr w14:val="tx1"/>
            </w14:solidFill>
          </w14:textFill>
        </w:rPr>
        <w:t>。</w:t>
      </w:r>
    </w:p>
    <w:p w14:paraId="69ACF128">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5、本联合体中，</w:t>
      </w:r>
      <w:r>
        <w:rPr>
          <w:color w:val="000000" w:themeColor="text1"/>
          <w:szCs w:val="21"/>
          <w:highlight w:val="none"/>
          <w14:textFill>
            <w14:solidFill>
              <w14:schemeClr w14:val="tx1"/>
            </w14:solidFill>
          </w14:textFill>
        </w:rPr>
        <w:t>____________________</w:t>
      </w:r>
      <w:r>
        <w:rPr>
          <w:rFonts w:hint="eastAsia" w:ascii="宋体" w:hAnsi="宋体"/>
          <w:color w:val="000000" w:themeColor="text1"/>
          <w:szCs w:val="21"/>
          <w:highlight w:val="none"/>
          <w14:textFill>
            <w14:solidFill>
              <w14:schemeClr w14:val="tx1"/>
            </w14:solidFill>
          </w14:textFill>
        </w:rPr>
        <w:t>（某成员单位名称）为______（请填写：中型、小型、微型）企业，其协议合同金额占联合体协议合同总金额的______%。【如联合体成员中有小型、微型企业的，请填写此条，否则无需填写；如联合体成员中有多个小型、微型企业的，请逐一列出。】</w:t>
      </w:r>
    </w:p>
    <w:p w14:paraId="4FE3149B">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6、本协议书自签署之日起生效，合同履行完毕后自动失效。</w:t>
      </w:r>
    </w:p>
    <w:p w14:paraId="1EAD8400">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7、本协议书一式______份，联合体成员和采购代理机构各执一份。</w:t>
      </w:r>
    </w:p>
    <w:p w14:paraId="640EC74A">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注：本协议书由法定代表人签字的，应附法定代表人身份证明；本协议书由委托代理人签字的，应附法定代表人授权委托书。</w:t>
      </w:r>
    </w:p>
    <w:p w14:paraId="765943F3">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牵头人名称：</w:t>
      </w:r>
      <w:r>
        <w:rPr>
          <w:color w:val="000000" w:themeColor="text1"/>
          <w:szCs w:val="21"/>
          <w:highlight w:val="none"/>
          <w14:textFill>
            <w14:solidFill>
              <w14:schemeClr w14:val="tx1"/>
            </w14:solidFill>
          </w14:textFill>
        </w:rPr>
        <w:t>__________________________________________________</w:t>
      </w:r>
      <w:r>
        <w:rPr>
          <w:rFonts w:hint="eastAsia" w:ascii="宋体" w:hAnsi="宋体"/>
          <w:color w:val="000000" w:themeColor="text1"/>
          <w:szCs w:val="21"/>
          <w:highlight w:val="none"/>
          <w14:textFill>
            <w14:solidFill>
              <w14:schemeClr w14:val="tx1"/>
            </w14:solidFill>
          </w14:textFill>
        </w:rPr>
        <w:t>（盖单位公章）</w:t>
      </w:r>
    </w:p>
    <w:p w14:paraId="3C6EDC36">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法定代表人或其委托代理人：</w:t>
      </w:r>
      <w:r>
        <w:rPr>
          <w:color w:val="000000" w:themeColor="text1"/>
          <w:szCs w:val="21"/>
          <w:highlight w:val="none"/>
          <w14:textFill>
            <w14:solidFill>
              <w14:schemeClr w14:val="tx1"/>
            </w14:solidFill>
          </w14:textFill>
        </w:rPr>
        <w:t>_________________________________________</w:t>
      </w:r>
      <w:r>
        <w:rPr>
          <w:rFonts w:hint="eastAsia" w:ascii="宋体" w:hAnsi="宋体"/>
          <w:color w:val="000000" w:themeColor="text1"/>
          <w:szCs w:val="21"/>
          <w:highlight w:val="none"/>
          <w14:textFill>
            <w14:solidFill>
              <w14:schemeClr w14:val="tx1"/>
            </w14:solidFill>
          </w14:textFill>
        </w:rPr>
        <w:t>（签字或盖章）</w:t>
      </w:r>
    </w:p>
    <w:p w14:paraId="562E61C0">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成员一名称：</w:t>
      </w:r>
      <w:r>
        <w:rPr>
          <w:color w:val="000000" w:themeColor="text1"/>
          <w:szCs w:val="21"/>
          <w:highlight w:val="none"/>
          <w14:textFill>
            <w14:solidFill>
              <w14:schemeClr w14:val="tx1"/>
            </w14:solidFill>
          </w14:textFill>
        </w:rPr>
        <w:t>____________________________________________________</w:t>
      </w:r>
      <w:r>
        <w:rPr>
          <w:rFonts w:hint="eastAsia" w:ascii="宋体" w:hAnsi="宋体"/>
          <w:color w:val="000000" w:themeColor="text1"/>
          <w:szCs w:val="21"/>
          <w:highlight w:val="none"/>
          <w14:textFill>
            <w14:solidFill>
              <w14:schemeClr w14:val="tx1"/>
            </w14:solidFill>
          </w14:textFill>
        </w:rPr>
        <w:t>（盖单位公章）</w:t>
      </w:r>
    </w:p>
    <w:p w14:paraId="563F56F0">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法定代表人或其委托代理人：</w:t>
      </w:r>
      <w:r>
        <w:rPr>
          <w:color w:val="000000" w:themeColor="text1"/>
          <w:szCs w:val="21"/>
          <w:highlight w:val="none"/>
          <w14:textFill>
            <w14:solidFill>
              <w14:schemeClr w14:val="tx1"/>
            </w14:solidFill>
          </w14:textFill>
        </w:rPr>
        <w:t>__________________________________________</w:t>
      </w:r>
      <w:r>
        <w:rPr>
          <w:rFonts w:hint="eastAsia" w:ascii="宋体" w:hAnsi="宋体"/>
          <w:color w:val="000000" w:themeColor="text1"/>
          <w:szCs w:val="21"/>
          <w:highlight w:val="none"/>
          <w14:textFill>
            <w14:solidFill>
              <w14:schemeClr w14:val="tx1"/>
            </w14:solidFill>
          </w14:textFill>
        </w:rPr>
        <w:t>（签字或盖章）</w:t>
      </w:r>
    </w:p>
    <w:p w14:paraId="2E820FD4">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成员二名称：</w:t>
      </w:r>
      <w:r>
        <w:rPr>
          <w:color w:val="000000" w:themeColor="text1"/>
          <w:szCs w:val="21"/>
          <w:highlight w:val="none"/>
          <w14:textFill>
            <w14:solidFill>
              <w14:schemeClr w14:val="tx1"/>
            </w14:solidFill>
          </w14:textFill>
        </w:rPr>
        <w:t>__________________________________________________</w:t>
      </w:r>
      <w:r>
        <w:rPr>
          <w:rFonts w:hint="eastAsia" w:ascii="宋体" w:hAnsi="宋体"/>
          <w:color w:val="000000" w:themeColor="text1"/>
          <w:szCs w:val="21"/>
          <w:highlight w:val="none"/>
          <w14:textFill>
            <w14:solidFill>
              <w14:schemeClr w14:val="tx1"/>
            </w14:solidFill>
          </w14:textFill>
        </w:rPr>
        <w:t>（盖单位公章）</w:t>
      </w:r>
    </w:p>
    <w:p w14:paraId="0C4C66FF">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法定代表人或其委托代理人：</w:t>
      </w:r>
      <w:r>
        <w:rPr>
          <w:color w:val="000000" w:themeColor="text1"/>
          <w:szCs w:val="21"/>
          <w:highlight w:val="none"/>
          <w14:textFill>
            <w14:solidFill>
              <w14:schemeClr w14:val="tx1"/>
            </w14:solidFill>
          </w14:textFill>
        </w:rPr>
        <w:t>___________________________________</w:t>
      </w:r>
      <w:r>
        <w:rPr>
          <w:rFonts w:hint="eastAsia" w:ascii="宋体" w:hAnsi="宋体"/>
          <w:color w:val="000000" w:themeColor="text1"/>
          <w:szCs w:val="21"/>
          <w:highlight w:val="none"/>
          <w14:textFill>
            <w14:solidFill>
              <w14:schemeClr w14:val="tx1"/>
            </w14:solidFill>
          </w14:textFill>
        </w:rPr>
        <w:t>（签字或盖章）</w:t>
      </w:r>
    </w:p>
    <w:p w14:paraId="6ADECAF9">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4D370FD5">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02823C04">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28DA0E5E">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14078390">
      <w:pPr>
        <w:spacing w:line="360" w:lineRule="auto"/>
        <w:ind w:firstLine="420" w:firstLineChars="200"/>
        <w:jc w:val="right"/>
        <w:rPr>
          <w:rFonts w:ascii="宋体" w:hAnsi="宋体"/>
          <w:color w:val="000000" w:themeColor="text1"/>
          <w:szCs w:val="2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3936F341">
      <w:pPr>
        <w:spacing w:line="360" w:lineRule="auto"/>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八、符合特定资格条件（如果项目要求）的有关证明材料（复印件）</w:t>
      </w:r>
    </w:p>
    <w:p w14:paraId="3E4D1BCB">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28D1EA3F">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7D83C391">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2415384C">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0D86DED8">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14120371">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10EB414F">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597EAE54">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639973C6">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2B11F878">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3C4C4F7D">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24C7AA0F">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72F7E51E">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0D9AB2A4">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0D900306">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59D366E0">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7AAF032D">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39CBD7C8">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7BE3A2C8">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60DD362C">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751D1D5D">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6657295B">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2FA20BA0">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277F911A">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p>
    <w:p w14:paraId="342655F5">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p>
    <w:p w14:paraId="395E2D82">
      <w:pPr>
        <w:spacing w:line="360" w:lineRule="auto"/>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br w:type="page"/>
      </w:r>
      <w:r>
        <w:rPr>
          <w:rFonts w:hint="eastAsia" w:ascii="宋体" w:hAnsi="宋体"/>
          <w:b/>
          <w:color w:val="000000" w:themeColor="text1"/>
          <w:sz w:val="28"/>
          <w:szCs w:val="28"/>
          <w:highlight w:val="none"/>
          <w14:textFill>
            <w14:solidFill>
              <w14:schemeClr w14:val="tx1"/>
            </w14:solidFill>
          </w14:textFill>
        </w:rPr>
        <w:t>承诺书</w:t>
      </w:r>
    </w:p>
    <w:p w14:paraId="19D74AF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现承诺我单位投入本工程的项目经理是本单位的在岗人员，且不在任何在建工程中担任任何管理职务。如我单位有不符合上述要求的，采购人有权依法依规取消我单位成交资格。</w:t>
      </w:r>
    </w:p>
    <w:p w14:paraId="352922F1">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3026CE43">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798A30AE">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24DAC9D7">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620620A6">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44FFB783">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4C885FE3">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31A29C86">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5B3B70C0">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6E02F37F">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2B3AE5DF">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2DDA8498">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6F9E77B0">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6194D029">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3D69DEF5">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797EDD46">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0A505930">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7A7E3A6A">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0D335FE0">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0AA742E1">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48D4CC0B">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392ECEF9">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761108F4">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3AC4E997">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法定代表人或授权委托代理人：</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（签字或电子签名）</w:t>
      </w:r>
    </w:p>
    <w:p w14:paraId="45FDC5D9">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6F3CB08B">
      <w:pPr>
        <w:spacing w:line="360" w:lineRule="auto"/>
        <w:ind w:firstLine="420" w:firstLineChars="200"/>
        <w:jc w:val="right"/>
        <w:rPr>
          <w:rFonts w:ascii="宋体" w:hAnsi="宋体"/>
          <w:color w:val="000000" w:themeColor="text1"/>
          <w:szCs w:val="2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3D43AE41">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中小企业声明函（工程类）</w:t>
      </w:r>
    </w:p>
    <w:p w14:paraId="5D06F4CA">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4BA40E0">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color w:val="000000" w:themeColor="text1"/>
          <w:szCs w:val="21"/>
          <w:highlight w:val="none"/>
          <w:u w:val="single"/>
          <w14:textFill>
            <w14:solidFill>
              <w14:schemeClr w14:val="tx1"/>
            </w14:solidFill>
          </w14:textFill>
        </w:rPr>
        <w:t>[采购人]</w:t>
      </w:r>
      <w:r>
        <w:rPr>
          <w:rFonts w:hint="eastAsia" w:ascii="宋体" w:hAnsi="宋体"/>
          <w:color w:val="000000" w:themeColor="text1"/>
          <w:szCs w:val="21"/>
          <w:highlight w:val="none"/>
          <w14:textFill>
            <w14:solidFill>
              <w14:schemeClr w14:val="tx1"/>
            </w14:solidFill>
          </w14:textFill>
        </w:rPr>
        <w:t>的</w:t>
      </w:r>
      <w:r>
        <w:rPr>
          <w:rFonts w:hint="eastAsia" w:ascii="宋体" w:hAnsi="宋体"/>
          <w:color w:val="000000" w:themeColor="text1"/>
          <w:szCs w:val="21"/>
          <w:highlight w:val="none"/>
          <w:u w:val="single"/>
          <w14:textFill>
            <w14:solidFill>
              <w14:schemeClr w14:val="tx1"/>
            </w14:solidFill>
          </w14:textFill>
        </w:rPr>
        <w:t>[项目名称]</w:t>
      </w:r>
      <w:r>
        <w:rPr>
          <w:rFonts w:hint="eastAsia" w:ascii="宋体" w:hAnsi="宋体"/>
          <w:color w:val="000000" w:themeColor="text1"/>
          <w:szCs w:val="21"/>
          <w:highlight w:val="none"/>
          <w14:textFill>
            <w14:solidFill>
              <w14:schemeClr w14:val="tx1"/>
            </w14:solidFill>
          </w14:textFill>
        </w:rPr>
        <w:t>采购活动，工程的施工单位全部为符合政策要求的中小企业。相关企业（含联合体中的中小企业、签订分包意向协议的中小企业）的具体情况如下：</w:t>
      </w:r>
    </w:p>
    <w:p w14:paraId="72BA51CE">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u w:val="single"/>
          <w14:textFill>
            <w14:solidFill>
              <w14:schemeClr w14:val="tx1"/>
            </w14:solidFill>
          </w14:textFill>
        </w:rPr>
        <w:t>（标的名称）</w:t>
      </w:r>
      <w:r>
        <w:rPr>
          <w:rFonts w:hint="eastAsia" w:ascii="宋体" w:hAnsi="宋体"/>
          <w:color w:val="000000" w:themeColor="text1"/>
          <w:szCs w:val="21"/>
          <w:highlight w:val="none"/>
          <w14:textFill>
            <w14:solidFill>
              <w14:schemeClr w14:val="tx1"/>
            </w14:solidFill>
          </w14:textFill>
        </w:rPr>
        <w:t>，属于</w:t>
      </w:r>
      <w:r>
        <w:rPr>
          <w:rFonts w:hint="eastAsia" w:ascii="宋体" w:hAnsi="宋体"/>
          <w:color w:val="000000" w:themeColor="text1"/>
          <w:szCs w:val="21"/>
          <w:highlight w:val="none"/>
          <w:u w:val="single"/>
          <w14:textFill>
            <w14:solidFill>
              <w14:schemeClr w14:val="tx1"/>
            </w14:solidFill>
          </w14:textFill>
        </w:rPr>
        <w:t>（采购文件中明确的所属行业：见服务需求一览表）</w:t>
      </w:r>
      <w:r>
        <w:rPr>
          <w:rFonts w:hint="eastAsia" w:ascii="宋体" w:hAnsi="宋体"/>
          <w:color w:val="000000" w:themeColor="text1"/>
          <w:szCs w:val="21"/>
          <w:highlight w:val="none"/>
          <w14:textFill>
            <w14:solidFill>
              <w14:schemeClr w14:val="tx1"/>
            </w14:solidFill>
          </w14:textFill>
        </w:rPr>
        <w:t>行业；承建（承接）企业为</w:t>
      </w:r>
      <w:r>
        <w:rPr>
          <w:rFonts w:hint="eastAsia" w:ascii="宋体" w:hAnsi="宋体"/>
          <w:color w:val="000000" w:themeColor="text1"/>
          <w:szCs w:val="21"/>
          <w:highlight w:val="none"/>
          <w:u w:val="single"/>
          <w14:textFill>
            <w14:solidFill>
              <w14:schemeClr w14:val="tx1"/>
            </w14:solidFill>
          </w14:textFill>
        </w:rPr>
        <w:t>（企业名称）</w:t>
      </w:r>
      <w:r>
        <w:rPr>
          <w:rFonts w:hint="eastAsia" w:ascii="宋体" w:hAnsi="宋体"/>
          <w:color w:val="000000" w:themeColor="text1"/>
          <w:szCs w:val="21"/>
          <w:highlight w:val="none"/>
          <w14:textFill>
            <w14:solidFill>
              <w14:schemeClr w14:val="tx1"/>
            </w14:solidFill>
          </w14:textFill>
        </w:rPr>
        <w:t>，从业人员</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人，营业收入为</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万元，资产总额为</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万元，属于</w:t>
      </w:r>
      <w:r>
        <w:rPr>
          <w:rFonts w:hint="eastAsia" w:ascii="宋体" w:hAnsi="宋体"/>
          <w:color w:val="000000" w:themeColor="text1"/>
          <w:szCs w:val="21"/>
          <w:highlight w:val="none"/>
          <w:u w:val="single"/>
          <w14:textFill>
            <w14:solidFill>
              <w14:schemeClr w14:val="tx1"/>
            </w14:solidFill>
          </w14:textFill>
        </w:rPr>
        <w:t>（中型企业、小型企业、微型企业）</w:t>
      </w:r>
      <w:r>
        <w:rPr>
          <w:rFonts w:hint="eastAsia" w:ascii="宋体" w:hAnsi="宋体"/>
          <w:color w:val="000000" w:themeColor="text1"/>
          <w:szCs w:val="21"/>
          <w:highlight w:val="none"/>
          <w14:textFill>
            <w14:solidFill>
              <w14:schemeClr w14:val="tx1"/>
            </w14:solidFill>
          </w14:textFill>
        </w:rPr>
        <w:t>；</w:t>
      </w:r>
    </w:p>
    <w:p w14:paraId="021CBD65">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u w:val="single"/>
          <w14:textFill>
            <w14:solidFill>
              <w14:schemeClr w14:val="tx1"/>
            </w14:solidFill>
          </w14:textFill>
        </w:rPr>
        <w:t>（标的名称）</w:t>
      </w:r>
      <w:r>
        <w:rPr>
          <w:rFonts w:hint="eastAsia" w:ascii="宋体" w:hAnsi="宋体"/>
          <w:color w:val="000000" w:themeColor="text1"/>
          <w:szCs w:val="21"/>
          <w:highlight w:val="none"/>
          <w14:textFill>
            <w14:solidFill>
              <w14:schemeClr w14:val="tx1"/>
            </w14:solidFill>
          </w14:textFill>
        </w:rPr>
        <w:t>，属于</w:t>
      </w:r>
      <w:r>
        <w:rPr>
          <w:rFonts w:hint="eastAsia" w:ascii="宋体" w:hAnsi="宋体"/>
          <w:color w:val="000000" w:themeColor="text1"/>
          <w:szCs w:val="21"/>
          <w:highlight w:val="none"/>
          <w:u w:val="single"/>
          <w14:textFill>
            <w14:solidFill>
              <w14:schemeClr w14:val="tx1"/>
            </w14:solidFill>
          </w14:textFill>
        </w:rPr>
        <w:t>（采购文件中明确的所属行业：见服务需求一览表）</w:t>
      </w:r>
      <w:r>
        <w:rPr>
          <w:rFonts w:hint="eastAsia" w:ascii="宋体" w:hAnsi="宋体"/>
          <w:color w:val="000000" w:themeColor="text1"/>
          <w:szCs w:val="21"/>
          <w:highlight w:val="none"/>
          <w14:textFill>
            <w14:solidFill>
              <w14:schemeClr w14:val="tx1"/>
            </w14:solidFill>
          </w14:textFill>
        </w:rPr>
        <w:t>行业；承建（承接）企业为</w:t>
      </w:r>
      <w:r>
        <w:rPr>
          <w:rFonts w:hint="eastAsia" w:ascii="宋体" w:hAnsi="宋体"/>
          <w:color w:val="000000" w:themeColor="text1"/>
          <w:szCs w:val="21"/>
          <w:highlight w:val="none"/>
          <w:u w:val="single"/>
          <w14:textFill>
            <w14:solidFill>
              <w14:schemeClr w14:val="tx1"/>
            </w14:solidFill>
          </w14:textFill>
        </w:rPr>
        <w:t>（企业名称）</w:t>
      </w:r>
      <w:r>
        <w:rPr>
          <w:rFonts w:hint="eastAsia" w:ascii="宋体" w:hAnsi="宋体"/>
          <w:color w:val="000000" w:themeColor="text1"/>
          <w:szCs w:val="21"/>
          <w:highlight w:val="none"/>
          <w14:textFill>
            <w14:solidFill>
              <w14:schemeClr w14:val="tx1"/>
            </w14:solidFill>
          </w14:textFill>
        </w:rPr>
        <w:t>，从业人员</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人，营业收入为</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万元，资产总额为</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万元，属于</w:t>
      </w:r>
      <w:r>
        <w:rPr>
          <w:rFonts w:hint="eastAsia" w:ascii="宋体" w:hAnsi="宋体"/>
          <w:color w:val="000000" w:themeColor="text1"/>
          <w:szCs w:val="21"/>
          <w:highlight w:val="none"/>
          <w:u w:val="single"/>
          <w14:textFill>
            <w14:solidFill>
              <w14:schemeClr w14:val="tx1"/>
            </w14:solidFill>
          </w14:textFill>
        </w:rPr>
        <w:t>（中型企业、小型企业、微型企业）</w:t>
      </w:r>
      <w:r>
        <w:rPr>
          <w:rFonts w:hint="eastAsia" w:ascii="宋体" w:hAnsi="宋体"/>
          <w:color w:val="000000" w:themeColor="text1"/>
          <w:szCs w:val="21"/>
          <w:highlight w:val="none"/>
          <w14:textFill>
            <w14:solidFill>
              <w14:schemeClr w14:val="tx1"/>
            </w14:solidFill>
          </w14:textFill>
        </w:rPr>
        <w:t>；</w:t>
      </w:r>
    </w:p>
    <w:p w14:paraId="072D64B8">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p>
    <w:p w14:paraId="1FA58F33">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69BDCF68">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本企业对上述声明内容的真实性负责。如有虚假，将依法承担相应责任。</w:t>
      </w:r>
    </w:p>
    <w:p w14:paraId="5C13C060">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1AAF1E84">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5653D2C9">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515A9630">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1821D5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236B535">
      <w:pPr>
        <w:spacing w:line="360" w:lineRule="auto"/>
        <w:ind w:firstLine="420" w:firstLineChars="200"/>
        <w:rPr>
          <w:rFonts w:ascii="宋体" w:hAnsi="宋体"/>
          <w:color w:val="000000" w:themeColor="text1"/>
          <w:szCs w:val="2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6D69B975">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残疾人福利性单位声明函</w:t>
      </w:r>
    </w:p>
    <w:p w14:paraId="41A851FE">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54E6FD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本单位郑重声明，根据《财政部民政部中国残疾人联合会关于促进残疾人就业政府采购政策的通知》（财库〔2017〕141号）的规定，本单位为符合条件的残疾人福利性单位，且本单位参加</w:t>
      </w:r>
      <w:r>
        <w:rPr>
          <w:rFonts w:hint="eastAsia" w:ascii="宋体" w:hAnsi="宋体"/>
          <w:color w:val="000000" w:themeColor="text1"/>
          <w:szCs w:val="21"/>
          <w:highlight w:val="none"/>
          <w:u w:val="single"/>
          <w14:textFill>
            <w14:solidFill>
              <w14:schemeClr w14:val="tx1"/>
            </w14:solidFill>
          </w14:textFill>
        </w:rPr>
        <w:t>[采购人]</w:t>
      </w:r>
      <w:r>
        <w:rPr>
          <w:rFonts w:hint="eastAsia" w:ascii="宋体" w:hAnsi="宋体"/>
          <w:color w:val="000000" w:themeColor="text1"/>
          <w:szCs w:val="21"/>
          <w:highlight w:val="none"/>
          <w14:textFill>
            <w14:solidFill>
              <w14:schemeClr w14:val="tx1"/>
            </w14:solidFill>
          </w14:textFill>
        </w:rPr>
        <w:t>单位的</w:t>
      </w:r>
      <w:r>
        <w:rPr>
          <w:rFonts w:hint="eastAsia" w:ascii="宋体" w:hAnsi="宋体"/>
          <w:color w:val="000000" w:themeColor="text1"/>
          <w:szCs w:val="21"/>
          <w:highlight w:val="none"/>
          <w:u w:val="single"/>
          <w14:textFill>
            <w14:solidFill>
              <w14:schemeClr w14:val="tx1"/>
            </w14:solidFill>
          </w14:textFill>
        </w:rPr>
        <w:t>[项目名称]</w:t>
      </w:r>
      <w:r>
        <w:rPr>
          <w:rFonts w:hint="eastAsia" w:ascii="宋体" w:hAnsi="宋体"/>
          <w:color w:val="000000" w:themeColor="text1"/>
          <w:szCs w:val="21"/>
          <w:highlight w:val="none"/>
          <w14:textFill>
            <w14:solidFill>
              <w14:schemeClr w14:val="tx1"/>
            </w14:solidFill>
          </w14:textFill>
        </w:rPr>
        <w:t>项目采购活动由本单位提供服务。</w:t>
      </w:r>
    </w:p>
    <w:p w14:paraId="04704DC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本单位对上述声明的真实性负责。如有虚假，将依法承担相应责任。</w:t>
      </w:r>
    </w:p>
    <w:p w14:paraId="2AFC7CBF">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6B69BC47">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4A35029B">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409A1423">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43C99CC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请根据自己的真实情况出具《残疾人福利性单位声明函》。依法享受中小企业优惠政策的，采购人或者采购代理机构在公告成交结果时，同时公告其《残疾人福利性单位声明函》，接受社会监督；根据《关于政府采购支持监狱企业发展有关问题的通知》（财库[2014]68号）的规定，竞标人提供由省级以上监狱管理局、戒毒管理局（含新疆生产建设兵团）出具的属于监狱企业证明文件的，视同为小型和微型企业。</w:t>
      </w:r>
    </w:p>
    <w:p w14:paraId="6AD8C6C8">
      <w:pPr>
        <w:spacing w:line="360" w:lineRule="auto"/>
        <w:ind w:firstLine="420" w:firstLineChars="200"/>
        <w:rPr>
          <w:rFonts w:ascii="宋体" w:hAnsi="宋体"/>
          <w:color w:val="000000" w:themeColor="text1"/>
          <w:szCs w:val="2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5FE4DCE3">
      <w:pPr>
        <w:keepNext/>
        <w:keepLines/>
        <w:spacing w:before="260" w:after="260" w:line="416" w:lineRule="auto"/>
        <w:jc w:val="center"/>
        <w:outlineLvl w:val="1"/>
        <w:rPr>
          <w:rFonts w:ascii="Calibri Light" w:hAnsi="Calibri Light"/>
          <w:b/>
          <w:bCs/>
          <w:color w:val="000000" w:themeColor="text1"/>
          <w:sz w:val="32"/>
          <w:szCs w:val="32"/>
          <w:highlight w:val="none"/>
          <w14:textFill>
            <w14:solidFill>
              <w14:schemeClr w14:val="tx1"/>
            </w14:solidFill>
          </w14:textFill>
        </w:rPr>
      </w:pPr>
      <w:bookmarkStart w:id="159" w:name="_Toc18734"/>
      <w:bookmarkStart w:id="160" w:name="_Toc217642147"/>
      <w:r>
        <w:rPr>
          <w:rFonts w:hint="eastAsia" w:ascii="Calibri Light" w:hAnsi="Calibri Light"/>
          <w:b/>
          <w:bCs/>
          <w:color w:val="000000" w:themeColor="text1"/>
          <w:sz w:val="32"/>
          <w:szCs w:val="32"/>
          <w:highlight w:val="none"/>
          <w14:textFill>
            <w14:solidFill>
              <w14:schemeClr w14:val="tx1"/>
            </w14:solidFill>
          </w14:textFill>
        </w:rPr>
        <w:t>第三</w:t>
      </w:r>
      <w:r>
        <w:rPr>
          <w:rFonts w:hint="eastAsia" w:ascii="Calibri Light" w:hAnsi="Calibri Light"/>
          <w:b/>
          <w:bCs/>
          <w:color w:val="000000" w:themeColor="text1"/>
          <w:spacing w:val="120"/>
          <w:sz w:val="32"/>
          <w:szCs w:val="32"/>
          <w:highlight w:val="none"/>
          <w14:textFill>
            <w14:solidFill>
              <w14:schemeClr w14:val="tx1"/>
            </w14:solidFill>
          </w14:textFill>
        </w:rPr>
        <w:t>节</w:t>
      </w:r>
      <w:r>
        <w:rPr>
          <w:rFonts w:hint="eastAsia" w:ascii="Calibri Light" w:hAnsi="Calibri Light"/>
          <w:b/>
          <w:bCs/>
          <w:color w:val="000000" w:themeColor="text1"/>
          <w:sz w:val="32"/>
          <w:szCs w:val="32"/>
          <w:highlight w:val="none"/>
          <w14:textFill>
            <w14:solidFill>
              <w14:schemeClr w14:val="tx1"/>
            </w14:solidFill>
          </w14:textFill>
        </w:rPr>
        <w:t>商务技术文件格式</w:t>
      </w:r>
      <w:bookmarkEnd w:id="159"/>
      <w:bookmarkEnd w:id="160"/>
    </w:p>
    <w:p w14:paraId="04D73FF9">
      <w:pPr>
        <w:spacing w:line="360" w:lineRule="auto"/>
        <w:ind w:firstLine="640" w:firstLineChars="200"/>
        <w:jc w:val="right"/>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全流程电子文件</w:t>
      </w:r>
    </w:p>
    <w:p w14:paraId="21AE56D2">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4D814FB0">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49FB6D42">
      <w:pPr>
        <w:spacing w:line="360" w:lineRule="auto"/>
        <w:jc w:val="center"/>
        <w:rPr>
          <w:rFonts w:ascii="宋体" w:hAnsi="宋体"/>
          <w:b/>
          <w:color w:val="000000" w:themeColor="text1"/>
          <w:sz w:val="84"/>
          <w:szCs w:val="84"/>
          <w:highlight w:val="none"/>
          <w14:textFill>
            <w14:solidFill>
              <w14:schemeClr w14:val="tx1"/>
            </w14:solidFill>
          </w14:textFill>
        </w:rPr>
      </w:pPr>
      <w:r>
        <w:rPr>
          <w:rFonts w:hint="eastAsia" w:ascii="宋体" w:hAnsi="宋体"/>
          <w:b/>
          <w:color w:val="000000" w:themeColor="text1"/>
          <w:sz w:val="84"/>
          <w:szCs w:val="84"/>
          <w:highlight w:val="none"/>
          <w14:textFill>
            <w14:solidFill>
              <w14:schemeClr w14:val="tx1"/>
            </w14:solidFill>
          </w14:textFill>
        </w:rPr>
        <w:t>商务技术文件（封面）</w:t>
      </w:r>
    </w:p>
    <w:p w14:paraId="308D9F37">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2994400E">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2659EBEE">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2A696065">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884D1D6">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3A1C2182">
      <w:pPr>
        <w:spacing w:line="360" w:lineRule="auto"/>
        <w:ind w:firstLine="640" w:firstLineChars="200"/>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项目名称：</w:t>
      </w:r>
    </w:p>
    <w:p w14:paraId="0E663859">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19B4595D">
      <w:pPr>
        <w:spacing w:line="360" w:lineRule="auto"/>
        <w:ind w:firstLine="640" w:firstLineChars="200"/>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项目编号：</w:t>
      </w:r>
    </w:p>
    <w:p w14:paraId="043C90ED">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3E5BD927">
      <w:pPr>
        <w:spacing w:line="360" w:lineRule="auto"/>
        <w:ind w:firstLine="640" w:firstLineChars="200"/>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所竞分标（如有则填写，无分标时填写“无”或者留空）：</w:t>
      </w:r>
    </w:p>
    <w:p w14:paraId="32EA4517">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7E306453">
      <w:pPr>
        <w:spacing w:line="360" w:lineRule="auto"/>
        <w:ind w:firstLine="640" w:firstLineChars="200"/>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供应商名称：</w:t>
      </w:r>
    </w:p>
    <w:p w14:paraId="7D18AA32">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63A0BE45">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EFB5CDE">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2213389B">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 w:val="32"/>
          <w:szCs w:val="32"/>
          <w:highlight w:val="none"/>
          <w14:textFill>
            <w14:solidFill>
              <w14:schemeClr w14:val="tx1"/>
            </w14:solidFill>
          </w14:textFill>
        </w:rPr>
        <w:t>___</w:t>
      </w:r>
      <w:r>
        <w:rPr>
          <w:rFonts w:hint="eastAsia" w:ascii="宋体" w:hAnsi="宋体"/>
          <w:color w:val="000000" w:themeColor="text1"/>
          <w:sz w:val="32"/>
          <w:szCs w:val="32"/>
          <w:highlight w:val="none"/>
          <w14:textFill>
            <w14:solidFill>
              <w14:schemeClr w14:val="tx1"/>
            </w14:solidFill>
          </w14:textFill>
        </w:rPr>
        <w:t>年</w:t>
      </w:r>
      <w:r>
        <w:rPr>
          <w:rFonts w:ascii="宋体" w:hAnsi="宋体"/>
          <w:color w:val="000000" w:themeColor="text1"/>
          <w:sz w:val="32"/>
          <w:szCs w:val="32"/>
          <w:highlight w:val="none"/>
          <w14:textFill>
            <w14:solidFill>
              <w14:schemeClr w14:val="tx1"/>
            </w14:solidFill>
          </w14:textFill>
        </w:rPr>
        <w:t>___</w:t>
      </w:r>
      <w:r>
        <w:rPr>
          <w:rFonts w:hint="eastAsia" w:ascii="宋体" w:hAnsi="宋体"/>
          <w:color w:val="000000" w:themeColor="text1"/>
          <w:sz w:val="32"/>
          <w:szCs w:val="32"/>
          <w:highlight w:val="none"/>
          <w14:textFill>
            <w14:solidFill>
              <w14:schemeClr w14:val="tx1"/>
            </w14:solidFill>
          </w14:textFill>
        </w:rPr>
        <w:t>月</w:t>
      </w:r>
      <w:r>
        <w:rPr>
          <w:rFonts w:ascii="宋体" w:hAnsi="宋体"/>
          <w:color w:val="000000" w:themeColor="text1"/>
          <w:sz w:val="32"/>
          <w:szCs w:val="32"/>
          <w:highlight w:val="none"/>
          <w14:textFill>
            <w14:solidFill>
              <w14:schemeClr w14:val="tx1"/>
            </w14:solidFill>
          </w14:textFill>
        </w:rPr>
        <w:t>___</w:t>
      </w:r>
      <w:r>
        <w:rPr>
          <w:rFonts w:hint="eastAsia" w:ascii="宋体" w:hAnsi="宋体"/>
          <w:color w:val="000000" w:themeColor="text1"/>
          <w:sz w:val="32"/>
          <w:szCs w:val="32"/>
          <w:highlight w:val="none"/>
          <w14:textFill>
            <w14:solidFill>
              <w14:schemeClr w14:val="tx1"/>
            </w14:solidFill>
          </w14:textFill>
        </w:rPr>
        <w:t>日</w:t>
      </w:r>
    </w:p>
    <w:p w14:paraId="3426814F">
      <w:pPr>
        <w:spacing w:line="360" w:lineRule="auto"/>
        <w:jc w:val="center"/>
        <w:rPr>
          <w:rFonts w:ascii="宋体" w:hAnsi="宋体"/>
          <w:color w:val="000000" w:themeColor="text1"/>
          <w:szCs w:val="2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40B0207E">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商务技术文件目录</w:t>
      </w:r>
    </w:p>
    <w:p w14:paraId="5B5F16EA">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29B8BF5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一、无串标行为承诺函……………………………………………………………………………………（页码）</w:t>
      </w:r>
    </w:p>
    <w:p w14:paraId="3792582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二、法定代表人身份证明书及法定代表人有效身份证正反面复印件…………………………………（页码）</w:t>
      </w:r>
    </w:p>
    <w:p w14:paraId="52A56F0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三、法定代表人授权委托书（如有委托时）及委托代理人有效身份证正反面复印件…………………（页码）</w:t>
      </w:r>
    </w:p>
    <w:p w14:paraId="7BCCEDA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四、商务条款偏离表………………………………………………………………………………………（页码）</w:t>
      </w:r>
    </w:p>
    <w:p w14:paraId="2B9211F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五、竞标人情况介绍………………………………………………………………………………………（页码）</w:t>
      </w:r>
    </w:p>
    <w:p w14:paraId="07A6013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六、供应商类似业绩的证明文件（如有要求）…………………………………………………………（页码）</w:t>
      </w:r>
    </w:p>
    <w:p w14:paraId="2BC4E13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七、技术需求偏离表………………………………………………………………………………………（页码）</w:t>
      </w:r>
    </w:p>
    <w:p w14:paraId="16DCEF5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八、企业概况表……………………………………………………………………………………………（页码）</w:t>
      </w:r>
    </w:p>
    <w:p w14:paraId="2A9E331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九、施工组织设计…………………………………………………………………………………………（页码）</w:t>
      </w:r>
    </w:p>
    <w:p w14:paraId="4C5BC10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十、项目管理机构…………………………………………………………………………………………（页码）</w:t>
      </w:r>
    </w:p>
    <w:p w14:paraId="4B4A3C0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十一、建设工程项目管理承诺书…………………………………………………………………………（页码）</w:t>
      </w:r>
    </w:p>
    <w:p w14:paraId="716785D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十二、供应商认为需要提供的其他有关资料……………………………………………………………（页码）</w:t>
      </w:r>
    </w:p>
    <w:p w14:paraId="16754426">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注：以上目录是基本格式要求，各供应商可根据自身情况进一步向下增加内容或细化。</w:t>
      </w:r>
    </w:p>
    <w:p w14:paraId="103F07CB">
      <w:pPr>
        <w:spacing w:line="360" w:lineRule="auto"/>
        <w:rPr>
          <w:rFonts w:ascii="宋体" w:hAnsi="宋体"/>
          <w:b/>
          <w:color w:val="000000" w:themeColor="text1"/>
          <w:szCs w:val="2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1A536E2A">
      <w:pPr>
        <w:spacing w:line="360" w:lineRule="auto"/>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一、无串标行为承诺函</w:t>
      </w:r>
    </w:p>
    <w:p w14:paraId="3DCBE4D9">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无串通竞标行为的承诺函</w:t>
      </w:r>
    </w:p>
    <w:p w14:paraId="18F5EF92">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618878E9">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一、我方承诺无下列相互串通竞标的情形：</w:t>
      </w:r>
    </w:p>
    <w:p w14:paraId="0346576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1.不同供应商的响应文件由同一单位或者个人编制；或者不同供应商报名的IP地址一致的；或者编制响应文件硬件设备CPU编号、硬盘编号、网卡地址一致的情况。</w:t>
      </w:r>
    </w:p>
    <w:p w14:paraId="0AFC821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2.不同供应商委托同一单位或者个人办理竞标事宜；</w:t>
      </w:r>
    </w:p>
    <w:p w14:paraId="79EDB39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3.不同供应商的响应文件载明的项目管理员为同一个人；</w:t>
      </w:r>
    </w:p>
    <w:p w14:paraId="1D6155D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4.不同供应商的响应文件异常一致或者响应报价呈规律性差异；</w:t>
      </w:r>
    </w:p>
    <w:p w14:paraId="6273621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5.不同供应商的响应文件相互混装；</w:t>
      </w:r>
    </w:p>
    <w:p w14:paraId="2752395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6.不同供应商的谈判保证金从同一单位或者个人账户转出。</w:t>
      </w:r>
    </w:p>
    <w:p w14:paraId="0C56A4B9">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二、我方承诺无下列恶意串通的情形：</w:t>
      </w:r>
    </w:p>
    <w:p w14:paraId="3D9EDEF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w:t>
      </w:r>
    </w:p>
    <w:p w14:paraId="52B1146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2.供应商按照采购人或者采购代理机构的授意撤换、修改响应文件；</w:t>
      </w:r>
    </w:p>
    <w:p w14:paraId="115066E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3.供应商之间协商报价、技术方案等响应文件的实质性内容；</w:t>
      </w:r>
    </w:p>
    <w:p w14:paraId="4C3B653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1E51C51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5.供应商之间事先约定一致抬高或者压低响应报价，或者在竞争性谈判项目中事先约定轮流以高价位或者低价位成交，或者事先约定由某一特定供应商成交，然后再参加竞标；</w:t>
      </w:r>
    </w:p>
    <w:p w14:paraId="1ED7525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6.供应商之间商定部分供应商放弃参加政府采购活动或者放弃成交；</w:t>
      </w:r>
    </w:p>
    <w:p w14:paraId="3D1068C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7.供应商与采购人或者采购代理机构之间、供应商相互之间，为谋求特定供应商成交或者排斥其他供应商的其他串通行为。</w:t>
      </w:r>
    </w:p>
    <w:p w14:paraId="0A8C02EC">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以上情形一经核查属实，接受政府采购监管部门对我方认定存在围标串标行为，我方愿意承担一切后果，并不再寻求任何旨在减轻或者免除法律责任的辩解。</w:t>
      </w:r>
    </w:p>
    <w:p w14:paraId="600EE50A">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2ADB5C0D">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7552D3F1">
      <w:pPr>
        <w:spacing w:line="360" w:lineRule="auto"/>
        <w:ind w:firstLine="420" w:firstLineChars="200"/>
        <w:rPr>
          <w:rFonts w:ascii="宋体" w:hAnsi="宋体"/>
          <w:color w:val="000000" w:themeColor="text1"/>
          <w:szCs w:val="2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49976A7D">
      <w:pPr>
        <w:spacing w:line="360" w:lineRule="auto"/>
        <w:ind w:firstLine="562" w:firstLineChars="200"/>
        <w:jc w:val="left"/>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二、法定代表人身份证明书及法定代表人有效身份证正反面复印件</w:t>
      </w:r>
    </w:p>
    <w:p w14:paraId="50CE138D">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法定代表人证明书</w:t>
      </w:r>
    </w:p>
    <w:p w14:paraId="7FF218BC">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4FEBD58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w:t>
      </w:r>
      <w:r>
        <w:rPr>
          <w:color w:val="000000" w:themeColor="text1"/>
          <w:szCs w:val="21"/>
          <w:highlight w:val="none"/>
          <w14:textFill>
            <w14:solidFill>
              <w14:schemeClr w14:val="tx1"/>
            </w14:solidFill>
          </w14:textFill>
        </w:rPr>
        <w:t>____________________________________________________________________________</w:t>
      </w:r>
    </w:p>
    <w:p w14:paraId="68F13E0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r>
        <w:rPr>
          <w:color w:val="000000" w:themeColor="text1"/>
          <w:szCs w:val="21"/>
          <w:highlight w:val="none"/>
          <w14:textFill>
            <w14:solidFill>
              <w14:schemeClr w14:val="tx1"/>
            </w14:solidFill>
          </w14:textFill>
        </w:rPr>
        <w:t>__________________________________________________________________________________</w:t>
      </w:r>
    </w:p>
    <w:p w14:paraId="1376EFE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姓名：</w:t>
      </w:r>
      <w:r>
        <w:rPr>
          <w:color w:val="000000" w:themeColor="text1"/>
          <w:szCs w:val="21"/>
          <w:highlight w:val="none"/>
          <w14:textFill>
            <w14:solidFill>
              <w14:schemeClr w14:val="tx1"/>
            </w14:solidFill>
          </w14:textFill>
        </w:rPr>
        <w:t>_______________________________________</w:t>
      </w:r>
      <w:r>
        <w:rPr>
          <w:rFonts w:hint="eastAsia" w:ascii="宋体" w:hAnsi="宋体"/>
          <w:color w:val="000000" w:themeColor="text1"/>
          <w:szCs w:val="21"/>
          <w:highlight w:val="none"/>
          <w14:textFill>
            <w14:solidFill>
              <w14:schemeClr w14:val="tx1"/>
            </w14:solidFill>
          </w14:textFill>
        </w:rPr>
        <w:t>性别：</w:t>
      </w:r>
      <w:r>
        <w:rPr>
          <w:color w:val="000000" w:themeColor="text1"/>
          <w:szCs w:val="21"/>
          <w:highlight w:val="none"/>
          <w14:textFill>
            <w14:solidFill>
              <w14:schemeClr w14:val="tx1"/>
            </w14:solidFill>
          </w14:textFill>
        </w:rPr>
        <w:t>______________________________________</w:t>
      </w:r>
    </w:p>
    <w:p w14:paraId="6057C05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年龄：</w:t>
      </w:r>
      <w:r>
        <w:rPr>
          <w:color w:val="000000" w:themeColor="text1"/>
          <w:szCs w:val="21"/>
          <w:highlight w:val="none"/>
          <w14:textFill>
            <w14:solidFill>
              <w14:schemeClr w14:val="tx1"/>
            </w14:solidFill>
          </w14:textFill>
        </w:rPr>
        <w:t>_______________________________________</w:t>
      </w:r>
      <w:r>
        <w:rPr>
          <w:rFonts w:hint="eastAsia" w:ascii="宋体" w:hAnsi="宋体"/>
          <w:color w:val="000000" w:themeColor="text1"/>
          <w:szCs w:val="21"/>
          <w:highlight w:val="none"/>
          <w14:textFill>
            <w14:solidFill>
              <w14:schemeClr w14:val="tx1"/>
            </w14:solidFill>
          </w14:textFill>
        </w:rPr>
        <w:t>职务：</w:t>
      </w:r>
      <w:r>
        <w:rPr>
          <w:color w:val="000000" w:themeColor="text1"/>
          <w:szCs w:val="21"/>
          <w:highlight w:val="none"/>
          <w14:textFill>
            <w14:solidFill>
              <w14:schemeClr w14:val="tx1"/>
            </w14:solidFill>
          </w14:textFill>
        </w:rPr>
        <w:t>______________________________________</w:t>
      </w:r>
    </w:p>
    <w:p w14:paraId="40314E9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身份证号码：</w:t>
      </w:r>
      <w:r>
        <w:rPr>
          <w:color w:val="000000" w:themeColor="text1"/>
          <w:szCs w:val="21"/>
          <w:highlight w:val="none"/>
          <w14:textFill>
            <w14:solidFill>
              <w14:schemeClr w14:val="tx1"/>
            </w14:solidFill>
          </w14:textFill>
        </w:rPr>
        <w:t>____________________________________________________________________________</w:t>
      </w:r>
    </w:p>
    <w:p w14:paraId="25142B3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系</w:t>
      </w:r>
      <w:r>
        <w:rPr>
          <w:rFonts w:hint="eastAsia" w:ascii="宋体" w:hAnsi="宋体"/>
          <w:color w:val="000000" w:themeColor="text1"/>
          <w:szCs w:val="21"/>
          <w:highlight w:val="none"/>
          <w:u w:val="single"/>
          <w14:textFill>
            <w14:solidFill>
              <w14:schemeClr w14:val="tx1"/>
            </w14:solidFill>
          </w14:textFill>
        </w:rPr>
        <w:t>（供应商名称）</w:t>
      </w:r>
      <w:r>
        <w:rPr>
          <w:rFonts w:hint="eastAsia" w:ascii="宋体" w:hAnsi="宋体"/>
          <w:color w:val="000000" w:themeColor="text1"/>
          <w:szCs w:val="21"/>
          <w:highlight w:val="none"/>
          <w14:textFill>
            <w14:solidFill>
              <w14:schemeClr w14:val="tx1"/>
            </w14:solidFill>
          </w14:textFill>
        </w:rPr>
        <w:t>的法定代表人。</w:t>
      </w:r>
    </w:p>
    <w:p w14:paraId="622F730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特此证明。</w:t>
      </w:r>
    </w:p>
    <w:p w14:paraId="4981FE74">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212A562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附件：法定代表人有效身份证正反面复印件</w:t>
      </w:r>
    </w:p>
    <w:p w14:paraId="7AA2A414">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0E9AE031">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0E1B3DC6">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45C01B5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注：1.自然人竞标的无需提供，联合体竞标的只需牵头人出具。</w:t>
      </w:r>
    </w:p>
    <w:p w14:paraId="7F6BDEE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3D745FD2">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附件：</w:t>
      </w:r>
    </w:p>
    <w:tbl>
      <w:tblPr>
        <w:tblStyle w:val="3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44"/>
      </w:tblGrid>
      <w:tr w14:paraId="7C58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0" w:hRule="atLeast"/>
        </w:trPr>
        <w:tc>
          <w:tcPr>
            <w:tcW w:w="5000" w:type="pct"/>
            <w:noWrap w:val="0"/>
            <w:vAlign w:val="top"/>
          </w:tcPr>
          <w:p w14:paraId="070AB04E">
            <w:pPr>
              <w:spacing w:line="360" w:lineRule="auto"/>
              <w:jc w:val="left"/>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法定代表身份证复印件粘帖处（正、反面）</w:t>
            </w:r>
          </w:p>
        </w:tc>
      </w:tr>
    </w:tbl>
    <w:p w14:paraId="005E01E3">
      <w:pPr>
        <w:spacing w:line="360" w:lineRule="auto"/>
        <w:jc w:val="center"/>
        <w:rPr>
          <w:rFonts w:ascii="宋体" w:hAnsi="宋体"/>
          <w:color w:val="000000" w:themeColor="text1"/>
          <w:szCs w:val="21"/>
          <w:highlight w:val="none"/>
          <w14:textFill>
            <w14:solidFill>
              <w14:schemeClr w14:val="tx1"/>
            </w14:solidFill>
          </w14:textFill>
        </w:rPr>
      </w:pPr>
    </w:p>
    <w:p w14:paraId="05E135DC">
      <w:pPr>
        <w:spacing w:line="360" w:lineRule="auto"/>
        <w:jc w:val="center"/>
        <w:rPr>
          <w:rFonts w:ascii="宋体" w:hAnsi="宋体"/>
          <w:color w:val="000000" w:themeColor="text1"/>
          <w:szCs w:val="2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294B1F3E">
      <w:pPr>
        <w:spacing w:line="360" w:lineRule="auto"/>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三、法定代表人授权委托书</w:t>
      </w:r>
    </w:p>
    <w:p w14:paraId="0A6ADA1A">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授权委托书（非联合体竞标格式）</w:t>
      </w:r>
    </w:p>
    <w:p w14:paraId="2BAA25F1">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（如有委托时）</w:t>
      </w:r>
    </w:p>
    <w:p w14:paraId="0C10B436">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0693566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致：</w:t>
      </w:r>
      <w:r>
        <w:rPr>
          <w:rFonts w:hint="eastAsia" w:ascii="宋体" w:hAnsi="宋体"/>
          <w:color w:val="000000" w:themeColor="text1"/>
          <w:szCs w:val="21"/>
          <w:highlight w:val="none"/>
          <w:u w:val="single"/>
          <w14:textFill>
            <w14:solidFill>
              <w14:schemeClr w14:val="tx1"/>
            </w14:solidFill>
          </w14:textFill>
        </w:rPr>
        <w:t>[采购组织机构]</w:t>
      </w:r>
      <w:r>
        <w:rPr>
          <w:rFonts w:hint="eastAsia" w:ascii="宋体" w:hAnsi="宋体"/>
          <w:color w:val="000000" w:themeColor="text1"/>
          <w:szCs w:val="21"/>
          <w:highlight w:val="none"/>
          <w14:textFill>
            <w14:solidFill>
              <w14:schemeClr w14:val="tx1"/>
            </w14:solidFill>
          </w14:textFill>
        </w:rPr>
        <w:t>：</w:t>
      </w:r>
    </w:p>
    <w:p w14:paraId="19184BF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w:t>
      </w:r>
      <w:r>
        <w:rPr>
          <w:rFonts w:hint="eastAsia" w:ascii="宋体" w:hAnsi="宋体"/>
          <w:color w:val="000000" w:themeColor="text1"/>
          <w:szCs w:val="21"/>
          <w:highlight w:val="none"/>
          <w:u w:val="single"/>
          <w14:textFill>
            <w14:solidFill>
              <w14:schemeClr w14:val="tx1"/>
            </w14:solidFill>
          </w14:textFill>
        </w:rPr>
        <w:t>（姓名）</w:t>
      </w:r>
      <w:r>
        <w:rPr>
          <w:rFonts w:hint="eastAsia" w:ascii="宋体" w:hAnsi="宋体"/>
          <w:color w:val="000000" w:themeColor="text1"/>
          <w:szCs w:val="21"/>
          <w:highlight w:val="none"/>
          <w14:textFill>
            <w14:solidFill>
              <w14:schemeClr w14:val="tx1"/>
            </w14:solidFill>
          </w14:textFill>
        </w:rPr>
        <w:t>系</w:t>
      </w:r>
      <w:r>
        <w:rPr>
          <w:rFonts w:hint="eastAsia" w:ascii="宋体" w:hAnsi="宋体"/>
          <w:color w:val="000000" w:themeColor="text1"/>
          <w:szCs w:val="21"/>
          <w:highlight w:val="none"/>
          <w:u w:val="single"/>
          <w14:textFill>
            <w14:solidFill>
              <w14:schemeClr w14:val="tx1"/>
            </w14:solidFill>
          </w14:textFill>
        </w:rPr>
        <w:t>（供应商名称）</w:t>
      </w:r>
      <w:r>
        <w:rPr>
          <w:rFonts w:hint="eastAsia" w:ascii="宋体" w:hAnsi="宋体"/>
          <w:color w:val="000000" w:themeColor="text1"/>
          <w:szCs w:val="21"/>
          <w:highlight w:val="none"/>
          <w14:textFill>
            <w14:solidFill>
              <w14:schemeClr w14:val="tx1"/>
            </w14:solidFill>
          </w14:textFill>
        </w:rPr>
        <w:t>的（</w:t>
      </w:r>
      <w:r>
        <w:rPr>
          <w:rFonts w:hint="eastAsia" w:ascii="宋体" w:hAnsi="宋体"/>
          <w:color w:val="000000" w:themeColor="text1"/>
          <w:szCs w:val="21"/>
          <w:highlight w:val="none"/>
          <w:u w:val="single"/>
          <w14:textFill>
            <w14:solidFill>
              <w14:schemeClr w14:val="tx1"/>
            </w14:solidFill>
          </w14:textFill>
        </w:rPr>
        <w:t>□法定代表人/□负责人/□自然人本人</w:t>
      </w:r>
      <w:r>
        <w:rPr>
          <w:rFonts w:hint="eastAsia" w:ascii="宋体" w:hAnsi="宋体"/>
          <w:color w:val="000000" w:themeColor="text1"/>
          <w:szCs w:val="21"/>
          <w:highlight w:val="none"/>
          <w14:textFill>
            <w14:solidFill>
              <w14:schemeClr w14:val="tx1"/>
            </w14:solidFill>
          </w14:textFill>
        </w:rPr>
        <w:t>），现授权</w:t>
      </w:r>
      <w:r>
        <w:rPr>
          <w:rFonts w:hint="eastAsia" w:ascii="宋体" w:hAnsi="宋体"/>
          <w:color w:val="000000" w:themeColor="text1"/>
          <w:szCs w:val="21"/>
          <w:highlight w:val="none"/>
          <w:u w:val="single"/>
          <w14:textFill>
            <w14:solidFill>
              <w14:schemeClr w14:val="tx1"/>
            </w14:solidFill>
          </w14:textFill>
        </w:rPr>
        <w:t>（姓名）</w:t>
      </w:r>
      <w:r>
        <w:rPr>
          <w:rFonts w:hint="eastAsia" w:ascii="宋体" w:hAnsi="宋体"/>
          <w:color w:val="000000" w:themeColor="text1"/>
          <w:szCs w:val="21"/>
          <w:highlight w:val="none"/>
          <w14:textFill>
            <w14:solidFill>
              <w14:schemeClr w14:val="tx1"/>
            </w14:solidFill>
          </w14:textFill>
        </w:rPr>
        <w:t>以我方的名义参加</w:t>
      </w:r>
      <w:r>
        <w:rPr>
          <w:rFonts w:hint="eastAsia" w:ascii="宋体" w:hAnsi="宋体"/>
          <w:color w:val="000000" w:themeColor="text1"/>
          <w:szCs w:val="21"/>
          <w:highlight w:val="none"/>
          <w:u w:val="single"/>
          <w14:textFill>
            <w14:solidFill>
              <w14:schemeClr w14:val="tx1"/>
            </w14:solidFill>
          </w14:textFill>
        </w:rPr>
        <w:t>[项目名称]</w:t>
      </w:r>
      <w:r>
        <w:rPr>
          <w:rFonts w:hint="eastAsia" w:ascii="宋体" w:hAnsi="宋体"/>
          <w:color w:val="000000" w:themeColor="text1"/>
          <w:szCs w:val="21"/>
          <w:highlight w:val="none"/>
          <w14:textFill>
            <w14:solidFill>
              <w14:schemeClr w14:val="tx1"/>
            </w14:solidFill>
          </w14:textFill>
        </w:rPr>
        <w:t>项目的竞标活动，并代表我方全权办理针对上述项目的所有采购程序和环节的具体事务和签署相关文件。</w:t>
      </w:r>
    </w:p>
    <w:p w14:paraId="0870ACC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我方对委托代理人的签字事项负全部责任。</w:t>
      </w:r>
    </w:p>
    <w:p w14:paraId="0F01C17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32F1E82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委托代理人无转委托权，特此委托。</w:t>
      </w:r>
    </w:p>
    <w:p w14:paraId="649FF01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附：法定代表人身份证明书及委托代理人有效身份证正反面复印件</w:t>
      </w:r>
    </w:p>
    <w:p w14:paraId="4D3F1998">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716CE6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委托代理人（签字）：</w:t>
      </w:r>
      <w:r>
        <w:rPr>
          <w:color w:val="000000" w:themeColor="text1"/>
          <w:szCs w:val="21"/>
          <w:highlight w:val="none"/>
          <w14:textFill>
            <w14:solidFill>
              <w14:schemeClr w14:val="tx1"/>
            </w14:solidFill>
          </w14:textFill>
        </w:rPr>
        <w:t>______________________</w:t>
      </w:r>
      <w:r>
        <w:rPr>
          <w:rFonts w:hint="eastAsia" w:ascii="宋体" w:hAnsi="宋体"/>
          <w:color w:val="000000" w:themeColor="text1"/>
          <w:szCs w:val="21"/>
          <w:highlight w:val="none"/>
          <w14:textFill>
            <w14:solidFill>
              <w14:schemeClr w14:val="tx1"/>
            </w14:solidFill>
          </w14:textFill>
        </w:rPr>
        <w:t>法定代表人（签字或盖章）：</w:t>
      </w:r>
      <w:r>
        <w:rPr>
          <w:color w:val="000000" w:themeColor="text1"/>
          <w:szCs w:val="21"/>
          <w:highlight w:val="none"/>
          <w14:textFill>
            <w14:solidFill>
              <w14:schemeClr w14:val="tx1"/>
            </w14:solidFill>
          </w14:textFill>
        </w:rPr>
        <w:t>______________________</w:t>
      </w:r>
    </w:p>
    <w:p w14:paraId="39629C1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委托代理人身份证号码：</w:t>
      </w:r>
    </w:p>
    <w:p w14:paraId="5BBDCFE0">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36DC8B10">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0CF5679B">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7393BF65">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AC5D30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注：1.法定代表人必须在授权委托书上亲笔签字或盖章，委托代理人必须在授权委托书上亲笔签字，</w:t>
      </w:r>
      <w:r>
        <w:rPr>
          <w:rFonts w:hint="eastAsia" w:ascii="宋体" w:hAnsi="宋体"/>
          <w:b/>
          <w:color w:val="000000" w:themeColor="text1"/>
          <w:szCs w:val="21"/>
          <w:highlight w:val="none"/>
          <w14:textFill>
            <w14:solidFill>
              <w14:schemeClr w14:val="tx1"/>
            </w14:solidFill>
          </w14:textFill>
        </w:rPr>
        <w:t>否则其响应文件按无效响应处理</w:t>
      </w:r>
      <w:r>
        <w:rPr>
          <w:rFonts w:hint="eastAsia" w:ascii="宋体" w:hAnsi="宋体"/>
          <w:color w:val="000000" w:themeColor="text1"/>
          <w:szCs w:val="21"/>
          <w:highlight w:val="none"/>
          <w14:textFill>
            <w14:solidFill>
              <w14:schemeClr w14:val="tx1"/>
            </w14:solidFill>
          </w14:textFill>
        </w:rPr>
        <w:t>。</w:t>
      </w:r>
    </w:p>
    <w:p w14:paraId="467A9C6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04D531E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3.法人、其他组织竞标时“我方”是指“我单位”，自然人竞标时“我方”是指“本人”。</w:t>
      </w:r>
    </w:p>
    <w:p w14:paraId="0D2E33FB">
      <w:pPr>
        <w:spacing w:line="360" w:lineRule="auto"/>
        <w:ind w:firstLine="420" w:firstLineChars="200"/>
        <w:rPr>
          <w:rFonts w:ascii="宋体" w:hAnsi="宋体"/>
          <w:color w:val="000000" w:themeColor="text1"/>
          <w:szCs w:val="2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15677A97">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授权委托书（联合体竞标格式）</w:t>
      </w:r>
    </w:p>
    <w:p w14:paraId="443A3F31">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（如有委托时）</w:t>
      </w:r>
    </w:p>
    <w:p w14:paraId="44B71E19">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094A581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本授权委托书声明：根据</w:t>
      </w:r>
      <w:r>
        <w:rPr>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（牵头人名称）与</w:t>
      </w:r>
      <w:r>
        <w:rPr>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（联合体其他成员名称）签订的《联合体竞标协议书》的内容，</w:t>
      </w:r>
      <w:r>
        <w:rPr>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（牵头人名称）的法定代表人</w:t>
      </w:r>
      <w:r>
        <w:rPr>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（姓名）现授权</w:t>
      </w:r>
      <w:r>
        <w:rPr>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（姓名）为联合委托代理人，并代表我方全权办理针对上述项目的所有采购程序和环节的具体事务和签署相关文件。</w:t>
      </w:r>
    </w:p>
    <w:p w14:paraId="73326C8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我方对委托代理人的签字事项负全部责任。</w:t>
      </w:r>
    </w:p>
    <w:p w14:paraId="629E4E0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54ABD31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委托代理人无转委托权，特此委托。</w:t>
      </w:r>
    </w:p>
    <w:p w14:paraId="5E9F4315">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6FEAF94F">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牵头人法定代表人（签字或盖章）：</w:t>
      </w:r>
    </w:p>
    <w:p w14:paraId="76A75A9B">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牵头人（电子签章）：</w:t>
      </w:r>
    </w:p>
    <w:p w14:paraId="3F438156">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688654F8">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28E47D80">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被授权人（签字）：</w:t>
      </w:r>
    </w:p>
    <w:p w14:paraId="259C48F1">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222FC96E">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649C881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注：1.法定代表人必须在授权委托书上亲笔签字或盖章，委托代理人必须在授权委托书上亲笔签字，</w:t>
      </w:r>
      <w:r>
        <w:rPr>
          <w:rFonts w:hint="eastAsia" w:ascii="宋体" w:hAnsi="宋体"/>
          <w:b/>
          <w:color w:val="000000" w:themeColor="text1"/>
          <w:szCs w:val="21"/>
          <w:highlight w:val="none"/>
          <w14:textFill>
            <w14:solidFill>
              <w14:schemeClr w14:val="tx1"/>
            </w14:solidFill>
          </w14:textFill>
        </w:rPr>
        <w:t>否则其响应文件按无效响应处理</w:t>
      </w:r>
      <w:r>
        <w:rPr>
          <w:rFonts w:hint="eastAsia" w:ascii="宋体" w:hAnsi="宋体"/>
          <w:color w:val="000000" w:themeColor="text1"/>
          <w:szCs w:val="21"/>
          <w:highlight w:val="none"/>
          <w14:textFill>
            <w14:solidFill>
              <w14:schemeClr w14:val="tx1"/>
            </w14:solidFill>
          </w14:textFill>
        </w:rPr>
        <w:t>。</w:t>
      </w:r>
    </w:p>
    <w:p w14:paraId="21E2540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2.本授权委托书应由联合体牵头人的法定代表人按上述规定签署。</w:t>
      </w:r>
    </w:p>
    <w:p w14:paraId="2DFAAB8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626F103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4.法人、其他组织竞标时“我方”是指“我单位”，自然人竞标时“我方”是指“本人”。</w:t>
      </w:r>
    </w:p>
    <w:p w14:paraId="2458559A">
      <w:pPr>
        <w:spacing w:line="360" w:lineRule="auto"/>
        <w:ind w:firstLine="420" w:firstLineChars="200"/>
        <w:rPr>
          <w:rFonts w:ascii="宋体" w:hAnsi="宋体"/>
          <w:color w:val="000000" w:themeColor="text1"/>
          <w:szCs w:val="2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421FFC03">
      <w:pPr>
        <w:spacing w:line="360" w:lineRule="auto"/>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四、商务条款偏离表</w:t>
      </w:r>
    </w:p>
    <w:p w14:paraId="480F0E7E">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商务条款偏离表</w:t>
      </w:r>
    </w:p>
    <w:p w14:paraId="38D3AE35">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64254EE">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采购项目编号：</w:t>
      </w:r>
    </w:p>
    <w:p w14:paraId="289975E8">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采购项目名称：</w:t>
      </w:r>
    </w:p>
    <w:p w14:paraId="1B313FE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分标号（此处有分标时填写具体分标号，无分标时填写“无”）：</w:t>
      </w:r>
      <w:r>
        <w:rPr>
          <w:color w:val="000000" w:themeColor="text1"/>
          <w:szCs w:val="21"/>
          <w:highlight w:val="none"/>
          <w14:textFill>
            <w14:solidFill>
              <w14:schemeClr w14:val="tx1"/>
            </w14:solidFill>
          </w14:textFill>
        </w:rPr>
        <w:t>________________________________</w:t>
      </w:r>
    </w:p>
    <w:tbl>
      <w:tblPr>
        <w:tblStyle w:val="35"/>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3481"/>
        <w:gridCol w:w="2756"/>
        <w:gridCol w:w="2884"/>
      </w:tblGrid>
      <w:tr w14:paraId="33E66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7" w:type="pct"/>
            <w:noWrap w:val="0"/>
            <w:vAlign w:val="center"/>
          </w:tcPr>
          <w:p w14:paraId="3E9FB890">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项号</w:t>
            </w:r>
          </w:p>
        </w:tc>
        <w:tc>
          <w:tcPr>
            <w:tcW w:w="1768" w:type="pct"/>
            <w:noWrap w:val="0"/>
            <w:vAlign w:val="center"/>
          </w:tcPr>
          <w:p w14:paraId="75CBD961">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竞争性谈判采购文件的商务需求</w:t>
            </w:r>
          </w:p>
        </w:tc>
        <w:tc>
          <w:tcPr>
            <w:tcW w:w="1400" w:type="pct"/>
            <w:noWrap w:val="0"/>
            <w:vAlign w:val="center"/>
          </w:tcPr>
          <w:p w14:paraId="2BF8D714">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响应文件承诺的商务条款</w:t>
            </w:r>
          </w:p>
        </w:tc>
        <w:tc>
          <w:tcPr>
            <w:tcW w:w="1465" w:type="pct"/>
            <w:noWrap w:val="0"/>
            <w:vAlign w:val="center"/>
          </w:tcPr>
          <w:p w14:paraId="2C0ECA71">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偏离说明</w:t>
            </w:r>
          </w:p>
        </w:tc>
      </w:tr>
      <w:tr w14:paraId="40C08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367" w:type="pct"/>
            <w:noWrap w:val="0"/>
            <w:vAlign w:val="center"/>
          </w:tcPr>
          <w:p w14:paraId="2F9A4282">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w:t>
            </w:r>
          </w:p>
        </w:tc>
        <w:tc>
          <w:tcPr>
            <w:tcW w:w="1768" w:type="pct"/>
            <w:noWrap w:val="0"/>
            <w:vAlign w:val="center"/>
          </w:tcPr>
          <w:p w14:paraId="4A4B7549">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p w14:paraId="14A83C3A">
            <w:pPr>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p>
          <w:p w14:paraId="5E1DD6B0">
            <w:pPr>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p>
          <w:p w14:paraId="31CF2F19">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400" w:type="pct"/>
            <w:noWrap w:val="0"/>
            <w:vAlign w:val="center"/>
          </w:tcPr>
          <w:p w14:paraId="1080933A">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p w14:paraId="7CA00441">
            <w:pPr>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p>
          <w:p w14:paraId="318BEA4E">
            <w:pPr>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p>
          <w:p w14:paraId="1581F2C4">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465" w:type="pct"/>
            <w:noWrap w:val="0"/>
            <w:vAlign w:val="center"/>
          </w:tcPr>
          <w:p w14:paraId="08F29FB7">
            <w:pPr>
              <w:jc w:val="center"/>
              <w:rPr>
                <w:rFonts w:ascii="宋体" w:hAnsi="宋体"/>
                <w:color w:val="000000" w:themeColor="text1"/>
                <w:szCs w:val="21"/>
                <w:highlight w:val="none"/>
                <w14:textFill>
                  <w14:solidFill>
                    <w14:schemeClr w14:val="tx1"/>
                  </w14:solidFill>
                </w14:textFill>
              </w:rPr>
            </w:pPr>
          </w:p>
        </w:tc>
      </w:tr>
      <w:tr w14:paraId="44A18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367" w:type="pct"/>
            <w:noWrap w:val="0"/>
            <w:vAlign w:val="center"/>
          </w:tcPr>
          <w:p w14:paraId="218FE027">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w:t>
            </w:r>
          </w:p>
        </w:tc>
        <w:tc>
          <w:tcPr>
            <w:tcW w:w="1768" w:type="pct"/>
            <w:noWrap w:val="0"/>
            <w:vAlign w:val="center"/>
          </w:tcPr>
          <w:p w14:paraId="10AD64E7">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p w14:paraId="5935AE22">
            <w:pPr>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p>
          <w:p w14:paraId="2C5F2A41">
            <w:pPr>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p>
          <w:p w14:paraId="1007BE6A">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400" w:type="pct"/>
            <w:noWrap w:val="0"/>
            <w:vAlign w:val="center"/>
          </w:tcPr>
          <w:p w14:paraId="5E6DF590">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p w14:paraId="22AC0270">
            <w:pPr>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p>
          <w:p w14:paraId="67AC93F0">
            <w:pPr>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p>
          <w:p w14:paraId="1778E54F">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465" w:type="pct"/>
            <w:noWrap w:val="0"/>
            <w:vAlign w:val="center"/>
          </w:tcPr>
          <w:p w14:paraId="35A52101">
            <w:pPr>
              <w:jc w:val="center"/>
              <w:rPr>
                <w:rFonts w:ascii="宋体" w:hAnsi="宋体"/>
                <w:color w:val="000000" w:themeColor="text1"/>
                <w:szCs w:val="21"/>
                <w:highlight w:val="none"/>
                <w14:textFill>
                  <w14:solidFill>
                    <w14:schemeClr w14:val="tx1"/>
                  </w14:solidFill>
                </w14:textFill>
              </w:rPr>
            </w:pPr>
          </w:p>
        </w:tc>
      </w:tr>
      <w:tr w14:paraId="647D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367" w:type="pct"/>
            <w:noWrap w:val="0"/>
            <w:vAlign w:val="center"/>
          </w:tcPr>
          <w:p w14:paraId="3B4E4864">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768" w:type="pct"/>
            <w:noWrap w:val="0"/>
            <w:vAlign w:val="center"/>
          </w:tcPr>
          <w:p w14:paraId="1F433627">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p w14:paraId="064ABBF7">
            <w:pPr>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p>
          <w:p w14:paraId="1E6F9534">
            <w:pPr>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p>
          <w:p w14:paraId="3F7FB058">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400" w:type="pct"/>
            <w:noWrap w:val="0"/>
            <w:vAlign w:val="center"/>
          </w:tcPr>
          <w:p w14:paraId="362DE2CC">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p w14:paraId="111CC79F">
            <w:pPr>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p>
          <w:p w14:paraId="7CB31C3A">
            <w:pPr>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p>
          <w:p w14:paraId="7B899C28">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465" w:type="pct"/>
            <w:noWrap w:val="0"/>
            <w:vAlign w:val="center"/>
          </w:tcPr>
          <w:p w14:paraId="3F8D3BA0">
            <w:pPr>
              <w:jc w:val="center"/>
              <w:rPr>
                <w:rFonts w:ascii="宋体" w:hAnsi="宋体"/>
                <w:color w:val="000000" w:themeColor="text1"/>
                <w:szCs w:val="21"/>
                <w:highlight w:val="none"/>
                <w14:textFill>
                  <w14:solidFill>
                    <w14:schemeClr w14:val="tx1"/>
                  </w14:solidFill>
                </w14:textFill>
              </w:rPr>
            </w:pPr>
          </w:p>
        </w:tc>
      </w:tr>
    </w:tbl>
    <w:p w14:paraId="0CAF268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w:t>
      </w:r>
    </w:p>
    <w:p w14:paraId="1F105E9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1.说明：应对照谈判文件“第二章采购需求”中的商务条款逐条作出明确响应，并作出偏离说明。</w:t>
      </w:r>
    </w:p>
    <w:p w14:paraId="5F333CC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供应商应根据自身的承诺，对照谈判文件要求，在“偏离说明”中注明“正偏离”、“负偏离”或者“无偏离”。既不属于“正偏离”也不属于“负偏离”即为“无偏离”。当响应文件的商务内容低于竞争性谈判采购文件要求时，竞标人应当如实写明“负偏离”，否则视为虚假应标</w:t>
      </w:r>
    </w:p>
    <w:p w14:paraId="0637303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3.表格内容均需按要求填写，不得留空，否则按竞标无效处理。</w:t>
      </w:r>
    </w:p>
    <w:p w14:paraId="4F026A6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648828A8">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1E9B14AF">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513C602D">
      <w:pPr>
        <w:spacing w:line="360" w:lineRule="auto"/>
        <w:ind w:firstLine="643" w:firstLineChars="200"/>
        <w:rPr>
          <w:rFonts w:ascii="宋体" w:hAnsi="宋体"/>
          <w:b/>
          <w:color w:val="000000" w:themeColor="text1"/>
          <w:sz w:val="32"/>
          <w:szCs w:val="32"/>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14FA95D5">
      <w:pPr>
        <w:spacing w:line="360" w:lineRule="auto"/>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五、竞标人情况介绍</w:t>
      </w:r>
    </w:p>
    <w:p w14:paraId="3AFE0EBA">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108F3502">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4AC5B406">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05753E7F">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497BDDE2">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46E6E307">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228CB6DF">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51F1CF91">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0D790E42">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41F295BD">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18307589">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55B102DA">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0D670861">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54DAF1C5">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27DDFBDE">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202CBB4F">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440661BA">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04988311">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444DB1CD">
      <w:pPr>
        <w:spacing w:line="360" w:lineRule="auto"/>
        <w:ind w:right="1575" w:rightChars="750"/>
        <w:jc w:val="right"/>
        <w:rPr>
          <w:rFonts w:hint="eastAsia" w:ascii="宋体" w:hAnsi="宋体"/>
          <w:color w:val="000000" w:themeColor="text1"/>
          <w:szCs w:val="21"/>
          <w:highlight w:val="none"/>
          <w14:textFill>
            <w14:solidFill>
              <w14:schemeClr w14:val="tx1"/>
            </w14:solidFill>
          </w14:textFill>
        </w:rPr>
      </w:pPr>
    </w:p>
    <w:p w14:paraId="2272D222">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59D2AB84">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143A8295">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250061DD">
      <w:pPr>
        <w:spacing w:line="360" w:lineRule="auto"/>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br w:type="page"/>
      </w:r>
      <w:r>
        <w:rPr>
          <w:rFonts w:hint="eastAsia" w:ascii="宋体" w:hAnsi="宋体"/>
          <w:b/>
          <w:color w:val="000000" w:themeColor="text1"/>
          <w:sz w:val="32"/>
          <w:szCs w:val="32"/>
          <w:highlight w:val="none"/>
          <w14:textFill>
            <w14:solidFill>
              <w14:schemeClr w14:val="tx1"/>
            </w14:solidFill>
          </w14:textFill>
        </w:rPr>
        <w:t>六、供应商类似的业绩证明文件</w:t>
      </w:r>
    </w:p>
    <w:p w14:paraId="2049952F">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附表：相关项目业绩一览表（供应商同类项目合同复印件、用户验收报告、用户评价意见格式自拟）</w:t>
      </w:r>
    </w:p>
    <w:tbl>
      <w:tblPr>
        <w:tblStyle w:val="35"/>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1305"/>
        <w:gridCol w:w="1162"/>
        <w:gridCol w:w="1451"/>
        <w:gridCol w:w="1595"/>
        <w:gridCol w:w="1451"/>
        <w:gridCol w:w="1725"/>
      </w:tblGrid>
      <w:tr w14:paraId="7FBCB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7" w:type="pct"/>
            <w:vMerge w:val="restart"/>
            <w:noWrap w:val="0"/>
            <w:vAlign w:val="center"/>
          </w:tcPr>
          <w:p w14:paraId="1968F8CC">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采购人名称</w:t>
            </w:r>
          </w:p>
        </w:tc>
        <w:tc>
          <w:tcPr>
            <w:tcW w:w="663" w:type="pct"/>
            <w:vMerge w:val="restart"/>
            <w:noWrap w:val="0"/>
            <w:vAlign w:val="center"/>
          </w:tcPr>
          <w:p w14:paraId="65F4D71E">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p>
        </w:tc>
        <w:tc>
          <w:tcPr>
            <w:tcW w:w="590" w:type="pct"/>
            <w:vMerge w:val="restart"/>
            <w:noWrap w:val="0"/>
            <w:vAlign w:val="center"/>
          </w:tcPr>
          <w:p w14:paraId="36A050DF">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合同金额（万元）</w:t>
            </w:r>
          </w:p>
        </w:tc>
        <w:tc>
          <w:tcPr>
            <w:tcW w:w="2284" w:type="pct"/>
            <w:gridSpan w:val="3"/>
            <w:noWrap w:val="0"/>
            <w:vAlign w:val="center"/>
          </w:tcPr>
          <w:p w14:paraId="4F3A0D8A">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附件在响应文件中页码</w:t>
            </w:r>
          </w:p>
        </w:tc>
        <w:tc>
          <w:tcPr>
            <w:tcW w:w="876" w:type="pct"/>
            <w:vMerge w:val="restart"/>
            <w:noWrap w:val="0"/>
            <w:vAlign w:val="center"/>
          </w:tcPr>
          <w:p w14:paraId="500D9A75">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采购人联系人及联系电话</w:t>
            </w:r>
          </w:p>
        </w:tc>
      </w:tr>
      <w:tr w14:paraId="618E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7" w:type="pct"/>
            <w:vMerge w:val="continue"/>
            <w:noWrap w:val="0"/>
            <w:vAlign w:val="center"/>
          </w:tcPr>
          <w:p w14:paraId="221F321C">
            <w:pPr>
              <w:spacing w:line="360" w:lineRule="auto"/>
              <w:jc w:val="center"/>
              <w:rPr>
                <w:rFonts w:ascii="宋体" w:hAnsi="宋体"/>
                <w:color w:val="000000" w:themeColor="text1"/>
                <w:szCs w:val="21"/>
                <w:highlight w:val="none"/>
                <w14:textFill>
                  <w14:solidFill>
                    <w14:schemeClr w14:val="tx1"/>
                  </w14:solidFill>
                </w14:textFill>
              </w:rPr>
            </w:pPr>
          </w:p>
        </w:tc>
        <w:tc>
          <w:tcPr>
            <w:tcW w:w="663" w:type="pct"/>
            <w:vMerge w:val="continue"/>
            <w:noWrap w:val="0"/>
            <w:vAlign w:val="center"/>
          </w:tcPr>
          <w:p w14:paraId="1AD169C5">
            <w:pPr>
              <w:spacing w:line="360" w:lineRule="auto"/>
              <w:jc w:val="center"/>
              <w:rPr>
                <w:rFonts w:ascii="宋体" w:hAnsi="宋体"/>
                <w:color w:val="000000" w:themeColor="text1"/>
                <w:szCs w:val="21"/>
                <w:highlight w:val="none"/>
                <w14:textFill>
                  <w14:solidFill>
                    <w14:schemeClr w14:val="tx1"/>
                  </w14:solidFill>
                </w14:textFill>
              </w:rPr>
            </w:pPr>
          </w:p>
        </w:tc>
        <w:tc>
          <w:tcPr>
            <w:tcW w:w="590" w:type="pct"/>
            <w:vMerge w:val="continue"/>
            <w:noWrap w:val="0"/>
            <w:vAlign w:val="center"/>
          </w:tcPr>
          <w:p w14:paraId="578B2565">
            <w:pPr>
              <w:spacing w:line="360" w:lineRule="auto"/>
              <w:jc w:val="center"/>
              <w:rPr>
                <w:rFonts w:ascii="宋体" w:hAnsi="宋体"/>
                <w:color w:val="000000" w:themeColor="text1"/>
                <w:szCs w:val="21"/>
                <w:highlight w:val="none"/>
                <w14:textFill>
                  <w14:solidFill>
                    <w14:schemeClr w14:val="tx1"/>
                  </w14:solidFill>
                </w14:textFill>
              </w:rPr>
            </w:pPr>
          </w:p>
        </w:tc>
        <w:tc>
          <w:tcPr>
            <w:tcW w:w="737" w:type="pct"/>
            <w:noWrap w:val="0"/>
            <w:vAlign w:val="center"/>
          </w:tcPr>
          <w:p w14:paraId="19E28AEB">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w:t>
            </w:r>
          </w:p>
        </w:tc>
        <w:tc>
          <w:tcPr>
            <w:tcW w:w="810" w:type="pct"/>
            <w:noWrap w:val="0"/>
            <w:vAlign w:val="center"/>
          </w:tcPr>
          <w:p w14:paraId="3AD47A69">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验收报告</w:t>
            </w:r>
          </w:p>
        </w:tc>
        <w:tc>
          <w:tcPr>
            <w:tcW w:w="737" w:type="pct"/>
            <w:noWrap w:val="0"/>
            <w:vAlign w:val="center"/>
          </w:tcPr>
          <w:p w14:paraId="6437E0A8">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用户评价</w:t>
            </w:r>
          </w:p>
        </w:tc>
        <w:tc>
          <w:tcPr>
            <w:tcW w:w="876" w:type="pct"/>
            <w:vMerge w:val="continue"/>
            <w:noWrap w:val="0"/>
            <w:vAlign w:val="center"/>
          </w:tcPr>
          <w:p w14:paraId="631EF01D">
            <w:pPr>
              <w:spacing w:line="360" w:lineRule="auto"/>
              <w:jc w:val="center"/>
              <w:rPr>
                <w:rFonts w:ascii="宋体" w:hAnsi="宋体"/>
                <w:color w:val="000000" w:themeColor="text1"/>
                <w:szCs w:val="21"/>
                <w:highlight w:val="none"/>
                <w14:textFill>
                  <w14:solidFill>
                    <w14:schemeClr w14:val="tx1"/>
                  </w14:solidFill>
                </w14:textFill>
              </w:rPr>
            </w:pPr>
          </w:p>
        </w:tc>
      </w:tr>
      <w:tr w14:paraId="59D2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7" w:type="pct"/>
            <w:noWrap w:val="0"/>
            <w:vAlign w:val="center"/>
          </w:tcPr>
          <w:p w14:paraId="5256DF53">
            <w:pPr>
              <w:spacing w:line="360" w:lineRule="auto"/>
              <w:jc w:val="center"/>
              <w:rPr>
                <w:rFonts w:ascii="宋体" w:hAnsi="宋体"/>
                <w:color w:val="000000" w:themeColor="text1"/>
                <w:szCs w:val="21"/>
                <w:highlight w:val="none"/>
                <w14:textFill>
                  <w14:solidFill>
                    <w14:schemeClr w14:val="tx1"/>
                  </w14:solidFill>
                </w14:textFill>
              </w:rPr>
            </w:pPr>
          </w:p>
        </w:tc>
        <w:tc>
          <w:tcPr>
            <w:tcW w:w="663" w:type="pct"/>
            <w:noWrap w:val="0"/>
            <w:vAlign w:val="center"/>
          </w:tcPr>
          <w:p w14:paraId="3BBDAD15">
            <w:pPr>
              <w:spacing w:line="360" w:lineRule="auto"/>
              <w:jc w:val="center"/>
              <w:rPr>
                <w:rFonts w:ascii="宋体" w:hAnsi="宋体"/>
                <w:color w:val="000000" w:themeColor="text1"/>
                <w:szCs w:val="21"/>
                <w:highlight w:val="none"/>
                <w14:textFill>
                  <w14:solidFill>
                    <w14:schemeClr w14:val="tx1"/>
                  </w14:solidFill>
                </w14:textFill>
              </w:rPr>
            </w:pPr>
          </w:p>
        </w:tc>
        <w:tc>
          <w:tcPr>
            <w:tcW w:w="590" w:type="pct"/>
            <w:noWrap w:val="0"/>
            <w:vAlign w:val="center"/>
          </w:tcPr>
          <w:p w14:paraId="164BCB8A">
            <w:pPr>
              <w:spacing w:line="360" w:lineRule="auto"/>
              <w:jc w:val="center"/>
              <w:rPr>
                <w:rFonts w:ascii="宋体" w:hAnsi="宋体"/>
                <w:color w:val="000000" w:themeColor="text1"/>
                <w:szCs w:val="21"/>
                <w:highlight w:val="none"/>
                <w14:textFill>
                  <w14:solidFill>
                    <w14:schemeClr w14:val="tx1"/>
                  </w14:solidFill>
                </w14:textFill>
              </w:rPr>
            </w:pPr>
          </w:p>
        </w:tc>
        <w:tc>
          <w:tcPr>
            <w:tcW w:w="737" w:type="pct"/>
            <w:noWrap w:val="0"/>
            <w:vAlign w:val="center"/>
          </w:tcPr>
          <w:p w14:paraId="1A3074AC">
            <w:pPr>
              <w:spacing w:line="360" w:lineRule="auto"/>
              <w:jc w:val="center"/>
              <w:rPr>
                <w:rFonts w:ascii="宋体" w:hAnsi="宋体"/>
                <w:color w:val="000000" w:themeColor="text1"/>
                <w:szCs w:val="21"/>
                <w:highlight w:val="none"/>
                <w14:textFill>
                  <w14:solidFill>
                    <w14:schemeClr w14:val="tx1"/>
                  </w14:solidFill>
                </w14:textFill>
              </w:rPr>
            </w:pPr>
          </w:p>
        </w:tc>
        <w:tc>
          <w:tcPr>
            <w:tcW w:w="810" w:type="pct"/>
            <w:noWrap w:val="0"/>
            <w:vAlign w:val="center"/>
          </w:tcPr>
          <w:p w14:paraId="5AE3CA0E">
            <w:pPr>
              <w:spacing w:line="360" w:lineRule="auto"/>
              <w:jc w:val="center"/>
              <w:rPr>
                <w:rFonts w:ascii="宋体" w:hAnsi="宋体"/>
                <w:color w:val="000000" w:themeColor="text1"/>
                <w:szCs w:val="21"/>
                <w:highlight w:val="none"/>
                <w14:textFill>
                  <w14:solidFill>
                    <w14:schemeClr w14:val="tx1"/>
                  </w14:solidFill>
                </w14:textFill>
              </w:rPr>
            </w:pPr>
          </w:p>
        </w:tc>
        <w:tc>
          <w:tcPr>
            <w:tcW w:w="737" w:type="pct"/>
            <w:noWrap w:val="0"/>
            <w:vAlign w:val="center"/>
          </w:tcPr>
          <w:p w14:paraId="3A2AE9AA">
            <w:pPr>
              <w:spacing w:line="360" w:lineRule="auto"/>
              <w:jc w:val="center"/>
              <w:rPr>
                <w:rFonts w:ascii="宋体" w:hAnsi="宋体"/>
                <w:color w:val="000000" w:themeColor="text1"/>
                <w:szCs w:val="21"/>
                <w:highlight w:val="none"/>
                <w14:textFill>
                  <w14:solidFill>
                    <w14:schemeClr w14:val="tx1"/>
                  </w14:solidFill>
                </w14:textFill>
              </w:rPr>
            </w:pPr>
          </w:p>
        </w:tc>
        <w:tc>
          <w:tcPr>
            <w:tcW w:w="876" w:type="pct"/>
            <w:noWrap w:val="0"/>
            <w:vAlign w:val="center"/>
          </w:tcPr>
          <w:p w14:paraId="70C72E3F">
            <w:pPr>
              <w:spacing w:line="360" w:lineRule="auto"/>
              <w:jc w:val="center"/>
              <w:rPr>
                <w:rFonts w:ascii="宋体" w:hAnsi="宋体"/>
                <w:color w:val="000000" w:themeColor="text1"/>
                <w:szCs w:val="21"/>
                <w:highlight w:val="none"/>
                <w14:textFill>
                  <w14:solidFill>
                    <w14:schemeClr w14:val="tx1"/>
                  </w14:solidFill>
                </w14:textFill>
              </w:rPr>
            </w:pPr>
          </w:p>
        </w:tc>
      </w:tr>
      <w:tr w14:paraId="60C51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7" w:type="pct"/>
            <w:noWrap w:val="0"/>
            <w:vAlign w:val="center"/>
          </w:tcPr>
          <w:p w14:paraId="7908A306">
            <w:pPr>
              <w:spacing w:line="360" w:lineRule="auto"/>
              <w:jc w:val="center"/>
              <w:rPr>
                <w:rFonts w:ascii="宋体" w:hAnsi="宋体"/>
                <w:color w:val="000000" w:themeColor="text1"/>
                <w:szCs w:val="21"/>
                <w:highlight w:val="none"/>
                <w14:textFill>
                  <w14:solidFill>
                    <w14:schemeClr w14:val="tx1"/>
                  </w14:solidFill>
                </w14:textFill>
              </w:rPr>
            </w:pPr>
          </w:p>
        </w:tc>
        <w:tc>
          <w:tcPr>
            <w:tcW w:w="663" w:type="pct"/>
            <w:noWrap w:val="0"/>
            <w:vAlign w:val="center"/>
          </w:tcPr>
          <w:p w14:paraId="682F7A20">
            <w:pPr>
              <w:spacing w:line="360" w:lineRule="auto"/>
              <w:jc w:val="center"/>
              <w:rPr>
                <w:rFonts w:ascii="宋体" w:hAnsi="宋体"/>
                <w:color w:val="000000" w:themeColor="text1"/>
                <w:szCs w:val="21"/>
                <w:highlight w:val="none"/>
                <w14:textFill>
                  <w14:solidFill>
                    <w14:schemeClr w14:val="tx1"/>
                  </w14:solidFill>
                </w14:textFill>
              </w:rPr>
            </w:pPr>
          </w:p>
        </w:tc>
        <w:tc>
          <w:tcPr>
            <w:tcW w:w="590" w:type="pct"/>
            <w:noWrap w:val="0"/>
            <w:vAlign w:val="center"/>
          </w:tcPr>
          <w:p w14:paraId="102C0555">
            <w:pPr>
              <w:spacing w:line="360" w:lineRule="auto"/>
              <w:jc w:val="center"/>
              <w:rPr>
                <w:rFonts w:ascii="宋体" w:hAnsi="宋体"/>
                <w:color w:val="000000" w:themeColor="text1"/>
                <w:szCs w:val="21"/>
                <w:highlight w:val="none"/>
                <w14:textFill>
                  <w14:solidFill>
                    <w14:schemeClr w14:val="tx1"/>
                  </w14:solidFill>
                </w14:textFill>
              </w:rPr>
            </w:pPr>
          </w:p>
        </w:tc>
        <w:tc>
          <w:tcPr>
            <w:tcW w:w="737" w:type="pct"/>
            <w:noWrap w:val="0"/>
            <w:vAlign w:val="center"/>
          </w:tcPr>
          <w:p w14:paraId="05C9B946">
            <w:pPr>
              <w:spacing w:line="360" w:lineRule="auto"/>
              <w:jc w:val="center"/>
              <w:rPr>
                <w:rFonts w:ascii="宋体" w:hAnsi="宋体"/>
                <w:color w:val="000000" w:themeColor="text1"/>
                <w:szCs w:val="21"/>
                <w:highlight w:val="none"/>
                <w14:textFill>
                  <w14:solidFill>
                    <w14:schemeClr w14:val="tx1"/>
                  </w14:solidFill>
                </w14:textFill>
              </w:rPr>
            </w:pPr>
          </w:p>
        </w:tc>
        <w:tc>
          <w:tcPr>
            <w:tcW w:w="810" w:type="pct"/>
            <w:noWrap w:val="0"/>
            <w:vAlign w:val="center"/>
          </w:tcPr>
          <w:p w14:paraId="4714D60A">
            <w:pPr>
              <w:spacing w:line="360" w:lineRule="auto"/>
              <w:jc w:val="center"/>
              <w:rPr>
                <w:rFonts w:ascii="宋体" w:hAnsi="宋体"/>
                <w:color w:val="000000" w:themeColor="text1"/>
                <w:szCs w:val="21"/>
                <w:highlight w:val="none"/>
                <w14:textFill>
                  <w14:solidFill>
                    <w14:schemeClr w14:val="tx1"/>
                  </w14:solidFill>
                </w14:textFill>
              </w:rPr>
            </w:pPr>
          </w:p>
        </w:tc>
        <w:tc>
          <w:tcPr>
            <w:tcW w:w="737" w:type="pct"/>
            <w:noWrap w:val="0"/>
            <w:vAlign w:val="center"/>
          </w:tcPr>
          <w:p w14:paraId="05B4E64A">
            <w:pPr>
              <w:spacing w:line="360" w:lineRule="auto"/>
              <w:jc w:val="center"/>
              <w:rPr>
                <w:rFonts w:ascii="宋体" w:hAnsi="宋体"/>
                <w:color w:val="000000" w:themeColor="text1"/>
                <w:szCs w:val="21"/>
                <w:highlight w:val="none"/>
                <w14:textFill>
                  <w14:solidFill>
                    <w14:schemeClr w14:val="tx1"/>
                  </w14:solidFill>
                </w14:textFill>
              </w:rPr>
            </w:pPr>
          </w:p>
        </w:tc>
        <w:tc>
          <w:tcPr>
            <w:tcW w:w="876" w:type="pct"/>
            <w:noWrap w:val="0"/>
            <w:vAlign w:val="center"/>
          </w:tcPr>
          <w:p w14:paraId="763698C0">
            <w:pPr>
              <w:spacing w:line="360" w:lineRule="auto"/>
              <w:jc w:val="center"/>
              <w:rPr>
                <w:rFonts w:ascii="宋体" w:hAnsi="宋体"/>
                <w:color w:val="000000" w:themeColor="text1"/>
                <w:szCs w:val="21"/>
                <w:highlight w:val="none"/>
                <w14:textFill>
                  <w14:solidFill>
                    <w14:schemeClr w14:val="tx1"/>
                  </w14:solidFill>
                </w14:textFill>
              </w:rPr>
            </w:pPr>
          </w:p>
        </w:tc>
      </w:tr>
      <w:tr w14:paraId="3DFBB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7" w:type="pct"/>
            <w:noWrap w:val="0"/>
            <w:vAlign w:val="center"/>
          </w:tcPr>
          <w:p w14:paraId="16E89036">
            <w:pPr>
              <w:spacing w:line="360" w:lineRule="auto"/>
              <w:jc w:val="center"/>
              <w:rPr>
                <w:rFonts w:ascii="宋体" w:hAnsi="宋体"/>
                <w:color w:val="000000" w:themeColor="text1"/>
                <w:szCs w:val="21"/>
                <w:highlight w:val="none"/>
                <w14:textFill>
                  <w14:solidFill>
                    <w14:schemeClr w14:val="tx1"/>
                  </w14:solidFill>
                </w14:textFill>
              </w:rPr>
            </w:pPr>
          </w:p>
        </w:tc>
        <w:tc>
          <w:tcPr>
            <w:tcW w:w="663" w:type="pct"/>
            <w:noWrap w:val="0"/>
            <w:vAlign w:val="center"/>
          </w:tcPr>
          <w:p w14:paraId="34E09D93">
            <w:pPr>
              <w:spacing w:line="360" w:lineRule="auto"/>
              <w:jc w:val="center"/>
              <w:rPr>
                <w:rFonts w:ascii="宋体" w:hAnsi="宋体"/>
                <w:color w:val="000000" w:themeColor="text1"/>
                <w:szCs w:val="21"/>
                <w:highlight w:val="none"/>
                <w14:textFill>
                  <w14:solidFill>
                    <w14:schemeClr w14:val="tx1"/>
                  </w14:solidFill>
                </w14:textFill>
              </w:rPr>
            </w:pPr>
          </w:p>
        </w:tc>
        <w:tc>
          <w:tcPr>
            <w:tcW w:w="590" w:type="pct"/>
            <w:noWrap w:val="0"/>
            <w:vAlign w:val="center"/>
          </w:tcPr>
          <w:p w14:paraId="174E2006">
            <w:pPr>
              <w:spacing w:line="360" w:lineRule="auto"/>
              <w:jc w:val="center"/>
              <w:rPr>
                <w:rFonts w:ascii="宋体" w:hAnsi="宋体"/>
                <w:color w:val="000000" w:themeColor="text1"/>
                <w:szCs w:val="21"/>
                <w:highlight w:val="none"/>
                <w14:textFill>
                  <w14:solidFill>
                    <w14:schemeClr w14:val="tx1"/>
                  </w14:solidFill>
                </w14:textFill>
              </w:rPr>
            </w:pPr>
          </w:p>
        </w:tc>
        <w:tc>
          <w:tcPr>
            <w:tcW w:w="737" w:type="pct"/>
            <w:noWrap w:val="0"/>
            <w:vAlign w:val="center"/>
          </w:tcPr>
          <w:p w14:paraId="4029631A">
            <w:pPr>
              <w:spacing w:line="360" w:lineRule="auto"/>
              <w:jc w:val="center"/>
              <w:rPr>
                <w:rFonts w:ascii="宋体" w:hAnsi="宋体"/>
                <w:color w:val="000000" w:themeColor="text1"/>
                <w:szCs w:val="21"/>
                <w:highlight w:val="none"/>
                <w14:textFill>
                  <w14:solidFill>
                    <w14:schemeClr w14:val="tx1"/>
                  </w14:solidFill>
                </w14:textFill>
              </w:rPr>
            </w:pPr>
          </w:p>
        </w:tc>
        <w:tc>
          <w:tcPr>
            <w:tcW w:w="810" w:type="pct"/>
            <w:noWrap w:val="0"/>
            <w:vAlign w:val="center"/>
          </w:tcPr>
          <w:p w14:paraId="659D0057">
            <w:pPr>
              <w:spacing w:line="360" w:lineRule="auto"/>
              <w:jc w:val="center"/>
              <w:rPr>
                <w:rFonts w:ascii="宋体" w:hAnsi="宋体"/>
                <w:color w:val="000000" w:themeColor="text1"/>
                <w:szCs w:val="21"/>
                <w:highlight w:val="none"/>
                <w14:textFill>
                  <w14:solidFill>
                    <w14:schemeClr w14:val="tx1"/>
                  </w14:solidFill>
                </w14:textFill>
              </w:rPr>
            </w:pPr>
          </w:p>
        </w:tc>
        <w:tc>
          <w:tcPr>
            <w:tcW w:w="737" w:type="pct"/>
            <w:noWrap w:val="0"/>
            <w:vAlign w:val="center"/>
          </w:tcPr>
          <w:p w14:paraId="30B467A9">
            <w:pPr>
              <w:spacing w:line="360" w:lineRule="auto"/>
              <w:jc w:val="center"/>
              <w:rPr>
                <w:rFonts w:ascii="宋体" w:hAnsi="宋体"/>
                <w:color w:val="000000" w:themeColor="text1"/>
                <w:szCs w:val="21"/>
                <w:highlight w:val="none"/>
                <w14:textFill>
                  <w14:solidFill>
                    <w14:schemeClr w14:val="tx1"/>
                  </w14:solidFill>
                </w14:textFill>
              </w:rPr>
            </w:pPr>
          </w:p>
        </w:tc>
        <w:tc>
          <w:tcPr>
            <w:tcW w:w="876" w:type="pct"/>
            <w:noWrap w:val="0"/>
            <w:vAlign w:val="center"/>
          </w:tcPr>
          <w:p w14:paraId="7EF483D0">
            <w:pPr>
              <w:spacing w:line="360" w:lineRule="auto"/>
              <w:jc w:val="center"/>
              <w:rPr>
                <w:rFonts w:ascii="宋体" w:hAnsi="宋体"/>
                <w:color w:val="000000" w:themeColor="text1"/>
                <w:szCs w:val="21"/>
                <w:highlight w:val="none"/>
                <w14:textFill>
                  <w14:solidFill>
                    <w14:schemeClr w14:val="tx1"/>
                  </w14:solidFill>
                </w14:textFill>
              </w:rPr>
            </w:pPr>
          </w:p>
        </w:tc>
      </w:tr>
      <w:tr w14:paraId="312F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7" w:type="pct"/>
            <w:noWrap w:val="0"/>
            <w:vAlign w:val="center"/>
          </w:tcPr>
          <w:p w14:paraId="70ECF8DF">
            <w:pPr>
              <w:spacing w:line="360" w:lineRule="auto"/>
              <w:jc w:val="center"/>
              <w:rPr>
                <w:rFonts w:ascii="宋体" w:hAnsi="宋体"/>
                <w:color w:val="000000" w:themeColor="text1"/>
                <w:szCs w:val="21"/>
                <w:highlight w:val="none"/>
                <w14:textFill>
                  <w14:solidFill>
                    <w14:schemeClr w14:val="tx1"/>
                  </w14:solidFill>
                </w14:textFill>
              </w:rPr>
            </w:pPr>
          </w:p>
        </w:tc>
        <w:tc>
          <w:tcPr>
            <w:tcW w:w="663" w:type="pct"/>
            <w:noWrap w:val="0"/>
            <w:vAlign w:val="center"/>
          </w:tcPr>
          <w:p w14:paraId="32828E51">
            <w:pPr>
              <w:spacing w:line="360" w:lineRule="auto"/>
              <w:jc w:val="center"/>
              <w:rPr>
                <w:rFonts w:ascii="宋体" w:hAnsi="宋体"/>
                <w:color w:val="000000" w:themeColor="text1"/>
                <w:szCs w:val="21"/>
                <w:highlight w:val="none"/>
                <w14:textFill>
                  <w14:solidFill>
                    <w14:schemeClr w14:val="tx1"/>
                  </w14:solidFill>
                </w14:textFill>
              </w:rPr>
            </w:pPr>
          </w:p>
        </w:tc>
        <w:tc>
          <w:tcPr>
            <w:tcW w:w="590" w:type="pct"/>
            <w:noWrap w:val="0"/>
            <w:vAlign w:val="center"/>
          </w:tcPr>
          <w:p w14:paraId="17C2CE18">
            <w:pPr>
              <w:spacing w:line="360" w:lineRule="auto"/>
              <w:jc w:val="center"/>
              <w:rPr>
                <w:rFonts w:ascii="宋体" w:hAnsi="宋体"/>
                <w:color w:val="000000" w:themeColor="text1"/>
                <w:szCs w:val="21"/>
                <w:highlight w:val="none"/>
                <w14:textFill>
                  <w14:solidFill>
                    <w14:schemeClr w14:val="tx1"/>
                  </w14:solidFill>
                </w14:textFill>
              </w:rPr>
            </w:pPr>
          </w:p>
        </w:tc>
        <w:tc>
          <w:tcPr>
            <w:tcW w:w="737" w:type="pct"/>
            <w:noWrap w:val="0"/>
            <w:vAlign w:val="center"/>
          </w:tcPr>
          <w:p w14:paraId="4A2C1DD5">
            <w:pPr>
              <w:spacing w:line="360" w:lineRule="auto"/>
              <w:jc w:val="center"/>
              <w:rPr>
                <w:rFonts w:ascii="宋体" w:hAnsi="宋体"/>
                <w:color w:val="000000" w:themeColor="text1"/>
                <w:szCs w:val="21"/>
                <w:highlight w:val="none"/>
                <w14:textFill>
                  <w14:solidFill>
                    <w14:schemeClr w14:val="tx1"/>
                  </w14:solidFill>
                </w14:textFill>
              </w:rPr>
            </w:pPr>
          </w:p>
        </w:tc>
        <w:tc>
          <w:tcPr>
            <w:tcW w:w="810" w:type="pct"/>
            <w:noWrap w:val="0"/>
            <w:vAlign w:val="center"/>
          </w:tcPr>
          <w:p w14:paraId="64914101">
            <w:pPr>
              <w:spacing w:line="360" w:lineRule="auto"/>
              <w:jc w:val="center"/>
              <w:rPr>
                <w:rFonts w:ascii="宋体" w:hAnsi="宋体"/>
                <w:color w:val="000000" w:themeColor="text1"/>
                <w:szCs w:val="21"/>
                <w:highlight w:val="none"/>
                <w14:textFill>
                  <w14:solidFill>
                    <w14:schemeClr w14:val="tx1"/>
                  </w14:solidFill>
                </w14:textFill>
              </w:rPr>
            </w:pPr>
          </w:p>
        </w:tc>
        <w:tc>
          <w:tcPr>
            <w:tcW w:w="737" w:type="pct"/>
            <w:noWrap w:val="0"/>
            <w:vAlign w:val="center"/>
          </w:tcPr>
          <w:p w14:paraId="4FCC9EF0">
            <w:pPr>
              <w:spacing w:line="360" w:lineRule="auto"/>
              <w:jc w:val="center"/>
              <w:rPr>
                <w:rFonts w:ascii="宋体" w:hAnsi="宋体"/>
                <w:color w:val="000000" w:themeColor="text1"/>
                <w:szCs w:val="21"/>
                <w:highlight w:val="none"/>
                <w14:textFill>
                  <w14:solidFill>
                    <w14:schemeClr w14:val="tx1"/>
                  </w14:solidFill>
                </w14:textFill>
              </w:rPr>
            </w:pPr>
          </w:p>
        </w:tc>
        <w:tc>
          <w:tcPr>
            <w:tcW w:w="876" w:type="pct"/>
            <w:noWrap w:val="0"/>
            <w:vAlign w:val="center"/>
          </w:tcPr>
          <w:p w14:paraId="29AF2A87">
            <w:pPr>
              <w:spacing w:line="360" w:lineRule="auto"/>
              <w:jc w:val="center"/>
              <w:rPr>
                <w:rFonts w:ascii="宋体" w:hAnsi="宋体"/>
                <w:color w:val="000000" w:themeColor="text1"/>
                <w:szCs w:val="21"/>
                <w:highlight w:val="none"/>
                <w14:textFill>
                  <w14:solidFill>
                    <w14:schemeClr w14:val="tx1"/>
                  </w14:solidFill>
                </w14:textFill>
              </w:rPr>
            </w:pPr>
          </w:p>
        </w:tc>
      </w:tr>
      <w:tr w14:paraId="63334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7" w:type="pct"/>
            <w:noWrap w:val="0"/>
            <w:vAlign w:val="center"/>
          </w:tcPr>
          <w:p w14:paraId="483EA56B">
            <w:pPr>
              <w:spacing w:line="360" w:lineRule="auto"/>
              <w:jc w:val="center"/>
              <w:rPr>
                <w:rFonts w:ascii="宋体" w:hAnsi="宋体"/>
                <w:color w:val="000000" w:themeColor="text1"/>
                <w:szCs w:val="21"/>
                <w:highlight w:val="none"/>
                <w14:textFill>
                  <w14:solidFill>
                    <w14:schemeClr w14:val="tx1"/>
                  </w14:solidFill>
                </w14:textFill>
              </w:rPr>
            </w:pPr>
          </w:p>
        </w:tc>
        <w:tc>
          <w:tcPr>
            <w:tcW w:w="663" w:type="pct"/>
            <w:noWrap w:val="0"/>
            <w:vAlign w:val="center"/>
          </w:tcPr>
          <w:p w14:paraId="6D3BE5B3">
            <w:pPr>
              <w:spacing w:line="360" w:lineRule="auto"/>
              <w:jc w:val="center"/>
              <w:rPr>
                <w:rFonts w:ascii="宋体" w:hAnsi="宋体"/>
                <w:color w:val="000000" w:themeColor="text1"/>
                <w:szCs w:val="21"/>
                <w:highlight w:val="none"/>
                <w14:textFill>
                  <w14:solidFill>
                    <w14:schemeClr w14:val="tx1"/>
                  </w14:solidFill>
                </w14:textFill>
              </w:rPr>
            </w:pPr>
          </w:p>
        </w:tc>
        <w:tc>
          <w:tcPr>
            <w:tcW w:w="590" w:type="pct"/>
            <w:noWrap w:val="0"/>
            <w:vAlign w:val="center"/>
          </w:tcPr>
          <w:p w14:paraId="6C19B3BD">
            <w:pPr>
              <w:spacing w:line="360" w:lineRule="auto"/>
              <w:jc w:val="center"/>
              <w:rPr>
                <w:rFonts w:ascii="宋体" w:hAnsi="宋体"/>
                <w:color w:val="000000" w:themeColor="text1"/>
                <w:szCs w:val="21"/>
                <w:highlight w:val="none"/>
                <w14:textFill>
                  <w14:solidFill>
                    <w14:schemeClr w14:val="tx1"/>
                  </w14:solidFill>
                </w14:textFill>
              </w:rPr>
            </w:pPr>
          </w:p>
        </w:tc>
        <w:tc>
          <w:tcPr>
            <w:tcW w:w="737" w:type="pct"/>
            <w:noWrap w:val="0"/>
            <w:vAlign w:val="center"/>
          </w:tcPr>
          <w:p w14:paraId="6C123B66">
            <w:pPr>
              <w:spacing w:line="360" w:lineRule="auto"/>
              <w:jc w:val="center"/>
              <w:rPr>
                <w:rFonts w:ascii="宋体" w:hAnsi="宋体"/>
                <w:color w:val="000000" w:themeColor="text1"/>
                <w:szCs w:val="21"/>
                <w:highlight w:val="none"/>
                <w14:textFill>
                  <w14:solidFill>
                    <w14:schemeClr w14:val="tx1"/>
                  </w14:solidFill>
                </w14:textFill>
              </w:rPr>
            </w:pPr>
          </w:p>
        </w:tc>
        <w:tc>
          <w:tcPr>
            <w:tcW w:w="810" w:type="pct"/>
            <w:noWrap w:val="0"/>
            <w:vAlign w:val="center"/>
          </w:tcPr>
          <w:p w14:paraId="76F04099">
            <w:pPr>
              <w:spacing w:line="360" w:lineRule="auto"/>
              <w:jc w:val="center"/>
              <w:rPr>
                <w:rFonts w:ascii="宋体" w:hAnsi="宋体"/>
                <w:color w:val="000000" w:themeColor="text1"/>
                <w:szCs w:val="21"/>
                <w:highlight w:val="none"/>
                <w14:textFill>
                  <w14:solidFill>
                    <w14:schemeClr w14:val="tx1"/>
                  </w14:solidFill>
                </w14:textFill>
              </w:rPr>
            </w:pPr>
          </w:p>
        </w:tc>
        <w:tc>
          <w:tcPr>
            <w:tcW w:w="737" w:type="pct"/>
            <w:noWrap w:val="0"/>
            <w:vAlign w:val="center"/>
          </w:tcPr>
          <w:p w14:paraId="1DFC95F0">
            <w:pPr>
              <w:spacing w:line="360" w:lineRule="auto"/>
              <w:jc w:val="center"/>
              <w:rPr>
                <w:rFonts w:ascii="宋体" w:hAnsi="宋体"/>
                <w:color w:val="000000" w:themeColor="text1"/>
                <w:szCs w:val="21"/>
                <w:highlight w:val="none"/>
                <w14:textFill>
                  <w14:solidFill>
                    <w14:schemeClr w14:val="tx1"/>
                  </w14:solidFill>
                </w14:textFill>
              </w:rPr>
            </w:pPr>
          </w:p>
        </w:tc>
        <w:tc>
          <w:tcPr>
            <w:tcW w:w="876" w:type="pct"/>
            <w:noWrap w:val="0"/>
            <w:vAlign w:val="center"/>
          </w:tcPr>
          <w:p w14:paraId="098ADA25">
            <w:pPr>
              <w:spacing w:line="360" w:lineRule="auto"/>
              <w:jc w:val="center"/>
              <w:rPr>
                <w:rFonts w:ascii="宋体" w:hAnsi="宋体"/>
                <w:color w:val="000000" w:themeColor="text1"/>
                <w:szCs w:val="21"/>
                <w:highlight w:val="none"/>
                <w14:textFill>
                  <w14:solidFill>
                    <w14:schemeClr w14:val="tx1"/>
                  </w14:solidFill>
                </w14:textFill>
              </w:rPr>
            </w:pPr>
          </w:p>
        </w:tc>
      </w:tr>
    </w:tbl>
    <w:p w14:paraId="244D631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注：供应商可按上述的格式自行编制，须随表提交评分办法中要求提供的对应证明材料，并注明所在供应商商务技术文件页码。</w:t>
      </w:r>
    </w:p>
    <w:p w14:paraId="10D03F7F">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7B792503">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0D94604A">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2C9FC103">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0D5A52F3">
      <w:pPr>
        <w:spacing w:line="360" w:lineRule="auto"/>
        <w:ind w:firstLine="643" w:firstLineChars="200"/>
        <w:rPr>
          <w:rFonts w:ascii="宋体" w:hAnsi="宋体"/>
          <w:b/>
          <w:color w:val="000000" w:themeColor="text1"/>
          <w:sz w:val="32"/>
          <w:szCs w:val="32"/>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37CFF606">
      <w:pPr>
        <w:spacing w:line="360" w:lineRule="auto"/>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七、技术需求偏离表</w:t>
      </w:r>
    </w:p>
    <w:p w14:paraId="7BCEE28A">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技术需求偏离表</w:t>
      </w:r>
    </w:p>
    <w:p w14:paraId="7C769C11">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（注：按采购需求具体条款修改）</w:t>
      </w:r>
    </w:p>
    <w:p w14:paraId="24AE1D2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所竞分标：</w:t>
      </w:r>
      <w:r>
        <w:rPr>
          <w:color w:val="000000" w:themeColor="text1"/>
          <w:szCs w:val="21"/>
          <w:highlight w:val="none"/>
          <w14:textFill>
            <w14:solidFill>
              <w14:schemeClr w14:val="tx1"/>
            </w14:solidFill>
          </w14:textFill>
        </w:rPr>
        <w:t>____________</w:t>
      </w:r>
    </w:p>
    <w:tbl>
      <w:tblPr>
        <w:tblStyle w:val="35"/>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1159"/>
        <w:gridCol w:w="1158"/>
        <w:gridCol w:w="1886"/>
        <w:gridCol w:w="1231"/>
        <w:gridCol w:w="1231"/>
        <w:gridCol w:w="1231"/>
        <w:gridCol w:w="1223"/>
      </w:tblGrid>
      <w:tr w14:paraId="70A1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vMerge w:val="restart"/>
            <w:noWrap w:val="0"/>
            <w:vAlign w:val="center"/>
          </w:tcPr>
          <w:p w14:paraId="6370B17F">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项号</w:t>
            </w:r>
          </w:p>
        </w:tc>
        <w:tc>
          <w:tcPr>
            <w:tcW w:w="2135" w:type="pct"/>
            <w:gridSpan w:val="3"/>
            <w:noWrap w:val="0"/>
            <w:vAlign w:val="center"/>
          </w:tcPr>
          <w:p w14:paraId="028DE76D">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竞争性谈判采购文件需求</w:t>
            </w:r>
          </w:p>
        </w:tc>
        <w:tc>
          <w:tcPr>
            <w:tcW w:w="1875" w:type="pct"/>
            <w:gridSpan w:val="3"/>
            <w:noWrap w:val="0"/>
            <w:vAlign w:val="center"/>
          </w:tcPr>
          <w:p w14:paraId="7C96DADD">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响应文件承诺</w:t>
            </w:r>
          </w:p>
        </w:tc>
        <w:tc>
          <w:tcPr>
            <w:tcW w:w="621" w:type="pct"/>
            <w:vMerge w:val="restart"/>
            <w:noWrap w:val="0"/>
            <w:vAlign w:val="center"/>
          </w:tcPr>
          <w:p w14:paraId="56D9C9C7">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偏离说明</w:t>
            </w:r>
          </w:p>
        </w:tc>
      </w:tr>
      <w:tr w14:paraId="6963E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vMerge w:val="continue"/>
            <w:noWrap w:val="0"/>
            <w:vAlign w:val="center"/>
          </w:tcPr>
          <w:p w14:paraId="79153FD9">
            <w:pPr>
              <w:spacing w:line="360" w:lineRule="auto"/>
              <w:jc w:val="center"/>
              <w:rPr>
                <w:rFonts w:ascii="宋体" w:hAnsi="宋体"/>
                <w:color w:val="000000" w:themeColor="text1"/>
                <w:szCs w:val="21"/>
                <w:highlight w:val="none"/>
                <w14:textFill>
                  <w14:solidFill>
                    <w14:schemeClr w14:val="tx1"/>
                  </w14:solidFill>
                </w14:textFill>
              </w:rPr>
            </w:pPr>
          </w:p>
        </w:tc>
        <w:tc>
          <w:tcPr>
            <w:tcW w:w="589" w:type="pct"/>
            <w:noWrap w:val="0"/>
            <w:vAlign w:val="center"/>
          </w:tcPr>
          <w:p w14:paraId="607C703F">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工程名称</w:t>
            </w:r>
          </w:p>
        </w:tc>
        <w:tc>
          <w:tcPr>
            <w:tcW w:w="588" w:type="pct"/>
            <w:noWrap w:val="0"/>
            <w:vAlign w:val="center"/>
          </w:tcPr>
          <w:p w14:paraId="58535365">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数量</w:t>
            </w:r>
          </w:p>
        </w:tc>
        <w:tc>
          <w:tcPr>
            <w:tcW w:w="958" w:type="pct"/>
            <w:noWrap w:val="0"/>
            <w:vAlign w:val="center"/>
          </w:tcPr>
          <w:p w14:paraId="084858F9">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技术参数要求</w:t>
            </w:r>
          </w:p>
        </w:tc>
        <w:tc>
          <w:tcPr>
            <w:tcW w:w="625" w:type="pct"/>
            <w:noWrap w:val="0"/>
            <w:vAlign w:val="center"/>
          </w:tcPr>
          <w:p w14:paraId="2828688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工程名称</w:t>
            </w:r>
          </w:p>
        </w:tc>
        <w:tc>
          <w:tcPr>
            <w:tcW w:w="625" w:type="pct"/>
            <w:noWrap w:val="0"/>
            <w:vAlign w:val="center"/>
          </w:tcPr>
          <w:p w14:paraId="4FB4A13D">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数量</w:t>
            </w:r>
          </w:p>
        </w:tc>
        <w:tc>
          <w:tcPr>
            <w:tcW w:w="625" w:type="pct"/>
            <w:noWrap w:val="0"/>
            <w:vAlign w:val="center"/>
          </w:tcPr>
          <w:p w14:paraId="07A27CC6">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技术参数</w:t>
            </w:r>
          </w:p>
        </w:tc>
        <w:tc>
          <w:tcPr>
            <w:tcW w:w="621" w:type="pct"/>
            <w:vMerge w:val="continue"/>
            <w:noWrap w:val="0"/>
            <w:vAlign w:val="center"/>
          </w:tcPr>
          <w:p w14:paraId="423E539A">
            <w:pPr>
              <w:spacing w:line="360" w:lineRule="auto"/>
              <w:jc w:val="center"/>
              <w:rPr>
                <w:rFonts w:ascii="宋体" w:hAnsi="宋体"/>
                <w:color w:val="000000" w:themeColor="text1"/>
                <w:szCs w:val="21"/>
                <w:highlight w:val="none"/>
                <w14:textFill>
                  <w14:solidFill>
                    <w14:schemeClr w14:val="tx1"/>
                  </w14:solidFill>
                </w14:textFill>
              </w:rPr>
            </w:pPr>
          </w:p>
        </w:tc>
      </w:tr>
      <w:tr w14:paraId="13F9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noWrap w:val="0"/>
            <w:vAlign w:val="center"/>
          </w:tcPr>
          <w:p w14:paraId="0331AAE0">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p>
        </w:tc>
        <w:tc>
          <w:tcPr>
            <w:tcW w:w="589" w:type="pct"/>
            <w:noWrap w:val="0"/>
            <w:vAlign w:val="center"/>
          </w:tcPr>
          <w:p w14:paraId="5FC720E7">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p>
        </w:tc>
        <w:tc>
          <w:tcPr>
            <w:tcW w:w="588" w:type="pct"/>
            <w:noWrap w:val="0"/>
            <w:vAlign w:val="center"/>
          </w:tcPr>
          <w:p w14:paraId="6C3DE968">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p>
        </w:tc>
        <w:tc>
          <w:tcPr>
            <w:tcW w:w="958" w:type="pct"/>
            <w:noWrap w:val="0"/>
            <w:vAlign w:val="center"/>
          </w:tcPr>
          <w:p w14:paraId="2562F8F2">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p>
          <w:p w14:paraId="4DBAB007">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p>
          <w:p w14:paraId="7209B220">
            <w:pPr>
              <w:spacing w:line="360" w:lineRule="auto"/>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p>
          <w:p w14:paraId="75ABC1A3">
            <w:pPr>
              <w:spacing w:line="360" w:lineRule="auto"/>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p>
        </w:tc>
        <w:tc>
          <w:tcPr>
            <w:tcW w:w="625" w:type="pct"/>
            <w:noWrap w:val="0"/>
            <w:vAlign w:val="center"/>
          </w:tcPr>
          <w:p w14:paraId="6609AC31">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p>
        </w:tc>
        <w:tc>
          <w:tcPr>
            <w:tcW w:w="625" w:type="pct"/>
            <w:noWrap w:val="0"/>
            <w:vAlign w:val="center"/>
          </w:tcPr>
          <w:p w14:paraId="38706082">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p>
        </w:tc>
        <w:tc>
          <w:tcPr>
            <w:tcW w:w="625" w:type="pct"/>
            <w:noWrap w:val="0"/>
            <w:vAlign w:val="center"/>
          </w:tcPr>
          <w:p w14:paraId="5B72101B">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p>
          <w:p w14:paraId="709AF732">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p>
          <w:p w14:paraId="7A3B6A71">
            <w:pPr>
              <w:spacing w:line="360" w:lineRule="auto"/>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p>
          <w:p w14:paraId="1F996B45">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p>
        </w:tc>
        <w:tc>
          <w:tcPr>
            <w:tcW w:w="621" w:type="pct"/>
            <w:noWrap w:val="0"/>
            <w:vAlign w:val="center"/>
          </w:tcPr>
          <w:p w14:paraId="79FA2A54">
            <w:pPr>
              <w:spacing w:line="360" w:lineRule="auto"/>
              <w:jc w:val="center"/>
              <w:rPr>
                <w:rFonts w:ascii="宋体" w:hAnsi="宋体"/>
                <w:color w:val="000000" w:themeColor="text1"/>
                <w:szCs w:val="21"/>
                <w:highlight w:val="none"/>
                <w14:textFill>
                  <w14:solidFill>
                    <w14:schemeClr w14:val="tx1"/>
                  </w14:solidFill>
                </w14:textFill>
              </w:rPr>
            </w:pPr>
          </w:p>
        </w:tc>
      </w:tr>
      <w:tr w14:paraId="3A11C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noWrap w:val="0"/>
            <w:vAlign w:val="center"/>
          </w:tcPr>
          <w:p w14:paraId="2CAEA60E">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589" w:type="pct"/>
            <w:noWrap w:val="0"/>
            <w:vAlign w:val="center"/>
          </w:tcPr>
          <w:p w14:paraId="33CC9CC1">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p>
        </w:tc>
        <w:tc>
          <w:tcPr>
            <w:tcW w:w="588" w:type="pct"/>
            <w:noWrap w:val="0"/>
            <w:vAlign w:val="center"/>
          </w:tcPr>
          <w:p w14:paraId="2D6644D7">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p>
        </w:tc>
        <w:tc>
          <w:tcPr>
            <w:tcW w:w="958" w:type="pct"/>
            <w:noWrap w:val="0"/>
            <w:vAlign w:val="center"/>
          </w:tcPr>
          <w:p w14:paraId="171F2089">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p>
          <w:p w14:paraId="4F1877E3">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p>
          <w:p w14:paraId="2AF654DF">
            <w:pPr>
              <w:spacing w:line="360" w:lineRule="auto"/>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p>
          <w:p w14:paraId="40C5720D">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p>
        </w:tc>
        <w:tc>
          <w:tcPr>
            <w:tcW w:w="625" w:type="pct"/>
            <w:noWrap w:val="0"/>
            <w:vAlign w:val="center"/>
          </w:tcPr>
          <w:p w14:paraId="45BCA803">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p>
        </w:tc>
        <w:tc>
          <w:tcPr>
            <w:tcW w:w="625" w:type="pct"/>
            <w:noWrap w:val="0"/>
            <w:vAlign w:val="center"/>
          </w:tcPr>
          <w:p w14:paraId="0EC31617">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p>
        </w:tc>
        <w:tc>
          <w:tcPr>
            <w:tcW w:w="625" w:type="pct"/>
            <w:noWrap w:val="0"/>
            <w:vAlign w:val="center"/>
          </w:tcPr>
          <w:p w14:paraId="0B283895">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p>
          <w:p w14:paraId="4498DD21">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p>
          <w:p w14:paraId="4CCAD6FE">
            <w:pPr>
              <w:spacing w:line="360" w:lineRule="auto"/>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p>
          <w:p w14:paraId="333A4EAA">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p>
        </w:tc>
        <w:tc>
          <w:tcPr>
            <w:tcW w:w="621" w:type="pct"/>
            <w:noWrap w:val="0"/>
            <w:vAlign w:val="center"/>
          </w:tcPr>
          <w:p w14:paraId="5C806374">
            <w:pPr>
              <w:spacing w:line="360" w:lineRule="auto"/>
              <w:jc w:val="center"/>
              <w:rPr>
                <w:rFonts w:ascii="宋体" w:hAnsi="宋体"/>
                <w:color w:val="000000" w:themeColor="text1"/>
                <w:szCs w:val="21"/>
                <w:highlight w:val="none"/>
                <w14:textFill>
                  <w14:solidFill>
                    <w14:schemeClr w14:val="tx1"/>
                  </w14:solidFill>
                </w14:textFill>
              </w:rPr>
            </w:pPr>
          </w:p>
        </w:tc>
      </w:tr>
      <w:tr w14:paraId="1301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noWrap w:val="0"/>
            <w:vAlign w:val="center"/>
          </w:tcPr>
          <w:p w14:paraId="196B596E">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589" w:type="pct"/>
            <w:noWrap w:val="0"/>
            <w:vAlign w:val="center"/>
          </w:tcPr>
          <w:p w14:paraId="01A99E27">
            <w:pPr>
              <w:spacing w:line="360" w:lineRule="auto"/>
              <w:jc w:val="center"/>
              <w:rPr>
                <w:rFonts w:ascii="宋体" w:hAnsi="宋体"/>
                <w:color w:val="000000" w:themeColor="text1"/>
                <w:szCs w:val="21"/>
                <w:highlight w:val="none"/>
                <w14:textFill>
                  <w14:solidFill>
                    <w14:schemeClr w14:val="tx1"/>
                  </w14:solidFill>
                </w14:textFill>
              </w:rPr>
            </w:pPr>
          </w:p>
        </w:tc>
        <w:tc>
          <w:tcPr>
            <w:tcW w:w="588" w:type="pct"/>
            <w:noWrap w:val="0"/>
            <w:vAlign w:val="center"/>
          </w:tcPr>
          <w:p w14:paraId="5D7CAC6F">
            <w:pPr>
              <w:spacing w:line="360" w:lineRule="auto"/>
              <w:jc w:val="center"/>
              <w:rPr>
                <w:rFonts w:ascii="宋体" w:hAnsi="宋体"/>
                <w:color w:val="000000" w:themeColor="text1"/>
                <w:szCs w:val="21"/>
                <w:highlight w:val="none"/>
                <w14:textFill>
                  <w14:solidFill>
                    <w14:schemeClr w14:val="tx1"/>
                  </w14:solidFill>
                </w14:textFill>
              </w:rPr>
            </w:pPr>
          </w:p>
        </w:tc>
        <w:tc>
          <w:tcPr>
            <w:tcW w:w="958" w:type="pct"/>
            <w:noWrap w:val="0"/>
            <w:vAlign w:val="center"/>
          </w:tcPr>
          <w:p w14:paraId="18F68850">
            <w:pPr>
              <w:spacing w:line="360" w:lineRule="auto"/>
              <w:jc w:val="center"/>
              <w:rPr>
                <w:rFonts w:ascii="宋体" w:hAnsi="宋体"/>
                <w:color w:val="000000" w:themeColor="text1"/>
                <w:szCs w:val="21"/>
                <w:highlight w:val="none"/>
                <w14:textFill>
                  <w14:solidFill>
                    <w14:schemeClr w14:val="tx1"/>
                  </w14:solidFill>
                </w14:textFill>
              </w:rPr>
            </w:pPr>
          </w:p>
        </w:tc>
        <w:tc>
          <w:tcPr>
            <w:tcW w:w="625" w:type="pct"/>
            <w:noWrap w:val="0"/>
            <w:vAlign w:val="center"/>
          </w:tcPr>
          <w:p w14:paraId="5EBE3072">
            <w:pPr>
              <w:spacing w:line="360" w:lineRule="auto"/>
              <w:jc w:val="center"/>
              <w:rPr>
                <w:rFonts w:ascii="宋体" w:hAnsi="宋体"/>
                <w:color w:val="000000" w:themeColor="text1"/>
                <w:szCs w:val="21"/>
                <w:highlight w:val="none"/>
                <w14:textFill>
                  <w14:solidFill>
                    <w14:schemeClr w14:val="tx1"/>
                  </w14:solidFill>
                </w14:textFill>
              </w:rPr>
            </w:pPr>
          </w:p>
        </w:tc>
        <w:tc>
          <w:tcPr>
            <w:tcW w:w="625" w:type="pct"/>
            <w:noWrap w:val="0"/>
            <w:vAlign w:val="center"/>
          </w:tcPr>
          <w:p w14:paraId="33691D1C">
            <w:pPr>
              <w:spacing w:line="360" w:lineRule="auto"/>
              <w:jc w:val="center"/>
              <w:rPr>
                <w:rFonts w:ascii="宋体" w:hAnsi="宋体"/>
                <w:color w:val="000000" w:themeColor="text1"/>
                <w:szCs w:val="21"/>
                <w:highlight w:val="none"/>
                <w14:textFill>
                  <w14:solidFill>
                    <w14:schemeClr w14:val="tx1"/>
                  </w14:solidFill>
                </w14:textFill>
              </w:rPr>
            </w:pPr>
          </w:p>
        </w:tc>
        <w:tc>
          <w:tcPr>
            <w:tcW w:w="625" w:type="pct"/>
            <w:noWrap w:val="0"/>
            <w:vAlign w:val="center"/>
          </w:tcPr>
          <w:p w14:paraId="7DA1EE2A">
            <w:pPr>
              <w:spacing w:line="360" w:lineRule="auto"/>
              <w:jc w:val="center"/>
              <w:rPr>
                <w:rFonts w:ascii="宋体" w:hAnsi="宋体"/>
                <w:color w:val="000000" w:themeColor="text1"/>
                <w:szCs w:val="21"/>
                <w:highlight w:val="none"/>
                <w14:textFill>
                  <w14:solidFill>
                    <w14:schemeClr w14:val="tx1"/>
                  </w14:solidFill>
                </w14:textFill>
              </w:rPr>
            </w:pPr>
          </w:p>
        </w:tc>
        <w:tc>
          <w:tcPr>
            <w:tcW w:w="621" w:type="pct"/>
            <w:noWrap w:val="0"/>
            <w:vAlign w:val="center"/>
          </w:tcPr>
          <w:p w14:paraId="23681FFA">
            <w:pPr>
              <w:spacing w:line="360" w:lineRule="auto"/>
              <w:jc w:val="center"/>
              <w:rPr>
                <w:rFonts w:ascii="宋体" w:hAnsi="宋体"/>
                <w:color w:val="000000" w:themeColor="text1"/>
                <w:szCs w:val="21"/>
                <w:highlight w:val="none"/>
                <w14:textFill>
                  <w14:solidFill>
                    <w14:schemeClr w14:val="tx1"/>
                  </w14:solidFill>
                </w14:textFill>
              </w:rPr>
            </w:pPr>
          </w:p>
        </w:tc>
      </w:tr>
    </w:tbl>
    <w:p w14:paraId="0E0B40B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w:t>
      </w:r>
    </w:p>
    <w:p w14:paraId="0B5805E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1.说明：应对照谈判文件“第二章”中“项目需求一览表”的采购清单及技术参数条款逐条作出明确响应，并作出偏离说明。</w:t>
      </w:r>
    </w:p>
    <w:p w14:paraId="61D708E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供应商应根据自身的承诺，对照谈判文件要求，在“偏离说明”中注明“正偏离”、“负偏离”或者“无偏离”。既不属于“正偏离”也不属于“负偏离”即为“无偏离”。当响应文件的参数内容低于竞争性谈判采购文件要求时，竞标人应当如实写明“负偏离”，否则视为虚假应标。</w:t>
      </w:r>
    </w:p>
    <w:p w14:paraId="1FA3601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3.表格内容均需按要求填写并盖章，不得留空，否则按竞标无效处理。</w:t>
      </w:r>
    </w:p>
    <w:p w14:paraId="3447DD1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如果采购需求为小于、小于等于、大于或大于等于某个数值标准时，响应文件承诺不得直接复制采购需求，响应文件承诺内容应当写明竞标参数具体参数或商务响应承诺的具体数值，否则按竞标无效处理。如该采购需求属于不能明确具体数值的，采购人应在此采购需求的数值后标注◆号，对标注◆号的采购需求不适用上述“竞标无效”条款。</w:t>
      </w:r>
    </w:p>
    <w:p w14:paraId="281531A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5.如技术偏离表中的竞标响应与佐证材料不一致的，以佐证材料为准。</w:t>
      </w:r>
    </w:p>
    <w:p w14:paraId="7DAA13DB">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6BB1319A">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7156D86F">
      <w:pPr>
        <w:spacing w:line="360" w:lineRule="auto"/>
        <w:ind w:firstLine="420" w:firstLineChars="200"/>
        <w:jc w:val="right"/>
        <w:rPr>
          <w:rFonts w:ascii="宋体" w:hAnsi="宋体"/>
          <w:color w:val="000000" w:themeColor="text1"/>
          <w:szCs w:val="2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0D602488">
      <w:pPr>
        <w:spacing w:line="360" w:lineRule="auto"/>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八、企业概况表</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4"/>
        <w:gridCol w:w="1604"/>
        <w:gridCol w:w="1605"/>
        <w:gridCol w:w="1605"/>
        <w:gridCol w:w="1605"/>
        <w:gridCol w:w="1605"/>
      </w:tblGrid>
      <w:tr w14:paraId="73594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noWrap w:val="0"/>
            <w:vAlign w:val="center"/>
          </w:tcPr>
          <w:p w14:paraId="5BA94BD2">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企业注册名称</w:t>
            </w:r>
          </w:p>
        </w:tc>
        <w:tc>
          <w:tcPr>
            <w:tcW w:w="3209" w:type="dxa"/>
            <w:gridSpan w:val="2"/>
            <w:noWrap w:val="0"/>
            <w:vAlign w:val="center"/>
          </w:tcPr>
          <w:p w14:paraId="2DEF8964">
            <w:pPr>
              <w:spacing w:line="360" w:lineRule="auto"/>
              <w:jc w:val="center"/>
              <w:rPr>
                <w:rFonts w:ascii="宋体" w:hAnsi="宋体"/>
                <w:color w:val="000000" w:themeColor="text1"/>
                <w:szCs w:val="21"/>
                <w:highlight w:val="none"/>
                <w14:textFill>
                  <w14:solidFill>
                    <w14:schemeClr w14:val="tx1"/>
                  </w14:solidFill>
                </w14:textFill>
              </w:rPr>
            </w:pPr>
          </w:p>
        </w:tc>
        <w:tc>
          <w:tcPr>
            <w:tcW w:w="1605" w:type="dxa"/>
            <w:noWrap w:val="0"/>
            <w:vAlign w:val="center"/>
          </w:tcPr>
          <w:p w14:paraId="23C357D5">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注册资金</w:t>
            </w:r>
          </w:p>
        </w:tc>
        <w:tc>
          <w:tcPr>
            <w:tcW w:w="3210" w:type="dxa"/>
            <w:gridSpan w:val="2"/>
            <w:noWrap w:val="0"/>
            <w:vAlign w:val="center"/>
          </w:tcPr>
          <w:p w14:paraId="44C08B2A">
            <w:pPr>
              <w:spacing w:line="360" w:lineRule="auto"/>
              <w:jc w:val="center"/>
              <w:rPr>
                <w:rFonts w:ascii="宋体" w:hAnsi="宋体"/>
                <w:color w:val="000000" w:themeColor="text1"/>
                <w:szCs w:val="21"/>
                <w:highlight w:val="none"/>
                <w14:textFill>
                  <w14:solidFill>
                    <w14:schemeClr w14:val="tx1"/>
                  </w14:solidFill>
                </w14:textFill>
              </w:rPr>
            </w:pPr>
          </w:p>
        </w:tc>
      </w:tr>
      <w:tr w14:paraId="4741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noWrap w:val="0"/>
            <w:vAlign w:val="center"/>
          </w:tcPr>
          <w:p w14:paraId="6F8F8743">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注册地址</w:t>
            </w:r>
          </w:p>
        </w:tc>
        <w:tc>
          <w:tcPr>
            <w:tcW w:w="8024" w:type="dxa"/>
            <w:gridSpan w:val="5"/>
            <w:noWrap w:val="0"/>
            <w:vAlign w:val="center"/>
          </w:tcPr>
          <w:p w14:paraId="1034DCC6">
            <w:pPr>
              <w:spacing w:line="360" w:lineRule="auto"/>
              <w:jc w:val="center"/>
              <w:rPr>
                <w:rFonts w:ascii="宋体" w:hAnsi="宋体"/>
                <w:color w:val="000000" w:themeColor="text1"/>
                <w:szCs w:val="21"/>
                <w:highlight w:val="none"/>
                <w14:textFill>
                  <w14:solidFill>
                    <w14:schemeClr w14:val="tx1"/>
                  </w14:solidFill>
                </w14:textFill>
              </w:rPr>
            </w:pPr>
          </w:p>
        </w:tc>
      </w:tr>
      <w:tr w14:paraId="3629E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noWrap w:val="0"/>
            <w:vAlign w:val="center"/>
          </w:tcPr>
          <w:p w14:paraId="2B08BC8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联系人姓名</w:t>
            </w:r>
          </w:p>
        </w:tc>
        <w:tc>
          <w:tcPr>
            <w:tcW w:w="1604" w:type="dxa"/>
            <w:noWrap w:val="0"/>
            <w:vAlign w:val="center"/>
          </w:tcPr>
          <w:p w14:paraId="3A1E4733">
            <w:pPr>
              <w:spacing w:line="360" w:lineRule="auto"/>
              <w:jc w:val="center"/>
              <w:rPr>
                <w:rFonts w:ascii="宋体" w:hAnsi="宋体"/>
                <w:color w:val="000000" w:themeColor="text1"/>
                <w:szCs w:val="21"/>
                <w:highlight w:val="none"/>
                <w14:textFill>
                  <w14:solidFill>
                    <w14:schemeClr w14:val="tx1"/>
                  </w14:solidFill>
                </w14:textFill>
              </w:rPr>
            </w:pPr>
          </w:p>
        </w:tc>
        <w:tc>
          <w:tcPr>
            <w:tcW w:w="1605" w:type="dxa"/>
            <w:noWrap w:val="0"/>
            <w:vAlign w:val="center"/>
          </w:tcPr>
          <w:p w14:paraId="49CE16E5">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电话</w:t>
            </w:r>
          </w:p>
        </w:tc>
        <w:tc>
          <w:tcPr>
            <w:tcW w:w="1605" w:type="dxa"/>
            <w:noWrap w:val="0"/>
            <w:vAlign w:val="center"/>
          </w:tcPr>
          <w:p w14:paraId="2E4E0B7D">
            <w:pPr>
              <w:spacing w:line="360" w:lineRule="auto"/>
              <w:jc w:val="center"/>
              <w:rPr>
                <w:rFonts w:ascii="宋体" w:hAnsi="宋体"/>
                <w:color w:val="000000" w:themeColor="text1"/>
                <w:szCs w:val="21"/>
                <w:highlight w:val="none"/>
                <w14:textFill>
                  <w14:solidFill>
                    <w14:schemeClr w14:val="tx1"/>
                  </w14:solidFill>
                </w14:textFill>
              </w:rPr>
            </w:pPr>
          </w:p>
        </w:tc>
        <w:tc>
          <w:tcPr>
            <w:tcW w:w="1605" w:type="dxa"/>
            <w:noWrap w:val="0"/>
            <w:vAlign w:val="center"/>
          </w:tcPr>
          <w:p w14:paraId="753D1966">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企业性质</w:t>
            </w:r>
          </w:p>
        </w:tc>
        <w:tc>
          <w:tcPr>
            <w:tcW w:w="1605" w:type="dxa"/>
            <w:noWrap w:val="0"/>
            <w:vAlign w:val="center"/>
          </w:tcPr>
          <w:p w14:paraId="5C168898">
            <w:pPr>
              <w:spacing w:line="360" w:lineRule="auto"/>
              <w:jc w:val="center"/>
              <w:rPr>
                <w:rFonts w:ascii="宋体" w:hAnsi="宋体"/>
                <w:color w:val="000000" w:themeColor="text1"/>
                <w:szCs w:val="21"/>
                <w:highlight w:val="none"/>
                <w14:textFill>
                  <w14:solidFill>
                    <w14:schemeClr w14:val="tx1"/>
                  </w14:solidFill>
                </w14:textFill>
              </w:rPr>
            </w:pPr>
          </w:p>
        </w:tc>
      </w:tr>
      <w:tr w14:paraId="1606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noWrap w:val="0"/>
            <w:vAlign w:val="center"/>
          </w:tcPr>
          <w:p w14:paraId="4743C854">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法人代表姓名</w:t>
            </w:r>
          </w:p>
        </w:tc>
        <w:tc>
          <w:tcPr>
            <w:tcW w:w="1604" w:type="dxa"/>
            <w:noWrap w:val="0"/>
            <w:vAlign w:val="center"/>
          </w:tcPr>
          <w:p w14:paraId="1B272E09">
            <w:pPr>
              <w:spacing w:line="360" w:lineRule="auto"/>
              <w:jc w:val="center"/>
              <w:rPr>
                <w:rFonts w:ascii="宋体" w:hAnsi="宋体"/>
                <w:color w:val="000000" w:themeColor="text1"/>
                <w:szCs w:val="21"/>
                <w:highlight w:val="none"/>
                <w14:textFill>
                  <w14:solidFill>
                    <w14:schemeClr w14:val="tx1"/>
                  </w14:solidFill>
                </w14:textFill>
              </w:rPr>
            </w:pPr>
          </w:p>
        </w:tc>
        <w:tc>
          <w:tcPr>
            <w:tcW w:w="1605" w:type="dxa"/>
            <w:noWrap w:val="0"/>
            <w:vAlign w:val="center"/>
          </w:tcPr>
          <w:p w14:paraId="3823110F">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技术职称</w:t>
            </w:r>
          </w:p>
        </w:tc>
        <w:tc>
          <w:tcPr>
            <w:tcW w:w="1605" w:type="dxa"/>
            <w:noWrap w:val="0"/>
            <w:vAlign w:val="center"/>
          </w:tcPr>
          <w:p w14:paraId="43652C7D">
            <w:pPr>
              <w:spacing w:line="360" w:lineRule="auto"/>
              <w:jc w:val="center"/>
              <w:rPr>
                <w:rFonts w:ascii="宋体" w:hAnsi="宋体"/>
                <w:color w:val="000000" w:themeColor="text1"/>
                <w:szCs w:val="21"/>
                <w:highlight w:val="none"/>
                <w14:textFill>
                  <w14:solidFill>
                    <w14:schemeClr w14:val="tx1"/>
                  </w14:solidFill>
                </w14:textFill>
              </w:rPr>
            </w:pPr>
          </w:p>
        </w:tc>
        <w:tc>
          <w:tcPr>
            <w:tcW w:w="1605" w:type="dxa"/>
            <w:noWrap w:val="0"/>
            <w:vAlign w:val="center"/>
          </w:tcPr>
          <w:p w14:paraId="3C6CC5B9">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p>
        </w:tc>
        <w:tc>
          <w:tcPr>
            <w:tcW w:w="1605" w:type="dxa"/>
            <w:noWrap w:val="0"/>
            <w:vAlign w:val="center"/>
          </w:tcPr>
          <w:p w14:paraId="7AAC3618">
            <w:pPr>
              <w:spacing w:line="360" w:lineRule="auto"/>
              <w:jc w:val="center"/>
              <w:rPr>
                <w:rFonts w:ascii="宋体" w:hAnsi="宋体"/>
                <w:color w:val="000000" w:themeColor="text1"/>
                <w:szCs w:val="21"/>
                <w:highlight w:val="none"/>
                <w14:textFill>
                  <w14:solidFill>
                    <w14:schemeClr w14:val="tx1"/>
                  </w14:solidFill>
                </w14:textFill>
              </w:rPr>
            </w:pPr>
          </w:p>
        </w:tc>
      </w:tr>
      <w:tr w14:paraId="52580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noWrap w:val="0"/>
            <w:vAlign w:val="center"/>
          </w:tcPr>
          <w:p w14:paraId="2C9A45F7">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技术负责人姓名</w:t>
            </w:r>
          </w:p>
        </w:tc>
        <w:tc>
          <w:tcPr>
            <w:tcW w:w="1604" w:type="dxa"/>
            <w:noWrap w:val="0"/>
            <w:vAlign w:val="center"/>
          </w:tcPr>
          <w:p w14:paraId="49FBA865">
            <w:pPr>
              <w:spacing w:line="360" w:lineRule="auto"/>
              <w:jc w:val="center"/>
              <w:rPr>
                <w:rFonts w:ascii="宋体" w:hAnsi="宋体"/>
                <w:color w:val="000000" w:themeColor="text1"/>
                <w:szCs w:val="21"/>
                <w:highlight w:val="none"/>
                <w14:textFill>
                  <w14:solidFill>
                    <w14:schemeClr w14:val="tx1"/>
                  </w14:solidFill>
                </w14:textFill>
              </w:rPr>
            </w:pPr>
          </w:p>
        </w:tc>
        <w:tc>
          <w:tcPr>
            <w:tcW w:w="1605" w:type="dxa"/>
            <w:noWrap w:val="0"/>
            <w:vAlign w:val="center"/>
          </w:tcPr>
          <w:p w14:paraId="53CA1B6F">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技术职称</w:t>
            </w:r>
          </w:p>
        </w:tc>
        <w:tc>
          <w:tcPr>
            <w:tcW w:w="1605" w:type="dxa"/>
            <w:noWrap w:val="0"/>
            <w:vAlign w:val="center"/>
          </w:tcPr>
          <w:p w14:paraId="5ADA6C49">
            <w:pPr>
              <w:spacing w:line="360" w:lineRule="auto"/>
              <w:jc w:val="center"/>
              <w:rPr>
                <w:rFonts w:ascii="宋体" w:hAnsi="宋体"/>
                <w:color w:val="000000" w:themeColor="text1"/>
                <w:szCs w:val="21"/>
                <w:highlight w:val="none"/>
                <w14:textFill>
                  <w14:solidFill>
                    <w14:schemeClr w14:val="tx1"/>
                  </w14:solidFill>
                </w14:textFill>
              </w:rPr>
            </w:pPr>
          </w:p>
        </w:tc>
        <w:tc>
          <w:tcPr>
            <w:tcW w:w="1605" w:type="dxa"/>
            <w:noWrap w:val="0"/>
            <w:vAlign w:val="center"/>
          </w:tcPr>
          <w:p w14:paraId="2DCE2B5C">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p>
        </w:tc>
        <w:tc>
          <w:tcPr>
            <w:tcW w:w="1605" w:type="dxa"/>
            <w:noWrap w:val="0"/>
            <w:vAlign w:val="center"/>
          </w:tcPr>
          <w:p w14:paraId="512A701C">
            <w:pPr>
              <w:spacing w:line="360" w:lineRule="auto"/>
              <w:jc w:val="center"/>
              <w:rPr>
                <w:rFonts w:ascii="宋体" w:hAnsi="宋体"/>
                <w:color w:val="000000" w:themeColor="text1"/>
                <w:szCs w:val="21"/>
                <w:highlight w:val="none"/>
                <w14:textFill>
                  <w14:solidFill>
                    <w14:schemeClr w14:val="tx1"/>
                  </w14:solidFill>
                </w14:textFill>
              </w:rPr>
            </w:pPr>
          </w:p>
        </w:tc>
      </w:tr>
      <w:tr w14:paraId="0461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noWrap w:val="0"/>
            <w:vAlign w:val="center"/>
          </w:tcPr>
          <w:p w14:paraId="65135CAE">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企业资质等级</w:t>
            </w:r>
          </w:p>
        </w:tc>
        <w:tc>
          <w:tcPr>
            <w:tcW w:w="3209" w:type="dxa"/>
            <w:gridSpan w:val="2"/>
            <w:noWrap w:val="0"/>
            <w:vAlign w:val="center"/>
          </w:tcPr>
          <w:p w14:paraId="585F9768">
            <w:pPr>
              <w:spacing w:line="360" w:lineRule="auto"/>
              <w:jc w:val="center"/>
              <w:rPr>
                <w:rFonts w:ascii="宋体" w:hAnsi="宋体"/>
                <w:color w:val="000000" w:themeColor="text1"/>
                <w:szCs w:val="21"/>
                <w:highlight w:val="none"/>
                <w14:textFill>
                  <w14:solidFill>
                    <w14:schemeClr w14:val="tx1"/>
                  </w14:solidFill>
                </w14:textFill>
              </w:rPr>
            </w:pPr>
          </w:p>
        </w:tc>
        <w:tc>
          <w:tcPr>
            <w:tcW w:w="1605" w:type="dxa"/>
            <w:noWrap w:val="0"/>
            <w:vAlign w:val="center"/>
          </w:tcPr>
          <w:p w14:paraId="43DDB507">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证号</w:t>
            </w:r>
          </w:p>
        </w:tc>
        <w:tc>
          <w:tcPr>
            <w:tcW w:w="3210" w:type="dxa"/>
            <w:gridSpan w:val="2"/>
            <w:noWrap w:val="0"/>
            <w:vAlign w:val="center"/>
          </w:tcPr>
          <w:p w14:paraId="2ED4487B">
            <w:pPr>
              <w:spacing w:line="360" w:lineRule="auto"/>
              <w:jc w:val="center"/>
              <w:rPr>
                <w:rFonts w:ascii="宋体" w:hAnsi="宋体"/>
                <w:color w:val="000000" w:themeColor="text1"/>
                <w:szCs w:val="21"/>
                <w:highlight w:val="none"/>
                <w14:textFill>
                  <w14:solidFill>
                    <w14:schemeClr w14:val="tx1"/>
                  </w14:solidFill>
                </w14:textFill>
              </w:rPr>
            </w:pPr>
          </w:p>
        </w:tc>
      </w:tr>
      <w:tr w14:paraId="245B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noWrap w:val="0"/>
            <w:vAlign w:val="center"/>
          </w:tcPr>
          <w:p w14:paraId="18B2FB94">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安全生产许可证号</w:t>
            </w:r>
          </w:p>
        </w:tc>
        <w:tc>
          <w:tcPr>
            <w:tcW w:w="8024" w:type="dxa"/>
            <w:gridSpan w:val="5"/>
            <w:noWrap w:val="0"/>
            <w:vAlign w:val="center"/>
          </w:tcPr>
          <w:p w14:paraId="1F2332DE">
            <w:pPr>
              <w:spacing w:line="360" w:lineRule="auto"/>
              <w:jc w:val="center"/>
              <w:rPr>
                <w:rFonts w:ascii="宋体" w:hAnsi="宋体"/>
                <w:color w:val="000000" w:themeColor="text1"/>
                <w:szCs w:val="21"/>
                <w:highlight w:val="none"/>
                <w14:textFill>
                  <w14:solidFill>
                    <w14:schemeClr w14:val="tx1"/>
                  </w14:solidFill>
                </w14:textFill>
              </w:rPr>
            </w:pPr>
          </w:p>
        </w:tc>
      </w:tr>
      <w:tr w14:paraId="58C6C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noWrap w:val="0"/>
            <w:vAlign w:val="center"/>
          </w:tcPr>
          <w:p w14:paraId="4A792745">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上级主管部门</w:t>
            </w:r>
          </w:p>
        </w:tc>
        <w:tc>
          <w:tcPr>
            <w:tcW w:w="8024" w:type="dxa"/>
            <w:gridSpan w:val="5"/>
            <w:noWrap w:val="0"/>
            <w:vAlign w:val="center"/>
          </w:tcPr>
          <w:p w14:paraId="634AF9CE">
            <w:pPr>
              <w:spacing w:line="360" w:lineRule="auto"/>
              <w:jc w:val="center"/>
              <w:rPr>
                <w:rFonts w:ascii="宋体" w:hAnsi="宋体"/>
                <w:color w:val="000000" w:themeColor="text1"/>
                <w:szCs w:val="21"/>
                <w:highlight w:val="none"/>
                <w14:textFill>
                  <w14:solidFill>
                    <w14:schemeClr w14:val="tx1"/>
                  </w14:solidFill>
                </w14:textFill>
              </w:rPr>
            </w:pPr>
          </w:p>
        </w:tc>
      </w:tr>
      <w:tr w14:paraId="49809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noWrap w:val="0"/>
            <w:vAlign w:val="center"/>
          </w:tcPr>
          <w:p w14:paraId="34B298E6">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员工总人数</w:t>
            </w:r>
          </w:p>
        </w:tc>
        <w:tc>
          <w:tcPr>
            <w:tcW w:w="8024" w:type="dxa"/>
            <w:gridSpan w:val="5"/>
            <w:noWrap w:val="0"/>
            <w:vAlign w:val="center"/>
          </w:tcPr>
          <w:p w14:paraId="5F1B1485">
            <w:pPr>
              <w:spacing w:line="360" w:lineRule="auto"/>
              <w:jc w:val="center"/>
              <w:rPr>
                <w:rFonts w:ascii="宋体" w:hAnsi="宋体"/>
                <w:color w:val="000000" w:themeColor="text1"/>
                <w:szCs w:val="21"/>
                <w:highlight w:val="none"/>
                <w14:textFill>
                  <w14:solidFill>
                    <w14:schemeClr w14:val="tx1"/>
                  </w14:solidFill>
                </w14:textFill>
              </w:rPr>
            </w:pPr>
          </w:p>
        </w:tc>
      </w:tr>
      <w:tr w14:paraId="50901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noWrap w:val="0"/>
            <w:vAlign w:val="center"/>
          </w:tcPr>
          <w:p w14:paraId="2EFE25E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注册建造师人数</w:t>
            </w:r>
          </w:p>
        </w:tc>
        <w:tc>
          <w:tcPr>
            <w:tcW w:w="8024" w:type="dxa"/>
            <w:gridSpan w:val="5"/>
            <w:noWrap w:val="0"/>
            <w:vAlign w:val="center"/>
          </w:tcPr>
          <w:p w14:paraId="7B2B8F34">
            <w:pPr>
              <w:spacing w:line="360" w:lineRule="auto"/>
              <w:jc w:val="center"/>
              <w:rPr>
                <w:rFonts w:ascii="宋体" w:hAnsi="宋体"/>
                <w:color w:val="000000" w:themeColor="text1"/>
                <w:szCs w:val="21"/>
                <w:highlight w:val="none"/>
                <w14:textFill>
                  <w14:solidFill>
                    <w14:schemeClr w14:val="tx1"/>
                  </w14:solidFill>
                </w14:textFill>
              </w:rPr>
            </w:pPr>
          </w:p>
        </w:tc>
      </w:tr>
      <w:tr w14:paraId="57ADB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noWrap w:val="0"/>
            <w:vAlign w:val="center"/>
          </w:tcPr>
          <w:p w14:paraId="2229BC23">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高级职称人数</w:t>
            </w:r>
          </w:p>
        </w:tc>
        <w:tc>
          <w:tcPr>
            <w:tcW w:w="8024" w:type="dxa"/>
            <w:gridSpan w:val="5"/>
            <w:noWrap w:val="0"/>
            <w:vAlign w:val="center"/>
          </w:tcPr>
          <w:p w14:paraId="067354A0">
            <w:pPr>
              <w:spacing w:line="360" w:lineRule="auto"/>
              <w:jc w:val="center"/>
              <w:rPr>
                <w:rFonts w:ascii="宋体" w:hAnsi="宋体"/>
                <w:color w:val="000000" w:themeColor="text1"/>
                <w:szCs w:val="21"/>
                <w:highlight w:val="none"/>
                <w14:textFill>
                  <w14:solidFill>
                    <w14:schemeClr w14:val="tx1"/>
                  </w14:solidFill>
                </w14:textFill>
              </w:rPr>
            </w:pPr>
          </w:p>
        </w:tc>
      </w:tr>
      <w:tr w14:paraId="07F2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noWrap w:val="0"/>
            <w:vAlign w:val="center"/>
          </w:tcPr>
          <w:p w14:paraId="3E071314">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中级职称人数</w:t>
            </w:r>
          </w:p>
        </w:tc>
        <w:tc>
          <w:tcPr>
            <w:tcW w:w="8024" w:type="dxa"/>
            <w:gridSpan w:val="5"/>
            <w:noWrap w:val="0"/>
            <w:vAlign w:val="center"/>
          </w:tcPr>
          <w:p w14:paraId="68DC6333">
            <w:pPr>
              <w:spacing w:line="360" w:lineRule="auto"/>
              <w:jc w:val="center"/>
              <w:rPr>
                <w:rFonts w:ascii="宋体" w:hAnsi="宋体"/>
                <w:color w:val="000000" w:themeColor="text1"/>
                <w:szCs w:val="21"/>
                <w:highlight w:val="none"/>
                <w14:textFill>
                  <w14:solidFill>
                    <w14:schemeClr w14:val="tx1"/>
                  </w14:solidFill>
                </w14:textFill>
              </w:rPr>
            </w:pPr>
          </w:p>
        </w:tc>
      </w:tr>
      <w:tr w14:paraId="0CB26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noWrap w:val="0"/>
            <w:vAlign w:val="center"/>
          </w:tcPr>
          <w:p w14:paraId="35E43C8F">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初级职称人数</w:t>
            </w:r>
          </w:p>
        </w:tc>
        <w:tc>
          <w:tcPr>
            <w:tcW w:w="8024" w:type="dxa"/>
            <w:gridSpan w:val="5"/>
            <w:noWrap w:val="0"/>
            <w:vAlign w:val="center"/>
          </w:tcPr>
          <w:p w14:paraId="056760A3">
            <w:pPr>
              <w:spacing w:line="360" w:lineRule="auto"/>
              <w:jc w:val="center"/>
              <w:rPr>
                <w:rFonts w:ascii="宋体" w:hAnsi="宋体"/>
                <w:color w:val="000000" w:themeColor="text1"/>
                <w:szCs w:val="21"/>
                <w:highlight w:val="none"/>
                <w14:textFill>
                  <w14:solidFill>
                    <w14:schemeClr w14:val="tx1"/>
                  </w14:solidFill>
                </w14:textFill>
              </w:rPr>
            </w:pPr>
          </w:p>
        </w:tc>
      </w:tr>
      <w:tr w14:paraId="160A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noWrap w:val="0"/>
            <w:vAlign w:val="center"/>
          </w:tcPr>
          <w:p w14:paraId="02D67E68">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经营范围</w:t>
            </w:r>
          </w:p>
        </w:tc>
        <w:tc>
          <w:tcPr>
            <w:tcW w:w="8024" w:type="dxa"/>
            <w:gridSpan w:val="5"/>
            <w:noWrap w:val="0"/>
            <w:vAlign w:val="center"/>
          </w:tcPr>
          <w:p w14:paraId="312AA85D">
            <w:pPr>
              <w:spacing w:line="360" w:lineRule="auto"/>
              <w:jc w:val="center"/>
              <w:rPr>
                <w:rFonts w:ascii="宋体" w:hAnsi="宋体"/>
                <w:color w:val="000000" w:themeColor="text1"/>
                <w:szCs w:val="21"/>
                <w:highlight w:val="none"/>
                <w14:textFill>
                  <w14:solidFill>
                    <w14:schemeClr w14:val="tx1"/>
                  </w14:solidFill>
                </w14:textFill>
              </w:rPr>
            </w:pPr>
          </w:p>
        </w:tc>
      </w:tr>
      <w:tr w14:paraId="0D2C9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noWrap w:val="0"/>
            <w:vAlign w:val="center"/>
          </w:tcPr>
          <w:p w14:paraId="14F1FCF2">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企业简介</w:t>
            </w:r>
          </w:p>
        </w:tc>
        <w:tc>
          <w:tcPr>
            <w:tcW w:w="8024" w:type="dxa"/>
            <w:gridSpan w:val="5"/>
            <w:noWrap w:val="0"/>
            <w:vAlign w:val="center"/>
          </w:tcPr>
          <w:p w14:paraId="25968688">
            <w:pPr>
              <w:spacing w:line="360" w:lineRule="auto"/>
              <w:jc w:val="center"/>
              <w:rPr>
                <w:rFonts w:ascii="宋体" w:hAnsi="宋体"/>
                <w:color w:val="000000" w:themeColor="text1"/>
                <w:szCs w:val="21"/>
                <w:highlight w:val="none"/>
                <w14:textFill>
                  <w14:solidFill>
                    <w14:schemeClr w14:val="tx1"/>
                  </w14:solidFill>
                </w14:textFill>
              </w:rPr>
            </w:pPr>
          </w:p>
        </w:tc>
      </w:tr>
    </w:tbl>
    <w:p w14:paraId="7CA2AC70">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67AC791C">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07A6B746">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6CB8ED31">
      <w:pPr>
        <w:spacing w:line="360" w:lineRule="auto"/>
        <w:ind w:firstLine="420" w:firstLineChars="200"/>
        <w:rPr>
          <w:rFonts w:ascii="宋体" w:hAnsi="宋体"/>
          <w:color w:val="000000" w:themeColor="text1"/>
          <w:szCs w:val="2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2717D7F0">
      <w:pPr>
        <w:spacing w:line="360" w:lineRule="auto"/>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九、施工组织设计</w:t>
      </w:r>
    </w:p>
    <w:p w14:paraId="0A43F62F">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（格式自拟）</w:t>
      </w:r>
    </w:p>
    <w:p w14:paraId="1D0C0613">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4600B13C">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66ED07FE">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6EE98940">
      <w:pPr>
        <w:spacing w:line="360" w:lineRule="auto"/>
        <w:ind w:firstLine="420" w:firstLineChars="200"/>
        <w:rPr>
          <w:rFonts w:ascii="宋体" w:hAnsi="宋体"/>
          <w:color w:val="000000" w:themeColor="text1"/>
          <w:szCs w:val="2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505AD1D9">
      <w:pPr>
        <w:spacing w:line="360" w:lineRule="auto"/>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十、项目管理机构</w:t>
      </w:r>
    </w:p>
    <w:p w14:paraId="5AFA2C10">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（格式自拟）</w:t>
      </w:r>
    </w:p>
    <w:p w14:paraId="10B1E882">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CA5FABE">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17412BCE">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10B475C1">
      <w:pPr>
        <w:spacing w:line="360" w:lineRule="auto"/>
        <w:ind w:firstLine="420" w:firstLineChars="200"/>
        <w:rPr>
          <w:rFonts w:ascii="宋体" w:hAnsi="宋体"/>
          <w:color w:val="000000" w:themeColor="text1"/>
          <w:szCs w:val="2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40DD0CA2">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十一、建设工程项目管理承诺书（格式）</w:t>
      </w:r>
    </w:p>
    <w:p w14:paraId="118B3F1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致</w:t>
      </w:r>
      <w:r>
        <w:rPr>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（采购单位名称）：</w:t>
      </w:r>
    </w:p>
    <w:p w14:paraId="0B4523C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如我公司在贵单位的</w:t>
      </w:r>
      <w:r>
        <w:rPr>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成交，我方在此向采购人承诺：</w:t>
      </w:r>
    </w:p>
    <w:p w14:paraId="21E037D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898F2E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0CCE8C1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一旦成交，我方保证严格执行《危险性较大的分部分项工程安全管理规定》（中华人民共和国住房和城乡建设部令第37号）的规定，强化对深基坑、高切坡、高大模板、人工挖孔桩、起重吊装、临时活动板房等重大危险源的专项施工方案的编制、论证、审批、实施、检测的风险管理。</w:t>
      </w:r>
    </w:p>
    <w:p w14:paraId="6D21DE22">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19E04E29">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6EDF28B9">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法定代表人或授权代理人：</w:t>
      </w:r>
      <w:r>
        <w:rPr>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（签字或盖章）</w:t>
      </w:r>
    </w:p>
    <w:p w14:paraId="3E2C5410">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65D404F8">
      <w:pPr>
        <w:spacing w:line="360" w:lineRule="auto"/>
        <w:ind w:firstLine="420" w:firstLineChars="200"/>
        <w:rPr>
          <w:rFonts w:ascii="宋体" w:hAnsi="宋体"/>
          <w:color w:val="000000" w:themeColor="text1"/>
          <w:szCs w:val="2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3FDEA122">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（十二）建筑材料和设备节能环保要求承诺书</w:t>
      </w:r>
    </w:p>
    <w:p w14:paraId="6FC285F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我方承诺，一旦成交，我方保证严格执行《财政部 国家发展改革委关于印发《节能产品政府采购实施意见》的通知》（财库〔2004〕185号）、《财政部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如我方在该项目的承包中出现未按规定执行的情形，我方愿意按照相关规定接受采购人及有关行政主管部门的处罚，愿意承担一切后果，并不再寻求任何旨在减轻或者免除法律责任的辩解。</w:t>
      </w:r>
    </w:p>
    <w:p w14:paraId="0223D2B1">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7BF468AA">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法定代表人或授权代理人：</w:t>
      </w:r>
      <w:r>
        <w:rPr>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（签字或盖章）</w:t>
      </w:r>
    </w:p>
    <w:p w14:paraId="00A4B106">
      <w:pPr>
        <w:wordWrap w:val="0"/>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14:paraId="1A5156BA">
      <w:pPr>
        <w:spacing w:line="360" w:lineRule="auto"/>
        <w:ind w:firstLine="643" w:firstLineChars="200"/>
        <w:rPr>
          <w:rFonts w:ascii="宋体" w:hAnsi="宋体"/>
          <w:b/>
          <w:color w:val="000000" w:themeColor="text1"/>
          <w:sz w:val="32"/>
          <w:szCs w:val="32"/>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78371AC2">
      <w:pPr>
        <w:spacing w:line="360" w:lineRule="auto"/>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十三、供应商认为需要提供的其他有关资料</w:t>
      </w:r>
    </w:p>
    <w:p w14:paraId="0B25CB9A">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0CF8674F">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04EFC665">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1892FF41">
      <w:pPr>
        <w:jc w:val="center"/>
        <w:rPr>
          <w:color w:val="000000" w:themeColor="text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7197AC41">
      <w:pPr>
        <w:keepNext/>
        <w:keepLines/>
        <w:spacing w:before="260" w:after="260" w:line="416" w:lineRule="auto"/>
        <w:jc w:val="center"/>
        <w:outlineLvl w:val="1"/>
        <w:rPr>
          <w:rFonts w:ascii="Calibri Light" w:hAnsi="Calibri Light"/>
          <w:b/>
          <w:bCs/>
          <w:color w:val="000000" w:themeColor="text1"/>
          <w:sz w:val="32"/>
          <w:szCs w:val="32"/>
          <w:highlight w:val="none"/>
          <w14:textFill>
            <w14:solidFill>
              <w14:schemeClr w14:val="tx1"/>
            </w14:solidFill>
          </w14:textFill>
        </w:rPr>
      </w:pPr>
      <w:bookmarkStart w:id="161" w:name="_Toc217642148"/>
      <w:bookmarkStart w:id="162" w:name="_Toc1079"/>
      <w:r>
        <w:rPr>
          <w:rFonts w:hint="eastAsia" w:ascii="Calibri Light" w:hAnsi="Calibri Light"/>
          <w:b/>
          <w:bCs/>
          <w:color w:val="000000" w:themeColor="text1"/>
          <w:sz w:val="32"/>
          <w:szCs w:val="32"/>
          <w:highlight w:val="none"/>
          <w14:textFill>
            <w14:solidFill>
              <w14:schemeClr w14:val="tx1"/>
            </w14:solidFill>
          </w14:textFill>
        </w:rPr>
        <w:t>第四</w:t>
      </w:r>
      <w:r>
        <w:rPr>
          <w:rFonts w:hint="eastAsia" w:ascii="Calibri Light" w:hAnsi="Calibri Light"/>
          <w:b/>
          <w:bCs/>
          <w:color w:val="000000" w:themeColor="text1"/>
          <w:spacing w:val="120"/>
          <w:sz w:val="32"/>
          <w:szCs w:val="32"/>
          <w:highlight w:val="none"/>
          <w14:textFill>
            <w14:solidFill>
              <w14:schemeClr w14:val="tx1"/>
            </w14:solidFill>
          </w14:textFill>
        </w:rPr>
        <w:t>节</w:t>
      </w:r>
      <w:r>
        <w:rPr>
          <w:rFonts w:hint="eastAsia" w:ascii="Calibri Light" w:hAnsi="Calibri Light"/>
          <w:b/>
          <w:bCs/>
          <w:color w:val="000000" w:themeColor="text1"/>
          <w:sz w:val="32"/>
          <w:szCs w:val="32"/>
          <w:highlight w:val="none"/>
          <w14:textFill>
            <w14:solidFill>
              <w14:schemeClr w14:val="tx1"/>
            </w14:solidFill>
          </w14:textFill>
        </w:rPr>
        <w:t>报价文件格式</w:t>
      </w:r>
      <w:bookmarkEnd w:id="161"/>
      <w:bookmarkEnd w:id="162"/>
    </w:p>
    <w:p w14:paraId="1A5BC24E">
      <w:pPr>
        <w:spacing w:line="360" w:lineRule="auto"/>
        <w:ind w:firstLine="640" w:firstLineChars="200"/>
        <w:jc w:val="right"/>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全流程电子文件</w:t>
      </w:r>
    </w:p>
    <w:p w14:paraId="0488EEDD">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204D45D6">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96F0E76">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35AF9E69">
      <w:pPr>
        <w:spacing w:line="360" w:lineRule="auto"/>
        <w:jc w:val="center"/>
        <w:rPr>
          <w:rFonts w:ascii="宋体" w:hAnsi="宋体"/>
          <w:b/>
          <w:color w:val="000000" w:themeColor="text1"/>
          <w:sz w:val="84"/>
          <w:szCs w:val="84"/>
          <w:highlight w:val="none"/>
          <w14:textFill>
            <w14:solidFill>
              <w14:schemeClr w14:val="tx1"/>
            </w14:solidFill>
          </w14:textFill>
        </w:rPr>
      </w:pPr>
      <w:r>
        <w:rPr>
          <w:rFonts w:hint="eastAsia" w:ascii="宋体" w:hAnsi="宋体"/>
          <w:b/>
          <w:color w:val="000000" w:themeColor="text1"/>
          <w:sz w:val="84"/>
          <w:szCs w:val="84"/>
          <w:highlight w:val="none"/>
          <w14:textFill>
            <w14:solidFill>
              <w14:schemeClr w14:val="tx1"/>
            </w14:solidFill>
          </w14:textFill>
        </w:rPr>
        <w:t>报价文件（封面）</w:t>
      </w:r>
    </w:p>
    <w:p w14:paraId="4AC816BB">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114E7031">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24770854">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AAA2403">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6AB37B3A">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735868E2">
      <w:pPr>
        <w:spacing w:line="360" w:lineRule="auto"/>
        <w:ind w:firstLine="640" w:firstLineChars="200"/>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项目名称：[项目采购-项目名称]</w:t>
      </w:r>
    </w:p>
    <w:p w14:paraId="366CA461">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0CDA64AF">
      <w:pPr>
        <w:spacing w:line="360" w:lineRule="auto"/>
        <w:ind w:firstLine="640" w:firstLineChars="200"/>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项目编号：[项目采购-项目编号]</w:t>
      </w:r>
    </w:p>
    <w:p w14:paraId="26751934">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2C5949FC">
      <w:pPr>
        <w:spacing w:line="360" w:lineRule="auto"/>
        <w:ind w:firstLine="640" w:firstLineChars="200"/>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所竞分标（如有则填写，无分标时填写“无”或者留空）：</w:t>
      </w:r>
    </w:p>
    <w:p w14:paraId="312E4861">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25D6237C">
      <w:pPr>
        <w:spacing w:line="360" w:lineRule="auto"/>
        <w:ind w:firstLine="640" w:firstLineChars="200"/>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供应商名称：</w:t>
      </w:r>
    </w:p>
    <w:p w14:paraId="1B98B27B">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233E3B73">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48297E46">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44024068">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 w:val="32"/>
          <w:szCs w:val="32"/>
          <w:highlight w:val="none"/>
          <w14:textFill>
            <w14:solidFill>
              <w14:schemeClr w14:val="tx1"/>
            </w14:solidFill>
          </w14:textFill>
        </w:rPr>
        <w:t>___</w:t>
      </w:r>
      <w:r>
        <w:rPr>
          <w:rFonts w:hint="eastAsia" w:ascii="宋体" w:hAnsi="宋体"/>
          <w:color w:val="000000" w:themeColor="text1"/>
          <w:sz w:val="32"/>
          <w:szCs w:val="32"/>
          <w:highlight w:val="none"/>
          <w14:textFill>
            <w14:solidFill>
              <w14:schemeClr w14:val="tx1"/>
            </w14:solidFill>
          </w14:textFill>
        </w:rPr>
        <w:t>年</w:t>
      </w:r>
      <w:r>
        <w:rPr>
          <w:rFonts w:ascii="宋体" w:hAnsi="宋体"/>
          <w:color w:val="000000" w:themeColor="text1"/>
          <w:sz w:val="32"/>
          <w:szCs w:val="32"/>
          <w:highlight w:val="none"/>
          <w14:textFill>
            <w14:solidFill>
              <w14:schemeClr w14:val="tx1"/>
            </w14:solidFill>
          </w14:textFill>
        </w:rPr>
        <w:t>___</w:t>
      </w:r>
      <w:r>
        <w:rPr>
          <w:rFonts w:hint="eastAsia" w:ascii="宋体" w:hAnsi="宋体"/>
          <w:color w:val="000000" w:themeColor="text1"/>
          <w:sz w:val="32"/>
          <w:szCs w:val="32"/>
          <w:highlight w:val="none"/>
          <w14:textFill>
            <w14:solidFill>
              <w14:schemeClr w14:val="tx1"/>
            </w14:solidFill>
          </w14:textFill>
        </w:rPr>
        <w:t>月</w:t>
      </w:r>
      <w:r>
        <w:rPr>
          <w:rFonts w:ascii="宋体" w:hAnsi="宋体"/>
          <w:color w:val="000000" w:themeColor="text1"/>
          <w:sz w:val="32"/>
          <w:szCs w:val="32"/>
          <w:highlight w:val="none"/>
          <w14:textFill>
            <w14:solidFill>
              <w14:schemeClr w14:val="tx1"/>
            </w14:solidFill>
          </w14:textFill>
        </w:rPr>
        <w:t>___</w:t>
      </w:r>
      <w:r>
        <w:rPr>
          <w:rFonts w:hint="eastAsia" w:ascii="宋体" w:hAnsi="宋体"/>
          <w:color w:val="000000" w:themeColor="text1"/>
          <w:sz w:val="32"/>
          <w:szCs w:val="32"/>
          <w:highlight w:val="none"/>
          <w14:textFill>
            <w14:solidFill>
              <w14:schemeClr w14:val="tx1"/>
            </w14:solidFill>
          </w14:textFill>
        </w:rPr>
        <w:t>日</w:t>
      </w:r>
    </w:p>
    <w:p w14:paraId="5186C6AE">
      <w:pPr>
        <w:spacing w:line="360" w:lineRule="auto"/>
        <w:ind w:firstLine="420" w:firstLineChars="200"/>
        <w:rPr>
          <w:rFonts w:ascii="宋体" w:hAnsi="宋体"/>
          <w:color w:val="000000" w:themeColor="text1"/>
          <w:szCs w:val="2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5F372B24">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报价文件目录</w:t>
      </w:r>
    </w:p>
    <w:p w14:paraId="27516CE2">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6B31AE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一、响应函……………………………………………………………………………………………………（页码）</w:t>
      </w:r>
    </w:p>
    <w:p w14:paraId="126303F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二、响应报价表………………………………………………………………………………………………（页码）</w:t>
      </w:r>
    </w:p>
    <w:p w14:paraId="7A42ADA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三、已标价工程量清单………………………………………………………………………………………（页码）</w:t>
      </w:r>
    </w:p>
    <w:p w14:paraId="33707F85">
      <w:pPr>
        <w:spacing w:line="360" w:lineRule="auto"/>
        <w:ind w:firstLine="643" w:firstLineChars="200"/>
        <w:rPr>
          <w:rFonts w:ascii="宋体" w:hAnsi="宋体"/>
          <w:b/>
          <w:color w:val="000000" w:themeColor="text1"/>
          <w:sz w:val="32"/>
          <w:szCs w:val="32"/>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4505BEA0">
      <w:pPr>
        <w:spacing w:line="360" w:lineRule="auto"/>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一、响应函</w:t>
      </w:r>
    </w:p>
    <w:p w14:paraId="256311FD">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响应函</w:t>
      </w:r>
    </w:p>
    <w:p w14:paraId="556ADE5E">
      <w:pPr>
        <w:spacing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致：</w:t>
      </w:r>
      <w:r>
        <w:rPr>
          <w:rFonts w:hint="eastAsia" w:ascii="宋体" w:hAnsi="宋体"/>
          <w:color w:val="000000" w:themeColor="text1"/>
          <w:szCs w:val="21"/>
          <w:highlight w:val="none"/>
          <w:u w:val="single"/>
          <w14:textFill>
            <w14:solidFill>
              <w14:schemeClr w14:val="tx1"/>
            </w14:solidFill>
          </w14:textFill>
        </w:rPr>
        <w:t>[采购组织机构]</w:t>
      </w:r>
    </w:p>
    <w:p w14:paraId="5754333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我方已仔细阅读了贵方组织的</w:t>
      </w:r>
      <w:r>
        <w:rPr>
          <w:rFonts w:hint="eastAsia" w:ascii="宋体" w:hAnsi="宋体"/>
          <w:color w:val="000000" w:themeColor="text1"/>
          <w:szCs w:val="21"/>
          <w:highlight w:val="none"/>
          <w:u w:val="single"/>
          <w14:textFill>
            <w14:solidFill>
              <w14:schemeClr w14:val="tx1"/>
            </w14:solidFill>
          </w14:textFill>
        </w:rPr>
        <w:t>[项目名称]</w:t>
      </w:r>
      <w:r>
        <w:rPr>
          <w:rFonts w:hint="eastAsia" w:ascii="宋体" w:hAnsi="宋体"/>
          <w:color w:val="000000" w:themeColor="text1"/>
          <w:szCs w:val="21"/>
          <w:highlight w:val="none"/>
          <w14:textFill>
            <w14:solidFill>
              <w14:schemeClr w14:val="tx1"/>
            </w14:solidFill>
          </w14:textFill>
        </w:rPr>
        <w:t>项目（项目编号：</w:t>
      </w:r>
      <w:r>
        <w:rPr>
          <w:rFonts w:hint="eastAsia" w:ascii="宋体" w:hAnsi="宋体"/>
          <w:color w:val="000000" w:themeColor="text1"/>
          <w:szCs w:val="21"/>
          <w:highlight w:val="none"/>
          <w:u w:val="single"/>
          <w14:textFill>
            <w14:solidFill>
              <w14:schemeClr w14:val="tx1"/>
            </w14:solidFill>
          </w14:textFill>
        </w:rPr>
        <w:t>[项目编号]</w:t>
      </w:r>
      <w:r>
        <w:rPr>
          <w:rFonts w:hint="eastAsia" w:hAnsi="宋体" w:cs="宋体"/>
          <w:color w:val="000000" w:themeColor="text1"/>
          <w:sz w:val="21"/>
          <w:szCs w:val="21"/>
          <w:highlight w:val="none"/>
          <w:u w:val="single"/>
          <w:lang w:eastAsia="zh-CN"/>
          <w14:textFill>
            <w14:solidFill>
              <w14:schemeClr w14:val="tx1"/>
            </w14:solidFill>
          </w14:textFill>
        </w:rPr>
        <w:t>，</w:t>
      </w:r>
      <w:r>
        <w:rPr>
          <w:rFonts w:hint="eastAsia" w:hAnsi="宋体" w:cs="宋体"/>
          <w:color w:val="000000" w:themeColor="text1"/>
          <w:sz w:val="21"/>
          <w:szCs w:val="21"/>
          <w:highlight w:val="none"/>
          <w:u w:val="single"/>
          <w:lang w:val="en-US" w:eastAsia="zh-CN"/>
          <w14:textFill>
            <w14:solidFill>
              <w14:schemeClr w14:val="tx1"/>
            </w14:solidFill>
          </w14:textFill>
        </w:rPr>
        <w:t xml:space="preserve">分标号：   </w:t>
      </w:r>
      <w:r>
        <w:rPr>
          <w:rFonts w:hint="eastAsia" w:ascii="宋体" w:hAnsi="宋体"/>
          <w:color w:val="000000" w:themeColor="text1"/>
          <w:szCs w:val="21"/>
          <w:highlight w:val="none"/>
          <w14:textFill>
            <w14:solidFill>
              <w14:schemeClr w14:val="tx1"/>
            </w14:solidFill>
          </w14:textFill>
        </w:rPr>
        <w:t>）的竞争性谈判采购文件的全部内容，现正式递交下述文件参加贵方组织的本次政府采购活动：</w:t>
      </w:r>
    </w:p>
    <w:p w14:paraId="630B2A3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一、首次报价文件电子版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份（包含按“第三章供应商须知”提交的全部文件）；</w:t>
      </w:r>
    </w:p>
    <w:p w14:paraId="45BA1E6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二、技术文件电子版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份（包含按“第三章供应商须知”提交的全部文件）；商务文件电子版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份（包含按“第三章供应商须知”提交的全部文件）；（商务技术文件已合并装订成册）；</w:t>
      </w:r>
    </w:p>
    <w:p w14:paraId="6944DCD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三、资格证明文件电子版（包含按“第三章供应商须知”提交的全部文件）；</w:t>
      </w:r>
    </w:p>
    <w:p w14:paraId="56A5156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据此函，签字人兹宣布：</w:t>
      </w:r>
    </w:p>
    <w:p w14:paraId="6A89A503">
      <w:pPr>
        <w:numPr>
          <w:ilvl w:val="0"/>
          <w:numId w:val="3"/>
        </w:numPr>
        <w:spacing w:line="360" w:lineRule="auto"/>
        <w:ind w:firstLine="420" w:firstLineChars="200"/>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我方愿意以（大写）人民币</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元）的竞争性谈判报价，合同履行期限：工期：</w:t>
      </w:r>
      <w:r>
        <w:rPr>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，提供本项目竞争性谈判采购文件第二章“采购需求一览表”中相应的采购内容。</w:t>
      </w:r>
    </w:p>
    <w:p w14:paraId="205C693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2、我方同意自本项目竞争性谈判采购文件采购公告规定的递交响应文件截止时间起遵循本响应函，并承诺在“第三章供应商须知”规定的响应有效期内不修改、撤销响应文件。</w:t>
      </w:r>
    </w:p>
    <w:p w14:paraId="4649B35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3、我方在此声明，所递交的响应文件及有关资料内容完整、真实和准确。</w:t>
      </w:r>
    </w:p>
    <w:p w14:paraId="7BD55E2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4、如本项目采购内容涉及须符合国家强制规定的，我方承诺我方本次竞标均符合国家有关强制规定。</w:t>
      </w:r>
    </w:p>
    <w:p w14:paraId="32C6EC3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如我方成交，我方承诺在收到成交通知书后，在成交通知书规定的期限内，根据竞争性谈判采购文件、我方的响应文件及有关澄清承诺书的要求按第六章“合同文本”与采购人订立书面合同，并按照合同约定承担完成合同的责任和义务。</w:t>
      </w:r>
    </w:p>
    <w:p w14:paraId="36FE115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6、我方已详细审核竞争性谈判采购文件，我方知道必须放弃提出含糊不清或误解问题的权利。</w:t>
      </w:r>
    </w:p>
    <w:p w14:paraId="0FAA047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7、我方承诺满足竞争性谈判采购文件第六章“合同文本”的条款，承担完成合同的责任和义务。</w:t>
      </w:r>
    </w:p>
    <w:p w14:paraId="72FCC1B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8、我方同意应贵方要求提供与本竞标有关的任何数据或资料。若贵方需要，我方愿意提供我方作出的一切承诺的证明材料。</w:t>
      </w:r>
    </w:p>
    <w:p w14:paraId="1D57952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9、我方完全理解贵方不一定接受响应报价最低的竞标人为成交供应商的行为。</w:t>
      </w:r>
    </w:p>
    <w:p w14:paraId="7AAC448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278FAC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（1）提供虚假材料谋取中标、成交的；</w:t>
      </w:r>
    </w:p>
    <w:p w14:paraId="6AE7B82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（2）采取不正当手段诋毁、排挤其他供应商的；</w:t>
      </w:r>
    </w:p>
    <w:p w14:paraId="20C51E1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（3）与采购人、其他供应商或者采购代理机构恶意串通的；</w:t>
      </w:r>
    </w:p>
    <w:p w14:paraId="5BBF079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（4）向采购人、采购代理机构行贿或者提供其他不正当利益的；</w:t>
      </w:r>
    </w:p>
    <w:p w14:paraId="444252F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（5）在采购过程中与采购人进行协商谈判的；</w:t>
      </w:r>
    </w:p>
    <w:p w14:paraId="7F63E87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（6）拒绝有关部门监督检查或提供虚假情况的。</w:t>
      </w:r>
    </w:p>
    <w:p w14:paraId="011BBF8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11.与本谈判有关的一切正式往来信函请寄：</w:t>
      </w:r>
    </w:p>
    <w:p w14:paraId="0A96615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r>
        <w:rPr>
          <w:color w:val="000000" w:themeColor="text1"/>
          <w:szCs w:val="21"/>
          <w:highlight w:val="none"/>
          <w14:textFill>
            <w14:solidFill>
              <w14:schemeClr w14:val="tx1"/>
            </w14:solidFill>
          </w14:textFill>
        </w:rPr>
        <w:t>__________________________________________________________________________________</w:t>
      </w:r>
    </w:p>
    <w:p w14:paraId="0344C99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电话：</w:t>
      </w:r>
      <w:r>
        <w:rPr>
          <w:color w:val="000000" w:themeColor="text1"/>
          <w:szCs w:val="21"/>
          <w:highlight w:val="none"/>
          <w14:textFill>
            <w14:solidFill>
              <w14:schemeClr w14:val="tx1"/>
            </w14:solidFill>
          </w14:textFill>
        </w:rPr>
        <w:t>__________________________________________________________________________________</w:t>
      </w:r>
    </w:p>
    <w:p w14:paraId="34B00FC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传真：</w:t>
      </w:r>
      <w:r>
        <w:rPr>
          <w:color w:val="000000" w:themeColor="text1"/>
          <w:szCs w:val="21"/>
          <w:highlight w:val="none"/>
          <w14:textFill>
            <w14:solidFill>
              <w14:schemeClr w14:val="tx1"/>
            </w14:solidFill>
          </w14:textFill>
        </w:rPr>
        <w:t>__________________________________________________________________________________</w:t>
      </w:r>
    </w:p>
    <w:p w14:paraId="4C52D8E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r>
        <w:rPr>
          <w:color w:val="000000" w:themeColor="text1"/>
          <w:szCs w:val="21"/>
          <w:highlight w:val="none"/>
          <w14:textFill>
            <w14:solidFill>
              <w14:schemeClr w14:val="tx1"/>
            </w14:solidFill>
          </w14:textFill>
        </w:rPr>
        <w:t>______________________________________________________________________________</w:t>
      </w:r>
    </w:p>
    <w:p w14:paraId="2532888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开户名称：</w:t>
      </w:r>
      <w:r>
        <w:rPr>
          <w:color w:val="000000" w:themeColor="text1"/>
          <w:szCs w:val="21"/>
          <w:highlight w:val="none"/>
          <w14:textFill>
            <w14:solidFill>
              <w14:schemeClr w14:val="tx1"/>
            </w14:solidFill>
          </w14:textFill>
        </w:rPr>
        <w:t>______________________________________________________________________________</w:t>
      </w:r>
    </w:p>
    <w:p w14:paraId="6B01CF4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开户银行：</w:t>
      </w:r>
      <w:r>
        <w:rPr>
          <w:color w:val="000000" w:themeColor="text1"/>
          <w:szCs w:val="21"/>
          <w:highlight w:val="none"/>
          <w14:textFill>
            <w14:solidFill>
              <w14:schemeClr w14:val="tx1"/>
            </w14:solidFill>
          </w14:textFill>
        </w:rPr>
        <w:t>______________________________________________________________________________</w:t>
      </w:r>
    </w:p>
    <w:p w14:paraId="053CFCB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银行账号：</w:t>
      </w:r>
      <w:r>
        <w:rPr>
          <w:color w:val="000000" w:themeColor="text1"/>
          <w:szCs w:val="21"/>
          <w:highlight w:val="none"/>
          <w14:textFill>
            <w14:solidFill>
              <w14:schemeClr w14:val="tx1"/>
            </w14:solidFill>
          </w14:textFill>
        </w:rPr>
        <w:t>______________________________________________________________________________</w:t>
      </w:r>
    </w:p>
    <w:p w14:paraId="09E3A44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特此承诺。</w:t>
      </w:r>
    </w:p>
    <w:p w14:paraId="6FFB59AF">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66BA5C3E">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08AF2934">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0D148C1A">
      <w:pPr>
        <w:spacing w:line="360" w:lineRule="auto"/>
        <w:ind w:firstLine="643" w:firstLineChars="200"/>
        <w:rPr>
          <w:rFonts w:ascii="宋体" w:hAnsi="宋体"/>
          <w:b/>
          <w:color w:val="000000" w:themeColor="text1"/>
          <w:sz w:val="32"/>
          <w:szCs w:val="32"/>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5A39E4AB">
      <w:pPr>
        <w:spacing w:line="360" w:lineRule="auto"/>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二、响应报价表</w:t>
      </w:r>
    </w:p>
    <w:p w14:paraId="1979B45A">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color w:val="000000" w:themeColor="text1"/>
          <w:szCs w:val="21"/>
          <w:highlight w:val="none"/>
          <w:u w:val="single"/>
          <w14:textFill>
            <w14:solidFill>
              <w14:schemeClr w14:val="tx1"/>
            </w14:solidFill>
          </w14:textFill>
        </w:rPr>
        <w:t>[项目名称]</w:t>
      </w:r>
      <w:r>
        <w:rPr>
          <w:rFonts w:hint="eastAsia" w:ascii="宋体" w:hAnsi="宋体"/>
          <w:color w:val="000000" w:themeColor="text1"/>
          <w:szCs w:val="21"/>
          <w:highlight w:val="none"/>
          <w14:textFill>
            <w14:solidFill>
              <w14:schemeClr w14:val="tx1"/>
            </w14:solidFill>
          </w14:textFill>
        </w:rPr>
        <w:t>项目编号：</w:t>
      </w:r>
      <w:r>
        <w:rPr>
          <w:rFonts w:hint="eastAsia" w:ascii="宋体" w:hAnsi="宋体"/>
          <w:color w:val="000000" w:themeColor="text1"/>
          <w:szCs w:val="21"/>
          <w:highlight w:val="none"/>
          <w:u w:val="single"/>
          <w14:textFill>
            <w14:solidFill>
              <w14:schemeClr w14:val="tx1"/>
            </w14:solidFill>
          </w14:textFill>
        </w:rPr>
        <w:t>[项目编号]</w:t>
      </w:r>
    </w:p>
    <w:p w14:paraId="0D74B15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分标：</w:t>
      </w:r>
      <w:r>
        <w:rPr>
          <w:color w:val="000000" w:themeColor="text1"/>
          <w:szCs w:val="21"/>
          <w:highlight w:val="none"/>
          <w14:textFill>
            <w14:solidFill>
              <w14:schemeClr w14:val="tx1"/>
            </w14:solidFill>
          </w14:textFill>
        </w:rPr>
        <w:t>_________</w:t>
      </w:r>
    </w:p>
    <w:p w14:paraId="76B8E39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w:t>
      </w:r>
      <w:r>
        <w:rPr>
          <w:color w:val="000000" w:themeColor="text1"/>
          <w:szCs w:val="21"/>
          <w:highlight w:val="none"/>
          <w14:textFill>
            <w14:solidFill>
              <w14:schemeClr w14:val="tx1"/>
            </w14:solidFill>
          </w14:textFill>
        </w:rPr>
        <w:t>_________</w:t>
      </w:r>
    </w:p>
    <w:tbl>
      <w:tblPr>
        <w:tblStyle w:val="35"/>
        <w:tblW w:w="43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2927"/>
        <w:gridCol w:w="1018"/>
        <w:gridCol w:w="1742"/>
        <w:gridCol w:w="2140"/>
      </w:tblGrid>
      <w:tr w14:paraId="14ED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pct"/>
            <w:noWrap w:val="0"/>
            <w:vAlign w:val="center"/>
          </w:tcPr>
          <w:p w14:paraId="5BAB6956">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序号</w:t>
            </w:r>
          </w:p>
        </w:tc>
        <w:tc>
          <w:tcPr>
            <w:tcW w:w="1714" w:type="pct"/>
            <w:noWrap w:val="0"/>
            <w:vAlign w:val="center"/>
          </w:tcPr>
          <w:p w14:paraId="1F5F9063">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标的的名称</w:t>
            </w:r>
          </w:p>
        </w:tc>
        <w:tc>
          <w:tcPr>
            <w:tcW w:w="596" w:type="pct"/>
            <w:noWrap w:val="0"/>
            <w:vAlign w:val="center"/>
          </w:tcPr>
          <w:p w14:paraId="6F53E1F4">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数量及单位</w:t>
            </w:r>
          </w:p>
        </w:tc>
        <w:tc>
          <w:tcPr>
            <w:tcW w:w="1020" w:type="pct"/>
            <w:noWrap w:val="0"/>
            <w:vAlign w:val="center"/>
          </w:tcPr>
          <w:p w14:paraId="098886E6">
            <w:pPr>
              <w:jc w:val="center"/>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总报价（元）</w:t>
            </w:r>
          </w:p>
        </w:tc>
        <w:tc>
          <w:tcPr>
            <w:tcW w:w="1252" w:type="pct"/>
            <w:noWrap w:val="0"/>
            <w:vAlign w:val="center"/>
          </w:tcPr>
          <w:p w14:paraId="2D6FE06D">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备注</w:t>
            </w:r>
          </w:p>
        </w:tc>
      </w:tr>
      <w:tr w14:paraId="097C4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pct"/>
            <w:noWrap w:val="0"/>
            <w:vAlign w:val="center"/>
          </w:tcPr>
          <w:p w14:paraId="5983FCE3">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714" w:type="pct"/>
            <w:noWrap w:val="0"/>
            <w:vAlign w:val="center"/>
          </w:tcPr>
          <w:p w14:paraId="0DD28420">
            <w:pPr>
              <w:jc w:val="center"/>
              <w:rPr>
                <w:rFonts w:hint="eastAsia" w:ascii="宋体" w:hAnsi="宋体" w:eastAsia="宋体"/>
                <w:color w:val="000000" w:themeColor="text1"/>
                <w:szCs w:val="21"/>
                <w:highlight w:val="none"/>
                <w:lang w:eastAsia="zh-CN"/>
                <w14:textFill>
                  <w14:solidFill>
                    <w14:schemeClr w14:val="tx1"/>
                  </w14:solidFill>
                </w14:textFill>
              </w:rPr>
            </w:pPr>
          </w:p>
        </w:tc>
        <w:tc>
          <w:tcPr>
            <w:tcW w:w="596" w:type="pct"/>
            <w:noWrap w:val="0"/>
            <w:vAlign w:val="center"/>
          </w:tcPr>
          <w:p w14:paraId="554889A8">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1项</w:t>
            </w:r>
          </w:p>
        </w:tc>
        <w:tc>
          <w:tcPr>
            <w:tcW w:w="1020" w:type="pct"/>
            <w:noWrap w:val="0"/>
            <w:vAlign w:val="center"/>
          </w:tcPr>
          <w:p w14:paraId="63F3FB5F">
            <w:pPr>
              <w:jc w:val="center"/>
              <w:rPr>
                <w:rFonts w:ascii="宋体" w:hAnsi="宋体"/>
                <w:color w:val="000000" w:themeColor="text1"/>
                <w:szCs w:val="21"/>
                <w:highlight w:val="none"/>
                <w14:textFill>
                  <w14:solidFill>
                    <w14:schemeClr w14:val="tx1"/>
                  </w14:solidFill>
                </w14:textFill>
              </w:rPr>
            </w:pPr>
          </w:p>
        </w:tc>
        <w:tc>
          <w:tcPr>
            <w:tcW w:w="1252" w:type="pct"/>
            <w:noWrap w:val="0"/>
            <w:vAlign w:val="center"/>
          </w:tcPr>
          <w:p w14:paraId="11A3E613">
            <w:pPr>
              <w:jc w:val="center"/>
              <w:rPr>
                <w:rFonts w:ascii="宋体" w:hAnsi="宋体"/>
                <w:color w:val="000000" w:themeColor="text1"/>
                <w:szCs w:val="21"/>
                <w:highlight w:val="none"/>
                <w14:textFill>
                  <w14:solidFill>
                    <w14:schemeClr w14:val="tx1"/>
                  </w14:solidFill>
                </w14:textFill>
              </w:rPr>
            </w:pPr>
            <w:r>
              <w:rPr>
                <w:rStyle w:val="42"/>
                <w:rFonts w:hint="eastAsia"/>
                <w:color w:val="000000" w:themeColor="text1"/>
                <w:highlight w:val="none"/>
                <w:lang w:val="en-US" w:eastAsia="zh-CN"/>
                <w14:textFill>
                  <w14:solidFill>
                    <w14:schemeClr w14:val="tx1"/>
                  </w14:solidFill>
                </w14:textFill>
              </w:rPr>
              <w:t>细分项目及报价详见</w:t>
            </w:r>
            <w:r>
              <w:rPr>
                <w:rStyle w:val="42"/>
                <w:rFonts w:hint="eastAsia"/>
                <w:color w:val="000000" w:themeColor="text1"/>
                <w:highlight w:val="none"/>
                <w14:textFill>
                  <w14:solidFill>
                    <w14:schemeClr w14:val="tx1"/>
                  </w14:solidFill>
                </w14:textFill>
              </w:rPr>
              <w:t>已标价的工程量清单报价文件</w:t>
            </w:r>
          </w:p>
        </w:tc>
      </w:tr>
      <w:tr w14:paraId="334F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5"/>
            <w:noWrap w:val="0"/>
            <w:vAlign w:val="center"/>
          </w:tcPr>
          <w:p w14:paraId="0174E394">
            <w:pPr>
              <w:jc w:val="center"/>
              <w:rPr>
                <w:rStyle w:val="42"/>
                <w:rFonts w:hint="eastAsia"/>
                <w:color w:val="000000" w:themeColor="text1"/>
                <w:highlight w:val="non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报价合计（包含税费等所有费用）：（大写）人民币             （¥        元）</w:t>
            </w:r>
          </w:p>
        </w:tc>
      </w:tr>
      <w:tr w14:paraId="1DC8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8" w:type="dxa"/>
            <w:gridSpan w:val="5"/>
            <w:noWrap w:val="0"/>
            <w:vAlign w:val="center"/>
          </w:tcPr>
          <w:p w14:paraId="7DE6482A">
            <w:pPr>
              <w:rPr>
                <w:rStyle w:val="42"/>
                <w:rFonts w:hint="eastAsia"/>
                <w:color w:val="000000" w:themeColor="text1"/>
                <w:highlight w:val="non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合同履行期限（工期）：</w:t>
            </w:r>
          </w:p>
        </w:tc>
      </w:tr>
      <w:tr w14:paraId="13BD9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38" w:type="dxa"/>
            <w:gridSpan w:val="5"/>
            <w:noWrap w:val="0"/>
            <w:vAlign w:val="center"/>
          </w:tcPr>
          <w:p w14:paraId="4DC950FC">
            <w:pPr>
              <w:rPr>
                <w:rStyle w:val="42"/>
                <w:rFonts w:hint="eastAsia"/>
                <w:color w:val="000000" w:themeColor="text1"/>
                <w:highlight w:val="non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验收标准、规范：</w:t>
            </w:r>
          </w:p>
        </w:tc>
      </w:tr>
    </w:tbl>
    <w:p w14:paraId="2CD9237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w:t>
      </w:r>
    </w:p>
    <w:p w14:paraId="65AC47A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1、供应商需按本表格式填写，不得自行更改，也不得留空，如有多分标，按分标分别提供响应报价表。</w:t>
      </w:r>
    </w:p>
    <w:p w14:paraId="36557D0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2、如为联合体响应的，“供应商名称”处必须列明联合体各方名称，并标注联合体牵头人名称，且盖章处须加盖联合体各方公章，</w:t>
      </w:r>
      <w:r>
        <w:rPr>
          <w:rFonts w:hint="eastAsia" w:ascii="宋体" w:hAnsi="宋体"/>
          <w:b/>
          <w:color w:val="000000" w:themeColor="text1"/>
          <w:szCs w:val="21"/>
          <w:highlight w:val="none"/>
          <w14:textFill>
            <w14:solidFill>
              <w14:schemeClr w14:val="tx1"/>
            </w14:solidFill>
          </w14:textFill>
        </w:rPr>
        <w:t>否则其响应作无效响应处理</w:t>
      </w:r>
      <w:r>
        <w:rPr>
          <w:rFonts w:hint="eastAsia" w:ascii="宋体" w:hAnsi="宋体"/>
          <w:color w:val="000000" w:themeColor="text1"/>
          <w:szCs w:val="21"/>
          <w:highlight w:val="none"/>
          <w14:textFill>
            <w14:solidFill>
              <w14:schemeClr w14:val="tx1"/>
            </w14:solidFill>
          </w14:textFill>
        </w:rPr>
        <w:t>。</w:t>
      </w:r>
    </w:p>
    <w:p w14:paraId="05E6610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3、以上表格要求细分项目及报价</w:t>
      </w:r>
      <w:r>
        <w:rPr>
          <w:rFonts w:hint="eastAsia" w:ascii="宋体" w:hAnsi="宋体"/>
          <w:color w:val="000000" w:themeColor="text1"/>
          <w:szCs w:val="21"/>
          <w:highlight w:val="none"/>
          <w:lang w:val="en-US" w:eastAsia="zh-CN"/>
          <w14:textFill>
            <w14:solidFill>
              <w14:schemeClr w14:val="tx1"/>
            </w14:solidFill>
          </w14:textFill>
        </w:rPr>
        <w:t>的</w:t>
      </w:r>
      <w:r>
        <w:rPr>
          <w:rFonts w:hint="eastAsia" w:ascii="宋体" w:hAnsi="宋体"/>
          <w:color w:val="000000" w:themeColor="text1"/>
          <w:szCs w:val="21"/>
          <w:highlight w:val="none"/>
          <w14:textFill>
            <w14:solidFill>
              <w14:schemeClr w14:val="tx1"/>
            </w14:solidFill>
          </w14:textFill>
        </w:rPr>
        <w:t>，在“具体服务内容”一栏中填写。</w:t>
      </w:r>
    </w:p>
    <w:p w14:paraId="60D71B4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4、特别提示：采购机构将对项目名称和项目编号，成交供应商名称、地址和成交金额，主要成交标的的名称、施工范围、施工工期、项目经理、执业证书信息等予以公示。</w:t>
      </w:r>
    </w:p>
    <w:p w14:paraId="412120B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58C7ACF3">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3243D6F0">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214D419C">
      <w:pPr>
        <w:spacing w:line="360" w:lineRule="auto"/>
        <w:ind w:firstLine="643" w:firstLineChars="200"/>
        <w:rPr>
          <w:rFonts w:ascii="宋体" w:hAnsi="宋体"/>
          <w:b/>
          <w:color w:val="000000" w:themeColor="text1"/>
          <w:sz w:val="32"/>
          <w:szCs w:val="32"/>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1137B17F">
      <w:pPr>
        <w:spacing w:line="360" w:lineRule="auto"/>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三、已标价的工程量清单报价文件</w:t>
      </w:r>
    </w:p>
    <w:p w14:paraId="09C09B4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按“工程量清单”中的相关表格及竞标报价说明填写</w:t>
      </w:r>
    </w:p>
    <w:p w14:paraId="76ECD964">
      <w:pPr>
        <w:jc w:val="center"/>
        <w:rPr>
          <w:color w:val="000000" w:themeColor="text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2F258E8C">
      <w:pPr>
        <w:keepNext/>
        <w:keepLines/>
        <w:spacing w:before="260" w:after="260" w:line="416" w:lineRule="auto"/>
        <w:jc w:val="center"/>
        <w:outlineLvl w:val="1"/>
        <w:rPr>
          <w:rFonts w:ascii="Calibri Light" w:hAnsi="Calibri Light"/>
          <w:b/>
          <w:bCs/>
          <w:color w:val="000000" w:themeColor="text1"/>
          <w:sz w:val="32"/>
          <w:szCs w:val="32"/>
          <w:highlight w:val="none"/>
          <w14:textFill>
            <w14:solidFill>
              <w14:schemeClr w14:val="tx1"/>
            </w14:solidFill>
          </w14:textFill>
        </w:rPr>
      </w:pPr>
      <w:bookmarkStart w:id="163" w:name="_Toc217642149"/>
      <w:bookmarkStart w:id="164" w:name="_Toc16028"/>
      <w:r>
        <w:rPr>
          <w:rFonts w:hint="eastAsia" w:ascii="Calibri Light" w:hAnsi="Calibri Light"/>
          <w:b/>
          <w:bCs/>
          <w:color w:val="000000" w:themeColor="text1"/>
          <w:sz w:val="32"/>
          <w:szCs w:val="32"/>
          <w:highlight w:val="none"/>
          <w14:textFill>
            <w14:solidFill>
              <w14:schemeClr w14:val="tx1"/>
            </w14:solidFill>
          </w14:textFill>
        </w:rPr>
        <w:t>第五</w:t>
      </w:r>
      <w:r>
        <w:rPr>
          <w:rFonts w:hint="eastAsia" w:ascii="Calibri Light" w:hAnsi="Calibri Light"/>
          <w:b/>
          <w:bCs/>
          <w:color w:val="000000" w:themeColor="text1"/>
          <w:spacing w:val="120"/>
          <w:sz w:val="32"/>
          <w:szCs w:val="32"/>
          <w:highlight w:val="none"/>
          <w14:textFill>
            <w14:solidFill>
              <w14:schemeClr w14:val="tx1"/>
            </w14:solidFill>
          </w14:textFill>
        </w:rPr>
        <w:t>节</w:t>
      </w:r>
      <w:r>
        <w:rPr>
          <w:rFonts w:hint="eastAsia" w:ascii="Calibri Light" w:hAnsi="Calibri Light"/>
          <w:b/>
          <w:bCs/>
          <w:color w:val="000000" w:themeColor="text1"/>
          <w:sz w:val="32"/>
          <w:szCs w:val="32"/>
          <w:highlight w:val="none"/>
          <w14:textFill>
            <w14:solidFill>
              <w14:schemeClr w14:val="tx1"/>
            </w14:solidFill>
          </w14:textFill>
        </w:rPr>
        <w:t>其他文书、文件格式</w:t>
      </w:r>
      <w:bookmarkEnd w:id="163"/>
      <w:bookmarkEnd w:id="164"/>
    </w:p>
    <w:p w14:paraId="24B359F8">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知识产权合规性声明</w:t>
      </w:r>
    </w:p>
    <w:p w14:paraId="57C634F7">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0DF7595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本企业（单位）自愿参与政府投资政府采购的</w:t>
      </w:r>
      <w:r>
        <w:rPr>
          <w:rFonts w:hint="eastAsia" w:ascii="宋体" w:hAnsi="宋体"/>
          <w:color w:val="000000" w:themeColor="text1"/>
          <w:szCs w:val="21"/>
          <w:highlight w:val="none"/>
          <w:u w:val="single"/>
          <w14:textFill>
            <w14:solidFill>
              <w14:schemeClr w14:val="tx1"/>
            </w14:solidFill>
          </w14:textFill>
        </w:rPr>
        <w:t>[项目名称]</w:t>
      </w:r>
      <w:r>
        <w:rPr>
          <w:rFonts w:hint="eastAsia" w:ascii="宋体" w:hAnsi="宋体"/>
          <w:color w:val="000000" w:themeColor="text1"/>
          <w:szCs w:val="21"/>
          <w:highlight w:val="none"/>
          <w14:textFill>
            <w14:solidFill>
              <w14:schemeClr w14:val="tx1"/>
            </w14:solidFill>
          </w14:textFill>
        </w:rPr>
        <w:t>项目，</w:t>
      </w:r>
      <w:r>
        <w:rPr>
          <w:rFonts w:hint="eastAsia" w:ascii="宋体" w:hAnsi="宋体"/>
          <w:b/>
          <w:color w:val="000000" w:themeColor="text1"/>
          <w:szCs w:val="21"/>
          <w:highlight w:val="none"/>
          <w14:textFill>
            <w14:solidFill>
              <w14:schemeClr w14:val="tx1"/>
            </w14:solidFill>
          </w14:textFill>
        </w:rPr>
        <w:t>在此郑重承诺</w:t>
      </w:r>
      <w:r>
        <w:rPr>
          <w:rFonts w:hint="eastAsia" w:ascii="宋体" w:hAnsi="宋体"/>
          <w:color w:val="000000" w:themeColor="text1"/>
          <w:szCs w:val="21"/>
          <w:highlight w:val="none"/>
          <w14:textFill>
            <w14:solidFill>
              <w14:schemeClr w14:val="tx1"/>
            </w14:solidFill>
          </w14:textFill>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01BB0A54">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579ACA6">
      <w:pPr>
        <w:spacing w:line="360" w:lineRule="auto"/>
        <w:ind w:right="1575" w:rightChars="75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73BB67E4">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w:t>
      </w:r>
      <w:r>
        <w:rPr>
          <w:rFonts w:hint="eastAsia" w:ascii="宋体" w:hAnsi="宋体"/>
          <w:color w:val="000000" w:themeColor="text1"/>
          <w:szCs w:val="21"/>
          <w:highlight w:val="none"/>
          <w14:textFill>
            <w14:solidFill>
              <w14:schemeClr w14:val="tx1"/>
            </w14:solidFill>
          </w14:textFill>
        </w:rPr>
        <w:t>日</w:t>
      </w:r>
    </w:p>
    <w:p w14:paraId="17C7DAD6">
      <w:pPr>
        <w:spacing w:line="360" w:lineRule="auto"/>
        <w:ind w:firstLine="420" w:firstLineChars="200"/>
        <w:jc w:val="right"/>
        <w:rPr>
          <w:rFonts w:ascii="宋体" w:hAnsi="宋体"/>
          <w:color w:val="000000" w:themeColor="text1"/>
          <w:szCs w:val="2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2997198E">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2EAC875C">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3E1EFBFE">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73BAB392">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38A2D5E5">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642EE797">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38C094AE">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49716E1F">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3655AA4D">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454B05E2">
      <w:pPr>
        <w:keepNext/>
        <w:keepLines/>
        <w:spacing w:before="340" w:after="330" w:line="578" w:lineRule="auto"/>
        <w:jc w:val="center"/>
        <w:outlineLvl w:val="0"/>
        <w:rPr>
          <w:rFonts w:hint="eastAsia" w:ascii="Calibri" w:hAnsi="Calibri" w:eastAsia="宋体"/>
          <w:b/>
          <w:bCs/>
          <w:color w:val="000000" w:themeColor="text1"/>
          <w:kern w:val="44"/>
          <w:sz w:val="44"/>
          <w:szCs w:val="44"/>
          <w:highlight w:val="none"/>
          <w:lang w:eastAsia="zh-CN"/>
          <w14:textFill>
            <w14:solidFill>
              <w14:schemeClr w14:val="tx1"/>
            </w14:solidFill>
          </w14:textFill>
        </w:rPr>
      </w:pPr>
      <w:bookmarkStart w:id="165" w:name="_Toc2330"/>
      <w:bookmarkStart w:id="166" w:name="_Toc217642150"/>
      <w:r>
        <w:rPr>
          <w:rFonts w:hint="eastAsia" w:ascii="Calibri" w:hAnsi="Calibri"/>
          <w:b/>
          <w:bCs/>
          <w:color w:val="000000" w:themeColor="text1"/>
          <w:kern w:val="44"/>
          <w:sz w:val="44"/>
          <w:szCs w:val="44"/>
          <w:highlight w:val="none"/>
          <w14:textFill>
            <w14:solidFill>
              <w14:schemeClr w14:val="tx1"/>
            </w14:solidFill>
          </w14:textFill>
        </w:rPr>
        <w:t>第六</w:t>
      </w:r>
      <w:r>
        <w:rPr>
          <w:rFonts w:hint="eastAsia" w:ascii="宋体" w:hAnsi="宋体"/>
          <w:b/>
          <w:bCs/>
          <w:color w:val="000000" w:themeColor="text1"/>
          <w:spacing w:val="120"/>
          <w:kern w:val="44"/>
          <w:sz w:val="44"/>
          <w:szCs w:val="44"/>
          <w:highlight w:val="none"/>
          <w14:textFill>
            <w14:solidFill>
              <w14:schemeClr w14:val="tx1"/>
            </w14:solidFill>
          </w14:textFill>
        </w:rPr>
        <w:t>章</w:t>
      </w:r>
      <w:r>
        <w:rPr>
          <w:rFonts w:hint="eastAsia" w:ascii="Calibri" w:hAnsi="Calibri"/>
          <w:b/>
          <w:bCs/>
          <w:color w:val="000000" w:themeColor="text1"/>
          <w:kern w:val="44"/>
          <w:sz w:val="44"/>
          <w:szCs w:val="44"/>
          <w:highlight w:val="none"/>
          <w14:textFill>
            <w14:solidFill>
              <w14:schemeClr w14:val="tx1"/>
            </w14:solidFill>
          </w14:textFill>
        </w:rPr>
        <w:t>合同文本</w:t>
      </w:r>
      <w:bookmarkEnd w:id="165"/>
      <w:bookmarkEnd w:id="166"/>
    </w:p>
    <w:p w14:paraId="4BB71AFC">
      <w:pPr>
        <w:rPr>
          <w:color w:val="000000" w:themeColor="text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70618E97">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39C380E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“政采云”平台合同编号：</w:t>
      </w:r>
    </w:p>
    <w:p w14:paraId="702902FE">
      <w:pPr>
        <w:spacing w:line="360" w:lineRule="auto"/>
        <w:jc w:val="center"/>
        <w:rPr>
          <w:rFonts w:ascii="宋体" w:hAnsi="宋体"/>
          <w:b/>
          <w:color w:val="000000" w:themeColor="text1"/>
          <w:sz w:val="52"/>
          <w:szCs w:val="52"/>
          <w:highlight w:val="none"/>
          <w14:textFill>
            <w14:solidFill>
              <w14:schemeClr w14:val="tx1"/>
            </w14:solidFill>
          </w14:textFill>
        </w:rPr>
      </w:pPr>
    </w:p>
    <w:p w14:paraId="1A34E8A5">
      <w:pPr>
        <w:spacing w:line="360" w:lineRule="auto"/>
        <w:jc w:val="center"/>
        <w:rPr>
          <w:rFonts w:ascii="宋体" w:hAnsi="宋体"/>
          <w:b/>
          <w:color w:val="000000" w:themeColor="text1"/>
          <w:sz w:val="52"/>
          <w:szCs w:val="52"/>
          <w:highlight w:val="none"/>
          <w14:textFill>
            <w14:solidFill>
              <w14:schemeClr w14:val="tx1"/>
            </w14:solidFill>
          </w14:textFill>
        </w:rPr>
      </w:pPr>
    </w:p>
    <w:p w14:paraId="3048C4AE">
      <w:pPr>
        <w:spacing w:line="360" w:lineRule="auto"/>
        <w:jc w:val="center"/>
        <w:rPr>
          <w:rFonts w:ascii="宋体" w:hAnsi="宋体"/>
          <w:b/>
          <w:color w:val="000000" w:themeColor="text1"/>
          <w:sz w:val="52"/>
          <w:szCs w:val="52"/>
          <w:highlight w:val="none"/>
          <w14:textFill>
            <w14:solidFill>
              <w14:schemeClr w14:val="tx1"/>
            </w14:solidFill>
          </w14:textFill>
        </w:rPr>
      </w:pPr>
      <w:r>
        <w:rPr>
          <w:rFonts w:hint="eastAsia" w:ascii="宋体" w:hAnsi="宋体"/>
          <w:b/>
          <w:color w:val="000000" w:themeColor="text1"/>
          <w:sz w:val="52"/>
          <w:szCs w:val="52"/>
          <w:highlight w:val="none"/>
          <w14:textFill>
            <w14:solidFill>
              <w14:schemeClr w14:val="tx1"/>
            </w14:solidFill>
          </w14:textFill>
        </w:rPr>
        <w:t>南宁市政府采购</w:t>
      </w:r>
    </w:p>
    <w:p w14:paraId="582BCDBD">
      <w:pPr>
        <w:spacing w:line="360" w:lineRule="auto"/>
        <w:ind w:firstLine="422" w:firstLineChars="200"/>
        <w:rPr>
          <w:rFonts w:ascii="宋体" w:hAnsi="宋体"/>
          <w:b/>
          <w:color w:val="000000" w:themeColor="text1"/>
          <w:szCs w:val="21"/>
          <w:highlight w:val="none"/>
          <w14:textFill>
            <w14:solidFill>
              <w14:schemeClr w14:val="tx1"/>
            </w14:solidFill>
          </w14:textFill>
        </w:rPr>
      </w:pPr>
    </w:p>
    <w:p w14:paraId="651C530F">
      <w:pPr>
        <w:spacing w:line="360" w:lineRule="auto"/>
        <w:ind w:firstLine="422" w:firstLineChars="200"/>
        <w:rPr>
          <w:rFonts w:ascii="宋体" w:hAnsi="宋体"/>
          <w:b/>
          <w:color w:val="000000" w:themeColor="text1"/>
          <w:szCs w:val="21"/>
          <w:highlight w:val="none"/>
          <w14:textFill>
            <w14:solidFill>
              <w14:schemeClr w14:val="tx1"/>
            </w14:solidFill>
          </w14:textFill>
        </w:rPr>
      </w:pPr>
    </w:p>
    <w:p w14:paraId="229B25AC">
      <w:pPr>
        <w:spacing w:line="360" w:lineRule="auto"/>
        <w:jc w:val="center"/>
        <w:rPr>
          <w:rFonts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u w:val="single"/>
          <w14:textFill>
            <w14:solidFill>
              <w14:schemeClr w14:val="tx1"/>
            </w14:solidFill>
          </w14:textFill>
        </w:rPr>
        <w:t>[项目名称]</w:t>
      </w:r>
      <w:r>
        <w:rPr>
          <w:rFonts w:hint="eastAsia" w:ascii="宋体" w:hAnsi="宋体"/>
          <w:b/>
          <w:color w:val="000000" w:themeColor="text1"/>
          <w:sz w:val="44"/>
          <w:szCs w:val="44"/>
          <w:highlight w:val="none"/>
          <w14:textFill>
            <w14:solidFill>
              <w14:schemeClr w14:val="tx1"/>
            </w14:solidFill>
          </w14:textFill>
        </w:rPr>
        <w:t>合同</w:t>
      </w:r>
    </w:p>
    <w:p w14:paraId="2A2FCB33">
      <w:pPr>
        <w:spacing w:line="360" w:lineRule="auto"/>
        <w:jc w:val="center"/>
        <w:rPr>
          <w:rFonts w:ascii="宋体" w:hAnsi="宋体"/>
          <w:b/>
          <w:color w:val="000000" w:themeColor="text1"/>
          <w:sz w:val="44"/>
          <w:szCs w:val="44"/>
          <w:highlight w:val="none"/>
          <w:u w:val="single"/>
          <w14:textFill>
            <w14:solidFill>
              <w14:schemeClr w14:val="tx1"/>
            </w14:solidFill>
          </w14:textFill>
        </w:rPr>
      </w:pPr>
    </w:p>
    <w:p w14:paraId="0D3FD49A">
      <w:pPr>
        <w:spacing w:line="360" w:lineRule="auto"/>
        <w:jc w:val="center"/>
        <w:rPr>
          <w:rFonts w:ascii="宋体" w:hAnsi="宋体"/>
          <w:b/>
          <w:color w:val="000000" w:themeColor="text1"/>
          <w:sz w:val="44"/>
          <w:szCs w:val="44"/>
          <w:highlight w:val="none"/>
          <w:u w:val="single"/>
          <w14:textFill>
            <w14:solidFill>
              <w14:schemeClr w14:val="tx1"/>
            </w14:solidFill>
          </w14:textFill>
        </w:rPr>
      </w:pPr>
    </w:p>
    <w:p w14:paraId="3FF3CF2E">
      <w:pPr>
        <w:spacing w:line="360" w:lineRule="auto"/>
        <w:jc w:val="center"/>
        <w:rPr>
          <w:rFonts w:ascii="宋体" w:hAnsi="宋体"/>
          <w:b/>
          <w:color w:val="000000" w:themeColor="text1"/>
          <w:sz w:val="44"/>
          <w:szCs w:val="44"/>
          <w:highlight w:val="none"/>
          <w:u w:val="single"/>
          <w14:textFill>
            <w14:solidFill>
              <w14:schemeClr w14:val="tx1"/>
            </w14:solidFill>
          </w14:textFill>
        </w:rPr>
      </w:pPr>
    </w:p>
    <w:p w14:paraId="7ACE54B5">
      <w:pPr>
        <w:spacing w:line="360" w:lineRule="auto"/>
        <w:jc w:val="center"/>
        <w:rPr>
          <w:rFonts w:ascii="宋体" w:hAnsi="宋体"/>
          <w:b/>
          <w:color w:val="000000" w:themeColor="text1"/>
          <w:sz w:val="44"/>
          <w:szCs w:val="44"/>
          <w:highlight w:val="none"/>
          <w:u w:val="single"/>
          <w14:textFill>
            <w14:solidFill>
              <w14:schemeClr w14:val="tx1"/>
            </w14:solidFill>
          </w14:textFill>
        </w:rPr>
      </w:pPr>
    </w:p>
    <w:p w14:paraId="59A901AC">
      <w:pPr>
        <w:spacing w:line="360" w:lineRule="auto"/>
        <w:ind w:firstLine="723" w:firstLineChars="200"/>
        <w:rPr>
          <w:rFonts w:ascii="宋体" w:hAnsi="宋体"/>
          <w:b/>
          <w:color w:val="000000" w:themeColor="text1"/>
          <w:sz w:val="36"/>
          <w:szCs w:val="36"/>
          <w:highlight w:val="none"/>
          <w:u w:val="singl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项目编号：</w:t>
      </w:r>
    </w:p>
    <w:p w14:paraId="412C48E9">
      <w:pPr>
        <w:spacing w:line="360" w:lineRule="auto"/>
        <w:ind w:firstLine="723" w:firstLineChars="200"/>
        <w:rPr>
          <w:rFonts w:ascii="宋体" w:hAnsi="宋体"/>
          <w:b/>
          <w:color w:val="000000" w:themeColor="text1"/>
          <w:sz w:val="36"/>
          <w:szCs w:val="36"/>
          <w:highlight w:val="none"/>
          <w:u w:val="singl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计划编号：</w:t>
      </w:r>
    </w:p>
    <w:p w14:paraId="1CDD96DD">
      <w:pPr>
        <w:spacing w:line="360" w:lineRule="auto"/>
        <w:ind w:firstLine="723" w:firstLineChars="200"/>
        <w:rPr>
          <w:rFonts w:ascii="宋体" w:hAnsi="宋体"/>
          <w:b/>
          <w:color w:val="000000" w:themeColor="text1"/>
          <w:sz w:val="36"/>
          <w:szCs w:val="36"/>
          <w:highlight w:val="none"/>
          <w14:textFill>
            <w14:solidFill>
              <w14:schemeClr w14:val="tx1"/>
            </w14:solidFill>
          </w14:textFill>
        </w:rPr>
      </w:pPr>
    </w:p>
    <w:p w14:paraId="03C00E57">
      <w:pPr>
        <w:spacing w:line="360" w:lineRule="auto"/>
        <w:ind w:firstLine="723" w:firstLineChars="200"/>
        <w:rPr>
          <w:rFonts w:ascii="宋体" w:hAnsi="宋体"/>
          <w:b/>
          <w:color w:val="000000" w:themeColor="text1"/>
          <w:sz w:val="36"/>
          <w:szCs w:val="36"/>
          <w:highlight w:val="none"/>
          <w:u w:val="singl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采购人：</w:t>
      </w:r>
    </w:p>
    <w:p w14:paraId="3E4019A1">
      <w:pPr>
        <w:spacing w:line="360" w:lineRule="auto"/>
        <w:ind w:firstLine="723" w:firstLineChars="200"/>
        <w:rPr>
          <w:rFonts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lang w:val="en-US" w:eastAsia="zh-CN"/>
          <w14:textFill>
            <w14:solidFill>
              <w14:schemeClr w14:val="tx1"/>
            </w14:solidFill>
          </w14:textFill>
        </w:rPr>
        <w:t>成交</w:t>
      </w:r>
      <w:r>
        <w:rPr>
          <w:rFonts w:hint="eastAsia" w:ascii="宋体" w:hAnsi="宋体"/>
          <w:b/>
          <w:color w:val="000000" w:themeColor="text1"/>
          <w:sz w:val="36"/>
          <w:szCs w:val="36"/>
          <w:highlight w:val="none"/>
          <w14:textFill>
            <w14:solidFill>
              <w14:schemeClr w14:val="tx1"/>
            </w14:solidFill>
          </w14:textFill>
        </w:rPr>
        <w:t>供应商：</w:t>
      </w:r>
    </w:p>
    <w:p w14:paraId="158BCC4D">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7C9445E3">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49616D8F">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7090BB4C">
      <w:pPr>
        <w:spacing w:line="360" w:lineRule="auto"/>
        <w:jc w:val="center"/>
        <w:rPr>
          <w:rFonts w:ascii="宋体" w:hAnsi="宋体"/>
          <w:color w:val="000000" w:themeColor="text1"/>
          <w:sz w:val="24"/>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r>
        <w:rPr>
          <w:rFonts w:hint="eastAsia" w:ascii="宋体" w:hAnsi="宋体"/>
          <w:color w:val="000000" w:themeColor="text1"/>
          <w:sz w:val="24"/>
          <w:highlight w:val="none"/>
          <w14:textFill>
            <w14:solidFill>
              <w14:schemeClr w14:val="tx1"/>
            </w14:solidFill>
          </w14:textFill>
        </w:rPr>
        <w:t>签订日期：</w:t>
      </w:r>
      <w:r>
        <w:rPr>
          <w:rFonts w:hint="eastAsia" w:ascii="宋体" w:hAnsi="宋体"/>
          <w:color w:val="000000" w:themeColor="text1"/>
          <w:szCs w:val="21"/>
          <w:highlight w:val="none"/>
          <w14:textFill>
            <w14:solidFill>
              <w14:schemeClr w14:val="tx1"/>
            </w14:solidFill>
          </w14:textFill>
        </w:rPr>
        <w:t>___</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Cs w:val="21"/>
          <w:highlight w:val="none"/>
          <w14:textFill>
            <w14:solidFill>
              <w14:schemeClr w14:val="tx1"/>
            </w14:solidFill>
          </w14:textFill>
        </w:rPr>
        <w:t>___</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Cs w:val="21"/>
          <w:highlight w:val="none"/>
          <w14:textFill>
            <w14:solidFill>
              <w14:schemeClr w14:val="tx1"/>
            </w14:solidFill>
          </w14:textFill>
        </w:rPr>
        <w:t>___</w:t>
      </w:r>
      <w:r>
        <w:rPr>
          <w:rFonts w:hint="eastAsia" w:ascii="宋体" w:hAnsi="宋体"/>
          <w:color w:val="000000" w:themeColor="text1"/>
          <w:sz w:val="24"/>
          <w:highlight w:val="none"/>
          <w14:textFill>
            <w14:solidFill>
              <w14:schemeClr w14:val="tx1"/>
            </w14:solidFill>
          </w14:textFill>
        </w:rPr>
        <w:t>日</w:t>
      </w:r>
    </w:p>
    <w:p w14:paraId="636A676B">
      <w:pPr>
        <w:keepNext/>
        <w:keepLines/>
        <w:spacing w:before="340" w:after="330" w:line="578" w:lineRule="auto"/>
        <w:jc w:val="center"/>
        <w:outlineLvl w:val="0"/>
        <w:rPr>
          <w:rFonts w:ascii="黑体" w:hAnsi="黑体"/>
          <w:b/>
          <w:bCs/>
          <w:color w:val="000000" w:themeColor="text1"/>
          <w:kern w:val="44"/>
          <w:sz w:val="44"/>
          <w:szCs w:val="44"/>
          <w:highlight w:val="none"/>
          <w14:textFill>
            <w14:solidFill>
              <w14:schemeClr w14:val="tx1"/>
            </w14:solidFill>
          </w14:textFill>
        </w:rPr>
      </w:pPr>
      <w:bookmarkStart w:id="167" w:name="_Toc18445"/>
      <w:bookmarkStart w:id="168" w:name="_Toc217642151"/>
      <w:bookmarkStart w:id="169" w:name="EBf5d8882b67eb450294403d6d9eac2034"/>
      <w:r>
        <w:rPr>
          <w:rFonts w:hint="eastAsia" w:ascii="黑体" w:hAnsi="黑体"/>
          <w:b/>
          <w:bCs/>
          <w:color w:val="000000" w:themeColor="text1"/>
          <w:kern w:val="44"/>
          <w:sz w:val="44"/>
          <w:szCs w:val="44"/>
          <w:highlight w:val="none"/>
          <w14:textFill>
            <w14:solidFill>
              <w14:schemeClr w14:val="tx1"/>
            </w14:solidFill>
          </w14:textFill>
        </w:rPr>
        <w:t xml:space="preserve">第一部分 </w:t>
      </w:r>
      <w:r>
        <w:rPr>
          <w:rFonts w:ascii="黑体" w:hAnsi="黑体"/>
          <w:b/>
          <w:bCs/>
          <w:color w:val="000000" w:themeColor="text1"/>
          <w:kern w:val="44"/>
          <w:sz w:val="44"/>
          <w:szCs w:val="44"/>
          <w:highlight w:val="none"/>
          <w14:textFill>
            <w14:solidFill>
              <w14:schemeClr w14:val="tx1"/>
            </w14:solidFill>
          </w14:textFill>
        </w:rPr>
        <w:t xml:space="preserve"> </w:t>
      </w:r>
      <w:r>
        <w:rPr>
          <w:rFonts w:hint="eastAsia" w:ascii="黑体" w:hAnsi="黑体"/>
          <w:b/>
          <w:bCs/>
          <w:color w:val="000000" w:themeColor="text1"/>
          <w:kern w:val="44"/>
          <w:sz w:val="44"/>
          <w:szCs w:val="44"/>
          <w:highlight w:val="none"/>
          <w14:textFill>
            <w14:solidFill>
              <w14:schemeClr w14:val="tx1"/>
            </w14:solidFill>
          </w14:textFill>
        </w:rPr>
        <w:t>合同协议书</w:t>
      </w:r>
      <w:bookmarkEnd w:id="167"/>
      <w:bookmarkEnd w:id="168"/>
    </w:p>
    <w:p w14:paraId="06EEB721">
      <w:pPr>
        <w:rPr>
          <w:rFonts w:ascii="Calibri" w:hAnsi="Calibri"/>
          <w:color w:val="000000" w:themeColor="text1"/>
          <w:szCs w:val="22"/>
          <w:highlight w:val="none"/>
          <w14:textFill>
            <w14:solidFill>
              <w14:schemeClr w14:val="tx1"/>
            </w14:solidFill>
          </w14:textFill>
        </w:rPr>
      </w:pPr>
    </w:p>
    <w:p w14:paraId="75E2CE96">
      <w:pPr>
        <w:spacing w:line="360" w:lineRule="auto"/>
        <w:ind w:firstLine="420" w:firstLineChars="200"/>
        <w:rPr>
          <w:rFonts w:hint="default" w:ascii="宋体" w:hAnsi="宋体" w:eastAsia="宋体"/>
          <w:color w:val="000000" w:themeColor="text1"/>
          <w:szCs w:val="21"/>
          <w:highlight w:val="none"/>
          <w:u w:val="singl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发包人（全称）：</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single"/>
          <w:lang w:val="en-US" w:eastAsia="zh-CN"/>
          <w14:textFill>
            <w14:solidFill>
              <w14:schemeClr w14:val="tx1"/>
            </w14:solidFill>
          </w14:textFill>
        </w:rPr>
        <w:t>南宁市第一看守所</w:t>
      </w:r>
      <w:r>
        <w:rPr>
          <w:rFonts w:hint="eastAsia" w:ascii="宋体" w:hAnsi="宋体"/>
          <w:color w:val="000000" w:themeColor="text1"/>
          <w:szCs w:val="21"/>
          <w:highlight w:val="none"/>
          <w:u w:val="single"/>
          <w:lang w:val="en-US" w:eastAsia="zh-CN"/>
          <w14:textFill>
            <w14:solidFill>
              <w14:schemeClr w14:val="tx1"/>
            </w14:solidFill>
          </w14:textFill>
        </w:rPr>
        <w:t xml:space="preserve"> </w:t>
      </w:r>
    </w:p>
    <w:p w14:paraId="5BCD9D1F">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承包人（全称）：________________</w:t>
      </w:r>
    </w:p>
    <w:p w14:paraId="7E169E2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根据《中华人民共和国民法典》《中华人民共和国建筑法》及有关法律规定，遵循平等、自愿、公平和诚实信用的原则，双方就</w:t>
      </w:r>
      <w:r>
        <w:rPr>
          <w:rFonts w:hint="eastAsia" w:ascii="宋体" w:hAnsi="宋体"/>
          <w:color w:val="000000" w:themeColor="text1"/>
          <w:szCs w:val="21"/>
          <w:highlight w:val="none"/>
          <w:u w:val="single"/>
          <w:lang w:eastAsia="zh-CN"/>
          <w14:textFill>
            <w14:solidFill>
              <w14:schemeClr w14:val="tx1"/>
            </w14:solidFill>
          </w14:textFill>
        </w:rPr>
        <w:t>南宁市第一看守所及驻所武警基础设施维修</w:t>
      </w:r>
      <w:r>
        <w:rPr>
          <w:rFonts w:hint="eastAsia" w:ascii="宋体" w:hAnsi="宋体"/>
          <w:color w:val="000000" w:themeColor="text1"/>
          <w:szCs w:val="21"/>
          <w:highlight w:val="none"/>
          <w14:textFill>
            <w14:solidFill>
              <w14:schemeClr w14:val="tx1"/>
            </w14:solidFill>
          </w14:textFill>
        </w:rPr>
        <w:t>工程施工及有关事项协商一致，共同达成如下协议：</w:t>
      </w:r>
    </w:p>
    <w:p w14:paraId="5402706A">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一、工程概况</w:t>
      </w:r>
    </w:p>
    <w:p w14:paraId="59B920B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1.工程名称：</w:t>
      </w:r>
      <w:r>
        <w:rPr>
          <w:rFonts w:hint="eastAsia" w:ascii="宋体" w:hAnsi="宋体"/>
          <w:color w:val="000000" w:themeColor="text1"/>
          <w:szCs w:val="21"/>
          <w:highlight w:val="none"/>
          <w:u w:val="single"/>
          <w:lang w:eastAsia="zh-CN"/>
          <w14:textFill>
            <w14:solidFill>
              <w14:schemeClr w14:val="tx1"/>
            </w14:solidFill>
          </w14:textFill>
        </w:rPr>
        <w:t>南宁市第一看守所及驻所武警基础设施维修</w:t>
      </w:r>
      <w:r>
        <w:rPr>
          <w:rFonts w:hint="eastAsia" w:ascii="宋体" w:hAnsi="宋体"/>
          <w:color w:val="000000" w:themeColor="text1"/>
          <w:szCs w:val="21"/>
          <w:highlight w:val="none"/>
          <w14:textFill>
            <w14:solidFill>
              <w14:schemeClr w14:val="tx1"/>
            </w14:solidFill>
          </w14:textFill>
        </w:rPr>
        <w:t>。</w:t>
      </w:r>
    </w:p>
    <w:p w14:paraId="2D61B04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2.工程地点：</w:t>
      </w:r>
      <w:r>
        <w:rPr>
          <w:rFonts w:hint="eastAsia" w:ascii="宋体" w:hAnsi="宋体"/>
          <w:color w:val="000000" w:themeColor="text1"/>
          <w:szCs w:val="21"/>
          <w:highlight w:val="none"/>
          <w:u w:val="single"/>
          <w14:textFill>
            <w14:solidFill>
              <w14:schemeClr w14:val="tx1"/>
            </w14:solidFill>
          </w14:textFill>
        </w:rPr>
        <w:t>南宁市第</w:t>
      </w:r>
      <w:r>
        <w:rPr>
          <w:rFonts w:hint="eastAsia" w:ascii="宋体" w:hAnsi="宋体"/>
          <w:color w:val="000000" w:themeColor="text1"/>
          <w:szCs w:val="21"/>
          <w:highlight w:val="none"/>
          <w:u w:val="single"/>
          <w:lang w:val="en-US" w:eastAsia="zh-CN"/>
          <w14:textFill>
            <w14:solidFill>
              <w14:schemeClr w14:val="tx1"/>
            </w14:solidFill>
          </w14:textFill>
        </w:rPr>
        <w:t>一</w:t>
      </w:r>
      <w:r>
        <w:rPr>
          <w:rFonts w:hint="eastAsia" w:ascii="宋体" w:hAnsi="宋体"/>
          <w:color w:val="000000" w:themeColor="text1"/>
          <w:szCs w:val="21"/>
          <w:highlight w:val="none"/>
          <w:u w:val="single"/>
          <w14:textFill>
            <w14:solidFill>
              <w14:schemeClr w14:val="tx1"/>
            </w14:solidFill>
          </w14:textFill>
        </w:rPr>
        <w:t>看守所内</w:t>
      </w:r>
      <w:r>
        <w:rPr>
          <w:rFonts w:hint="eastAsia" w:ascii="宋体" w:hAnsi="宋体"/>
          <w:color w:val="000000" w:themeColor="text1"/>
          <w:szCs w:val="21"/>
          <w:highlight w:val="none"/>
          <w14:textFill>
            <w14:solidFill>
              <w14:schemeClr w14:val="tx1"/>
            </w14:solidFill>
          </w14:textFill>
        </w:rPr>
        <w:t>。</w:t>
      </w:r>
    </w:p>
    <w:p w14:paraId="30CB6B8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3.工程立项批准文号：</w:t>
      </w:r>
      <w:r>
        <w:rPr>
          <w:rFonts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p>
    <w:p w14:paraId="25D3485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4.资金来源：</w:t>
      </w:r>
      <w:r>
        <w:rPr>
          <w:rFonts w:hint="eastAsia" w:ascii="宋体" w:hAnsi="宋体"/>
          <w:color w:val="000000" w:themeColor="text1"/>
          <w:szCs w:val="21"/>
          <w:highlight w:val="none"/>
          <w:u w:val="single"/>
          <w14:textFill>
            <w14:solidFill>
              <w14:schemeClr w14:val="tx1"/>
            </w14:solidFill>
          </w14:textFill>
        </w:rPr>
        <w:t>财政资金</w:t>
      </w:r>
      <w:r>
        <w:rPr>
          <w:rFonts w:hint="eastAsia" w:ascii="宋体" w:hAnsi="宋体"/>
          <w:color w:val="000000" w:themeColor="text1"/>
          <w:szCs w:val="21"/>
          <w:highlight w:val="none"/>
          <w14:textFill>
            <w14:solidFill>
              <w14:schemeClr w14:val="tx1"/>
            </w14:solidFill>
          </w14:textFill>
        </w:rPr>
        <w:t>。</w:t>
      </w:r>
    </w:p>
    <w:p w14:paraId="2D027EBC">
      <w:pPr>
        <w:spacing w:line="360" w:lineRule="auto"/>
        <w:ind w:firstLine="420" w:firstLineChars="200"/>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5.工程内容：</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none"/>
          <w14:textFill>
            <w14:solidFill>
              <w14:schemeClr w14:val="tx1"/>
            </w14:solidFill>
          </w14:textFill>
        </w:rPr>
        <w:t>。</w:t>
      </w:r>
    </w:p>
    <w:p w14:paraId="6C966B1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6.工程承包范围：</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052CCADD">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二、合同工期</w:t>
      </w:r>
    </w:p>
    <w:p w14:paraId="6484D65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计划开工日期：_______年_______月_______日。（具体以发包人或监理人签署的开工令为准）</w:t>
      </w:r>
    </w:p>
    <w:p w14:paraId="1299D51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计划竣工日期：_______年_______月_______日。</w:t>
      </w:r>
    </w:p>
    <w:p w14:paraId="65F7691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期总日历天数：_______天。工期总日历天数与根据前述计划开竣工日期计算的工期天数不一致的，以工期总日历天数为准。根据通用条款第13.2.3条规定，竣工日期是指工程经竣工验收合格的，以承包人提交竣工验收申请报告且经发包人签字确认之日为实际竣工日期，并在工程接收证书中载明。</w:t>
      </w:r>
    </w:p>
    <w:p w14:paraId="3B68A077">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三、质量标准</w:t>
      </w:r>
    </w:p>
    <w:p w14:paraId="637B829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工程质量符合</w:t>
      </w:r>
      <w:r>
        <w:rPr>
          <w:rFonts w:hint="eastAsia" w:ascii="宋体" w:hAnsi="宋体"/>
          <w:color w:val="000000" w:themeColor="text1"/>
          <w:szCs w:val="21"/>
          <w:highlight w:val="none"/>
          <w:u w:val="single"/>
          <w14:textFill>
            <w14:solidFill>
              <w14:schemeClr w14:val="tx1"/>
            </w14:solidFill>
          </w14:textFill>
        </w:rPr>
        <w:t>合格</w:t>
      </w:r>
      <w:r>
        <w:rPr>
          <w:rFonts w:hint="eastAsia" w:ascii="宋体" w:hAnsi="宋体"/>
          <w:color w:val="000000" w:themeColor="text1"/>
          <w:szCs w:val="21"/>
          <w:highlight w:val="none"/>
          <w14:textFill>
            <w14:solidFill>
              <w14:schemeClr w14:val="tx1"/>
            </w14:solidFill>
          </w14:textFill>
        </w:rPr>
        <w:t>标准。</w:t>
      </w:r>
    </w:p>
    <w:p w14:paraId="45FF9983">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四、签约合同价与合同价格形式</w:t>
      </w:r>
    </w:p>
    <w:p w14:paraId="5F8B6CA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1.签约合同价为：</w:t>
      </w:r>
    </w:p>
    <w:p w14:paraId="579E461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人民币（大写）_______（¥_______元）（含税价格）；不含税价格为（¥_______元），增值税（¥_______元）（按_______%税金计算，如有变动以国家相关政策法规为准）；</w:t>
      </w:r>
    </w:p>
    <w:p w14:paraId="1AC965B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其中：</w:t>
      </w:r>
    </w:p>
    <w:p w14:paraId="0F341A8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（1）安全文明施工费：</w:t>
      </w:r>
    </w:p>
    <w:p w14:paraId="08CF83C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人民币（大写）_______（¥_______元）；</w:t>
      </w:r>
    </w:p>
    <w:p w14:paraId="4B015C6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（2）材料和工程设备暂估价金额：</w:t>
      </w:r>
    </w:p>
    <w:p w14:paraId="7CC5A12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人民币（大写）_______（¥_______元）；</w:t>
      </w:r>
    </w:p>
    <w:p w14:paraId="5C8033D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（3）专业工程暂估价金额：</w:t>
      </w:r>
    </w:p>
    <w:p w14:paraId="0BED8CD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人民币（大写）_______（¥_______元）；</w:t>
      </w:r>
    </w:p>
    <w:p w14:paraId="516D8E0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（4）暂列金额：</w:t>
      </w:r>
    </w:p>
    <w:p w14:paraId="2E53C56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人民币（大写）_______（¥_______元）。</w:t>
      </w:r>
    </w:p>
    <w:p w14:paraId="4F350D1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2.合同价格形式：</w:t>
      </w:r>
      <w:r>
        <w:rPr>
          <w:rFonts w:hint="eastAsia" w:ascii="宋体" w:hAnsi="宋体"/>
          <w:color w:val="000000" w:themeColor="text1"/>
          <w:szCs w:val="21"/>
          <w:highlight w:val="none"/>
          <w:u w:val="single"/>
          <w14:textFill>
            <w14:solidFill>
              <w14:schemeClr w14:val="tx1"/>
            </w14:solidFill>
          </w14:textFill>
        </w:rPr>
        <w:t>固定综合单价</w:t>
      </w:r>
      <w:r>
        <w:rPr>
          <w:rFonts w:hint="eastAsia" w:ascii="宋体" w:hAnsi="宋体"/>
          <w:color w:val="000000" w:themeColor="text1"/>
          <w:szCs w:val="21"/>
          <w:highlight w:val="none"/>
          <w14:textFill>
            <w14:solidFill>
              <w14:schemeClr w14:val="tx1"/>
            </w14:solidFill>
          </w14:textFill>
        </w:rPr>
        <w:t>。</w:t>
      </w:r>
    </w:p>
    <w:p w14:paraId="2C664D1B">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五、项目经理</w:t>
      </w:r>
    </w:p>
    <w:p w14:paraId="4B04A80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承包人项目经理：_______。</w:t>
      </w:r>
    </w:p>
    <w:p w14:paraId="18163BD1">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六、合同文件构成</w:t>
      </w:r>
    </w:p>
    <w:p w14:paraId="5E59337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本协议书与下列文件一起构成合同文件：</w:t>
      </w:r>
    </w:p>
    <w:p w14:paraId="03B7C52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（1）成交通知书；</w:t>
      </w:r>
    </w:p>
    <w:p w14:paraId="7EEABEA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（2）响应函、响应报价表、最终报价表；</w:t>
      </w:r>
    </w:p>
    <w:p w14:paraId="5DDEF79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（3）专用合同条款及其附件；</w:t>
      </w:r>
    </w:p>
    <w:p w14:paraId="367BA7C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（4）通用合同条款；</w:t>
      </w:r>
    </w:p>
    <w:p w14:paraId="52A28AC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u w:val="single"/>
          <w14:textFill>
            <w14:solidFill>
              <w14:schemeClr w14:val="tx1"/>
            </w14:solidFill>
          </w14:textFill>
        </w:rPr>
        <w:t>技术标准和要求</w:t>
      </w:r>
      <w:r>
        <w:rPr>
          <w:rFonts w:hint="eastAsia" w:ascii="宋体" w:hAnsi="宋体"/>
          <w:color w:val="000000" w:themeColor="text1"/>
          <w:szCs w:val="21"/>
          <w:highlight w:val="none"/>
          <w14:textFill>
            <w14:solidFill>
              <w14:schemeClr w14:val="tx1"/>
            </w14:solidFill>
          </w14:textFill>
        </w:rPr>
        <w:t>；</w:t>
      </w:r>
    </w:p>
    <w:p w14:paraId="02C0F3F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u w:val="single"/>
          <w14:textFill>
            <w14:solidFill>
              <w14:schemeClr w14:val="tx1"/>
            </w14:solidFill>
          </w14:textFill>
        </w:rPr>
        <w:t>图纸</w:t>
      </w:r>
      <w:r>
        <w:rPr>
          <w:rFonts w:hint="eastAsia" w:ascii="宋体" w:hAnsi="宋体"/>
          <w:color w:val="000000" w:themeColor="text1"/>
          <w:szCs w:val="21"/>
          <w:highlight w:val="none"/>
          <w14:textFill>
            <w14:solidFill>
              <w14:schemeClr w14:val="tx1"/>
            </w14:solidFill>
          </w14:textFill>
        </w:rPr>
        <w:t>；</w:t>
      </w:r>
    </w:p>
    <w:p w14:paraId="3B1DC65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w:t>
      </w:r>
      <w:r>
        <w:rPr>
          <w:rFonts w:hint="eastAsia" w:ascii="宋体" w:hAnsi="宋体"/>
          <w:color w:val="000000" w:themeColor="text1"/>
          <w:szCs w:val="21"/>
          <w:highlight w:val="none"/>
          <w:u w:val="single"/>
          <w14:textFill>
            <w14:solidFill>
              <w14:schemeClr w14:val="tx1"/>
            </w14:solidFill>
          </w14:textFill>
        </w:rPr>
        <w:t>已标价工程量清单或预算书</w:t>
      </w:r>
      <w:r>
        <w:rPr>
          <w:rFonts w:hint="eastAsia" w:ascii="宋体" w:hAnsi="宋体"/>
          <w:color w:val="000000" w:themeColor="text1"/>
          <w:szCs w:val="21"/>
          <w:highlight w:val="none"/>
          <w14:textFill>
            <w14:solidFill>
              <w14:schemeClr w14:val="tx1"/>
            </w14:solidFill>
          </w14:textFill>
        </w:rPr>
        <w:t>；</w:t>
      </w:r>
    </w:p>
    <w:p w14:paraId="0AF8D10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（8）其他合同文件：</w:t>
      </w:r>
      <w:r>
        <w:rPr>
          <w:rFonts w:hint="eastAsia" w:ascii="宋体" w:hAnsi="宋体"/>
          <w:color w:val="000000" w:themeColor="text1"/>
          <w:szCs w:val="21"/>
          <w:highlight w:val="none"/>
          <w:u w:val="single"/>
          <w14:textFill>
            <w14:solidFill>
              <w14:schemeClr w14:val="tx1"/>
            </w14:solidFill>
          </w14:textFill>
        </w:rPr>
        <w:t>（1）本合同协议书；（2）成交通知书；（3）响应文件及其附件；（4）专用合同条款及其附件；（5）本通用合同条款；（6）技术标准和要求；（7）图纸会审记录、施工组织设计及施工方案、设计变更、发包人和监理工程师通知及指令、现场签证、工程技术联系单、发承包人确认的相关文件资料等有关工程洽商、变更等书面协议；（8）工程报告单及预算书；（9）采购文件及其附件</w:t>
      </w:r>
      <w:r>
        <w:rPr>
          <w:rFonts w:hint="eastAsia" w:ascii="宋体" w:hAnsi="宋体"/>
          <w:color w:val="000000" w:themeColor="text1"/>
          <w:szCs w:val="21"/>
          <w:highlight w:val="none"/>
          <w14:textFill>
            <w14:solidFill>
              <w14:schemeClr w14:val="tx1"/>
            </w14:solidFill>
          </w14:textFill>
        </w:rPr>
        <w:t>。</w:t>
      </w:r>
    </w:p>
    <w:p w14:paraId="574B797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上述各项合同文件包括合同当事人就该项合同文件所作出的补充和修改，属于同一类内容的文件，应以最新签署的为准（违反采购文件实质性内容的约定除外）。专用合同条款及其附件须经合同当事人签字或盖章。</w:t>
      </w:r>
    </w:p>
    <w:p w14:paraId="37A3ED19">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七、承诺</w:t>
      </w:r>
    </w:p>
    <w:p w14:paraId="3E1082B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1.发包人承诺按照法律规定履行项目审批手续、筹集工程建设资金并按照合同约定的期限和方式支付合同价款。</w:t>
      </w:r>
    </w:p>
    <w:p w14:paraId="20F016D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2.承包人承诺按照法律规定及合同约定组织完成工程施工，确保工程质量和安全，不进行转包及违法分包，并在缺陷责任期及保修期内承担相应的工程维修责任。</w:t>
      </w:r>
    </w:p>
    <w:p w14:paraId="2E80AAD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3.发包人和承包人通过政府采购竞争性谈判采购形式签订合同的，双方理解并承诺不再就同一工程另行签订与合同实质性内容相背离的协议。</w:t>
      </w:r>
    </w:p>
    <w:p w14:paraId="39BB550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双方确认本合同落款通讯地址作为文书送达地址，该通讯地址适用于包括双方合同履行过程中的各类通知、补充协议等文件，以及因履行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或拒绝接听快递员投递电话等原因，导致文书未能被实际接收的，邮寄文书被退回之日视为送达之日。</w:t>
      </w:r>
    </w:p>
    <w:p w14:paraId="10D14BB6">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八、词语含义</w:t>
      </w:r>
    </w:p>
    <w:p w14:paraId="695C3B8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本协议书中词语含义与第二部分通用合同条款中赋予的含义相同。</w:t>
      </w:r>
    </w:p>
    <w:p w14:paraId="67266450">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九、签订时间</w:t>
      </w:r>
    </w:p>
    <w:p w14:paraId="3948DEC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本合同于</w:t>
      </w:r>
      <w:r>
        <w:rPr>
          <w:rFonts w:ascii="宋体" w:hAnsi="宋体"/>
          <w:b/>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年</w:t>
      </w:r>
      <w:r>
        <w:rPr>
          <w:rFonts w:ascii="宋体" w:hAnsi="宋体"/>
          <w:b/>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月</w:t>
      </w:r>
      <w:r>
        <w:rPr>
          <w:rFonts w:ascii="宋体" w:hAnsi="宋体"/>
          <w:b/>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日签订。</w:t>
      </w:r>
    </w:p>
    <w:p w14:paraId="62184762">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十、签订地点</w:t>
      </w:r>
    </w:p>
    <w:p w14:paraId="20AEA44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本合同在</w:t>
      </w:r>
      <w:r>
        <w:rPr>
          <w:rFonts w:hint="eastAsia" w:ascii="宋体" w:hAnsi="宋体"/>
          <w:color w:val="000000" w:themeColor="text1"/>
          <w:szCs w:val="21"/>
          <w:highlight w:val="none"/>
          <w:u w:val="single"/>
          <w14:textFill>
            <w14:solidFill>
              <w14:schemeClr w14:val="tx1"/>
            </w14:solidFill>
          </w14:textFill>
        </w:rPr>
        <w:t>广西壮族自治区南宁市区</w:t>
      </w:r>
      <w:r>
        <w:rPr>
          <w:rFonts w:hint="eastAsia" w:ascii="宋体" w:hAnsi="宋体"/>
          <w:color w:val="000000" w:themeColor="text1"/>
          <w:szCs w:val="21"/>
          <w:highlight w:val="none"/>
          <w14:textFill>
            <w14:solidFill>
              <w14:schemeClr w14:val="tx1"/>
            </w14:solidFill>
          </w14:textFill>
        </w:rPr>
        <w:t>签订。</w:t>
      </w:r>
    </w:p>
    <w:p w14:paraId="2F0E8B6B">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十一、补充协议</w:t>
      </w:r>
    </w:p>
    <w:p w14:paraId="27EF88B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合同未尽事宜，合同当事人另行签订补充协议，补充协议是合同的组成部分。</w:t>
      </w:r>
    </w:p>
    <w:p w14:paraId="77D47B9B">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十二、合同生效</w:t>
      </w:r>
    </w:p>
    <w:p w14:paraId="76E36AF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本合同自</w:t>
      </w:r>
      <w:r>
        <w:rPr>
          <w:rFonts w:hint="eastAsia" w:ascii="宋体" w:hAnsi="宋体"/>
          <w:color w:val="000000" w:themeColor="text1"/>
          <w:szCs w:val="21"/>
          <w:highlight w:val="none"/>
          <w:u w:val="single"/>
          <w14:textFill>
            <w14:solidFill>
              <w14:schemeClr w14:val="tx1"/>
            </w14:solidFill>
          </w14:textFill>
        </w:rPr>
        <w:t>双方法定代表人或授权委托代理人签章并加盖单位（公司）公章之日起</w:t>
      </w:r>
      <w:r>
        <w:rPr>
          <w:rFonts w:hint="eastAsia" w:ascii="宋体" w:hAnsi="宋体"/>
          <w:color w:val="000000" w:themeColor="text1"/>
          <w:szCs w:val="21"/>
          <w:highlight w:val="none"/>
          <w14:textFill>
            <w14:solidFill>
              <w14:schemeClr w14:val="tx1"/>
            </w14:solidFill>
          </w14:textFill>
        </w:rPr>
        <w:t>生效。</w:t>
      </w:r>
    </w:p>
    <w:p w14:paraId="62F1DFB9">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十三、合同份数</w:t>
      </w:r>
    </w:p>
    <w:p w14:paraId="5E0BB2D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本合同一式</w:t>
      </w:r>
      <w:r>
        <w:rPr>
          <w:color w:val="000000" w:themeColor="text1"/>
          <w:highlight w:val="none"/>
          <w:u w:val="single"/>
          <w14:textFill>
            <w14:solidFill>
              <w14:schemeClr w14:val="tx1"/>
            </w14:solidFill>
          </w14:textFill>
        </w:rPr>
        <w:t xml:space="preserve">  陆  </w:t>
      </w:r>
      <w:r>
        <w:rPr>
          <w:rFonts w:hint="eastAsia" w:hAnsi="宋体" w:cs="宋体"/>
          <w:color w:val="000000" w:themeColor="text1"/>
          <w:highlight w:val="none"/>
          <w14:textFill>
            <w14:solidFill>
              <w14:schemeClr w14:val="tx1"/>
            </w14:solidFill>
          </w14:textFill>
        </w:rPr>
        <w:t>份，均具有同等法律效力，发包人执</w:t>
      </w:r>
      <w:r>
        <w:rPr>
          <w:color w:val="000000" w:themeColor="text1"/>
          <w:highlight w:val="none"/>
          <w:u w:val="single"/>
          <w14:textFill>
            <w14:solidFill>
              <w14:schemeClr w14:val="tx1"/>
            </w14:solidFill>
          </w14:textFill>
        </w:rPr>
        <w:t xml:space="preserve"> 叁 </w:t>
      </w:r>
      <w:r>
        <w:rPr>
          <w:rFonts w:hint="eastAsia" w:hAnsi="宋体" w:cs="宋体"/>
          <w:color w:val="000000" w:themeColor="text1"/>
          <w:highlight w:val="none"/>
          <w14:textFill>
            <w14:solidFill>
              <w14:schemeClr w14:val="tx1"/>
            </w14:solidFill>
          </w14:textFill>
        </w:rPr>
        <w:t>份，承包人执</w:t>
      </w:r>
      <w:r>
        <w:rPr>
          <w:color w:val="000000" w:themeColor="text1"/>
          <w:highlight w:val="none"/>
          <w:u w:val="single"/>
          <w14:textFill>
            <w14:solidFill>
              <w14:schemeClr w14:val="tx1"/>
            </w14:solidFill>
          </w14:textFill>
        </w:rPr>
        <w:t xml:space="preserve"> 叁 </w:t>
      </w:r>
      <w:r>
        <w:rPr>
          <w:rFonts w:hint="eastAsia" w:hAnsi="宋体" w:cs="宋体"/>
          <w:color w:val="000000" w:themeColor="text1"/>
          <w:highlight w:val="none"/>
          <w14:textFill>
            <w14:solidFill>
              <w14:schemeClr w14:val="tx1"/>
            </w14:solidFill>
          </w14:textFill>
        </w:rPr>
        <w:t>份。</w:t>
      </w:r>
    </w:p>
    <w:p w14:paraId="114D036C">
      <w:pPr>
        <w:spacing w:line="360" w:lineRule="auto"/>
        <w:ind w:firstLine="422" w:firstLineChars="200"/>
        <w:rPr>
          <w:rFonts w:ascii="宋体" w:hAnsi="宋体"/>
          <w:b/>
          <w:color w:val="000000" w:themeColor="text1"/>
          <w:szCs w:val="21"/>
          <w:highlight w:val="none"/>
          <w14:textFill>
            <w14:solidFill>
              <w14:schemeClr w14:val="tx1"/>
            </w14:solidFill>
          </w14:textFill>
        </w:rPr>
        <w:sectPr>
          <w:pgSz w:w="11906" w:h="16838"/>
          <w:pgMar w:top="1440" w:right="1134" w:bottom="1440" w:left="1418" w:header="851" w:footer="992" w:gutter="0"/>
          <w:cols w:space="720" w:num="1"/>
          <w:docGrid w:type="lines" w:linePitch="312" w:charSpace="0"/>
        </w:sectPr>
      </w:pPr>
    </w:p>
    <w:p w14:paraId="756D425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（签章页，无正文）</w:t>
      </w:r>
    </w:p>
    <w:p w14:paraId="21751EFD">
      <w:pPr>
        <w:spacing w:line="360" w:lineRule="auto"/>
        <w:rPr>
          <w:rFonts w:ascii="宋体" w:hAnsi="宋体"/>
          <w:color w:val="000000" w:themeColor="text1"/>
          <w:szCs w:val="21"/>
          <w:highlight w:val="none"/>
          <w14:textFill>
            <w14:solidFill>
              <w14:schemeClr w14:val="tx1"/>
            </w14:solidFill>
          </w14:textFill>
        </w:rPr>
      </w:pPr>
    </w:p>
    <w:tbl>
      <w:tblPr>
        <w:tblStyle w:val="35"/>
        <w:tblW w:w="0" w:type="auto"/>
        <w:jc w:val="center"/>
        <w:tblLayout w:type="autofit"/>
        <w:tblCellMar>
          <w:top w:w="0" w:type="dxa"/>
          <w:left w:w="108" w:type="dxa"/>
          <w:bottom w:w="0" w:type="dxa"/>
          <w:right w:w="108" w:type="dxa"/>
        </w:tblCellMar>
      </w:tblPr>
      <w:tblGrid>
        <w:gridCol w:w="4672"/>
        <w:gridCol w:w="4672"/>
      </w:tblGrid>
      <w:tr w14:paraId="7EF08813">
        <w:tblPrEx>
          <w:tblCellMar>
            <w:top w:w="0" w:type="dxa"/>
            <w:left w:w="108" w:type="dxa"/>
            <w:bottom w:w="0" w:type="dxa"/>
            <w:right w:w="108" w:type="dxa"/>
          </w:tblCellMar>
        </w:tblPrEx>
        <w:trPr>
          <w:trHeight w:val="1021" w:hRule="atLeast"/>
          <w:jc w:val="center"/>
        </w:trPr>
        <w:tc>
          <w:tcPr>
            <w:tcW w:w="4672" w:type="dxa"/>
            <w:noWrap w:val="0"/>
            <w:vAlign w:val="center"/>
          </w:tcPr>
          <w:p w14:paraId="1D9BEFB6">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w:t>
            </w:r>
            <w:r>
              <w:rPr>
                <w:rFonts w:hint="eastAsia" w:ascii="宋体" w:hAnsi="宋体"/>
                <w:color w:val="000000" w:themeColor="text1"/>
                <w:szCs w:val="21"/>
                <w:highlight w:val="none"/>
                <w:u w:val="single"/>
                <w:lang w:eastAsia="zh-CN"/>
                <w14:textFill>
                  <w14:solidFill>
                    <w14:schemeClr w14:val="tx1"/>
                  </w14:solidFill>
                </w14:textFill>
              </w:rPr>
              <w:t>南宁市第一看守所</w:t>
            </w:r>
            <w:r>
              <w:rPr>
                <w:rFonts w:hint="eastAsia" w:ascii="宋体" w:hAnsi="宋体"/>
                <w:color w:val="000000" w:themeColor="text1"/>
                <w:szCs w:val="21"/>
                <w:highlight w:val="none"/>
                <w14:textFill>
                  <w14:solidFill>
                    <w14:schemeClr w14:val="tx1"/>
                  </w14:solidFill>
                </w14:textFill>
              </w:rPr>
              <w:t>（公章）</w:t>
            </w:r>
          </w:p>
        </w:tc>
        <w:tc>
          <w:tcPr>
            <w:tcW w:w="4672" w:type="dxa"/>
            <w:noWrap w:val="0"/>
            <w:vAlign w:val="center"/>
          </w:tcPr>
          <w:p w14:paraId="4C1C907D">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承包人：________________（公章）</w:t>
            </w:r>
          </w:p>
        </w:tc>
      </w:tr>
      <w:tr w14:paraId="5A4D5BC5">
        <w:tblPrEx>
          <w:tblCellMar>
            <w:top w:w="0" w:type="dxa"/>
            <w:left w:w="108" w:type="dxa"/>
            <w:bottom w:w="0" w:type="dxa"/>
            <w:right w:w="108" w:type="dxa"/>
          </w:tblCellMar>
        </w:tblPrEx>
        <w:trPr>
          <w:trHeight w:val="1021" w:hRule="atLeast"/>
          <w:jc w:val="center"/>
        </w:trPr>
        <w:tc>
          <w:tcPr>
            <w:tcW w:w="4672" w:type="dxa"/>
            <w:noWrap w:val="0"/>
            <w:vAlign w:val="center"/>
          </w:tcPr>
          <w:p w14:paraId="7FD5B221">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法定代表人或其委托代理人：</w:t>
            </w:r>
          </w:p>
          <w:p w14:paraId="0D0BB2B5">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（签字）</w:t>
            </w:r>
          </w:p>
        </w:tc>
        <w:tc>
          <w:tcPr>
            <w:tcW w:w="4672" w:type="dxa"/>
            <w:noWrap w:val="0"/>
            <w:vAlign w:val="center"/>
          </w:tcPr>
          <w:p w14:paraId="73CA301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法定代表人或其委托代理人：</w:t>
            </w:r>
          </w:p>
          <w:p w14:paraId="68F0A970">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（签字）</w:t>
            </w:r>
          </w:p>
        </w:tc>
      </w:tr>
      <w:tr w14:paraId="15EF5549">
        <w:tblPrEx>
          <w:tblCellMar>
            <w:top w:w="0" w:type="dxa"/>
            <w:left w:w="108" w:type="dxa"/>
            <w:bottom w:w="0" w:type="dxa"/>
            <w:right w:w="108" w:type="dxa"/>
          </w:tblCellMar>
        </w:tblPrEx>
        <w:trPr>
          <w:trHeight w:val="1021" w:hRule="atLeast"/>
          <w:jc w:val="center"/>
        </w:trPr>
        <w:tc>
          <w:tcPr>
            <w:tcW w:w="4672" w:type="dxa"/>
            <w:noWrap w:val="0"/>
            <w:vAlign w:val="center"/>
          </w:tcPr>
          <w:p w14:paraId="4B68D432">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统一社会信用代码：</w:t>
            </w:r>
          </w:p>
        </w:tc>
        <w:tc>
          <w:tcPr>
            <w:tcW w:w="4672" w:type="dxa"/>
            <w:noWrap w:val="0"/>
            <w:vAlign w:val="center"/>
          </w:tcPr>
          <w:p w14:paraId="6356C1FC">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统一社会信用代码：________________</w:t>
            </w:r>
          </w:p>
        </w:tc>
      </w:tr>
      <w:tr w14:paraId="1703F41C">
        <w:tblPrEx>
          <w:tblCellMar>
            <w:top w:w="0" w:type="dxa"/>
            <w:left w:w="108" w:type="dxa"/>
            <w:bottom w:w="0" w:type="dxa"/>
            <w:right w:w="108" w:type="dxa"/>
          </w:tblCellMar>
        </w:tblPrEx>
        <w:trPr>
          <w:trHeight w:val="1021" w:hRule="atLeast"/>
          <w:jc w:val="center"/>
        </w:trPr>
        <w:tc>
          <w:tcPr>
            <w:tcW w:w="4672" w:type="dxa"/>
            <w:noWrap w:val="0"/>
            <w:vAlign w:val="center"/>
          </w:tcPr>
          <w:p w14:paraId="549D0980">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r>
              <w:rPr>
                <w:rFonts w:hint="eastAsia" w:ascii="宋体" w:hAnsi="宋体" w:eastAsia="宋体"/>
                <w:color w:val="000000" w:themeColor="text1"/>
                <w:highlight w:val="none"/>
                <w:u w:val="single"/>
                <w:lang w:eastAsia="zh-CN"/>
                <w14:textFill>
                  <w14:solidFill>
                    <w14:schemeClr w14:val="tx1"/>
                  </w14:solidFill>
                </w14:textFill>
              </w:rPr>
              <w:t>南宁市兴宁区昆仑大道163号</w:t>
            </w:r>
          </w:p>
        </w:tc>
        <w:tc>
          <w:tcPr>
            <w:tcW w:w="4672" w:type="dxa"/>
            <w:noWrap w:val="0"/>
            <w:vAlign w:val="center"/>
          </w:tcPr>
          <w:p w14:paraId="39C4D14E">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地址：________________</w:t>
            </w:r>
          </w:p>
        </w:tc>
      </w:tr>
      <w:tr w14:paraId="5DD46449">
        <w:tblPrEx>
          <w:tblCellMar>
            <w:top w:w="0" w:type="dxa"/>
            <w:left w:w="108" w:type="dxa"/>
            <w:bottom w:w="0" w:type="dxa"/>
            <w:right w:w="108" w:type="dxa"/>
          </w:tblCellMar>
        </w:tblPrEx>
        <w:trPr>
          <w:trHeight w:val="1021" w:hRule="atLeast"/>
          <w:jc w:val="center"/>
        </w:trPr>
        <w:tc>
          <w:tcPr>
            <w:tcW w:w="4672" w:type="dxa"/>
            <w:noWrap w:val="0"/>
            <w:vAlign w:val="center"/>
          </w:tcPr>
          <w:p w14:paraId="4971593F">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p>
        </w:tc>
        <w:tc>
          <w:tcPr>
            <w:tcW w:w="4672" w:type="dxa"/>
            <w:noWrap w:val="0"/>
            <w:vAlign w:val="center"/>
          </w:tcPr>
          <w:p w14:paraId="2D3D28E6">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邮政编码：________________</w:t>
            </w:r>
          </w:p>
        </w:tc>
      </w:tr>
      <w:tr w14:paraId="08A67F11">
        <w:tblPrEx>
          <w:tblCellMar>
            <w:top w:w="0" w:type="dxa"/>
            <w:left w:w="108" w:type="dxa"/>
            <w:bottom w:w="0" w:type="dxa"/>
            <w:right w:w="108" w:type="dxa"/>
          </w:tblCellMar>
        </w:tblPrEx>
        <w:trPr>
          <w:trHeight w:val="1021" w:hRule="atLeast"/>
          <w:jc w:val="center"/>
        </w:trPr>
        <w:tc>
          <w:tcPr>
            <w:tcW w:w="4672" w:type="dxa"/>
            <w:noWrap w:val="0"/>
            <w:vAlign w:val="center"/>
          </w:tcPr>
          <w:p w14:paraId="4A314A64">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法定代表人：________________</w:t>
            </w:r>
          </w:p>
        </w:tc>
        <w:tc>
          <w:tcPr>
            <w:tcW w:w="4672" w:type="dxa"/>
            <w:noWrap w:val="0"/>
            <w:vAlign w:val="center"/>
          </w:tcPr>
          <w:p w14:paraId="3A75EF5D">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法定代表人：________________</w:t>
            </w:r>
          </w:p>
        </w:tc>
      </w:tr>
      <w:tr w14:paraId="1A9EE55E">
        <w:tblPrEx>
          <w:tblCellMar>
            <w:top w:w="0" w:type="dxa"/>
            <w:left w:w="108" w:type="dxa"/>
            <w:bottom w:w="0" w:type="dxa"/>
            <w:right w:w="108" w:type="dxa"/>
          </w:tblCellMar>
        </w:tblPrEx>
        <w:trPr>
          <w:trHeight w:val="1021" w:hRule="atLeast"/>
          <w:jc w:val="center"/>
        </w:trPr>
        <w:tc>
          <w:tcPr>
            <w:tcW w:w="4672" w:type="dxa"/>
            <w:noWrap w:val="0"/>
            <w:vAlign w:val="center"/>
          </w:tcPr>
          <w:p w14:paraId="05217CD0">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委托代理人：________________</w:t>
            </w:r>
          </w:p>
        </w:tc>
        <w:tc>
          <w:tcPr>
            <w:tcW w:w="4672" w:type="dxa"/>
            <w:noWrap w:val="0"/>
            <w:vAlign w:val="center"/>
          </w:tcPr>
          <w:p w14:paraId="34E038D8">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w:t>
            </w:r>
            <w:r>
              <w:rPr>
                <w:rFonts w:ascii="宋体" w:hAnsi="宋体"/>
                <w:b/>
                <w:color w:val="000000" w:themeColor="text1"/>
                <w:szCs w:val="21"/>
                <w:highlight w:val="none"/>
                <w14:textFill>
                  <w14:solidFill>
                    <w14:schemeClr w14:val="tx1"/>
                  </w14:solidFill>
                </w14:textFill>
              </w:rPr>
              <w:t>______________________________</w:t>
            </w:r>
          </w:p>
        </w:tc>
      </w:tr>
      <w:tr w14:paraId="131B6981">
        <w:tblPrEx>
          <w:tblCellMar>
            <w:top w:w="0" w:type="dxa"/>
            <w:left w:w="108" w:type="dxa"/>
            <w:bottom w:w="0" w:type="dxa"/>
            <w:right w:w="108" w:type="dxa"/>
          </w:tblCellMar>
        </w:tblPrEx>
        <w:trPr>
          <w:trHeight w:val="1021" w:hRule="atLeast"/>
          <w:jc w:val="center"/>
        </w:trPr>
        <w:tc>
          <w:tcPr>
            <w:tcW w:w="4672" w:type="dxa"/>
            <w:noWrap w:val="0"/>
            <w:vAlign w:val="center"/>
          </w:tcPr>
          <w:p w14:paraId="0532AB73">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电话：________________</w:t>
            </w:r>
          </w:p>
        </w:tc>
        <w:tc>
          <w:tcPr>
            <w:tcW w:w="4672" w:type="dxa"/>
            <w:noWrap w:val="0"/>
            <w:vAlign w:val="center"/>
          </w:tcPr>
          <w:p w14:paraId="1EB1D6C7">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电话：________________</w:t>
            </w:r>
          </w:p>
        </w:tc>
      </w:tr>
      <w:tr w14:paraId="5E5873E1">
        <w:tblPrEx>
          <w:tblCellMar>
            <w:top w:w="0" w:type="dxa"/>
            <w:left w:w="108" w:type="dxa"/>
            <w:bottom w:w="0" w:type="dxa"/>
            <w:right w:w="108" w:type="dxa"/>
          </w:tblCellMar>
        </w:tblPrEx>
        <w:trPr>
          <w:trHeight w:val="1021" w:hRule="atLeast"/>
          <w:jc w:val="center"/>
        </w:trPr>
        <w:tc>
          <w:tcPr>
            <w:tcW w:w="4672" w:type="dxa"/>
            <w:noWrap w:val="0"/>
            <w:vAlign w:val="center"/>
          </w:tcPr>
          <w:p w14:paraId="71151152">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传真：________________</w:t>
            </w:r>
          </w:p>
        </w:tc>
        <w:tc>
          <w:tcPr>
            <w:tcW w:w="4672" w:type="dxa"/>
            <w:noWrap w:val="0"/>
            <w:vAlign w:val="center"/>
          </w:tcPr>
          <w:p w14:paraId="0358F5C1">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传真：________________</w:t>
            </w:r>
          </w:p>
        </w:tc>
      </w:tr>
      <w:tr w14:paraId="619BF110">
        <w:tblPrEx>
          <w:tblCellMar>
            <w:top w:w="0" w:type="dxa"/>
            <w:left w:w="108" w:type="dxa"/>
            <w:bottom w:w="0" w:type="dxa"/>
            <w:right w:w="108" w:type="dxa"/>
          </w:tblCellMar>
        </w:tblPrEx>
        <w:trPr>
          <w:trHeight w:val="1021" w:hRule="atLeast"/>
          <w:jc w:val="center"/>
        </w:trPr>
        <w:tc>
          <w:tcPr>
            <w:tcW w:w="4672" w:type="dxa"/>
            <w:noWrap w:val="0"/>
            <w:vAlign w:val="center"/>
          </w:tcPr>
          <w:p w14:paraId="353C3AF5">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电子信箱：________________</w:t>
            </w:r>
          </w:p>
        </w:tc>
        <w:tc>
          <w:tcPr>
            <w:tcW w:w="4672" w:type="dxa"/>
            <w:noWrap w:val="0"/>
            <w:vAlign w:val="center"/>
          </w:tcPr>
          <w:p w14:paraId="36196538">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电子信箱：</w:t>
            </w:r>
            <w:r>
              <w:rPr>
                <w:rFonts w:ascii="宋体" w:hAnsi="宋体"/>
                <w:b/>
                <w:color w:val="000000" w:themeColor="text1"/>
                <w:szCs w:val="21"/>
                <w:highlight w:val="none"/>
                <w14:textFill>
                  <w14:solidFill>
                    <w14:schemeClr w14:val="tx1"/>
                  </w14:solidFill>
                </w14:textFill>
              </w:rPr>
              <w:t>________________________________</w:t>
            </w:r>
          </w:p>
        </w:tc>
      </w:tr>
      <w:tr w14:paraId="739F0CAB">
        <w:tblPrEx>
          <w:tblCellMar>
            <w:top w:w="0" w:type="dxa"/>
            <w:left w:w="108" w:type="dxa"/>
            <w:bottom w:w="0" w:type="dxa"/>
            <w:right w:w="108" w:type="dxa"/>
          </w:tblCellMar>
        </w:tblPrEx>
        <w:trPr>
          <w:trHeight w:val="1021" w:hRule="atLeast"/>
          <w:jc w:val="center"/>
        </w:trPr>
        <w:tc>
          <w:tcPr>
            <w:tcW w:w="4672" w:type="dxa"/>
            <w:noWrap w:val="0"/>
            <w:vAlign w:val="center"/>
          </w:tcPr>
          <w:p w14:paraId="4ADF199A">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开户银行：________________</w:t>
            </w:r>
          </w:p>
        </w:tc>
        <w:tc>
          <w:tcPr>
            <w:tcW w:w="4672" w:type="dxa"/>
            <w:noWrap w:val="0"/>
            <w:vAlign w:val="center"/>
          </w:tcPr>
          <w:p w14:paraId="62BEBDF0">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开户银行：________________</w:t>
            </w:r>
          </w:p>
        </w:tc>
      </w:tr>
      <w:tr w14:paraId="78BE23E0">
        <w:tblPrEx>
          <w:tblCellMar>
            <w:top w:w="0" w:type="dxa"/>
            <w:left w:w="108" w:type="dxa"/>
            <w:bottom w:w="0" w:type="dxa"/>
            <w:right w:w="108" w:type="dxa"/>
          </w:tblCellMar>
        </w:tblPrEx>
        <w:trPr>
          <w:trHeight w:val="1021" w:hRule="atLeast"/>
          <w:jc w:val="center"/>
        </w:trPr>
        <w:tc>
          <w:tcPr>
            <w:tcW w:w="4672" w:type="dxa"/>
            <w:noWrap w:val="0"/>
            <w:vAlign w:val="center"/>
          </w:tcPr>
          <w:p w14:paraId="0E893E10">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账号：________________</w:t>
            </w:r>
          </w:p>
        </w:tc>
        <w:tc>
          <w:tcPr>
            <w:tcW w:w="4672" w:type="dxa"/>
            <w:noWrap w:val="0"/>
            <w:vAlign w:val="center"/>
          </w:tcPr>
          <w:p w14:paraId="511B86CD">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账号：________________</w:t>
            </w:r>
          </w:p>
        </w:tc>
      </w:tr>
      <w:bookmarkEnd w:id="169"/>
    </w:tbl>
    <w:p w14:paraId="18EE3D70">
      <w:pPr>
        <w:rPr>
          <w:color w:val="000000" w:themeColor="text1"/>
          <w:sz w:val="20"/>
          <w:highlight w:val="none"/>
          <w14:textFill>
            <w14:solidFill>
              <w14:schemeClr w14:val="tx1"/>
            </w14:solidFill>
          </w14:textFill>
        </w:rPr>
        <w:sectPr>
          <w:pgSz w:w="11906" w:h="16838"/>
          <w:pgMar w:top="1440" w:right="1134" w:bottom="1440" w:left="1418" w:header="851" w:footer="992" w:gutter="0"/>
          <w:cols w:space="720" w:num="1"/>
          <w:docGrid w:type="lines" w:linePitch="312" w:charSpace="0"/>
        </w:sectPr>
      </w:pPr>
    </w:p>
    <w:p w14:paraId="611E1030">
      <w:pPr>
        <w:keepNext/>
        <w:keepLines/>
        <w:spacing w:before="340" w:after="330" w:line="578" w:lineRule="auto"/>
        <w:jc w:val="center"/>
        <w:outlineLvl w:val="0"/>
        <w:rPr>
          <w:rFonts w:ascii="黑体" w:hAnsi="黑体"/>
          <w:b/>
          <w:bCs/>
          <w:color w:val="000000" w:themeColor="text1"/>
          <w:kern w:val="44"/>
          <w:sz w:val="44"/>
          <w:szCs w:val="44"/>
          <w:highlight w:val="none"/>
          <w14:textFill>
            <w14:solidFill>
              <w14:schemeClr w14:val="tx1"/>
            </w14:solidFill>
          </w14:textFill>
        </w:rPr>
      </w:pPr>
      <w:bookmarkStart w:id="170" w:name="_Toc217642152"/>
      <w:bookmarkStart w:id="171" w:name="_Toc256000128"/>
      <w:bookmarkStart w:id="172" w:name="_Toc19872"/>
      <w:bookmarkStart w:id="173" w:name="_Toc389065256"/>
      <w:bookmarkStart w:id="174" w:name="_Toc407135192"/>
      <w:bookmarkStart w:id="175" w:name="_Toc83895639"/>
      <w:bookmarkStart w:id="176" w:name="_Toc351203632"/>
      <w:bookmarkStart w:id="177" w:name="_Toc373478338"/>
      <w:bookmarkStart w:id="178" w:name="_Toc373227691"/>
      <w:r>
        <w:rPr>
          <w:rFonts w:hint="eastAsia" w:ascii="黑体" w:hAnsi="黑体"/>
          <w:b/>
          <w:bCs/>
          <w:color w:val="000000" w:themeColor="text1"/>
          <w:kern w:val="44"/>
          <w:sz w:val="44"/>
          <w:szCs w:val="44"/>
          <w:highlight w:val="none"/>
          <w14:textFill>
            <w14:solidFill>
              <w14:schemeClr w14:val="tx1"/>
            </w14:solidFill>
          </w14:textFill>
        </w:rPr>
        <w:t>第二部分</w:t>
      </w:r>
      <w:r>
        <w:rPr>
          <w:rFonts w:ascii="黑体" w:hAnsi="黑体"/>
          <w:b/>
          <w:bCs/>
          <w:color w:val="000000" w:themeColor="text1"/>
          <w:kern w:val="44"/>
          <w:sz w:val="44"/>
          <w:szCs w:val="44"/>
          <w:highlight w:val="none"/>
          <w14:textFill>
            <w14:solidFill>
              <w14:schemeClr w14:val="tx1"/>
            </w14:solidFill>
          </w14:textFill>
        </w:rPr>
        <w:t xml:space="preserve">  </w:t>
      </w:r>
      <w:r>
        <w:rPr>
          <w:rFonts w:hint="eastAsia" w:ascii="黑体" w:hAnsi="黑体"/>
          <w:b/>
          <w:bCs/>
          <w:color w:val="000000" w:themeColor="text1"/>
          <w:kern w:val="44"/>
          <w:sz w:val="44"/>
          <w:szCs w:val="44"/>
          <w:highlight w:val="none"/>
          <w14:textFill>
            <w14:solidFill>
              <w14:schemeClr w14:val="tx1"/>
            </w14:solidFill>
          </w14:textFill>
        </w:rPr>
        <w:t>通用合同条款</w:t>
      </w:r>
      <w:bookmarkEnd w:id="170"/>
      <w:bookmarkEnd w:id="171"/>
      <w:bookmarkEnd w:id="172"/>
      <w:bookmarkEnd w:id="173"/>
      <w:bookmarkEnd w:id="174"/>
      <w:bookmarkEnd w:id="175"/>
    </w:p>
    <w:p w14:paraId="74E89A3F">
      <w:pPr>
        <w:spacing w:line="360" w:lineRule="auto"/>
        <w:ind w:firstLine="420" w:firstLineChars="200"/>
        <w:rPr>
          <w:rFonts w:ascii="Calibri" w:hAnsi="宋体"/>
          <w:color w:val="000000" w:themeColor="text1"/>
          <w:kern w:val="0"/>
          <w:szCs w:val="22"/>
          <w:highlight w:val="none"/>
          <w14:textFill>
            <w14:solidFill>
              <w14:schemeClr w14:val="tx1"/>
            </w14:solidFill>
          </w14:textFill>
        </w:rPr>
      </w:pPr>
    </w:p>
    <w:p w14:paraId="79511A41">
      <w:pPr>
        <w:spacing w:line="360" w:lineRule="auto"/>
        <w:ind w:firstLine="422" w:firstLineChars="200"/>
        <w:rPr>
          <w:rFonts w:ascii="Calibri" w:hAnsi="宋体" w:cs="宋体"/>
          <w:b/>
          <w:bCs/>
          <w:color w:val="000000" w:themeColor="text1"/>
          <w:kern w:val="0"/>
          <w:szCs w:val="22"/>
          <w:highlight w:val="none"/>
          <w14:textFill>
            <w14:solidFill>
              <w14:schemeClr w14:val="tx1"/>
            </w14:solidFill>
          </w14:textFill>
        </w:rPr>
      </w:pPr>
      <w:r>
        <w:rPr>
          <w:rFonts w:hint="eastAsia" w:ascii="Calibri" w:hAnsi="宋体" w:cs="宋体"/>
          <w:b/>
          <w:bCs/>
          <w:color w:val="000000" w:themeColor="text1"/>
          <w:kern w:val="0"/>
          <w:szCs w:val="22"/>
          <w:highlight w:val="none"/>
          <w14:textFill>
            <w14:solidFill>
              <w14:schemeClr w14:val="tx1"/>
            </w14:solidFill>
          </w14:textFill>
        </w:rPr>
        <w:t>采用《建设工程施工合同（示范文本）》（</w:t>
      </w:r>
      <w:r>
        <w:rPr>
          <w:rFonts w:ascii="Calibri" w:hAnsi="宋体"/>
          <w:b/>
          <w:bCs/>
          <w:color w:val="000000" w:themeColor="text1"/>
          <w:kern w:val="0"/>
          <w:szCs w:val="22"/>
          <w:highlight w:val="none"/>
          <w14:textFill>
            <w14:solidFill>
              <w14:schemeClr w14:val="tx1"/>
            </w14:solidFill>
          </w14:textFill>
        </w:rPr>
        <w:t>GF</w:t>
      </w:r>
      <w:r>
        <w:rPr>
          <w:rFonts w:ascii="Calibri" w:hAnsi="宋体" w:cs="宋体"/>
          <w:b/>
          <w:bCs/>
          <w:color w:val="000000" w:themeColor="text1"/>
          <w:kern w:val="0"/>
          <w:szCs w:val="22"/>
          <w:highlight w:val="none"/>
          <w14:textFill>
            <w14:solidFill>
              <w14:schemeClr w14:val="tx1"/>
            </w14:solidFill>
          </w14:textFill>
        </w:rPr>
        <w:t>—</w:t>
      </w:r>
      <w:r>
        <w:rPr>
          <w:rFonts w:ascii="Calibri" w:hAnsi="宋体"/>
          <w:b/>
          <w:bCs/>
          <w:color w:val="000000" w:themeColor="text1"/>
          <w:kern w:val="0"/>
          <w:szCs w:val="22"/>
          <w:highlight w:val="none"/>
          <w14:textFill>
            <w14:solidFill>
              <w14:schemeClr w14:val="tx1"/>
            </w14:solidFill>
          </w14:textFill>
        </w:rPr>
        <w:t>201</w:t>
      </w:r>
      <w:r>
        <w:rPr>
          <w:rFonts w:hint="eastAsia" w:ascii="Calibri" w:hAnsi="宋体"/>
          <w:b/>
          <w:bCs/>
          <w:color w:val="000000" w:themeColor="text1"/>
          <w:kern w:val="0"/>
          <w:szCs w:val="22"/>
          <w:highlight w:val="none"/>
          <w14:textFill>
            <w14:solidFill>
              <w14:schemeClr w14:val="tx1"/>
            </w14:solidFill>
          </w14:textFill>
        </w:rPr>
        <w:t>7</w:t>
      </w:r>
      <w:r>
        <w:rPr>
          <w:rFonts w:ascii="Calibri" w:hAnsi="宋体" w:cs="宋体"/>
          <w:b/>
          <w:bCs/>
          <w:color w:val="000000" w:themeColor="text1"/>
          <w:kern w:val="0"/>
          <w:szCs w:val="22"/>
          <w:highlight w:val="none"/>
          <w14:textFill>
            <w14:solidFill>
              <w14:schemeClr w14:val="tx1"/>
            </w14:solidFill>
          </w14:textFill>
        </w:rPr>
        <w:t>—</w:t>
      </w:r>
      <w:r>
        <w:rPr>
          <w:rFonts w:ascii="Calibri" w:hAnsi="宋体"/>
          <w:b/>
          <w:bCs/>
          <w:color w:val="000000" w:themeColor="text1"/>
          <w:kern w:val="0"/>
          <w:szCs w:val="22"/>
          <w:highlight w:val="none"/>
          <w14:textFill>
            <w14:solidFill>
              <w14:schemeClr w14:val="tx1"/>
            </w14:solidFill>
          </w14:textFill>
        </w:rPr>
        <w:t>0201</w:t>
      </w:r>
      <w:r>
        <w:rPr>
          <w:rFonts w:hint="eastAsia" w:ascii="Calibri" w:hAnsi="宋体" w:cs="宋体"/>
          <w:b/>
          <w:bCs/>
          <w:color w:val="000000" w:themeColor="text1"/>
          <w:kern w:val="0"/>
          <w:szCs w:val="22"/>
          <w:highlight w:val="none"/>
          <w14:textFill>
            <w14:solidFill>
              <w14:schemeClr w14:val="tx1"/>
            </w14:solidFill>
          </w14:textFill>
        </w:rPr>
        <w:t>）。</w:t>
      </w:r>
    </w:p>
    <w:p w14:paraId="199DC850">
      <w:pPr>
        <w:keepNext/>
        <w:keepLines/>
        <w:spacing w:before="260" w:after="260" w:line="416" w:lineRule="auto"/>
        <w:outlineLvl w:val="1"/>
        <w:rPr>
          <w:rFonts w:ascii="黑体" w:hAnsi="黑体"/>
          <w:b/>
          <w:bCs/>
          <w:color w:val="000000" w:themeColor="text1"/>
          <w:sz w:val="32"/>
          <w:szCs w:val="32"/>
          <w:highlight w:val="none"/>
          <w14:textFill>
            <w14:solidFill>
              <w14:schemeClr w14:val="tx1"/>
            </w14:solidFill>
          </w14:textFill>
        </w:rPr>
      </w:pPr>
      <w:bookmarkStart w:id="179" w:name="_Toc217642153"/>
      <w:bookmarkStart w:id="180" w:name="_Toc23696"/>
      <w:r>
        <w:rPr>
          <w:rFonts w:hint="eastAsia" w:ascii="黑体" w:hAnsi="黑体"/>
          <w:b/>
          <w:bCs/>
          <w:color w:val="000000" w:themeColor="text1"/>
          <w:sz w:val="32"/>
          <w:szCs w:val="32"/>
          <w:highlight w:val="none"/>
          <w14:textFill>
            <w14:solidFill>
              <w14:schemeClr w14:val="tx1"/>
            </w14:solidFill>
          </w14:textFill>
        </w:rPr>
        <w:t>1.一般约定</w:t>
      </w:r>
      <w:bookmarkEnd w:id="179"/>
      <w:bookmarkEnd w:id="180"/>
    </w:p>
    <w:p w14:paraId="6FF2B7E8">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181" w:name="_Toc217642154"/>
      <w:bookmarkStart w:id="182" w:name="_Toc23540"/>
      <w:r>
        <w:rPr>
          <w:rFonts w:hint="eastAsia" w:ascii="黑体" w:hAnsi="黑体"/>
          <w:b/>
          <w:bCs/>
          <w:color w:val="000000" w:themeColor="text1"/>
          <w:sz w:val="32"/>
          <w:szCs w:val="32"/>
          <w:highlight w:val="none"/>
          <w14:textFill>
            <w14:solidFill>
              <w14:schemeClr w14:val="tx1"/>
            </w14:solidFill>
          </w14:textFill>
        </w:rPr>
        <w:t>1.1词语定义与解释</w:t>
      </w:r>
      <w:bookmarkEnd w:id="181"/>
      <w:bookmarkEnd w:id="182"/>
    </w:p>
    <w:p w14:paraId="7B5429C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合同协议书、通用合同条款、专用合同条款中的下列词语具有本款所赋予的含义：</w:t>
      </w:r>
    </w:p>
    <w:p w14:paraId="4A02498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1.1.1合同</w:t>
      </w:r>
    </w:p>
    <w:p w14:paraId="063E2C6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1.1.1.1合同：是指根据法律规定和合同当事人约定具有约束力的文件，构成合同的文件包括合同协议书、中标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通知书（如果有）、投标函及其附录（如果有）、专用合同条款及其附件、通用合同条款、技术标准和要求、图纸、已标价工程量清单或预算书以及其他合同文件。</w:t>
      </w:r>
    </w:p>
    <w:p w14:paraId="7A03599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1.1.1.2合同协议书：是指构成合同的由发包人和承包人共同签署的称为“合同协议书”的书面文件。</w:t>
      </w:r>
    </w:p>
    <w:p w14:paraId="7262F76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1.1.1.3中标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通知书：是指构成合同的由发包人通知承包人中标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的书面文件。</w:t>
      </w:r>
    </w:p>
    <w:p w14:paraId="4405AE5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1.1.1.4投标函：是指构成合同的由承包人填写并签署的用于投标的称为“投标函”的文件。</w:t>
      </w:r>
    </w:p>
    <w:p w14:paraId="0D243D3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1.1.1.5投标函附录：是指构成合同的附在投标函后的称为“投标函附录”的文件。</w:t>
      </w:r>
    </w:p>
    <w:p w14:paraId="1A0BF78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1.1.1.6技术标准和要求：是指构成合同的施工应当遵守的或指导施工的国家、行业或地方的技术标准和要求，以及合同约定的技术标准和要求。</w:t>
      </w:r>
    </w:p>
    <w:p w14:paraId="54C711C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1.1.1.7图纸：是指构成合同的图纸，包括由发包人按照合同约定提供或经发包人批准的设计文件、施工图、鸟瞰图及模型等，以及在合同履行过程中形成的图纸文件。图纸应当按照法律规定审查合格。</w:t>
      </w:r>
    </w:p>
    <w:p w14:paraId="3A154EE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1.1.1.8已标价工程量清单：是指构成合同的由承包人按照规定的格式和要求填写并标明价格的工程量清单，包括说明和表格。</w:t>
      </w:r>
    </w:p>
    <w:p w14:paraId="67EA7CD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1.1.1.9预算书：是指构成合同的由承包人按照发包人规定的格式和要求编制的工程预算文件。</w:t>
      </w:r>
    </w:p>
    <w:p w14:paraId="299F9DC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1.1.1.10其他合同文件：是指经合同当事人约定的与工程施工有关的具有合同约束力的文件或书面协议。合同当事人可以在专用合同条款中进行约定。</w:t>
      </w:r>
    </w:p>
    <w:p w14:paraId="3D402FE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1.1.2合同当事人及其他相关方</w:t>
      </w:r>
    </w:p>
    <w:p w14:paraId="21C7D4B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1.1.2.1合同当事人：是指发包人和（或）承包人。</w:t>
      </w:r>
    </w:p>
    <w:p w14:paraId="235DFF4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1.1.2.2发包人：是指与承包人签订合同协议书的当事人及取得该当事人资格的合法继承人。</w:t>
      </w:r>
    </w:p>
    <w:p w14:paraId="1B4CD47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1.1.2.3承包人：是指与发包人签订合同协议书的，具有相应工程施工承包资质的当事人及取得该当事人资格的合法继承人。</w:t>
      </w:r>
    </w:p>
    <w:p w14:paraId="57D7652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1.1.2.4监理人：是指在专用合同条款中指明的，受发包人委托按照法律规定进行工程监督管理的法人或其他组织。</w:t>
      </w:r>
    </w:p>
    <w:p w14:paraId="6634311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1.1.2.5设计人：是指在专用合同条款中指明的，受发包人委托负责工程设计并具备相应工程设计资质的法人或其他组织。</w:t>
      </w:r>
    </w:p>
    <w:p w14:paraId="7E64F7B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1.1.2.6分包人：是指按照法律规定和合同约定，分包部分工程或工作，并与承包人签订分包合同的具有相应资质的法人。</w:t>
      </w:r>
    </w:p>
    <w:p w14:paraId="0E25BD9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1.1.2.7发包人代表：是指由发包人任命并派驻施工现场在发包人授权范围内行使发包人权利的人。</w:t>
      </w:r>
    </w:p>
    <w:p w14:paraId="4A4CF7C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1.1.2.8项目经理：是指由承包人任命并派驻施工现场，在承包人授权范围内负责合同履行，且按照法律规定具有相应资格的项目负责人。</w:t>
      </w:r>
    </w:p>
    <w:p w14:paraId="4F9343C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1.1.2.9总监理工程师：是指由监理人任命并派驻施工现场进行工程监理的总负责人。</w:t>
      </w:r>
    </w:p>
    <w:p w14:paraId="5BF52FF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1.1.3工程和设备</w:t>
      </w:r>
    </w:p>
    <w:p w14:paraId="1FF8FB0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1.1.3.1工程：是指与合同协议书中工程承包范围对应的永久工程和（或）临时工程。</w:t>
      </w:r>
    </w:p>
    <w:p w14:paraId="599D37F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1.1.3.2永久工程：是指按合同约定建造并移交给发包人的工程，包括工程设备。</w:t>
      </w:r>
    </w:p>
    <w:p w14:paraId="2BB7E83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1.1.3.3临时工程：是指为完成合同约定的永久工程所修建的各类临时性工程，不包括施工设备。</w:t>
      </w:r>
    </w:p>
    <w:p w14:paraId="7A37534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1.1.3.4单位工程：是指在合同协议书中指明的，具备独立施工条件并能形成独立使用功能的永久工程。</w:t>
      </w:r>
    </w:p>
    <w:p w14:paraId="2B796D3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1.1.3.5工程设备：是指构成永久工程的机电设备、金属结构设备、仪器及其他类似的设备和装置。</w:t>
      </w:r>
    </w:p>
    <w:p w14:paraId="4184C1D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1.1.3.6施工设备：是指为完成合同约定的各项工作所需的设备、器具和其他物品，但不包括工程设备、临时工程和材料。</w:t>
      </w:r>
    </w:p>
    <w:p w14:paraId="1563647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1.1.3.7施工现场：是指用于工程施工的场所，以及在专用合同条款中指明作为施工场所组成部分的其他场所，包括永久占地和临时占地。</w:t>
      </w:r>
    </w:p>
    <w:p w14:paraId="4A90083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1.1.3.8临时设施：是指为完成合同约定的各项工作所服务的临时性生产和生活设施。</w:t>
      </w:r>
    </w:p>
    <w:p w14:paraId="03EBFB8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1.1.3.9永久占地：是指专用合同条款中指明为实施工程需永久占用的土地。</w:t>
      </w:r>
    </w:p>
    <w:p w14:paraId="29475A8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1.1.3.10临时占地：是指专用合同条款中指明为实施工程需要临时占用的土地。</w:t>
      </w:r>
    </w:p>
    <w:p w14:paraId="0AB1FA5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1.1.4日期和期限</w:t>
      </w:r>
    </w:p>
    <w:p w14:paraId="269E35E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1.1.4.1开工日期：包括计划开工日期和实际开工日期。计划开工日期是指合同协议书约定的开工日期；实际开工日期是指监理人按照第7.3.2项〔开工通知〕约定发出的符合法律规定的开工通知中载明的开工日期。</w:t>
      </w:r>
    </w:p>
    <w:p w14:paraId="3E60B07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1.1.4.2竣工日期：包括计划竣工日期和实际竣工日期。计划竣工日期是指合同协议书约定的竣工日期；实际竣工日期按照第13.2.3项〔竣工日期〕的约定确定。</w:t>
      </w:r>
    </w:p>
    <w:p w14:paraId="19C96FB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1.1.4.3工期：是指在合同协议书约定的承包人完成工程所需的期限，包括按照合同约定所作的期限变更。</w:t>
      </w:r>
    </w:p>
    <w:p w14:paraId="109BB15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1.1.4.4缺陷责任期：是指承包人按照合同约定承担缺陷修复义务，且发包人预留质量保证金（已缴纳履约保证金的除外）的期限，自工程实际竣工日期起计算。</w:t>
      </w:r>
    </w:p>
    <w:p w14:paraId="4AC6D16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1.1.4.5保修期：是指承包人按照合同约定对工程承担保修责任的期限，从工程竣工验收合格之日起计算。</w:t>
      </w:r>
    </w:p>
    <w:p w14:paraId="430D6EF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1.1.4.6基准日期：招标发包的工程以投标截止日前28天的日期为基准日期，直接发包的工程以合同签订日前28天的日期为基准日期。</w:t>
      </w:r>
    </w:p>
    <w:p w14:paraId="69CDA11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1.1.4.7天：除特别指明外，均指日历天。合同中按天计算时间的，开始当天不计入，从次日开始计算，期限最后一天的截止时间为当天24：00时。</w:t>
      </w:r>
    </w:p>
    <w:p w14:paraId="77BED7E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1.1.5合同价格和费用</w:t>
      </w:r>
    </w:p>
    <w:p w14:paraId="0E56CD5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1.1.5.1签约合同价：是指发包人和承包人在合同协议书中确定的总金额，包括安全文明施工费、暂估价及暂列金额等。</w:t>
      </w:r>
    </w:p>
    <w:p w14:paraId="2366F5A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1.1.5.2合同价格：是指发包人用于支付承包人按照合同约定完成承包范围内全部工作的金额，包括合同履行过程中按合同约定发生的价格变化。</w:t>
      </w:r>
    </w:p>
    <w:p w14:paraId="5682744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1.1.5.3费用：是指为履行合同所发生的或将要发生的所有必需的开支，包括管理费和应分摊的其他费用，但不包括利润。</w:t>
      </w:r>
    </w:p>
    <w:p w14:paraId="090015B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1.1.5.4暂估价：是指发包人在工程量清单或预算书中提供的用于支付必然发生但暂时不能确定价格的材料、工程设备的单价、专业工程以及服务工作的金额。</w:t>
      </w:r>
    </w:p>
    <w:p w14:paraId="531FBFD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1.1.5.5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6178039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1.1.5.6计日工：是指合同履行过程中，承包人完成发包人提出的零星工作或需要采用计日工计价的变更工作时，按合同中约定的单价计价的一种方式。</w:t>
      </w:r>
    </w:p>
    <w:p w14:paraId="4C89749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1.1.5.7质量保证金：是指按照第15.3款〔质量保证金〕约定承包人用于保证其在缺陷责任期内履行缺陷修补义务的担保。</w:t>
      </w:r>
    </w:p>
    <w:p w14:paraId="6FF6B88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1.1.5.8总价项目：是指在现行国家、行业以及地方的计量规则中无工程量计算规则，在已标价工程量清单或预算书中以总价或以费率形式计算的项目。</w:t>
      </w:r>
    </w:p>
    <w:p w14:paraId="4690520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1.1.6其他</w:t>
      </w:r>
    </w:p>
    <w:p w14:paraId="7F8ABB2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1.1.6.1书面形式：是指合同文件、信函、电报、传真等可以有形地表现所载内容的形式。</w:t>
      </w:r>
    </w:p>
    <w:p w14:paraId="4AE4551F">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183" w:name="_Toc217642155"/>
      <w:bookmarkStart w:id="184" w:name="_Toc30619"/>
      <w:r>
        <w:rPr>
          <w:rFonts w:hint="eastAsia" w:ascii="黑体" w:hAnsi="黑体"/>
          <w:b/>
          <w:bCs/>
          <w:color w:val="000000" w:themeColor="text1"/>
          <w:sz w:val="32"/>
          <w:szCs w:val="32"/>
          <w:highlight w:val="none"/>
          <w14:textFill>
            <w14:solidFill>
              <w14:schemeClr w14:val="tx1"/>
            </w14:solidFill>
          </w14:textFill>
        </w:rPr>
        <w:t>1.2语言文字</w:t>
      </w:r>
      <w:bookmarkEnd w:id="183"/>
      <w:bookmarkEnd w:id="184"/>
    </w:p>
    <w:p w14:paraId="4EC62C2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合同以中国的汉语简体文字编写、解释和说明。合同当事人在专用合同条款中约定使用两种以上语言时，汉语为优先解释和说明合同的语言。</w:t>
      </w:r>
    </w:p>
    <w:p w14:paraId="1D362696">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185" w:name="_Toc15330"/>
      <w:bookmarkStart w:id="186" w:name="_Toc217642156"/>
      <w:r>
        <w:rPr>
          <w:rFonts w:hint="eastAsia" w:ascii="黑体" w:hAnsi="黑体"/>
          <w:b/>
          <w:bCs/>
          <w:color w:val="000000" w:themeColor="text1"/>
          <w:sz w:val="32"/>
          <w:szCs w:val="32"/>
          <w:highlight w:val="none"/>
          <w14:textFill>
            <w14:solidFill>
              <w14:schemeClr w14:val="tx1"/>
            </w14:solidFill>
          </w14:textFill>
        </w:rPr>
        <w:t>1.3法律</w:t>
      </w:r>
      <w:bookmarkEnd w:id="185"/>
      <w:bookmarkEnd w:id="186"/>
    </w:p>
    <w:p w14:paraId="6BEA2F0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合同所称法律是指中华人民共和国法律、行政法规、部门规章，以及工程所在地的地方性法规、自治条例、单行条例和地方政府规章等。</w:t>
      </w:r>
    </w:p>
    <w:p w14:paraId="5ED0C39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合同当事人可以在专用合同条款中约定合同适用的其他规范性文件。</w:t>
      </w:r>
    </w:p>
    <w:p w14:paraId="41EB5AC1">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187" w:name="_Toc217642157"/>
      <w:bookmarkStart w:id="188" w:name="_Toc15177"/>
      <w:r>
        <w:rPr>
          <w:rFonts w:hint="eastAsia" w:ascii="黑体" w:hAnsi="黑体"/>
          <w:b/>
          <w:bCs/>
          <w:color w:val="000000" w:themeColor="text1"/>
          <w:sz w:val="32"/>
          <w:szCs w:val="32"/>
          <w:highlight w:val="none"/>
          <w14:textFill>
            <w14:solidFill>
              <w14:schemeClr w14:val="tx1"/>
            </w14:solidFill>
          </w14:textFill>
        </w:rPr>
        <w:t>1.4标准和规范</w:t>
      </w:r>
      <w:bookmarkEnd w:id="187"/>
      <w:bookmarkEnd w:id="188"/>
    </w:p>
    <w:p w14:paraId="51CEFA3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1.4.1适用于工程的国家标准、行业标准、工程所在地的地方性标准，以及相应的规范、规程等，合同当事人有特别要求的，应在专用合同条款中约定。</w:t>
      </w:r>
    </w:p>
    <w:p w14:paraId="488BC6A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1.4.2发包人要求使用国外标准、规范的，发包人负责提供原文版本和中文译本，并在专用合同条款中约定提供标准规范的名称、份数和时间。</w:t>
      </w:r>
    </w:p>
    <w:p w14:paraId="63D9C78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1.4.3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4447DBF4">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189" w:name="_Toc217642158"/>
      <w:bookmarkStart w:id="190" w:name="_Toc25231"/>
      <w:r>
        <w:rPr>
          <w:rFonts w:hint="eastAsia" w:ascii="黑体" w:hAnsi="黑体"/>
          <w:b/>
          <w:bCs/>
          <w:color w:val="000000" w:themeColor="text1"/>
          <w:sz w:val="32"/>
          <w:szCs w:val="32"/>
          <w:highlight w:val="none"/>
          <w14:textFill>
            <w14:solidFill>
              <w14:schemeClr w14:val="tx1"/>
            </w14:solidFill>
          </w14:textFill>
        </w:rPr>
        <w:t>1.5合同文件的优先顺序</w:t>
      </w:r>
      <w:bookmarkEnd w:id="189"/>
      <w:bookmarkEnd w:id="190"/>
    </w:p>
    <w:p w14:paraId="0BDA24C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组成合同的各项文件应互相解释，互为说明。除专用合同条款另有约定外，解释合同文件的优先顺序如下：</w:t>
      </w:r>
    </w:p>
    <w:p w14:paraId="6BA9760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（1）合同协议书；</w:t>
      </w:r>
    </w:p>
    <w:p w14:paraId="06266A5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（2）成交通知书（如果有）；</w:t>
      </w:r>
    </w:p>
    <w:p w14:paraId="3D8F0AD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（3）响应函、响应报价表、最终报价表；</w:t>
      </w:r>
    </w:p>
    <w:p w14:paraId="51136E7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（4）专用合同条款及其附件；</w:t>
      </w:r>
    </w:p>
    <w:p w14:paraId="1BCF774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（5）通用合同条款；</w:t>
      </w:r>
    </w:p>
    <w:p w14:paraId="2F6A0FB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（6）技术标准和要求；</w:t>
      </w:r>
    </w:p>
    <w:p w14:paraId="7AF9521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（7）图纸；</w:t>
      </w:r>
    </w:p>
    <w:p w14:paraId="1D37E0A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（8）已标价工程量清单或预算书；</w:t>
      </w:r>
    </w:p>
    <w:p w14:paraId="17C5989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（9）其他合同文件。</w:t>
      </w:r>
    </w:p>
    <w:p w14:paraId="45E1917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上述各项合同文件包括合同当事人就该项合同文件所作出的补充和修改，属于同一类内容的文件，应以最新签署的为准。</w:t>
      </w:r>
    </w:p>
    <w:p w14:paraId="5C538BE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在合同订立及履行过程中形成的与合同有关的文件均构成合同文件组成部分，并根据其性质确定优先解释顺序。</w:t>
      </w:r>
    </w:p>
    <w:p w14:paraId="706D656C">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191" w:name="_Toc217642159"/>
      <w:bookmarkStart w:id="192" w:name="_Toc7616"/>
      <w:r>
        <w:rPr>
          <w:rFonts w:hint="eastAsia" w:ascii="黑体" w:hAnsi="黑体"/>
          <w:b/>
          <w:bCs/>
          <w:color w:val="000000" w:themeColor="text1"/>
          <w:sz w:val="32"/>
          <w:szCs w:val="32"/>
          <w:highlight w:val="none"/>
          <w14:textFill>
            <w14:solidFill>
              <w14:schemeClr w14:val="tx1"/>
            </w14:solidFill>
          </w14:textFill>
        </w:rPr>
        <w:t>1.6图纸和承包人文件</w:t>
      </w:r>
      <w:bookmarkEnd w:id="191"/>
      <w:bookmarkEnd w:id="192"/>
    </w:p>
    <w:p w14:paraId="743E3C6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1.6.1图纸的提供和交底</w:t>
      </w:r>
    </w:p>
    <w:p w14:paraId="33CBE67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4C60309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因发包人未按合同约定提供图纸导致承包人费用增加和（或）工期延误的，按照第7.5.1项〔因发包人原因导致工期延误〕约定办理。</w:t>
      </w:r>
    </w:p>
    <w:p w14:paraId="0D77B70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1.6.2图纸的错误</w:t>
      </w:r>
    </w:p>
    <w:p w14:paraId="5DF1AB9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273CC49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1.6.3图纸的修改和补充</w:t>
      </w:r>
    </w:p>
    <w:p w14:paraId="4E3A860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图纸需要修改和补充的，应经图纸原设计人及审批部门同意，并由监理人在工程或工程相应部位施工前将修改后的图纸或补充图纸提交给承包人，承包人应按修改或补充后的图纸施工。</w:t>
      </w:r>
    </w:p>
    <w:p w14:paraId="6D4DF95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1.6.4承包人文件</w:t>
      </w:r>
    </w:p>
    <w:p w14:paraId="2F874F0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承包人应按照专用合同条款的约定提供应当由其编制的与工程施工有关的文件，并按照专用合同条款约定的期限、数量和形式提交监理人，并由监理人报送发包人。</w:t>
      </w:r>
    </w:p>
    <w:p w14:paraId="16B7FA1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41590B5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1.6.5图纸和承包人文件的保管</w:t>
      </w:r>
    </w:p>
    <w:p w14:paraId="68C3C13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除专用合同条款另有约定外，承包人应在施工现场另外保存一套完整的图纸和承包人文件，供发包人、监理人及有关人员进行工程检查时使用。</w:t>
      </w:r>
    </w:p>
    <w:p w14:paraId="22E5763B">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193" w:name="_Toc217642160"/>
      <w:bookmarkStart w:id="194" w:name="_Toc13524"/>
      <w:r>
        <w:rPr>
          <w:rFonts w:hint="eastAsia" w:ascii="黑体" w:hAnsi="黑体"/>
          <w:b/>
          <w:bCs/>
          <w:color w:val="000000" w:themeColor="text1"/>
          <w:sz w:val="32"/>
          <w:szCs w:val="32"/>
          <w:highlight w:val="none"/>
          <w14:textFill>
            <w14:solidFill>
              <w14:schemeClr w14:val="tx1"/>
            </w14:solidFill>
          </w14:textFill>
        </w:rPr>
        <w:t>1.7联络</w:t>
      </w:r>
      <w:bookmarkEnd w:id="193"/>
      <w:bookmarkEnd w:id="194"/>
    </w:p>
    <w:p w14:paraId="2DA5392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1.7.1与合同有关的通知、批准、证明、证书、指示、指令、要求、请求、同意、意见、确定和决定等，均应采用书面形式，并应在合同约定的期限内送达接收人和送达地点。</w:t>
      </w:r>
    </w:p>
    <w:p w14:paraId="5C545BA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1.7.2发包人和承包人应在专用合同条款中约定各自的送达接收人和送达地点。任何一方合同当事人指定的接收人或送达地点发生变动的，应提前3天以书面形式通知对方。</w:t>
      </w:r>
    </w:p>
    <w:p w14:paraId="6C85AE4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1.7.3发包人和承包人应当及时签收另一方送达至送达地点和指定接收人的来往信函。拒不签收的，由此增加的费用和（或）延误的工期由拒绝接收一方承担。</w:t>
      </w:r>
    </w:p>
    <w:p w14:paraId="415D7668">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195" w:name="_Toc17043"/>
      <w:bookmarkStart w:id="196" w:name="_Toc217642161"/>
      <w:r>
        <w:rPr>
          <w:rFonts w:hint="eastAsia" w:ascii="黑体" w:hAnsi="黑体"/>
          <w:b/>
          <w:bCs/>
          <w:color w:val="000000" w:themeColor="text1"/>
          <w:sz w:val="32"/>
          <w:szCs w:val="32"/>
          <w:highlight w:val="none"/>
          <w14:textFill>
            <w14:solidFill>
              <w14:schemeClr w14:val="tx1"/>
            </w14:solidFill>
          </w14:textFill>
        </w:rPr>
        <w:t>1.8严禁贿赂</w:t>
      </w:r>
      <w:bookmarkEnd w:id="195"/>
      <w:bookmarkEnd w:id="196"/>
    </w:p>
    <w:p w14:paraId="3D25E25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合同当事人不得以贿赂或变相贿赂的方式，谋取非法利益或损害对方权益。因一方合同当事人的贿赂造成对方损失的，应赔偿损失，并承担相应的法律责任。</w:t>
      </w:r>
    </w:p>
    <w:p w14:paraId="3BE18EF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承包人不得与监理人或发包人聘请的第三方串通损害发包人利益。未经发包人书面同意，承包人不得为监理人提供合同约定以外的通讯设备、交通工具及其他任何形式的利益，不得向监理人支付报酬。</w:t>
      </w:r>
    </w:p>
    <w:p w14:paraId="67A62CDB">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197" w:name="_Toc217642162"/>
      <w:bookmarkStart w:id="198" w:name="_Toc22929"/>
      <w:r>
        <w:rPr>
          <w:rFonts w:hint="eastAsia" w:ascii="黑体" w:hAnsi="黑体"/>
          <w:b/>
          <w:bCs/>
          <w:color w:val="000000" w:themeColor="text1"/>
          <w:sz w:val="32"/>
          <w:szCs w:val="32"/>
          <w:highlight w:val="none"/>
          <w14:textFill>
            <w14:solidFill>
              <w14:schemeClr w14:val="tx1"/>
            </w14:solidFill>
          </w14:textFill>
        </w:rPr>
        <w:t>1.9化石、文物</w:t>
      </w:r>
      <w:bookmarkEnd w:id="197"/>
      <w:bookmarkEnd w:id="198"/>
    </w:p>
    <w:p w14:paraId="35D9AD4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6BE655D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发包人、监理人和承包人应按有关政府行政管理部门要求采取妥善的保护措施，由此增加的费用和（或）延误的工期由发包人承担。</w:t>
      </w:r>
    </w:p>
    <w:p w14:paraId="01A7B6E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承包人发现文物后不及时报告或隐瞒不报，致使文物丢失或损坏的，应赔偿损失，并承担相应的法律责任。</w:t>
      </w:r>
    </w:p>
    <w:p w14:paraId="401426DE">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199" w:name="_Toc217642163"/>
      <w:bookmarkStart w:id="200" w:name="_Toc26711"/>
      <w:r>
        <w:rPr>
          <w:rFonts w:hint="eastAsia" w:ascii="黑体" w:hAnsi="黑体"/>
          <w:b/>
          <w:bCs/>
          <w:color w:val="000000" w:themeColor="text1"/>
          <w:sz w:val="32"/>
          <w:szCs w:val="32"/>
          <w:highlight w:val="none"/>
          <w14:textFill>
            <w14:solidFill>
              <w14:schemeClr w14:val="tx1"/>
            </w14:solidFill>
          </w14:textFill>
        </w:rPr>
        <w:t>1.10交通运输</w:t>
      </w:r>
      <w:bookmarkEnd w:id="199"/>
      <w:bookmarkEnd w:id="200"/>
    </w:p>
    <w:p w14:paraId="6B85B81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1.10.1出入现场的权利</w:t>
      </w:r>
    </w:p>
    <w:p w14:paraId="2989B4E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21DA2FC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承包人应在订立合同前查勘施工现场，并根据工程规模及技术参数合理预见工程施工所需的进出施工现场的方式、手段、路径等。因承包人未合理预见所增加的费用和（或）延误的工期由承包人承担。</w:t>
      </w:r>
    </w:p>
    <w:p w14:paraId="5F24F91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1.10.2场外交通</w:t>
      </w:r>
    </w:p>
    <w:p w14:paraId="395E68B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16459B1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1.10.3场内交通</w:t>
      </w:r>
    </w:p>
    <w:p w14:paraId="5CC3534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5EEFD01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645CAA5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场外交通和场内交通的边界由合同当事人在专用合同条款中约定。</w:t>
      </w:r>
    </w:p>
    <w:p w14:paraId="50CCB9B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1.10.4超大件和超重件的运输</w:t>
      </w:r>
    </w:p>
    <w:p w14:paraId="1A38218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0BAA71D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1.10.5道路和桥梁的损坏责任</w:t>
      </w:r>
    </w:p>
    <w:p w14:paraId="6468A49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因承包人运输造成施工场地内外公共道路和桥梁损坏的，由承包人承担修复损坏的全部费用和可能引起的赔偿。</w:t>
      </w:r>
    </w:p>
    <w:p w14:paraId="4F24201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1.10.6水路和航空运输</w:t>
      </w:r>
    </w:p>
    <w:p w14:paraId="4AFC11E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本款前述各项的内容适用于水路运输和航空运输，其中“道路”一词的涵义包括河道、航线、船闸、机场、码头、堤防以及水路或航空运输中其他相似结构物；“车辆”一词的涵义包括船舶和飞机等。</w:t>
      </w:r>
    </w:p>
    <w:p w14:paraId="686BBB46">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01" w:name="_Toc217642164"/>
      <w:bookmarkStart w:id="202" w:name="_Toc17266"/>
      <w:r>
        <w:rPr>
          <w:rFonts w:hint="eastAsia" w:ascii="黑体" w:hAnsi="黑体"/>
          <w:b/>
          <w:bCs/>
          <w:color w:val="000000" w:themeColor="text1"/>
          <w:sz w:val="32"/>
          <w:szCs w:val="32"/>
          <w:highlight w:val="none"/>
          <w14:textFill>
            <w14:solidFill>
              <w14:schemeClr w14:val="tx1"/>
            </w14:solidFill>
          </w14:textFill>
        </w:rPr>
        <w:t>1.11知识产权</w:t>
      </w:r>
      <w:bookmarkEnd w:id="201"/>
      <w:bookmarkEnd w:id="202"/>
    </w:p>
    <w:p w14:paraId="3995423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1.11.1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77C5D97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1.11.2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219E86F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1.11.3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5A6D414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1.11.4除专用合同条款另有约定外，承包人在合同签订前和签订时已确定采用的专利、专有技术、技术秘密的使用费已包含在签约合同价中。</w:t>
      </w:r>
    </w:p>
    <w:p w14:paraId="3696B23D">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03" w:name="_Toc21450"/>
      <w:bookmarkStart w:id="204" w:name="_Toc217642165"/>
      <w:r>
        <w:rPr>
          <w:rFonts w:hint="eastAsia" w:ascii="黑体" w:hAnsi="黑体"/>
          <w:b/>
          <w:bCs/>
          <w:color w:val="000000" w:themeColor="text1"/>
          <w:sz w:val="32"/>
          <w:szCs w:val="32"/>
          <w:highlight w:val="none"/>
          <w14:textFill>
            <w14:solidFill>
              <w14:schemeClr w14:val="tx1"/>
            </w14:solidFill>
          </w14:textFill>
        </w:rPr>
        <w:t>1.12保密</w:t>
      </w:r>
      <w:bookmarkEnd w:id="203"/>
      <w:bookmarkEnd w:id="204"/>
    </w:p>
    <w:p w14:paraId="2BF8759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除法律规定或合同另有约定外，未经发包人同意，承包人不得将发包人提供的图纸、文件以及声明需要保密的资料信息等商业秘密泄露给第三方。</w:t>
      </w:r>
    </w:p>
    <w:p w14:paraId="12F789C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除法律规定或合同另有约定外，未经承包人同意，发包人不得将承包人提供的技术秘密及声明需要保密的资料信息等商业秘密泄露给第三方。</w:t>
      </w:r>
    </w:p>
    <w:p w14:paraId="51715F98">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05" w:name="_Toc217642166"/>
      <w:bookmarkStart w:id="206" w:name="_Toc22010"/>
      <w:r>
        <w:rPr>
          <w:rFonts w:hint="eastAsia" w:ascii="黑体" w:hAnsi="黑体"/>
          <w:b/>
          <w:bCs/>
          <w:color w:val="000000" w:themeColor="text1"/>
          <w:sz w:val="32"/>
          <w:szCs w:val="32"/>
          <w:highlight w:val="none"/>
          <w14:textFill>
            <w14:solidFill>
              <w14:schemeClr w14:val="tx1"/>
            </w14:solidFill>
          </w14:textFill>
        </w:rPr>
        <w:t>1.13工程量清单错误的修正</w:t>
      </w:r>
      <w:bookmarkEnd w:id="205"/>
      <w:bookmarkEnd w:id="206"/>
    </w:p>
    <w:p w14:paraId="49C0F1C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除专用合同条款另有约定外，发包人提供的工程量清单，应被认为是准确的和完整的。出现下列情形之一时，发包人应予以修正，并相应调整合同价格：</w:t>
      </w:r>
    </w:p>
    <w:p w14:paraId="0FB8395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（1）工程量清单存在缺项、漏项的；</w:t>
      </w:r>
    </w:p>
    <w:p w14:paraId="5A24551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（2）工程量清单偏差超出专用合同条款约定的工程量偏差范围的；</w:t>
      </w:r>
    </w:p>
    <w:p w14:paraId="5C9E62D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（3）未按照国家现行计量规范强制性规定计量的。</w:t>
      </w:r>
    </w:p>
    <w:p w14:paraId="58857C27">
      <w:pPr>
        <w:keepNext/>
        <w:keepLines/>
        <w:spacing w:before="260" w:after="260" w:line="416" w:lineRule="auto"/>
        <w:outlineLvl w:val="1"/>
        <w:rPr>
          <w:rFonts w:ascii="黑体" w:hAnsi="黑体"/>
          <w:b/>
          <w:bCs/>
          <w:color w:val="000000" w:themeColor="text1"/>
          <w:sz w:val="32"/>
          <w:szCs w:val="32"/>
          <w:highlight w:val="none"/>
          <w14:textFill>
            <w14:solidFill>
              <w14:schemeClr w14:val="tx1"/>
            </w14:solidFill>
          </w14:textFill>
        </w:rPr>
      </w:pPr>
      <w:bookmarkStart w:id="207" w:name="_Toc217642167"/>
      <w:bookmarkStart w:id="208" w:name="_Toc11573"/>
      <w:r>
        <w:rPr>
          <w:rFonts w:hint="eastAsia" w:ascii="黑体" w:hAnsi="黑体"/>
          <w:b/>
          <w:bCs/>
          <w:color w:val="000000" w:themeColor="text1"/>
          <w:sz w:val="32"/>
          <w:szCs w:val="32"/>
          <w:highlight w:val="none"/>
          <w14:textFill>
            <w14:solidFill>
              <w14:schemeClr w14:val="tx1"/>
            </w14:solidFill>
          </w14:textFill>
        </w:rPr>
        <w:t>2.发包人</w:t>
      </w:r>
      <w:bookmarkEnd w:id="207"/>
      <w:bookmarkEnd w:id="208"/>
    </w:p>
    <w:p w14:paraId="185126A7">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09" w:name="_Toc217642168"/>
      <w:bookmarkStart w:id="210" w:name="_Toc26579"/>
      <w:r>
        <w:rPr>
          <w:rFonts w:hint="eastAsia" w:ascii="黑体" w:hAnsi="黑体"/>
          <w:b/>
          <w:bCs/>
          <w:color w:val="000000" w:themeColor="text1"/>
          <w:sz w:val="32"/>
          <w:szCs w:val="32"/>
          <w:highlight w:val="none"/>
          <w14:textFill>
            <w14:solidFill>
              <w14:schemeClr w14:val="tx1"/>
            </w14:solidFill>
          </w14:textFill>
        </w:rPr>
        <w:t>2.1许可或批准</w:t>
      </w:r>
      <w:bookmarkEnd w:id="209"/>
      <w:bookmarkEnd w:id="210"/>
    </w:p>
    <w:p w14:paraId="1357A99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540B04D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因发包人原因未能及时办理完毕前述许可、批准或备案，由发包人承担由此增加的费用和（或）延误的工期，并支付承包人合理的利润。</w:t>
      </w:r>
    </w:p>
    <w:p w14:paraId="05557B20">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11" w:name="_Toc10746"/>
      <w:bookmarkStart w:id="212" w:name="_Toc217642169"/>
      <w:r>
        <w:rPr>
          <w:rFonts w:hint="eastAsia" w:ascii="黑体" w:hAnsi="黑体"/>
          <w:b/>
          <w:bCs/>
          <w:color w:val="000000" w:themeColor="text1"/>
          <w:sz w:val="32"/>
          <w:szCs w:val="32"/>
          <w:highlight w:val="none"/>
          <w14:textFill>
            <w14:solidFill>
              <w14:schemeClr w14:val="tx1"/>
            </w14:solidFill>
          </w14:textFill>
        </w:rPr>
        <w:t>2.2发包人代表</w:t>
      </w:r>
      <w:bookmarkEnd w:id="211"/>
      <w:bookmarkEnd w:id="212"/>
    </w:p>
    <w:p w14:paraId="5CBA956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4220491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发包人代表不能按照合同约定履行其职责及义务，并导致合同无法继续正常履行的，承包人可以要求发包人撤换发包人代表。</w:t>
      </w:r>
    </w:p>
    <w:p w14:paraId="3A67214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不属于法定必须监理的工程，监理人的职权可以由发包人代表或发包人指定的其他人员行使。</w:t>
      </w:r>
    </w:p>
    <w:p w14:paraId="330866F5">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13" w:name="_Toc217642170"/>
      <w:bookmarkStart w:id="214" w:name="_Toc13492"/>
      <w:r>
        <w:rPr>
          <w:rFonts w:hint="eastAsia" w:ascii="黑体" w:hAnsi="黑体"/>
          <w:b/>
          <w:bCs/>
          <w:color w:val="000000" w:themeColor="text1"/>
          <w:sz w:val="32"/>
          <w:szCs w:val="32"/>
          <w:highlight w:val="none"/>
          <w14:textFill>
            <w14:solidFill>
              <w14:schemeClr w14:val="tx1"/>
            </w14:solidFill>
          </w14:textFill>
        </w:rPr>
        <w:t>2.3发包人人员</w:t>
      </w:r>
      <w:bookmarkEnd w:id="213"/>
      <w:bookmarkEnd w:id="214"/>
    </w:p>
    <w:p w14:paraId="02DFEC8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发包人应要求在施工现场的发包人人员遵守法律及有关安全、质量、环境保护、文明施工等规定，并保障承包人免于承受因发包人人员未遵守上述要求给承包人造成的损失和责任。</w:t>
      </w:r>
    </w:p>
    <w:p w14:paraId="2505730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发包人人员包括发包人代表及其他由发包人派驻施工现场的人员。</w:t>
      </w:r>
    </w:p>
    <w:p w14:paraId="245F0342">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15" w:name="_Toc217642171"/>
      <w:bookmarkStart w:id="216" w:name="_Toc27495"/>
      <w:r>
        <w:rPr>
          <w:rFonts w:hint="eastAsia" w:ascii="黑体" w:hAnsi="黑体"/>
          <w:b/>
          <w:bCs/>
          <w:color w:val="000000" w:themeColor="text1"/>
          <w:sz w:val="32"/>
          <w:szCs w:val="32"/>
          <w:highlight w:val="none"/>
          <w14:textFill>
            <w14:solidFill>
              <w14:schemeClr w14:val="tx1"/>
            </w14:solidFill>
          </w14:textFill>
        </w:rPr>
        <w:t>2.4施工现场、施工条件和基础资料的提供</w:t>
      </w:r>
      <w:bookmarkEnd w:id="215"/>
      <w:bookmarkEnd w:id="216"/>
    </w:p>
    <w:p w14:paraId="78A6683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2.4.1提供施工现场</w:t>
      </w:r>
    </w:p>
    <w:p w14:paraId="23E0DF8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除专用合同条款另有约定外，发包人应最迟于开工日期7天前向承包人移交施工现场。</w:t>
      </w:r>
    </w:p>
    <w:p w14:paraId="04033D9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2.4.2提供施工条件</w:t>
      </w:r>
    </w:p>
    <w:p w14:paraId="1BE0A40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除专用合同条款另有约定外，发包人应负责提供施工所需要的条件，包括：</w:t>
      </w:r>
    </w:p>
    <w:p w14:paraId="1697D25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（1）将施工用水、电力、通讯线路等施工所必需的条件接至施工现场内；</w:t>
      </w:r>
    </w:p>
    <w:p w14:paraId="1688C1F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（2）保证向承包人提供正常施工所需要的进入施工现场的交通条件；</w:t>
      </w:r>
    </w:p>
    <w:p w14:paraId="72DCB6E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（3）协调处理施工现场周围地下管线和邻近建筑物、构筑物、古树名木的保护工作，并承担相关费用；</w:t>
      </w:r>
    </w:p>
    <w:p w14:paraId="2EDB712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（4）按照专用合同条款约定应提供的其他设施和条件。</w:t>
      </w:r>
    </w:p>
    <w:p w14:paraId="7FEF38E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2.4.3提供基础资料</w:t>
      </w:r>
    </w:p>
    <w:p w14:paraId="1330D61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3ADB7D3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按照法律规定确需在开工后方能提供的基础资料，发包人应尽其努力及时地在相应工程施工前的合理期限内提供，合理期限应以不影响承包人的正常施工为限。</w:t>
      </w:r>
    </w:p>
    <w:p w14:paraId="69ACE23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2.4.4逾期提供的责任</w:t>
      </w:r>
    </w:p>
    <w:p w14:paraId="2F78887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因发包人原因未能按合同约定及时向承包人提供施工现场、施工条件、基础资料的，由发包人承担由此增加的费用和（或）延误的工期。</w:t>
      </w:r>
    </w:p>
    <w:p w14:paraId="3C684D61">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17" w:name="_Toc9051"/>
      <w:bookmarkStart w:id="218" w:name="_Toc217642172"/>
      <w:r>
        <w:rPr>
          <w:rFonts w:hint="eastAsia" w:ascii="黑体" w:hAnsi="黑体"/>
          <w:b/>
          <w:bCs/>
          <w:color w:val="000000" w:themeColor="text1"/>
          <w:sz w:val="32"/>
          <w:szCs w:val="32"/>
          <w:highlight w:val="none"/>
          <w14:textFill>
            <w14:solidFill>
              <w14:schemeClr w14:val="tx1"/>
            </w14:solidFill>
          </w14:textFill>
        </w:rPr>
        <w:t>2.5资金来源证明及支付担保</w:t>
      </w:r>
      <w:bookmarkEnd w:id="217"/>
      <w:bookmarkEnd w:id="218"/>
    </w:p>
    <w:p w14:paraId="6E4DF67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除专用合同条款另有约定外，发包人应在收到承包人要求提供资金来源证明的书面通知后28天内，向承包人提供能够按照合同约定支付合同价款的相应资金来源证明。</w:t>
      </w:r>
    </w:p>
    <w:p w14:paraId="159375C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除专用合同条款另有约定外，发包人要求承包人提供履约担保的，发包人应当向承包人提供支付担保。支付担保可以采用银行保函或担保公司担保等形式，具体由合同当事人在专用合同条款中约定。</w:t>
      </w:r>
    </w:p>
    <w:p w14:paraId="5FB803A5">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19" w:name="_Toc217642173"/>
      <w:bookmarkStart w:id="220" w:name="_Toc1349"/>
      <w:r>
        <w:rPr>
          <w:rFonts w:hint="eastAsia" w:ascii="黑体" w:hAnsi="黑体"/>
          <w:b/>
          <w:bCs/>
          <w:color w:val="000000" w:themeColor="text1"/>
          <w:sz w:val="32"/>
          <w:szCs w:val="32"/>
          <w:highlight w:val="none"/>
          <w14:textFill>
            <w14:solidFill>
              <w14:schemeClr w14:val="tx1"/>
            </w14:solidFill>
          </w14:textFill>
        </w:rPr>
        <w:t>2.6支付合同价款</w:t>
      </w:r>
      <w:bookmarkEnd w:id="219"/>
      <w:bookmarkEnd w:id="220"/>
    </w:p>
    <w:p w14:paraId="4606A5A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发包人应按合同约定向承包人及时支付合同价款。</w:t>
      </w:r>
    </w:p>
    <w:p w14:paraId="45B5CEF9">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21" w:name="_Toc10346"/>
      <w:bookmarkStart w:id="222" w:name="_Toc217642174"/>
      <w:r>
        <w:rPr>
          <w:rFonts w:hint="eastAsia" w:ascii="黑体" w:hAnsi="黑体"/>
          <w:b/>
          <w:bCs/>
          <w:color w:val="000000" w:themeColor="text1"/>
          <w:sz w:val="32"/>
          <w:szCs w:val="32"/>
          <w:highlight w:val="none"/>
          <w14:textFill>
            <w14:solidFill>
              <w14:schemeClr w14:val="tx1"/>
            </w14:solidFill>
          </w14:textFill>
        </w:rPr>
        <w:t>2.7组织竣工验收</w:t>
      </w:r>
      <w:bookmarkEnd w:id="221"/>
      <w:bookmarkEnd w:id="222"/>
    </w:p>
    <w:p w14:paraId="516517E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发包人应按合同约定及时组织竣工验收。</w:t>
      </w:r>
    </w:p>
    <w:p w14:paraId="1353AB34">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23" w:name="_Toc29116"/>
      <w:bookmarkStart w:id="224" w:name="_Toc217642175"/>
      <w:r>
        <w:rPr>
          <w:rFonts w:hint="eastAsia" w:ascii="黑体" w:hAnsi="黑体"/>
          <w:b/>
          <w:bCs/>
          <w:color w:val="000000" w:themeColor="text1"/>
          <w:sz w:val="32"/>
          <w:szCs w:val="32"/>
          <w:highlight w:val="none"/>
          <w14:textFill>
            <w14:solidFill>
              <w14:schemeClr w14:val="tx1"/>
            </w14:solidFill>
          </w14:textFill>
        </w:rPr>
        <w:t>2.8现场统一管理协议</w:t>
      </w:r>
      <w:bookmarkEnd w:id="223"/>
      <w:bookmarkEnd w:id="224"/>
    </w:p>
    <w:p w14:paraId="179921C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发包人应与承包人、由发包人直接发包的专业工程的承包人签订施工现场统一管理协议，明确各方的权利义务。施工现场统一管理协议作为专用合同条款的附件。</w:t>
      </w:r>
    </w:p>
    <w:p w14:paraId="13183A5F">
      <w:pPr>
        <w:keepNext/>
        <w:keepLines/>
        <w:spacing w:before="260" w:after="260" w:line="416" w:lineRule="auto"/>
        <w:outlineLvl w:val="1"/>
        <w:rPr>
          <w:rFonts w:ascii="黑体" w:hAnsi="黑体"/>
          <w:b/>
          <w:bCs/>
          <w:color w:val="000000" w:themeColor="text1"/>
          <w:sz w:val="32"/>
          <w:szCs w:val="32"/>
          <w:highlight w:val="none"/>
          <w14:textFill>
            <w14:solidFill>
              <w14:schemeClr w14:val="tx1"/>
            </w14:solidFill>
          </w14:textFill>
        </w:rPr>
      </w:pPr>
      <w:bookmarkStart w:id="225" w:name="_Toc217642176"/>
      <w:bookmarkStart w:id="226" w:name="_Toc5425"/>
      <w:r>
        <w:rPr>
          <w:rFonts w:hint="eastAsia" w:ascii="黑体" w:hAnsi="黑体"/>
          <w:b/>
          <w:bCs/>
          <w:color w:val="000000" w:themeColor="text1"/>
          <w:sz w:val="32"/>
          <w:szCs w:val="32"/>
          <w:highlight w:val="none"/>
          <w14:textFill>
            <w14:solidFill>
              <w14:schemeClr w14:val="tx1"/>
            </w14:solidFill>
          </w14:textFill>
        </w:rPr>
        <w:t>3.承包人</w:t>
      </w:r>
      <w:bookmarkEnd w:id="225"/>
      <w:bookmarkEnd w:id="226"/>
    </w:p>
    <w:p w14:paraId="466F0913">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27" w:name="_Toc9605"/>
      <w:bookmarkStart w:id="228" w:name="_Toc217642177"/>
      <w:r>
        <w:rPr>
          <w:rFonts w:hint="eastAsia" w:ascii="黑体" w:hAnsi="黑体"/>
          <w:b/>
          <w:bCs/>
          <w:color w:val="000000" w:themeColor="text1"/>
          <w:sz w:val="32"/>
          <w:szCs w:val="32"/>
          <w:highlight w:val="none"/>
          <w14:textFill>
            <w14:solidFill>
              <w14:schemeClr w14:val="tx1"/>
            </w14:solidFill>
          </w14:textFill>
        </w:rPr>
        <w:t>3.1承包人的一般义务</w:t>
      </w:r>
      <w:bookmarkEnd w:id="227"/>
      <w:bookmarkEnd w:id="228"/>
    </w:p>
    <w:p w14:paraId="188E804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承包人在履行合同过程中应遵守法律和工程建设标准规范，并履行以下义务：</w:t>
      </w:r>
    </w:p>
    <w:p w14:paraId="0A60BD5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（1）办理法律规定应由承包人办理的许可和批准，并将办理结果书面报送发包人留存；</w:t>
      </w:r>
    </w:p>
    <w:p w14:paraId="4634445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（2）按法律规定和合同约定完成工程，并在保修期内承担保修义务；</w:t>
      </w:r>
    </w:p>
    <w:p w14:paraId="7402EE1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（3）按法律规定和合同约定采取施工安全和环境保护措施，办理工伤保险，确保工程及人员、材料、设备和设施的安全；</w:t>
      </w:r>
    </w:p>
    <w:p w14:paraId="3CB41B2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（4）按合同约定的工作内容和施工进度要求，编制施工组织设计和施工措施计划，并对所有施工作业和施工方法的完备性和安全可靠性负责；</w:t>
      </w:r>
    </w:p>
    <w:p w14:paraId="0D0057F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0465F99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（6）按照第6.3款〔环境保护〕约定负责施工场地及其周边环境与生态的保护工作；</w:t>
      </w:r>
    </w:p>
    <w:p w14:paraId="7FBCEF9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（7）按照第6.1款〔安全文明施工〕约定采取施工安全措施，确保工程及其人员、材料、设备和设施的安全，防止因工程施工造成的人身伤害和财产损失；</w:t>
      </w:r>
    </w:p>
    <w:p w14:paraId="7E5911B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（8）将发包人按合同约定支付的各项价款专用于合同工程，且应及时支付其雇用人员工资，并及时向分包人支付合同价款；</w:t>
      </w:r>
    </w:p>
    <w:p w14:paraId="386E82F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（9）按照法律规定和合同约定编制竣工资料，完成竣工资料立卷及归档，并按专用合同条款约定的竣工资料的套数、内容、时间等要求移交发包人；</w:t>
      </w:r>
    </w:p>
    <w:p w14:paraId="58AAEF6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（10）应履行的其他义务。</w:t>
      </w:r>
    </w:p>
    <w:p w14:paraId="47E09F8F">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29" w:name="_Toc217642178"/>
      <w:bookmarkStart w:id="230" w:name="_Toc22942"/>
      <w:r>
        <w:rPr>
          <w:rFonts w:hint="eastAsia" w:ascii="黑体" w:hAnsi="黑体"/>
          <w:b/>
          <w:bCs/>
          <w:color w:val="000000" w:themeColor="text1"/>
          <w:sz w:val="32"/>
          <w:szCs w:val="32"/>
          <w:highlight w:val="none"/>
          <w14:textFill>
            <w14:solidFill>
              <w14:schemeClr w14:val="tx1"/>
            </w14:solidFill>
          </w14:textFill>
        </w:rPr>
        <w:t>3.2项目经理</w:t>
      </w:r>
      <w:bookmarkEnd w:id="229"/>
      <w:bookmarkEnd w:id="230"/>
    </w:p>
    <w:p w14:paraId="562827F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3.2.1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54E4AEB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1D6717A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承包人违反上述约定的，应按照专用合同条款的约定，承担违约责任。</w:t>
      </w:r>
    </w:p>
    <w:p w14:paraId="32D2825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3.2.2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3C9255A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3.2.3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7DF0A3B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3.2.4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270CFDF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3.2.5项目经理因特殊情况授权其下属人员履行其某项工作职责的，该下属人员应具备履行相应职责的能力，并应提前7天将上述人员的姓名和授权范围书面通知监理人，并征得发包人书面同意。</w:t>
      </w:r>
    </w:p>
    <w:p w14:paraId="3D838EEA">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31" w:name="_Toc20100"/>
      <w:bookmarkStart w:id="232" w:name="_Toc217642179"/>
      <w:r>
        <w:rPr>
          <w:rFonts w:hint="eastAsia" w:ascii="黑体" w:hAnsi="黑体"/>
          <w:b/>
          <w:bCs/>
          <w:color w:val="000000" w:themeColor="text1"/>
          <w:sz w:val="32"/>
          <w:szCs w:val="32"/>
          <w:highlight w:val="none"/>
          <w14:textFill>
            <w14:solidFill>
              <w14:schemeClr w14:val="tx1"/>
            </w14:solidFill>
          </w14:textFill>
        </w:rPr>
        <w:t>3.3承包人人员</w:t>
      </w:r>
      <w:bookmarkEnd w:id="231"/>
      <w:bookmarkEnd w:id="232"/>
    </w:p>
    <w:p w14:paraId="6A1BA7D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3.3.1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359E999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3.3.2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5B9AD37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特殊工种作业人员均应持有相应的资格证明，监理人可以随时检查。</w:t>
      </w:r>
    </w:p>
    <w:p w14:paraId="33EC8D5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3.3.3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7B4DA43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3.3.4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06FEB4E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3.3.5承包人擅自更换主要施工管理人员，或前述人员未经监理人或发包人同意擅自离开施工现场的，应按照专用合同条款约定承担违约责任。</w:t>
      </w:r>
    </w:p>
    <w:p w14:paraId="7E95EDA4">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33" w:name="_Toc15091"/>
      <w:bookmarkStart w:id="234" w:name="_Toc217642180"/>
      <w:r>
        <w:rPr>
          <w:rFonts w:hint="eastAsia" w:ascii="黑体" w:hAnsi="黑体"/>
          <w:b/>
          <w:bCs/>
          <w:color w:val="000000" w:themeColor="text1"/>
          <w:sz w:val="32"/>
          <w:szCs w:val="32"/>
          <w:highlight w:val="none"/>
          <w14:textFill>
            <w14:solidFill>
              <w14:schemeClr w14:val="tx1"/>
            </w14:solidFill>
          </w14:textFill>
        </w:rPr>
        <w:t>3.4承包人现场查勘</w:t>
      </w:r>
      <w:bookmarkEnd w:id="233"/>
      <w:bookmarkEnd w:id="234"/>
    </w:p>
    <w:p w14:paraId="76AFE2A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承包人应对基于发包人按照第2.4.3项〔提供基础资料〕提交的基础资料所做出的解释和推断负责，但因基础资料存在错误、遗漏导致承包人解释或推断失实的，由发包人承担责任。</w:t>
      </w:r>
    </w:p>
    <w:p w14:paraId="44A9C22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711F2BA3">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35" w:name="_Toc217642181"/>
      <w:bookmarkStart w:id="236" w:name="_Toc22579"/>
      <w:r>
        <w:rPr>
          <w:rFonts w:hint="eastAsia" w:ascii="黑体" w:hAnsi="黑体"/>
          <w:b/>
          <w:bCs/>
          <w:color w:val="000000" w:themeColor="text1"/>
          <w:sz w:val="32"/>
          <w:szCs w:val="32"/>
          <w:highlight w:val="none"/>
          <w14:textFill>
            <w14:solidFill>
              <w14:schemeClr w14:val="tx1"/>
            </w14:solidFill>
          </w14:textFill>
        </w:rPr>
        <w:t>3.5分包</w:t>
      </w:r>
      <w:bookmarkEnd w:id="235"/>
      <w:bookmarkEnd w:id="236"/>
    </w:p>
    <w:p w14:paraId="6E74C53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3.5.1分包的一般约定</w:t>
      </w:r>
    </w:p>
    <w:p w14:paraId="2A5804B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54FC6FB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承包人不得以劳务分包的名义转包或违法分包工程。</w:t>
      </w:r>
    </w:p>
    <w:p w14:paraId="7A45C01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3.5.2分包的确定</w:t>
      </w:r>
    </w:p>
    <w:p w14:paraId="5FFFDBE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197CA01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3.5.3分包管理</w:t>
      </w:r>
    </w:p>
    <w:p w14:paraId="087A4B4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承包人应向监理人提交分包人的主要施工管理人员表，并对分包人的施工人员进行实名制管理，包括但不限于进出场管理、登记造册以及各种证照的办理。</w:t>
      </w:r>
    </w:p>
    <w:p w14:paraId="61BC534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3.5.4分包合同价款</w:t>
      </w:r>
    </w:p>
    <w:p w14:paraId="2F7B3AE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（1）除本项第（2）目约定的情况或专用合同条款另有约定外，分包合同价款由承包人与分包人结算，未经承包人同意，发包人不得向分包人支付分包工程价款；</w:t>
      </w:r>
    </w:p>
    <w:p w14:paraId="218DAAC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（2）生效法律文书要求发包人向分包人支付分包合同价款的，发包人有权从应付承包人工程款中扣除该部分款项。</w:t>
      </w:r>
    </w:p>
    <w:p w14:paraId="6C52FFE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3.5.5分包合同权益的转让</w:t>
      </w:r>
    </w:p>
    <w:p w14:paraId="319498B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p>
    <w:p w14:paraId="51314F76">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37" w:name="_Toc217642182"/>
      <w:bookmarkStart w:id="238" w:name="_Toc19702"/>
      <w:r>
        <w:rPr>
          <w:rFonts w:hint="eastAsia" w:ascii="黑体" w:hAnsi="黑体"/>
          <w:b/>
          <w:bCs/>
          <w:color w:val="000000" w:themeColor="text1"/>
          <w:sz w:val="32"/>
          <w:szCs w:val="32"/>
          <w:highlight w:val="none"/>
          <w14:textFill>
            <w14:solidFill>
              <w14:schemeClr w14:val="tx1"/>
            </w14:solidFill>
          </w14:textFill>
        </w:rPr>
        <w:t>3.6工程照管与成品、半成品保护</w:t>
      </w:r>
      <w:bookmarkEnd w:id="237"/>
      <w:bookmarkEnd w:id="238"/>
    </w:p>
    <w:p w14:paraId="23A2B55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（1）除专用合同条款另有约定外，自发包人向承包人移交施工现场之日起，承包人应负责照管工程及工程相关的材料、工程设备，直到颁发工程接收证书之日止。</w:t>
      </w:r>
    </w:p>
    <w:p w14:paraId="62B9D95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（2）在承包人负责照管期间，因承包人原因造成工程、材料、工程设备损坏的，由承包人负责修复或更换，并承担由此增加的费用和（或）延误的工期。</w:t>
      </w:r>
    </w:p>
    <w:p w14:paraId="663F20E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（3）对合同内分期完成的成品和半成品，在工程接收证书颁发前，由承包人承担保护责任。因承包人原因造成成品或半成品损坏的，由承包人负责修复或更换，并承担由此增加的费用和（或）延误的工期。</w:t>
      </w:r>
    </w:p>
    <w:p w14:paraId="5B28B32A">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39" w:name="_Toc27798"/>
      <w:bookmarkStart w:id="240" w:name="_Toc217642183"/>
      <w:r>
        <w:rPr>
          <w:rFonts w:hint="eastAsia" w:ascii="黑体" w:hAnsi="黑体"/>
          <w:b/>
          <w:bCs/>
          <w:color w:val="000000" w:themeColor="text1"/>
          <w:sz w:val="32"/>
          <w:szCs w:val="32"/>
          <w:highlight w:val="none"/>
          <w14:textFill>
            <w14:solidFill>
              <w14:schemeClr w14:val="tx1"/>
            </w14:solidFill>
          </w14:textFill>
        </w:rPr>
        <w:t>3.7履约担保</w:t>
      </w:r>
      <w:bookmarkEnd w:id="239"/>
      <w:bookmarkEnd w:id="240"/>
    </w:p>
    <w:p w14:paraId="4BBD425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30BE715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因承包人原因导致工期延长的，继续提供履约担保所增加的费用由承包人承担；非因承包人原因导致工期延长的，继续提供履约担保所增加的费用由发包人承担。</w:t>
      </w:r>
    </w:p>
    <w:p w14:paraId="5DC5604F">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41" w:name="_Toc10665"/>
      <w:bookmarkStart w:id="242" w:name="_Toc217642184"/>
      <w:r>
        <w:rPr>
          <w:rFonts w:hint="eastAsia" w:ascii="黑体" w:hAnsi="黑体"/>
          <w:b/>
          <w:bCs/>
          <w:color w:val="000000" w:themeColor="text1"/>
          <w:sz w:val="32"/>
          <w:szCs w:val="32"/>
          <w:highlight w:val="none"/>
          <w14:textFill>
            <w14:solidFill>
              <w14:schemeClr w14:val="tx1"/>
            </w14:solidFill>
          </w14:textFill>
        </w:rPr>
        <w:t>3.8联合体</w:t>
      </w:r>
      <w:bookmarkEnd w:id="241"/>
      <w:bookmarkEnd w:id="242"/>
    </w:p>
    <w:p w14:paraId="0820EA9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3.8.1联合体各方应共同与发包人签订合同协议书。联合体各方应为履行合同向发包人承担连带责任。</w:t>
      </w:r>
    </w:p>
    <w:p w14:paraId="350D488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3.8.2联合体协议经发包人确认后作为合同附件。在履行合同过程中，未经发包人同意，不得修改联合体协议。</w:t>
      </w:r>
    </w:p>
    <w:p w14:paraId="4603449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3.8.3联合体牵头人负责与发包人和监理人联系，并接受指示，负责组织联合体各成员全面履行合同。</w:t>
      </w:r>
    </w:p>
    <w:p w14:paraId="6CE8A855">
      <w:pPr>
        <w:keepNext/>
        <w:keepLines/>
        <w:spacing w:before="260" w:after="260" w:line="416" w:lineRule="auto"/>
        <w:outlineLvl w:val="1"/>
        <w:rPr>
          <w:rFonts w:ascii="黑体" w:hAnsi="黑体"/>
          <w:b/>
          <w:bCs/>
          <w:color w:val="000000" w:themeColor="text1"/>
          <w:sz w:val="32"/>
          <w:szCs w:val="32"/>
          <w:highlight w:val="none"/>
          <w14:textFill>
            <w14:solidFill>
              <w14:schemeClr w14:val="tx1"/>
            </w14:solidFill>
          </w14:textFill>
        </w:rPr>
      </w:pPr>
      <w:bookmarkStart w:id="243" w:name="_Toc217642185"/>
      <w:bookmarkStart w:id="244" w:name="_Toc7560"/>
      <w:r>
        <w:rPr>
          <w:rFonts w:hint="eastAsia" w:ascii="黑体" w:hAnsi="黑体"/>
          <w:b/>
          <w:bCs/>
          <w:color w:val="000000" w:themeColor="text1"/>
          <w:sz w:val="32"/>
          <w:szCs w:val="32"/>
          <w:highlight w:val="none"/>
          <w14:textFill>
            <w14:solidFill>
              <w14:schemeClr w14:val="tx1"/>
            </w14:solidFill>
          </w14:textFill>
        </w:rPr>
        <w:t>4.监理人</w:t>
      </w:r>
      <w:bookmarkEnd w:id="243"/>
      <w:bookmarkEnd w:id="244"/>
    </w:p>
    <w:p w14:paraId="628723DD">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45" w:name="_Toc217642186"/>
      <w:bookmarkStart w:id="246" w:name="_Toc983"/>
      <w:r>
        <w:rPr>
          <w:rFonts w:hint="eastAsia" w:ascii="黑体" w:hAnsi="黑体"/>
          <w:b/>
          <w:bCs/>
          <w:color w:val="000000" w:themeColor="text1"/>
          <w:sz w:val="32"/>
          <w:szCs w:val="32"/>
          <w:highlight w:val="none"/>
          <w14:textFill>
            <w14:solidFill>
              <w14:schemeClr w14:val="tx1"/>
            </w14:solidFill>
          </w14:textFill>
        </w:rPr>
        <w:t>4.1监理人的一般规定</w:t>
      </w:r>
      <w:bookmarkEnd w:id="245"/>
      <w:bookmarkEnd w:id="246"/>
    </w:p>
    <w:p w14:paraId="709E322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4EC204A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除专用合同条款另有约定外，监理人在施工现场的办公场所、生活场所由承包人提供，所发生的费用由发包人承担。</w:t>
      </w:r>
    </w:p>
    <w:p w14:paraId="388CF647">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47" w:name="_Toc217642187"/>
      <w:bookmarkStart w:id="248" w:name="_Toc408"/>
      <w:r>
        <w:rPr>
          <w:rFonts w:hint="eastAsia" w:ascii="黑体" w:hAnsi="黑体"/>
          <w:b/>
          <w:bCs/>
          <w:color w:val="000000" w:themeColor="text1"/>
          <w:sz w:val="32"/>
          <w:szCs w:val="32"/>
          <w:highlight w:val="none"/>
          <w14:textFill>
            <w14:solidFill>
              <w14:schemeClr w14:val="tx1"/>
            </w14:solidFill>
          </w14:textFill>
        </w:rPr>
        <w:t>4.2监理人员</w:t>
      </w:r>
      <w:bookmarkEnd w:id="247"/>
      <w:bookmarkEnd w:id="248"/>
    </w:p>
    <w:p w14:paraId="108ECB8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5BBB8B2C">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49" w:name="_Toc217642188"/>
      <w:bookmarkStart w:id="250" w:name="_Toc21240"/>
      <w:r>
        <w:rPr>
          <w:rFonts w:hint="eastAsia" w:ascii="黑体" w:hAnsi="黑体"/>
          <w:b/>
          <w:bCs/>
          <w:color w:val="000000" w:themeColor="text1"/>
          <w:sz w:val="32"/>
          <w:szCs w:val="32"/>
          <w:highlight w:val="none"/>
          <w14:textFill>
            <w14:solidFill>
              <w14:schemeClr w14:val="tx1"/>
            </w14:solidFill>
          </w14:textFill>
        </w:rPr>
        <w:t>4.3监理人的指示</w:t>
      </w:r>
      <w:bookmarkEnd w:id="249"/>
      <w:bookmarkEnd w:id="250"/>
    </w:p>
    <w:p w14:paraId="47CD660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08F7AF2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5C6EA4D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承包人对监理人发出的指示有疑问的，应向监理人提出书面异议，监理人应在48小时内对该指示予以确认、更改或撤销，监理人逾期未回复的，承包人有权拒绝执行上述指示。</w:t>
      </w:r>
    </w:p>
    <w:p w14:paraId="34F0B16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监理人对承包人的任何工作、工程或其采用的材料和工程设备未在约定的或合理期限内提出意见的，视为批准，但不免除或减轻承包人对该工作、工程、材料、工程设备等应承担的责任和义务。</w:t>
      </w:r>
    </w:p>
    <w:p w14:paraId="18704145">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51" w:name="_Toc10465"/>
      <w:bookmarkStart w:id="252" w:name="_Toc217642189"/>
      <w:r>
        <w:rPr>
          <w:rFonts w:hint="eastAsia" w:ascii="黑体" w:hAnsi="黑体"/>
          <w:b/>
          <w:bCs/>
          <w:color w:val="000000" w:themeColor="text1"/>
          <w:sz w:val="32"/>
          <w:szCs w:val="32"/>
          <w:highlight w:val="none"/>
          <w14:textFill>
            <w14:solidFill>
              <w14:schemeClr w14:val="tx1"/>
            </w14:solidFill>
          </w14:textFill>
        </w:rPr>
        <w:t>4.4商定或确定</w:t>
      </w:r>
      <w:bookmarkEnd w:id="251"/>
      <w:bookmarkEnd w:id="252"/>
    </w:p>
    <w:p w14:paraId="45989AC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合同当事人进行商定或确定时，总监理工程师应当会同合同当事人尽量通过协商达成一致，不能达成一致的，由总监理工程师按照合同约定审慎做出公正的确定。</w:t>
      </w:r>
    </w:p>
    <w:p w14:paraId="29F8E94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75DF1806">
      <w:pPr>
        <w:keepNext/>
        <w:keepLines/>
        <w:spacing w:before="260" w:after="260" w:line="416" w:lineRule="auto"/>
        <w:outlineLvl w:val="1"/>
        <w:rPr>
          <w:rFonts w:ascii="黑体" w:hAnsi="黑体"/>
          <w:b/>
          <w:bCs/>
          <w:color w:val="000000" w:themeColor="text1"/>
          <w:sz w:val="32"/>
          <w:szCs w:val="32"/>
          <w:highlight w:val="none"/>
          <w14:textFill>
            <w14:solidFill>
              <w14:schemeClr w14:val="tx1"/>
            </w14:solidFill>
          </w14:textFill>
        </w:rPr>
      </w:pPr>
      <w:bookmarkStart w:id="253" w:name="_Toc217642190"/>
      <w:bookmarkStart w:id="254" w:name="_Toc2869"/>
      <w:r>
        <w:rPr>
          <w:rFonts w:hint="eastAsia" w:ascii="黑体" w:hAnsi="黑体"/>
          <w:b/>
          <w:bCs/>
          <w:color w:val="000000" w:themeColor="text1"/>
          <w:sz w:val="32"/>
          <w:szCs w:val="32"/>
          <w:highlight w:val="none"/>
          <w14:textFill>
            <w14:solidFill>
              <w14:schemeClr w14:val="tx1"/>
            </w14:solidFill>
          </w14:textFill>
        </w:rPr>
        <w:t>5.工程质量</w:t>
      </w:r>
      <w:bookmarkEnd w:id="253"/>
      <w:bookmarkEnd w:id="254"/>
    </w:p>
    <w:p w14:paraId="6583D613">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55" w:name="_Toc12666"/>
      <w:bookmarkStart w:id="256" w:name="_Toc217642191"/>
      <w:r>
        <w:rPr>
          <w:rFonts w:hint="eastAsia" w:ascii="黑体" w:hAnsi="黑体"/>
          <w:b/>
          <w:bCs/>
          <w:color w:val="000000" w:themeColor="text1"/>
          <w:sz w:val="32"/>
          <w:szCs w:val="32"/>
          <w:highlight w:val="none"/>
          <w14:textFill>
            <w14:solidFill>
              <w14:schemeClr w14:val="tx1"/>
            </w14:solidFill>
          </w14:textFill>
        </w:rPr>
        <w:t>5.1质量要求</w:t>
      </w:r>
      <w:bookmarkEnd w:id="255"/>
      <w:bookmarkEnd w:id="256"/>
    </w:p>
    <w:p w14:paraId="7BF0485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5.1.1工程质量标准必须符合现行国家有关工程施工质量验收规范和标准的要求。有关工程质量的特殊标准或要求由合同当事人在专用合同条款中约定。</w:t>
      </w:r>
    </w:p>
    <w:p w14:paraId="7425A52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5.1.2因发包人原因造成工程质量未达到合同约定标准的，由发包人承担由此增加的费用和（或）延误的工期，并支付承包人合理的利润。</w:t>
      </w:r>
    </w:p>
    <w:p w14:paraId="56C77B9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5.1.3因承包人原因造成工程质量未达到合同约定标准的，发包人有权要求承包人返工直至工程质量达到合同约定的标准为止，并由承包人承担由此增加的费用和（或）延误的工期。</w:t>
      </w:r>
    </w:p>
    <w:p w14:paraId="619B081B">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57" w:name="_Toc217642192"/>
      <w:bookmarkStart w:id="258" w:name="_Toc10905"/>
      <w:r>
        <w:rPr>
          <w:rFonts w:hint="eastAsia" w:ascii="黑体" w:hAnsi="黑体"/>
          <w:b/>
          <w:bCs/>
          <w:color w:val="000000" w:themeColor="text1"/>
          <w:sz w:val="32"/>
          <w:szCs w:val="32"/>
          <w:highlight w:val="none"/>
          <w14:textFill>
            <w14:solidFill>
              <w14:schemeClr w14:val="tx1"/>
            </w14:solidFill>
          </w14:textFill>
        </w:rPr>
        <w:t>5.2质量保证措施</w:t>
      </w:r>
      <w:bookmarkEnd w:id="257"/>
      <w:bookmarkEnd w:id="258"/>
    </w:p>
    <w:p w14:paraId="2B79BE1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5.2.1发包人的质量管理</w:t>
      </w:r>
    </w:p>
    <w:p w14:paraId="16A04F6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发包人应按照法律规定及合同约定完成与工程质量有关的各项工作。</w:t>
      </w:r>
    </w:p>
    <w:p w14:paraId="0DDE3FE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5.2.2承包人的质量管理</w:t>
      </w:r>
    </w:p>
    <w:p w14:paraId="1C7F81A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4D65686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承包人应对施工人员进行质量教育和技术培训，定期考核施工人员的劳动技能，严格执行施工规范和操作规程。</w:t>
      </w:r>
    </w:p>
    <w:p w14:paraId="7085B68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72F3E77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5.2.3监理人的质量检查和检验</w:t>
      </w:r>
    </w:p>
    <w:p w14:paraId="71B114F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0ACABF4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2C8F3AD9">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59" w:name="_Toc16488"/>
      <w:bookmarkStart w:id="260" w:name="_Toc217642193"/>
      <w:r>
        <w:rPr>
          <w:rFonts w:hint="eastAsia" w:ascii="黑体" w:hAnsi="黑体"/>
          <w:b/>
          <w:bCs/>
          <w:color w:val="000000" w:themeColor="text1"/>
          <w:sz w:val="32"/>
          <w:szCs w:val="32"/>
          <w:highlight w:val="none"/>
          <w14:textFill>
            <w14:solidFill>
              <w14:schemeClr w14:val="tx1"/>
            </w14:solidFill>
          </w14:textFill>
        </w:rPr>
        <w:t>5.3隐蔽工程检查</w:t>
      </w:r>
      <w:bookmarkEnd w:id="259"/>
      <w:bookmarkEnd w:id="260"/>
    </w:p>
    <w:p w14:paraId="17D5817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5.3.1承包人自检</w:t>
      </w:r>
    </w:p>
    <w:p w14:paraId="2E70D37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承包人应当对工程隐蔽部位进行自检，并经自检确认是否具备覆盖条件。</w:t>
      </w:r>
    </w:p>
    <w:p w14:paraId="1C59D42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5.3.2检查程序</w:t>
      </w:r>
    </w:p>
    <w:p w14:paraId="4F816C5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73526A8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1C5C998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5C3A694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5.3.3重新检查</w:t>
      </w:r>
    </w:p>
    <w:p w14:paraId="266BE6B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12770E7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5.3.4承包人私自覆盖</w:t>
      </w:r>
    </w:p>
    <w:p w14:paraId="760EABA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承包人未通知监理人到场检查，私自将工程隐蔽部位覆盖的，监理人有权指示承包人钻孔探测或揭开检查，无论工程隐蔽部位质量是否合格，由此增加的费用和（或）延误的工期均由承包人承担。</w:t>
      </w:r>
    </w:p>
    <w:p w14:paraId="2388E6A2">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61" w:name="_Toc217642194"/>
      <w:bookmarkStart w:id="262" w:name="_Toc27818"/>
      <w:r>
        <w:rPr>
          <w:rFonts w:hint="eastAsia" w:ascii="黑体" w:hAnsi="黑体"/>
          <w:b/>
          <w:bCs/>
          <w:color w:val="000000" w:themeColor="text1"/>
          <w:sz w:val="32"/>
          <w:szCs w:val="32"/>
          <w:highlight w:val="none"/>
          <w14:textFill>
            <w14:solidFill>
              <w14:schemeClr w14:val="tx1"/>
            </w14:solidFill>
          </w14:textFill>
        </w:rPr>
        <w:t>5.4不合格工程的处理</w:t>
      </w:r>
      <w:bookmarkEnd w:id="261"/>
      <w:bookmarkEnd w:id="262"/>
    </w:p>
    <w:p w14:paraId="1AAE1F0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5.4.1因承包人原因造成工程不合格的，发包人有权随时要求承包人采取补救措施，直至达到合同要求的质量标准，由此增加的费用和（或）延误的工期由承包人承担。无法补救的，按照第13.2.4项〔拒绝接收全部或部分工程〕约定执行。</w:t>
      </w:r>
    </w:p>
    <w:p w14:paraId="20F0CB7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5.4.2因发包人原因造成工程不合格的，由此增加的费用和（或）延误的工期由发包人承担，并支付承包人合理的利润。</w:t>
      </w:r>
    </w:p>
    <w:p w14:paraId="5FF7EB60">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63" w:name="_Toc2884"/>
      <w:bookmarkStart w:id="264" w:name="_Toc217642195"/>
      <w:r>
        <w:rPr>
          <w:rFonts w:hint="eastAsia" w:ascii="黑体" w:hAnsi="黑体"/>
          <w:b/>
          <w:bCs/>
          <w:color w:val="000000" w:themeColor="text1"/>
          <w:sz w:val="32"/>
          <w:szCs w:val="32"/>
          <w:highlight w:val="none"/>
          <w14:textFill>
            <w14:solidFill>
              <w14:schemeClr w14:val="tx1"/>
            </w14:solidFill>
          </w14:textFill>
        </w:rPr>
        <w:t>5.5质量争议检测</w:t>
      </w:r>
      <w:bookmarkEnd w:id="263"/>
      <w:bookmarkEnd w:id="264"/>
    </w:p>
    <w:p w14:paraId="0FCEE47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合同当事人对工程质量有争议的，由双方协商确定的工程质量检测机构鉴定，由此产生的费用及因此造成的损失，由责任方承担。</w:t>
      </w:r>
    </w:p>
    <w:p w14:paraId="2474129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合同当事人均有责任的，由双方根据其责任分别承担。合同当事人无法达成一致的，按照第4.4款〔商定或确定〕执行。</w:t>
      </w:r>
    </w:p>
    <w:p w14:paraId="3C65D361">
      <w:pPr>
        <w:keepNext/>
        <w:keepLines/>
        <w:spacing w:before="260" w:after="260" w:line="416" w:lineRule="auto"/>
        <w:outlineLvl w:val="1"/>
        <w:rPr>
          <w:rFonts w:ascii="黑体" w:hAnsi="黑体"/>
          <w:b/>
          <w:bCs/>
          <w:color w:val="000000" w:themeColor="text1"/>
          <w:sz w:val="32"/>
          <w:szCs w:val="32"/>
          <w:highlight w:val="none"/>
          <w14:textFill>
            <w14:solidFill>
              <w14:schemeClr w14:val="tx1"/>
            </w14:solidFill>
          </w14:textFill>
        </w:rPr>
      </w:pPr>
      <w:bookmarkStart w:id="265" w:name="_Toc217642196"/>
      <w:bookmarkStart w:id="266" w:name="_Toc16393"/>
      <w:r>
        <w:rPr>
          <w:rFonts w:hint="eastAsia" w:ascii="黑体" w:hAnsi="黑体"/>
          <w:b/>
          <w:bCs/>
          <w:color w:val="000000" w:themeColor="text1"/>
          <w:sz w:val="32"/>
          <w:szCs w:val="32"/>
          <w:highlight w:val="none"/>
          <w14:textFill>
            <w14:solidFill>
              <w14:schemeClr w14:val="tx1"/>
            </w14:solidFill>
          </w14:textFill>
        </w:rPr>
        <w:t>6.安全文明施工与环境保护</w:t>
      </w:r>
      <w:bookmarkEnd w:id="265"/>
      <w:bookmarkEnd w:id="266"/>
    </w:p>
    <w:p w14:paraId="019EA5B2">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67" w:name="_Toc217642197"/>
      <w:bookmarkStart w:id="268" w:name="_Toc16369"/>
      <w:r>
        <w:rPr>
          <w:rFonts w:hint="eastAsia" w:ascii="黑体" w:hAnsi="黑体"/>
          <w:b/>
          <w:bCs/>
          <w:color w:val="000000" w:themeColor="text1"/>
          <w:sz w:val="32"/>
          <w:szCs w:val="32"/>
          <w:highlight w:val="none"/>
          <w14:textFill>
            <w14:solidFill>
              <w14:schemeClr w14:val="tx1"/>
            </w14:solidFill>
          </w14:textFill>
        </w:rPr>
        <w:t>6.1安全文明施工</w:t>
      </w:r>
      <w:bookmarkEnd w:id="267"/>
      <w:bookmarkEnd w:id="268"/>
    </w:p>
    <w:p w14:paraId="6DC57B6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6.1.1安全生产要求</w:t>
      </w:r>
    </w:p>
    <w:p w14:paraId="4B6E07D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5CABB5C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在施工过程中，如遇到突发的地质变动、事先未知的地下施工障碍等影响施工安全的紧急情况，承包人应及时报告监理人和发包人，发包人应当及时下令停工并报政府有关行政管理部门采取应急措施。</w:t>
      </w:r>
    </w:p>
    <w:p w14:paraId="173F73E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因安全生产需要暂停施工的，按照第7.8款〔暂停施工〕的约定执行。</w:t>
      </w:r>
    </w:p>
    <w:p w14:paraId="308027B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6.1.2安全生产保证措施</w:t>
      </w:r>
    </w:p>
    <w:p w14:paraId="4225DBE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当按照有关规定编制安全技术措施或者专项施工方案，建立安全生产责任制度、治安保卫制度及安全生产教育培训制度，并按安全生产法律规定及合同约定履行安全职责，如实编制工程安全生产的有关记录，接受发包人、监理人及政府安全监督部门的检查与监督。</w:t>
      </w:r>
    </w:p>
    <w:p w14:paraId="29E4BC5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6.1.3特别安全生产事项</w:t>
      </w:r>
    </w:p>
    <w:p w14:paraId="52DFD8F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14DDF04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承包人在动力设备、输电线路、地下管道、密封防震车间、易燃易爆地段以及临街交通要道附近施工时，施工开始前应向发包人和监理人提出安全防护措施，经发包人认可后实施。</w:t>
      </w:r>
    </w:p>
    <w:p w14:paraId="3E35AF4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实施爆破作业，在放射、毒害性环境中施工（含储存、运输、使用）及使用毒害性、腐蚀性物品施工时，承包人应在施工前7天以书面通知发包人和监理人，并报送相应的安全防护措施，经发包人认可后实施。</w:t>
      </w:r>
    </w:p>
    <w:p w14:paraId="442D16B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需单独编制危险性较大分部分项专项工程施工方案的，及要求进行专家论证的超过一定规模的危险性较大的分部分项工程，承包人应及时编制和组织论证。</w:t>
      </w:r>
    </w:p>
    <w:p w14:paraId="5A3B5BC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6.1.4治安保卫</w:t>
      </w:r>
    </w:p>
    <w:p w14:paraId="2EA2258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除专用合同条款另有约定外，发包人应与当地公安部门协商，在现场建立治安管理机构或联防组织，统一管理施工场地的治安保卫事项，履行合同工程的治安保卫职责。</w:t>
      </w:r>
    </w:p>
    <w:p w14:paraId="7E58AE1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发包人和承包人除应协助现场治安管理机构或联防组织维护施工场地的社会治安外，还应做好包括生活区在内的各自管辖区的治安保卫工作。</w:t>
      </w:r>
    </w:p>
    <w:p w14:paraId="2CFB781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333C32E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6.1.5文明施工</w:t>
      </w:r>
    </w:p>
    <w:p w14:paraId="3D31493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494C05B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5E0F79B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6.1.6安全文明施工费</w:t>
      </w:r>
    </w:p>
    <w:p w14:paraId="1A3D6EC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安全文明施工费由发包人承担，发包人不得以任何形式扣减该部分费用。因基准日期后合同所适用的法律或政府有关规定发生变化，增加的安全文明施工费由发包人承担。</w:t>
      </w:r>
    </w:p>
    <w:p w14:paraId="5157F02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5AA3F74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7B22115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70D48E7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6.1.7紧急情况处理</w:t>
      </w:r>
    </w:p>
    <w:p w14:paraId="60BB6B9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4596796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6.1.8事故处理</w:t>
      </w:r>
    </w:p>
    <w:p w14:paraId="1367987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16E9E12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6.1.9安全生产责任</w:t>
      </w:r>
    </w:p>
    <w:p w14:paraId="31ABC89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6.1.9.1发包人的安全责任</w:t>
      </w:r>
    </w:p>
    <w:p w14:paraId="07BB905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发包人应负责赔偿以下各种情况造成的损失：</w:t>
      </w:r>
    </w:p>
    <w:p w14:paraId="0357715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（1）工程或工程的任何部分对土地的占用所造成的第三者财产损失；</w:t>
      </w:r>
    </w:p>
    <w:p w14:paraId="0A12FBB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（2）由于发包人原因在施工场地及其毗邻地带造成的第三者人身伤亡和财产损失；</w:t>
      </w:r>
    </w:p>
    <w:p w14:paraId="6243FCB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（3）由于发包人原因对承包人、监理人造成的人员人身伤亡和财产损失；</w:t>
      </w:r>
    </w:p>
    <w:p w14:paraId="2C47F92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（4）由于发包人原因造成的发包人自身人员的人身伤害以及财产损失。</w:t>
      </w:r>
    </w:p>
    <w:p w14:paraId="5842E3B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6.1.9.2承包人的安全责任</w:t>
      </w:r>
    </w:p>
    <w:p w14:paraId="5A0014F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由于承包人原因在施工场地内及其毗邻地带造成的发包人、监理人以及第三者人员伤亡和财产损失，由承包人负责赔偿。</w:t>
      </w:r>
    </w:p>
    <w:p w14:paraId="0D4CC147">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69" w:name="_Toc217642198"/>
      <w:bookmarkStart w:id="270" w:name="_Toc13765"/>
      <w:r>
        <w:rPr>
          <w:rFonts w:hint="eastAsia" w:ascii="黑体" w:hAnsi="黑体"/>
          <w:b/>
          <w:bCs/>
          <w:color w:val="000000" w:themeColor="text1"/>
          <w:sz w:val="32"/>
          <w:szCs w:val="32"/>
          <w:highlight w:val="none"/>
          <w14:textFill>
            <w14:solidFill>
              <w14:schemeClr w14:val="tx1"/>
            </w14:solidFill>
          </w14:textFill>
        </w:rPr>
        <w:t>6.2职业健康</w:t>
      </w:r>
      <w:bookmarkEnd w:id="269"/>
      <w:bookmarkEnd w:id="270"/>
    </w:p>
    <w:p w14:paraId="72761B4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6.2.1劳动保护</w:t>
      </w:r>
    </w:p>
    <w:p w14:paraId="13A9885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4CA6889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2FCDC8B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承包人应按法律规定安排工作时间，保证其雇佣人员享有休息和休假的权利。因工程施工的特殊需要占用休假日或延长工作时间的，应不超过法律规定的限度，并按法律规定给予补休或付酬。</w:t>
      </w:r>
    </w:p>
    <w:p w14:paraId="6EAB164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6.2.2生活条件</w:t>
      </w:r>
    </w:p>
    <w:p w14:paraId="3E5DEE1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为其履行合同所雇用的人员提供必要的膳宿条件和生活环境；承包人应采取有效措施预防传染病，保证施工人员的健康，并定期对施工现场、施工人员生活基地和工程进行防疫和卫生的专业检查和处理，在远离城镇的施工场地，还应配备必要的伤病防治和急救的医务人员与医疗设施。</w:t>
      </w:r>
    </w:p>
    <w:p w14:paraId="01DDF02B">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71" w:name="_Toc17170"/>
      <w:bookmarkStart w:id="272" w:name="_Toc217642199"/>
      <w:r>
        <w:rPr>
          <w:rFonts w:hint="eastAsia" w:ascii="黑体" w:hAnsi="黑体"/>
          <w:b/>
          <w:bCs/>
          <w:color w:val="000000" w:themeColor="text1"/>
          <w:sz w:val="32"/>
          <w:szCs w:val="32"/>
          <w:highlight w:val="none"/>
          <w14:textFill>
            <w14:solidFill>
              <w14:schemeClr w14:val="tx1"/>
            </w14:solidFill>
          </w14:textFill>
        </w:rPr>
        <w:t>6.3环境保护</w:t>
      </w:r>
      <w:bookmarkEnd w:id="271"/>
      <w:bookmarkEnd w:id="272"/>
    </w:p>
    <w:p w14:paraId="20284DB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3946792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承包人应当承担因其原因引起的环境污染侵权损害赔偿责任，因上述环境污染引起纠纷而导致暂停施工的，由此增加的费用和（或）延误的工期由承包人承担。</w:t>
      </w:r>
    </w:p>
    <w:p w14:paraId="6A5F886C">
      <w:pPr>
        <w:keepNext/>
        <w:keepLines/>
        <w:spacing w:before="260" w:after="260" w:line="416" w:lineRule="auto"/>
        <w:outlineLvl w:val="1"/>
        <w:rPr>
          <w:rFonts w:ascii="黑体" w:hAnsi="黑体"/>
          <w:b/>
          <w:bCs/>
          <w:color w:val="000000" w:themeColor="text1"/>
          <w:sz w:val="32"/>
          <w:szCs w:val="32"/>
          <w:highlight w:val="none"/>
          <w14:textFill>
            <w14:solidFill>
              <w14:schemeClr w14:val="tx1"/>
            </w14:solidFill>
          </w14:textFill>
        </w:rPr>
      </w:pPr>
      <w:bookmarkStart w:id="273" w:name="_Toc217642200"/>
      <w:bookmarkStart w:id="274" w:name="_Toc8321"/>
      <w:r>
        <w:rPr>
          <w:rFonts w:hint="eastAsia" w:ascii="黑体" w:hAnsi="黑体"/>
          <w:b/>
          <w:bCs/>
          <w:color w:val="000000" w:themeColor="text1"/>
          <w:sz w:val="32"/>
          <w:szCs w:val="32"/>
          <w:highlight w:val="none"/>
          <w14:textFill>
            <w14:solidFill>
              <w14:schemeClr w14:val="tx1"/>
            </w14:solidFill>
          </w14:textFill>
        </w:rPr>
        <w:t>7.工期和进度</w:t>
      </w:r>
      <w:bookmarkEnd w:id="273"/>
      <w:bookmarkEnd w:id="274"/>
    </w:p>
    <w:p w14:paraId="45B7FC18">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75" w:name="_Toc17186"/>
      <w:bookmarkStart w:id="276" w:name="_Toc217642201"/>
      <w:r>
        <w:rPr>
          <w:rFonts w:hint="eastAsia" w:ascii="黑体" w:hAnsi="黑体"/>
          <w:b/>
          <w:bCs/>
          <w:color w:val="000000" w:themeColor="text1"/>
          <w:sz w:val="32"/>
          <w:szCs w:val="32"/>
          <w:highlight w:val="none"/>
          <w14:textFill>
            <w14:solidFill>
              <w14:schemeClr w14:val="tx1"/>
            </w14:solidFill>
          </w14:textFill>
        </w:rPr>
        <w:t>7.1施工组织设计</w:t>
      </w:r>
      <w:bookmarkEnd w:id="275"/>
      <w:bookmarkEnd w:id="276"/>
    </w:p>
    <w:p w14:paraId="4704C18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7.1.1施工组织设计的内容</w:t>
      </w:r>
    </w:p>
    <w:p w14:paraId="481D631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施工组织设计应包含以下内容：</w:t>
      </w:r>
    </w:p>
    <w:p w14:paraId="672A699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（1）施工方案；</w:t>
      </w:r>
    </w:p>
    <w:p w14:paraId="03DEEBA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（2）施工现场平面布置图；</w:t>
      </w:r>
    </w:p>
    <w:p w14:paraId="406432A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（3）施工进度计划和保证措施；</w:t>
      </w:r>
    </w:p>
    <w:p w14:paraId="0039E7F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（4）劳动力及材料供应计划；</w:t>
      </w:r>
    </w:p>
    <w:p w14:paraId="127BCB8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（5）施工机械设备的选用；</w:t>
      </w:r>
    </w:p>
    <w:p w14:paraId="3712241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（6）质量保证体系及措施；</w:t>
      </w:r>
    </w:p>
    <w:p w14:paraId="0864878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（7）安全生产、文明施工措施；</w:t>
      </w:r>
    </w:p>
    <w:p w14:paraId="46D69EE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（8）环境保护、成本控制措施；</w:t>
      </w:r>
    </w:p>
    <w:p w14:paraId="7972008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（9）合同当事人约定的其他内容。</w:t>
      </w:r>
    </w:p>
    <w:p w14:paraId="2451F47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7.1.2施工组织设计的提交和修改</w:t>
      </w:r>
    </w:p>
    <w:p w14:paraId="5D85E1E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62DD119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施工进度计划的编制和修改按照第7.2款〔施工进度计划〕执行。</w:t>
      </w:r>
    </w:p>
    <w:p w14:paraId="55C25B9F">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77" w:name="_Toc2468"/>
      <w:bookmarkStart w:id="278" w:name="_Toc217642202"/>
      <w:r>
        <w:rPr>
          <w:rFonts w:hint="eastAsia" w:ascii="黑体" w:hAnsi="黑体"/>
          <w:b/>
          <w:bCs/>
          <w:color w:val="000000" w:themeColor="text1"/>
          <w:sz w:val="32"/>
          <w:szCs w:val="32"/>
          <w:highlight w:val="none"/>
          <w14:textFill>
            <w14:solidFill>
              <w14:schemeClr w14:val="tx1"/>
            </w14:solidFill>
          </w14:textFill>
        </w:rPr>
        <w:t>7.2施工进度计划</w:t>
      </w:r>
      <w:bookmarkEnd w:id="277"/>
      <w:bookmarkEnd w:id="278"/>
    </w:p>
    <w:p w14:paraId="3D97486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7.2.1施工进度计划的编制</w:t>
      </w:r>
    </w:p>
    <w:p w14:paraId="7ECD66E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26A99D3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7.2.2施工进度计划的修订</w:t>
      </w:r>
    </w:p>
    <w:p w14:paraId="617577F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195EB7FA">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79" w:name="_Toc19804"/>
      <w:bookmarkStart w:id="280" w:name="_Toc217642203"/>
      <w:r>
        <w:rPr>
          <w:rFonts w:hint="eastAsia" w:ascii="黑体" w:hAnsi="黑体"/>
          <w:b/>
          <w:bCs/>
          <w:color w:val="000000" w:themeColor="text1"/>
          <w:sz w:val="32"/>
          <w:szCs w:val="32"/>
          <w:highlight w:val="none"/>
          <w14:textFill>
            <w14:solidFill>
              <w14:schemeClr w14:val="tx1"/>
            </w14:solidFill>
          </w14:textFill>
        </w:rPr>
        <w:t>7.3开工</w:t>
      </w:r>
      <w:bookmarkEnd w:id="279"/>
      <w:bookmarkEnd w:id="280"/>
    </w:p>
    <w:p w14:paraId="6EDA45F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7.3.1开工准备</w:t>
      </w:r>
    </w:p>
    <w:p w14:paraId="64EF33C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4CD0A4C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除专用合同条款另有约定外，合同当事人应按约定完成开工准备工作。</w:t>
      </w:r>
    </w:p>
    <w:p w14:paraId="1174927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7.3.2开工通知</w:t>
      </w:r>
    </w:p>
    <w:p w14:paraId="7608417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0D5E43F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3691C243">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81" w:name="_Toc5416"/>
      <w:bookmarkStart w:id="282" w:name="_Toc217642204"/>
      <w:r>
        <w:rPr>
          <w:rFonts w:hint="eastAsia" w:ascii="黑体" w:hAnsi="黑体"/>
          <w:b/>
          <w:bCs/>
          <w:color w:val="000000" w:themeColor="text1"/>
          <w:sz w:val="32"/>
          <w:szCs w:val="32"/>
          <w:highlight w:val="none"/>
          <w14:textFill>
            <w14:solidFill>
              <w14:schemeClr w14:val="tx1"/>
            </w14:solidFill>
          </w14:textFill>
        </w:rPr>
        <w:t>7.4测量放线</w:t>
      </w:r>
      <w:bookmarkEnd w:id="281"/>
      <w:bookmarkEnd w:id="282"/>
    </w:p>
    <w:p w14:paraId="3F29E4A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7.4.1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3E20AC1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3559E90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7.4.2承包人负责施工过程中的全部施工测量放线工作，并配置具有相应资质的人员、合格的仪器、设备和其他物品。承包人应矫正工程的位置、标高、尺寸或准线中出现的任何差错，并对工程各部分的定位负责。</w:t>
      </w:r>
    </w:p>
    <w:p w14:paraId="554D209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施工过程中对施工现场内水准点等测量标志物的保护工作由承包人负责。</w:t>
      </w:r>
    </w:p>
    <w:p w14:paraId="31D6C299">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83" w:name="_Toc15063"/>
      <w:bookmarkStart w:id="284" w:name="_Toc217642205"/>
      <w:r>
        <w:rPr>
          <w:rFonts w:hint="eastAsia" w:ascii="黑体" w:hAnsi="黑体"/>
          <w:b/>
          <w:bCs/>
          <w:color w:val="000000" w:themeColor="text1"/>
          <w:sz w:val="32"/>
          <w:szCs w:val="32"/>
          <w:highlight w:val="none"/>
          <w14:textFill>
            <w14:solidFill>
              <w14:schemeClr w14:val="tx1"/>
            </w14:solidFill>
          </w14:textFill>
        </w:rPr>
        <w:t>7.5工期延误</w:t>
      </w:r>
      <w:bookmarkEnd w:id="283"/>
      <w:bookmarkEnd w:id="284"/>
    </w:p>
    <w:p w14:paraId="20DB306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7.5.1因发包人原因导致工期延误</w:t>
      </w:r>
    </w:p>
    <w:p w14:paraId="34FE052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在合同履行过程中，因下列情况导致工期延误和（或）费用增加的，由发包人承担由此延误的工期和（或）增加的费用，且发包人应支付承包人合理的利润：</w:t>
      </w:r>
    </w:p>
    <w:p w14:paraId="408DC59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（1）发包人未能按合同约定提供图纸或所提供图纸不符合合同约定的；</w:t>
      </w:r>
    </w:p>
    <w:p w14:paraId="528D427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（2）发包人未能按合同约定提供施工现场、施工条件、基础资料、许可、批准等开工条件的；</w:t>
      </w:r>
    </w:p>
    <w:p w14:paraId="0DD09C9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（3）发包人提供的测量基准点、基准线和水准点及其书面资料存在错误或疏漏的；</w:t>
      </w:r>
    </w:p>
    <w:p w14:paraId="629B64B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（4）发包人未能在计划开工日期之日起7天内同意下达开工通知的；</w:t>
      </w:r>
    </w:p>
    <w:p w14:paraId="7986D9A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（5）发包人未能按合同约定日期支付工程预付款、进度款或竣工结算款的；</w:t>
      </w:r>
    </w:p>
    <w:p w14:paraId="613EB7F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（6）监理人未按合同约定发出指示、批准等文件的；</w:t>
      </w:r>
    </w:p>
    <w:p w14:paraId="47B37D5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（7）专用合同条款中约定的其他情形。</w:t>
      </w:r>
    </w:p>
    <w:p w14:paraId="0559238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5993934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7.5.2因承包人原因导致工期延误</w:t>
      </w:r>
    </w:p>
    <w:p w14:paraId="1631297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因承包人原因造成工期延误的，可以在专用合同条款中约定逾期竣工违约金的计算方法和逾期竣工违约金的上限。承包人支付逾期竣工违约金后，不免除承包人继续完成工程及修补缺陷的义务。</w:t>
      </w:r>
    </w:p>
    <w:p w14:paraId="477013E7">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85" w:name="_Toc28869"/>
      <w:bookmarkStart w:id="286" w:name="_Toc217642206"/>
      <w:r>
        <w:rPr>
          <w:rFonts w:hint="eastAsia" w:ascii="黑体" w:hAnsi="黑体"/>
          <w:b/>
          <w:bCs/>
          <w:color w:val="000000" w:themeColor="text1"/>
          <w:sz w:val="32"/>
          <w:szCs w:val="32"/>
          <w:highlight w:val="none"/>
          <w14:textFill>
            <w14:solidFill>
              <w14:schemeClr w14:val="tx1"/>
            </w14:solidFill>
          </w14:textFill>
        </w:rPr>
        <w:t>7.6不利物质条件</w:t>
      </w:r>
      <w:bookmarkEnd w:id="285"/>
      <w:bookmarkEnd w:id="286"/>
    </w:p>
    <w:p w14:paraId="2A129C8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7A2DD98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3E41F4EA">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87" w:name="_Toc217642207"/>
      <w:bookmarkStart w:id="288" w:name="_Toc16251"/>
      <w:r>
        <w:rPr>
          <w:rFonts w:hint="eastAsia" w:ascii="黑体" w:hAnsi="黑体"/>
          <w:b/>
          <w:bCs/>
          <w:color w:val="000000" w:themeColor="text1"/>
          <w:sz w:val="32"/>
          <w:szCs w:val="32"/>
          <w:highlight w:val="none"/>
          <w14:textFill>
            <w14:solidFill>
              <w14:schemeClr w14:val="tx1"/>
            </w14:solidFill>
          </w14:textFill>
        </w:rPr>
        <w:t>7.7异常恶劣的气候条件</w:t>
      </w:r>
      <w:bookmarkEnd w:id="287"/>
      <w:bookmarkEnd w:id="288"/>
    </w:p>
    <w:p w14:paraId="7C4BCE2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37800D7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p>
    <w:p w14:paraId="22278EAC">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89" w:name="_Toc217642208"/>
      <w:bookmarkStart w:id="290" w:name="_Toc4488"/>
      <w:r>
        <w:rPr>
          <w:rFonts w:hint="eastAsia" w:ascii="黑体" w:hAnsi="黑体"/>
          <w:b/>
          <w:bCs/>
          <w:color w:val="000000" w:themeColor="text1"/>
          <w:sz w:val="32"/>
          <w:szCs w:val="32"/>
          <w:highlight w:val="none"/>
          <w14:textFill>
            <w14:solidFill>
              <w14:schemeClr w14:val="tx1"/>
            </w14:solidFill>
          </w14:textFill>
        </w:rPr>
        <w:t>7.8暂停施工</w:t>
      </w:r>
      <w:bookmarkEnd w:id="289"/>
      <w:bookmarkEnd w:id="290"/>
    </w:p>
    <w:p w14:paraId="3626BDB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7.8.1发包人原因引起的暂停施工</w:t>
      </w:r>
    </w:p>
    <w:p w14:paraId="7BA934D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因发包人原因引起暂停施工的，监理人经发包人同意后，应及时下达暂停施工指示。情况紧急且监理人未及时下达暂停施工指示的，按照第7.8.4项〔紧急情况下的暂停施工〕执行。</w:t>
      </w:r>
    </w:p>
    <w:p w14:paraId="019D645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因发包人原因引起的暂停施工，发包人应承担由此增加的费用和（或）延误的工期，并支付承包人合理的利润。</w:t>
      </w:r>
    </w:p>
    <w:p w14:paraId="788F367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7.8.2承包人原因引起的暂停施工</w:t>
      </w:r>
    </w:p>
    <w:p w14:paraId="52FA99A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413C888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7.8.3指示暂停施工</w:t>
      </w:r>
    </w:p>
    <w:p w14:paraId="24F7324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监理人认为有必要时，并经发包人批准后，可向承包人作出暂停施工的指示，承包人应按监理人指示暂停施工。</w:t>
      </w:r>
    </w:p>
    <w:p w14:paraId="17DC585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7.8.4紧急情况下的暂停施工</w:t>
      </w:r>
    </w:p>
    <w:p w14:paraId="18A14A0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083C671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7.8.5暂停施工后的复工</w:t>
      </w:r>
    </w:p>
    <w:p w14:paraId="66F5FE0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3EC36DA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承包人无故拖延和拒绝复工的，承包人承担由此增加的费用和（或）延误的工期；因发包人原因无法按时复工的，按照第7.5.1项〔因发包人原因导致工期延误〕约定办理。</w:t>
      </w:r>
    </w:p>
    <w:p w14:paraId="3EC4751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7.8.6暂停施工持续56天以上</w:t>
      </w:r>
    </w:p>
    <w:p w14:paraId="13BF2B9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674E3D7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1BFC6A2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7.8.7暂停施工期间的工程照管</w:t>
      </w:r>
    </w:p>
    <w:p w14:paraId="2A58356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暂停施工期间，承包人应负责妥善照管工程并提供安全保障，由此增加的费用由责任方承担。</w:t>
      </w:r>
    </w:p>
    <w:p w14:paraId="1138415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7.8.8暂停施工的措施</w:t>
      </w:r>
    </w:p>
    <w:p w14:paraId="0D598E6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暂停施工期间，发包人和承包人均应采取必要的措施确保工程质量及安全，防止因暂停施工扩大损失。</w:t>
      </w:r>
    </w:p>
    <w:p w14:paraId="2A7DC354">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91" w:name="_Toc29124"/>
      <w:bookmarkStart w:id="292" w:name="_Toc217642209"/>
      <w:r>
        <w:rPr>
          <w:rFonts w:hint="eastAsia" w:ascii="黑体" w:hAnsi="黑体"/>
          <w:b/>
          <w:bCs/>
          <w:color w:val="000000" w:themeColor="text1"/>
          <w:sz w:val="32"/>
          <w:szCs w:val="32"/>
          <w:highlight w:val="none"/>
          <w14:textFill>
            <w14:solidFill>
              <w14:schemeClr w14:val="tx1"/>
            </w14:solidFill>
          </w14:textFill>
        </w:rPr>
        <w:t>7.9提前竣工</w:t>
      </w:r>
      <w:bookmarkEnd w:id="291"/>
      <w:bookmarkEnd w:id="292"/>
    </w:p>
    <w:p w14:paraId="73CF6EF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7.9.1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5698FF0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7.9.2发包人要求承包人提前竣工，或承包人提出提前竣工的建议能够给发包人带来效益的，合同当事人可以在专用合同条款中约定提前竣工的奖励。</w:t>
      </w:r>
    </w:p>
    <w:p w14:paraId="765AC9B1">
      <w:pPr>
        <w:keepNext/>
        <w:keepLines/>
        <w:spacing w:before="260" w:after="260" w:line="416" w:lineRule="auto"/>
        <w:outlineLvl w:val="1"/>
        <w:rPr>
          <w:rFonts w:ascii="黑体" w:hAnsi="黑体"/>
          <w:b/>
          <w:bCs/>
          <w:color w:val="000000" w:themeColor="text1"/>
          <w:sz w:val="32"/>
          <w:szCs w:val="32"/>
          <w:highlight w:val="none"/>
          <w14:textFill>
            <w14:solidFill>
              <w14:schemeClr w14:val="tx1"/>
            </w14:solidFill>
          </w14:textFill>
        </w:rPr>
      </w:pPr>
      <w:bookmarkStart w:id="293" w:name="_Toc217642210"/>
      <w:bookmarkStart w:id="294" w:name="_Toc23321"/>
      <w:r>
        <w:rPr>
          <w:rFonts w:hint="eastAsia" w:ascii="黑体" w:hAnsi="黑体"/>
          <w:b/>
          <w:bCs/>
          <w:color w:val="000000" w:themeColor="text1"/>
          <w:sz w:val="32"/>
          <w:szCs w:val="32"/>
          <w:highlight w:val="none"/>
          <w14:textFill>
            <w14:solidFill>
              <w14:schemeClr w14:val="tx1"/>
            </w14:solidFill>
          </w14:textFill>
        </w:rPr>
        <w:t>8.材料与设备</w:t>
      </w:r>
      <w:bookmarkEnd w:id="293"/>
      <w:bookmarkEnd w:id="294"/>
    </w:p>
    <w:p w14:paraId="49E94253">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95" w:name="_Toc217642211"/>
      <w:bookmarkStart w:id="296" w:name="_Toc6505"/>
      <w:r>
        <w:rPr>
          <w:rFonts w:hint="eastAsia" w:ascii="黑体" w:hAnsi="黑体"/>
          <w:b/>
          <w:bCs/>
          <w:color w:val="000000" w:themeColor="text1"/>
          <w:sz w:val="32"/>
          <w:szCs w:val="32"/>
          <w:highlight w:val="none"/>
          <w14:textFill>
            <w14:solidFill>
              <w14:schemeClr w14:val="tx1"/>
            </w14:solidFill>
          </w14:textFill>
        </w:rPr>
        <w:t>8.1发包人供应材料与工程设备</w:t>
      </w:r>
      <w:bookmarkEnd w:id="295"/>
      <w:bookmarkEnd w:id="296"/>
    </w:p>
    <w:p w14:paraId="068EE41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发包人自行供应材料、工程设备的，应在签订合同时在专用合同条款的附件《发包人供应材料设备一览表》中明确材料、工程设备的品种、规格、型号、数量、单价、质量等级和送达地点。</w:t>
      </w:r>
    </w:p>
    <w:p w14:paraId="3567193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3277685F">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97" w:name="_Toc26174"/>
      <w:bookmarkStart w:id="298" w:name="_Toc217642212"/>
      <w:r>
        <w:rPr>
          <w:rFonts w:hint="eastAsia" w:ascii="黑体" w:hAnsi="黑体"/>
          <w:b/>
          <w:bCs/>
          <w:color w:val="000000" w:themeColor="text1"/>
          <w:sz w:val="32"/>
          <w:szCs w:val="32"/>
          <w:highlight w:val="none"/>
          <w14:textFill>
            <w14:solidFill>
              <w14:schemeClr w14:val="tx1"/>
            </w14:solidFill>
          </w14:textFill>
        </w:rPr>
        <w:t>8.2承包人采购材料与工程设备</w:t>
      </w:r>
      <w:bookmarkEnd w:id="297"/>
      <w:bookmarkEnd w:id="298"/>
    </w:p>
    <w:p w14:paraId="4606BF7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44749BB7">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299" w:name="_Toc17501"/>
      <w:bookmarkStart w:id="300" w:name="_Toc217642213"/>
      <w:r>
        <w:rPr>
          <w:rFonts w:hint="eastAsia" w:ascii="黑体" w:hAnsi="黑体"/>
          <w:b/>
          <w:bCs/>
          <w:color w:val="000000" w:themeColor="text1"/>
          <w:sz w:val="32"/>
          <w:szCs w:val="32"/>
          <w:highlight w:val="none"/>
          <w14:textFill>
            <w14:solidFill>
              <w14:schemeClr w14:val="tx1"/>
            </w14:solidFill>
          </w14:textFill>
        </w:rPr>
        <w:t>8.3材料与工程设备的接收与拒收</w:t>
      </w:r>
      <w:bookmarkEnd w:id="299"/>
      <w:bookmarkEnd w:id="300"/>
    </w:p>
    <w:p w14:paraId="4B0DEA0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8.3.1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563A40C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发包人提供的材料和工程设备的规格、数量或质量不符合合同约定的，或因发包人原因导致交货日期延误或交货地点变更等情况的，按照第16.1款〔发包人违约〕约定办理。</w:t>
      </w:r>
    </w:p>
    <w:p w14:paraId="5DC86C5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8.3.2承包人采购的材料和工程设备，应保证产品质量合格，承包人应在材料和工程设备到货前24小时通知监理人检验。承包人进行永久设备、材料的制造和生产的，应符合相关质量标准，并向监理人提交材料的样本以及有关资料，并应在使用该材料或工程设备之前获得监理人同意。</w:t>
      </w:r>
    </w:p>
    <w:p w14:paraId="7CD356E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21AE5531">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01" w:name="_Toc217642214"/>
      <w:bookmarkStart w:id="302" w:name="_Toc2138"/>
      <w:r>
        <w:rPr>
          <w:rFonts w:hint="eastAsia" w:ascii="黑体" w:hAnsi="黑体"/>
          <w:b/>
          <w:bCs/>
          <w:color w:val="000000" w:themeColor="text1"/>
          <w:sz w:val="32"/>
          <w:szCs w:val="32"/>
          <w:highlight w:val="none"/>
          <w14:textFill>
            <w14:solidFill>
              <w14:schemeClr w14:val="tx1"/>
            </w14:solidFill>
          </w14:textFill>
        </w:rPr>
        <w:t>8.4材料与工程设备的保管与使用</w:t>
      </w:r>
      <w:bookmarkEnd w:id="301"/>
      <w:bookmarkEnd w:id="302"/>
    </w:p>
    <w:p w14:paraId="7CA0299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8.4.1发包人供应材料与工程设备的保管与使用</w:t>
      </w:r>
    </w:p>
    <w:p w14:paraId="0F83AFE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23AFD2C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发包人供应的材料和工程设备使用前，由承包人负责检验，检验费用由发包人承担，不合格的不得使用。</w:t>
      </w:r>
    </w:p>
    <w:p w14:paraId="6BF632B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8.4.2承包人采购材料与工程设备的保管与使用</w:t>
      </w:r>
    </w:p>
    <w:p w14:paraId="2352D32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2DFDE22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发包人或监理人发现承包人使用不符合设计或有关标准要求的材料和工程设备时，有权要求承包人进行修复、拆除或重新采购，由此增加的费用和（或）延误的工期，由承包人承担。</w:t>
      </w:r>
    </w:p>
    <w:p w14:paraId="7F93FE69">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03" w:name="_Toc23753"/>
      <w:bookmarkStart w:id="304" w:name="_Toc217642215"/>
      <w:r>
        <w:rPr>
          <w:rFonts w:hint="eastAsia" w:ascii="黑体" w:hAnsi="黑体"/>
          <w:b/>
          <w:bCs/>
          <w:color w:val="000000" w:themeColor="text1"/>
          <w:sz w:val="32"/>
          <w:szCs w:val="32"/>
          <w:highlight w:val="none"/>
          <w14:textFill>
            <w14:solidFill>
              <w14:schemeClr w14:val="tx1"/>
            </w14:solidFill>
          </w14:textFill>
        </w:rPr>
        <w:t>8.5禁止使用不合格的材料和工程设备</w:t>
      </w:r>
      <w:bookmarkEnd w:id="303"/>
      <w:bookmarkEnd w:id="304"/>
    </w:p>
    <w:p w14:paraId="4159B0C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8.5.1监理人有权拒绝承包人提供的不合格材料或工程设备，并要求承包人立即进行更换。监理人应在更换后再次进行检查和检验，由此增加的费用和（或）延误的工期由承包人承担。</w:t>
      </w:r>
    </w:p>
    <w:p w14:paraId="6029556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8.5.2监理人发现承包人使用了不合格的材料和工程设备，承包人应按照监理人的指示立即改正，并禁止在工程中继续使用不合格的材料和工程设备。</w:t>
      </w:r>
    </w:p>
    <w:p w14:paraId="5286BEC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8.5.3发包人提供的材料或工程设备不符合合同要求的，承包人有权拒绝，并可要求发包人更换，由此增加的费用和（或）延误的工期由发包人承担，并支付承包人合理的利润。</w:t>
      </w:r>
    </w:p>
    <w:p w14:paraId="284D6AE5">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05" w:name="_Toc3062"/>
      <w:bookmarkStart w:id="306" w:name="_Toc217642216"/>
      <w:r>
        <w:rPr>
          <w:rFonts w:hint="eastAsia" w:ascii="黑体" w:hAnsi="黑体"/>
          <w:b/>
          <w:bCs/>
          <w:color w:val="000000" w:themeColor="text1"/>
          <w:sz w:val="32"/>
          <w:szCs w:val="32"/>
          <w:highlight w:val="none"/>
          <w14:textFill>
            <w14:solidFill>
              <w14:schemeClr w14:val="tx1"/>
            </w14:solidFill>
          </w14:textFill>
        </w:rPr>
        <w:t>8.6样品</w:t>
      </w:r>
      <w:bookmarkEnd w:id="305"/>
      <w:bookmarkEnd w:id="306"/>
    </w:p>
    <w:p w14:paraId="6D51B29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8.6.1样品的报送与封存</w:t>
      </w:r>
    </w:p>
    <w:p w14:paraId="13F781A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需要承包人报送样品的材料或工程设备，样品的种类、名称、规格、数量等要求均应在专用合同条款中约定。样品的报送程序如下：</w:t>
      </w:r>
    </w:p>
    <w:p w14:paraId="5971A93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1E99AE2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05429C7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（3）经发包人和监理人审批确认的样品应按约定的方法封样，封存的样品作为检验工程相关部分的标准之一。承包人在施工过程中不得使用与样品不符的材料或工程设备。</w:t>
      </w:r>
    </w:p>
    <w:p w14:paraId="5BA888C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6AC191A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8.6.2样品的保管</w:t>
      </w:r>
    </w:p>
    <w:p w14:paraId="639FDB4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经批准的样品应由监理人负责封存于现场，承包人应在现场为保存样品提供适当和固定的场所并保持适当和良好的存储环境条件。</w:t>
      </w:r>
    </w:p>
    <w:p w14:paraId="4C94BB35">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07" w:name="_Toc217642217"/>
      <w:bookmarkStart w:id="308" w:name="_Toc4082"/>
      <w:r>
        <w:rPr>
          <w:rFonts w:hint="eastAsia" w:ascii="黑体" w:hAnsi="黑体"/>
          <w:b/>
          <w:bCs/>
          <w:color w:val="000000" w:themeColor="text1"/>
          <w:sz w:val="32"/>
          <w:szCs w:val="32"/>
          <w:highlight w:val="none"/>
          <w14:textFill>
            <w14:solidFill>
              <w14:schemeClr w14:val="tx1"/>
            </w14:solidFill>
          </w14:textFill>
        </w:rPr>
        <w:t>8.7材料与工程设备的替代</w:t>
      </w:r>
      <w:bookmarkEnd w:id="307"/>
      <w:bookmarkEnd w:id="308"/>
    </w:p>
    <w:p w14:paraId="5B9F616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8.7.1出现下列情况需要使用替代材料和工程设备的，承包人应按照第8.7.2项约定的程序执行：</w:t>
      </w:r>
    </w:p>
    <w:p w14:paraId="07BF954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（1）基准日期后生效的法律规定禁止使用的；</w:t>
      </w:r>
    </w:p>
    <w:p w14:paraId="6BA23A1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（2）发包人要求使用替代品的；</w:t>
      </w:r>
    </w:p>
    <w:p w14:paraId="395C985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（3）因其他原因必须使用替代品的。</w:t>
      </w:r>
    </w:p>
    <w:p w14:paraId="235BB04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8.7.2承包人应在使用替代材料和工程设备28天前书面通知监理人，并附下列文件：</w:t>
      </w:r>
    </w:p>
    <w:p w14:paraId="5755904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（1）被替代的材料和工程设备的名称、数量、规格、型号、品牌、性能、价格及其他相关资料；</w:t>
      </w:r>
    </w:p>
    <w:p w14:paraId="2DC0A37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（2）替代品的名称、数量、规格、型号、品牌、性能、价格及其他相关资料；</w:t>
      </w:r>
    </w:p>
    <w:p w14:paraId="5C11F2A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（3）替代品与被替代产品之间的差异以及使用替代品可能对工程产生的影响；</w:t>
      </w:r>
    </w:p>
    <w:p w14:paraId="2A403F1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（4）替代品与被替代产品的价格差异；</w:t>
      </w:r>
    </w:p>
    <w:p w14:paraId="7071407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（5）使用替代品的理由和原因说明；</w:t>
      </w:r>
    </w:p>
    <w:p w14:paraId="5B4EEE4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（6）监理人要求的其他文件。</w:t>
      </w:r>
    </w:p>
    <w:p w14:paraId="46E670B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监理人应在收到通知后14天内向承包人发出经发包人签认的书面指示；监理人逾期发出书面指示的，视为发包人和监理人同意使用替代品。</w:t>
      </w:r>
    </w:p>
    <w:p w14:paraId="4F4C79E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8.7.3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77AE3934">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09" w:name="_Toc217642218"/>
      <w:bookmarkStart w:id="310" w:name="_Toc19103"/>
      <w:r>
        <w:rPr>
          <w:rFonts w:hint="eastAsia" w:ascii="黑体" w:hAnsi="黑体"/>
          <w:b/>
          <w:bCs/>
          <w:color w:val="000000" w:themeColor="text1"/>
          <w:sz w:val="32"/>
          <w:szCs w:val="32"/>
          <w:highlight w:val="none"/>
          <w14:textFill>
            <w14:solidFill>
              <w14:schemeClr w14:val="tx1"/>
            </w14:solidFill>
          </w14:textFill>
        </w:rPr>
        <w:t>8.8施工设备和临时设施</w:t>
      </w:r>
      <w:bookmarkEnd w:id="309"/>
      <w:bookmarkEnd w:id="310"/>
    </w:p>
    <w:p w14:paraId="3DEDE77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8.8.1承包人提供的施工设备和临时设施</w:t>
      </w:r>
    </w:p>
    <w:p w14:paraId="0E56B30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承包人应按合同进度计划的要求，及时配置施工设备和修建临时设施。进入施工场地的承包人设备需经监理人核查后才能投入使用。承包人更换合同约定的承包人设备的，应报监理人批准。</w:t>
      </w:r>
    </w:p>
    <w:p w14:paraId="01F4F6C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除专用合同条款另有约定外，承包人应自行承担修建临时设施的费用，需要临时占地的，应由发包人办理申请手续并承担相应费用。</w:t>
      </w:r>
    </w:p>
    <w:p w14:paraId="0DC910A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8.8.2发包人提供的施工设备和临时设施</w:t>
      </w:r>
    </w:p>
    <w:p w14:paraId="07C5E5B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发包人提供的施工设备或临时设施在专用合同条款中约定。</w:t>
      </w:r>
    </w:p>
    <w:p w14:paraId="76A0D94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8.8.3要求承包人增加或更换施工设备</w:t>
      </w:r>
    </w:p>
    <w:p w14:paraId="2F1710A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承包人使用的施工设备不能满足合同进度计划和（或）质量要求时，监理人有权要求承包人增加或更换施工设备，承包人应及时增加或更换，由此增加的费用和（或）延误的工期由承包人承担。</w:t>
      </w:r>
    </w:p>
    <w:p w14:paraId="6DB6C43D">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11" w:name="_Toc217642219"/>
      <w:bookmarkStart w:id="312" w:name="_Toc5415"/>
      <w:r>
        <w:rPr>
          <w:rFonts w:hint="eastAsia" w:ascii="黑体" w:hAnsi="黑体"/>
          <w:b/>
          <w:bCs/>
          <w:color w:val="000000" w:themeColor="text1"/>
          <w:sz w:val="32"/>
          <w:szCs w:val="32"/>
          <w:highlight w:val="none"/>
          <w14:textFill>
            <w14:solidFill>
              <w14:schemeClr w14:val="tx1"/>
            </w14:solidFill>
          </w14:textFill>
        </w:rPr>
        <w:t>8.9材料与设备专用要求</w:t>
      </w:r>
      <w:bookmarkEnd w:id="311"/>
      <w:bookmarkEnd w:id="312"/>
    </w:p>
    <w:p w14:paraId="1F3DF55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运入施工现场的材料、工程设备、施工设备以及在施工场地建设的临时设施，包括备品备件、安装工具与资料，必须专用于工程。未经发包人批准，承包人不得运出施工现场或挪作他用；经发包人批准，承包人可以根据施工进度计划撤走闲置的施工设备和其他物品。</w:t>
      </w:r>
    </w:p>
    <w:p w14:paraId="2D1E29FA">
      <w:pPr>
        <w:keepNext/>
        <w:keepLines/>
        <w:spacing w:before="260" w:after="260" w:line="416" w:lineRule="auto"/>
        <w:outlineLvl w:val="1"/>
        <w:rPr>
          <w:rFonts w:ascii="黑体" w:hAnsi="黑体"/>
          <w:b/>
          <w:bCs/>
          <w:color w:val="000000" w:themeColor="text1"/>
          <w:sz w:val="32"/>
          <w:szCs w:val="32"/>
          <w:highlight w:val="none"/>
          <w14:textFill>
            <w14:solidFill>
              <w14:schemeClr w14:val="tx1"/>
            </w14:solidFill>
          </w14:textFill>
        </w:rPr>
      </w:pPr>
      <w:bookmarkStart w:id="313" w:name="_Toc6807"/>
      <w:bookmarkStart w:id="314" w:name="_Toc217642220"/>
      <w:r>
        <w:rPr>
          <w:rFonts w:hint="eastAsia" w:ascii="黑体" w:hAnsi="黑体"/>
          <w:b/>
          <w:bCs/>
          <w:color w:val="000000" w:themeColor="text1"/>
          <w:sz w:val="32"/>
          <w:szCs w:val="32"/>
          <w:highlight w:val="none"/>
          <w14:textFill>
            <w14:solidFill>
              <w14:schemeClr w14:val="tx1"/>
            </w14:solidFill>
          </w14:textFill>
        </w:rPr>
        <w:t>9.试验与检验</w:t>
      </w:r>
      <w:bookmarkEnd w:id="313"/>
      <w:bookmarkEnd w:id="314"/>
    </w:p>
    <w:p w14:paraId="052ECE6E">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15" w:name="_Toc217642221"/>
      <w:bookmarkStart w:id="316" w:name="_Toc7455"/>
      <w:r>
        <w:rPr>
          <w:rFonts w:hint="eastAsia" w:ascii="黑体" w:hAnsi="黑体"/>
          <w:b/>
          <w:bCs/>
          <w:color w:val="000000" w:themeColor="text1"/>
          <w:sz w:val="32"/>
          <w:szCs w:val="32"/>
          <w:highlight w:val="none"/>
          <w14:textFill>
            <w14:solidFill>
              <w14:schemeClr w14:val="tx1"/>
            </w14:solidFill>
          </w14:textFill>
        </w:rPr>
        <w:t>9.1试验设备与试验人员</w:t>
      </w:r>
      <w:bookmarkEnd w:id="315"/>
      <w:bookmarkEnd w:id="316"/>
    </w:p>
    <w:p w14:paraId="16DB095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9.1.1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00E1F10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9.1.2承包人应按专用合同条款的约定提供试验设备、取样装置、试验场所和试验条件，并向监理人提交相应进场计划表。</w:t>
      </w:r>
    </w:p>
    <w:p w14:paraId="0BDEB46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承包人配置的试验设备要符合相应试验规程的要求并经过具有资质的检测单位检测，且在正式使用该试验设备前，需要经过监理人与承包人共同校定。</w:t>
      </w:r>
    </w:p>
    <w:p w14:paraId="7322992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9.1.3承包人应向监理人提交试验人员的名单及其岗位、资格等证明资料，试验人员必须能够熟练进行相应的检测试验，承包人对试验人员的试验程序和试验结果的正确性负责。</w:t>
      </w:r>
    </w:p>
    <w:p w14:paraId="52380D2F">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17" w:name="_Toc22318"/>
      <w:bookmarkStart w:id="318" w:name="_Toc217642222"/>
      <w:r>
        <w:rPr>
          <w:rFonts w:hint="eastAsia" w:ascii="黑体" w:hAnsi="黑体"/>
          <w:b/>
          <w:bCs/>
          <w:color w:val="000000" w:themeColor="text1"/>
          <w:sz w:val="32"/>
          <w:szCs w:val="32"/>
          <w:highlight w:val="none"/>
          <w14:textFill>
            <w14:solidFill>
              <w14:schemeClr w14:val="tx1"/>
            </w14:solidFill>
          </w14:textFill>
        </w:rPr>
        <w:t>9.2取样</w:t>
      </w:r>
      <w:bookmarkEnd w:id="317"/>
      <w:bookmarkEnd w:id="318"/>
    </w:p>
    <w:p w14:paraId="55895D9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试验属于自检性质的，承包人可以单独取样。试验属于监理人抽检性质的，可由监理人取样，也可由承包人的试验人员在监理人的监督下取样。</w:t>
      </w:r>
    </w:p>
    <w:p w14:paraId="4C9392C6">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19" w:name="_Toc217642223"/>
      <w:bookmarkStart w:id="320" w:name="_Toc13696"/>
      <w:r>
        <w:rPr>
          <w:rFonts w:hint="eastAsia" w:ascii="黑体" w:hAnsi="黑体"/>
          <w:b/>
          <w:bCs/>
          <w:color w:val="000000" w:themeColor="text1"/>
          <w:sz w:val="32"/>
          <w:szCs w:val="32"/>
          <w:highlight w:val="none"/>
          <w14:textFill>
            <w14:solidFill>
              <w14:schemeClr w14:val="tx1"/>
            </w14:solidFill>
          </w14:textFill>
        </w:rPr>
        <w:t>9.3材料、工程设备和工程的试验和检验</w:t>
      </w:r>
      <w:bookmarkEnd w:id="319"/>
      <w:bookmarkEnd w:id="320"/>
    </w:p>
    <w:p w14:paraId="071EAEE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3C79355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18789EC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6011214F">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21" w:name="_Toc217642224"/>
      <w:bookmarkStart w:id="322" w:name="_Toc16571"/>
      <w:r>
        <w:rPr>
          <w:rFonts w:hint="eastAsia" w:ascii="黑体" w:hAnsi="黑体"/>
          <w:b/>
          <w:bCs/>
          <w:color w:val="000000" w:themeColor="text1"/>
          <w:sz w:val="32"/>
          <w:szCs w:val="32"/>
          <w:highlight w:val="none"/>
          <w14:textFill>
            <w14:solidFill>
              <w14:schemeClr w14:val="tx1"/>
            </w14:solidFill>
          </w14:textFill>
        </w:rPr>
        <w:t>9.4现场工艺试验</w:t>
      </w:r>
      <w:bookmarkEnd w:id="321"/>
      <w:bookmarkEnd w:id="322"/>
    </w:p>
    <w:p w14:paraId="623D498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承包人应按合同约定或监理人指示进行现场工艺试验。对大型的现场工艺试验，监理人认为必要时，承包人应根据监理人提出的工艺试验要求，编制工艺试验措施计划，报送监理人审查。</w:t>
      </w:r>
    </w:p>
    <w:p w14:paraId="76BF5914">
      <w:pPr>
        <w:keepNext/>
        <w:keepLines/>
        <w:spacing w:before="260" w:after="260" w:line="416" w:lineRule="auto"/>
        <w:outlineLvl w:val="1"/>
        <w:rPr>
          <w:rFonts w:ascii="黑体" w:hAnsi="黑体"/>
          <w:b/>
          <w:bCs/>
          <w:color w:val="000000" w:themeColor="text1"/>
          <w:sz w:val="32"/>
          <w:szCs w:val="32"/>
          <w:highlight w:val="none"/>
          <w14:textFill>
            <w14:solidFill>
              <w14:schemeClr w14:val="tx1"/>
            </w14:solidFill>
          </w14:textFill>
        </w:rPr>
      </w:pPr>
      <w:bookmarkStart w:id="323" w:name="_Toc2403"/>
      <w:bookmarkStart w:id="324" w:name="_Toc217642225"/>
      <w:r>
        <w:rPr>
          <w:rFonts w:hint="eastAsia" w:ascii="黑体" w:hAnsi="黑体"/>
          <w:b/>
          <w:bCs/>
          <w:color w:val="000000" w:themeColor="text1"/>
          <w:sz w:val="32"/>
          <w:szCs w:val="32"/>
          <w:highlight w:val="none"/>
          <w14:textFill>
            <w14:solidFill>
              <w14:schemeClr w14:val="tx1"/>
            </w14:solidFill>
          </w14:textFill>
        </w:rPr>
        <w:t>10.变更</w:t>
      </w:r>
      <w:bookmarkEnd w:id="323"/>
      <w:bookmarkEnd w:id="324"/>
    </w:p>
    <w:p w14:paraId="33D28DBE">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25" w:name="_Toc217642226"/>
      <w:bookmarkStart w:id="326" w:name="_Toc6545"/>
      <w:r>
        <w:rPr>
          <w:rFonts w:hint="eastAsia" w:ascii="黑体" w:hAnsi="黑体"/>
          <w:b/>
          <w:bCs/>
          <w:color w:val="000000" w:themeColor="text1"/>
          <w:sz w:val="32"/>
          <w:szCs w:val="32"/>
          <w:highlight w:val="none"/>
          <w14:textFill>
            <w14:solidFill>
              <w14:schemeClr w14:val="tx1"/>
            </w14:solidFill>
          </w14:textFill>
        </w:rPr>
        <w:t>10.1变更的范围</w:t>
      </w:r>
      <w:bookmarkEnd w:id="325"/>
      <w:bookmarkEnd w:id="326"/>
    </w:p>
    <w:p w14:paraId="49939A2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除专用合同条款另有约定外，合同履行过程中发生以下情形的，应按照本条约定进行变更：</w:t>
      </w:r>
    </w:p>
    <w:p w14:paraId="52C43ED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（1）增加或减少合同中任何工作，或追加额外的工作；</w:t>
      </w:r>
    </w:p>
    <w:p w14:paraId="131AB56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（2）取消合同中任何工作，但转由他人实施的工作除外；</w:t>
      </w:r>
    </w:p>
    <w:p w14:paraId="0DD9729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（3）改变合同中任何工作的质量标准或其他特性；</w:t>
      </w:r>
    </w:p>
    <w:p w14:paraId="02E1B2E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（4）改变工程的基线、标高、位置和尺寸；</w:t>
      </w:r>
    </w:p>
    <w:p w14:paraId="45D5F81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（5）改变工程的时间安排或实施顺序。</w:t>
      </w:r>
    </w:p>
    <w:p w14:paraId="72439795">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27" w:name="_Toc217642227"/>
      <w:bookmarkStart w:id="328" w:name="_Toc28421"/>
      <w:r>
        <w:rPr>
          <w:rFonts w:hint="eastAsia" w:ascii="黑体" w:hAnsi="黑体"/>
          <w:b/>
          <w:bCs/>
          <w:color w:val="000000" w:themeColor="text1"/>
          <w:sz w:val="32"/>
          <w:szCs w:val="32"/>
          <w:highlight w:val="none"/>
          <w14:textFill>
            <w14:solidFill>
              <w14:schemeClr w14:val="tx1"/>
            </w14:solidFill>
          </w14:textFill>
        </w:rPr>
        <w:t>10.2变更权</w:t>
      </w:r>
      <w:bookmarkEnd w:id="327"/>
      <w:bookmarkEnd w:id="328"/>
    </w:p>
    <w:p w14:paraId="0099B7D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153904E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涉及设计变更的，应由设计人提供变更后的图纸和说明。如变更超过原设计标准或批准的建设规模时，发包人应及时办理规划、设计变更等审批手续。</w:t>
      </w:r>
    </w:p>
    <w:p w14:paraId="4FC38865">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29" w:name="_Toc20322"/>
      <w:bookmarkStart w:id="330" w:name="_Toc217642228"/>
      <w:r>
        <w:rPr>
          <w:rFonts w:hint="eastAsia" w:ascii="黑体" w:hAnsi="黑体"/>
          <w:b/>
          <w:bCs/>
          <w:color w:val="000000" w:themeColor="text1"/>
          <w:sz w:val="32"/>
          <w:szCs w:val="32"/>
          <w:highlight w:val="none"/>
          <w14:textFill>
            <w14:solidFill>
              <w14:schemeClr w14:val="tx1"/>
            </w14:solidFill>
          </w14:textFill>
        </w:rPr>
        <w:t>10.3变更程序</w:t>
      </w:r>
      <w:bookmarkEnd w:id="329"/>
      <w:bookmarkEnd w:id="330"/>
    </w:p>
    <w:p w14:paraId="7F4257C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10.3.1发包人提出变更</w:t>
      </w:r>
    </w:p>
    <w:p w14:paraId="178EF27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发包人提出变更的，应通过监理人向承包人发出变更指示，变更指示应说明计划变更的工程范围和变更的内容。</w:t>
      </w:r>
    </w:p>
    <w:p w14:paraId="344CF86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10.3.2监理人提出变更建议</w:t>
      </w:r>
    </w:p>
    <w:p w14:paraId="39109D3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27794AA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10.3.3变更执行</w:t>
      </w:r>
    </w:p>
    <w:p w14:paraId="2CCC7EF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7B06DBA1">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31" w:name="_Toc29711"/>
      <w:bookmarkStart w:id="332" w:name="_Toc217642229"/>
      <w:r>
        <w:rPr>
          <w:rFonts w:hint="eastAsia" w:ascii="黑体" w:hAnsi="黑体"/>
          <w:b/>
          <w:bCs/>
          <w:color w:val="000000" w:themeColor="text1"/>
          <w:sz w:val="32"/>
          <w:szCs w:val="32"/>
          <w:highlight w:val="none"/>
          <w14:textFill>
            <w14:solidFill>
              <w14:schemeClr w14:val="tx1"/>
            </w14:solidFill>
          </w14:textFill>
        </w:rPr>
        <w:t>10.4变更估价</w:t>
      </w:r>
      <w:bookmarkEnd w:id="331"/>
      <w:bookmarkEnd w:id="332"/>
    </w:p>
    <w:p w14:paraId="721606E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10.4.1变更估价原则</w:t>
      </w:r>
    </w:p>
    <w:p w14:paraId="092F135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除专用合同条款另有约定外，变更估价按照本款约定处理：</w:t>
      </w:r>
    </w:p>
    <w:p w14:paraId="587B55F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（1）已标价工程量清单或预算书有相同项目的，按照相同项目单价认定；</w:t>
      </w:r>
    </w:p>
    <w:p w14:paraId="32DD2FE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（2）已标价工程量清单或预算书中无相同项目，但有类似项目的，参照类似项目的单价认定；</w:t>
      </w:r>
    </w:p>
    <w:p w14:paraId="1CE1C5C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63E3229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10.4.2变更估价程序</w:t>
      </w:r>
    </w:p>
    <w:p w14:paraId="40AA460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01F46E1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因变更引起的价格调整应计入最近一期的进度款中支付。</w:t>
      </w:r>
    </w:p>
    <w:p w14:paraId="564E7E99">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33" w:name="_Toc217642230"/>
      <w:bookmarkStart w:id="334" w:name="_Toc15596"/>
      <w:r>
        <w:rPr>
          <w:rFonts w:hint="eastAsia" w:ascii="黑体" w:hAnsi="黑体"/>
          <w:b/>
          <w:bCs/>
          <w:color w:val="000000" w:themeColor="text1"/>
          <w:sz w:val="32"/>
          <w:szCs w:val="32"/>
          <w:highlight w:val="none"/>
          <w14:textFill>
            <w14:solidFill>
              <w14:schemeClr w14:val="tx1"/>
            </w14:solidFill>
          </w14:textFill>
        </w:rPr>
        <w:t>10.5承包人的合理化建议</w:t>
      </w:r>
      <w:bookmarkEnd w:id="333"/>
      <w:bookmarkEnd w:id="334"/>
    </w:p>
    <w:p w14:paraId="72D6E0D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承包人提出合理化建议的，应向监理人提交合理化建议说明，说明建议的内容和理由，以及实施该建议对合同价格和工期的影响。</w:t>
      </w:r>
    </w:p>
    <w:p w14:paraId="70CDE1F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6CCFA4E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合理化建议降低了合同价格或者提高了工程经济效益的，发包人可对承包人给予奖励，奖励的方法和金额在专用合同条款中约定。</w:t>
      </w:r>
    </w:p>
    <w:p w14:paraId="0892164B">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35" w:name="_Toc25884"/>
      <w:bookmarkStart w:id="336" w:name="_Toc217642231"/>
      <w:r>
        <w:rPr>
          <w:rFonts w:hint="eastAsia" w:ascii="黑体" w:hAnsi="黑体"/>
          <w:b/>
          <w:bCs/>
          <w:color w:val="000000" w:themeColor="text1"/>
          <w:sz w:val="32"/>
          <w:szCs w:val="32"/>
          <w:highlight w:val="none"/>
          <w14:textFill>
            <w14:solidFill>
              <w14:schemeClr w14:val="tx1"/>
            </w14:solidFill>
          </w14:textFill>
        </w:rPr>
        <w:t>10.6变更引起的工期调整</w:t>
      </w:r>
      <w:bookmarkEnd w:id="335"/>
      <w:bookmarkEnd w:id="336"/>
    </w:p>
    <w:p w14:paraId="59826C0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因变更引起工期变化的，合同当事人均可要求调整合同工期，由合同当事人按照第4.4款〔商定或确定〕并参考工程所在地的工期定额标准确定增减工期天数。</w:t>
      </w:r>
    </w:p>
    <w:p w14:paraId="1D041503">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37" w:name="_Toc217642232"/>
      <w:bookmarkStart w:id="338" w:name="_Toc11751"/>
      <w:r>
        <w:rPr>
          <w:rFonts w:hint="eastAsia" w:ascii="黑体" w:hAnsi="黑体"/>
          <w:b/>
          <w:bCs/>
          <w:color w:val="000000" w:themeColor="text1"/>
          <w:sz w:val="32"/>
          <w:szCs w:val="32"/>
          <w:highlight w:val="none"/>
          <w14:textFill>
            <w14:solidFill>
              <w14:schemeClr w14:val="tx1"/>
            </w14:solidFill>
          </w14:textFill>
        </w:rPr>
        <w:t>10.7暂估价</w:t>
      </w:r>
      <w:bookmarkEnd w:id="337"/>
      <w:bookmarkEnd w:id="338"/>
    </w:p>
    <w:p w14:paraId="13C2DA2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暂估价专业分包工程、服务、材料和工程设备的明细由合同当事人在专用合同条款中约定。</w:t>
      </w:r>
    </w:p>
    <w:p w14:paraId="7612B3F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10.7.1依法必须招标的暂估价项目</w:t>
      </w:r>
    </w:p>
    <w:p w14:paraId="56D81A5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对于依法必须招标的暂估价项目，采取以下第1种方式确定。合同当事人也可以在专用合同条款中选择其他招标方式。</w:t>
      </w:r>
    </w:p>
    <w:p w14:paraId="2FD3CC2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第1种方式：对于依法必须招标的暂估价项目，由承包人招标，对该暂估价项目的确认和批准按照以下约定执行：</w:t>
      </w:r>
    </w:p>
    <w:p w14:paraId="6BF2462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617243E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2612CA9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（3）承包人与供应商、分包人在签订暂估价合同前，应当提前7天将确定的</w:t>
      </w:r>
      <w:r>
        <w:rPr>
          <w:rFonts w:hint="eastAsia" w:ascii="宋体" w:hAnsi="宋体"/>
          <w:color w:val="000000" w:themeColor="text1"/>
          <w:szCs w:val="21"/>
          <w:highlight w:val="none"/>
          <w:lang w:eastAsia="zh-CN"/>
          <w14:textFill>
            <w14:solidFill>
              <w14:schemeClr w14:val="tx1"/>
            </w14:solidFill>
          </w14:textFill>
        </w:rPr>
        <w:t>成交</w:t>
      </w:r>
      <w:r>
        <w:rPr>
          <w:rFonts w:hint="eastAsia" w:ascii="宋体" w:hAnsi="宋体"/>
          <w:color w:val="000000" w:themeColor="text1"/>
          <w:szCs w:val="21"/>
          <w:highlight w:val="none"/>
          <w14:textFill>
            <w14:solidFill>
              <w14:schemeClr w14:val="tx1"/>
            </w14:solidFill>
          </w14:textFill>
        </w:rPr>
        <w:t>候选供应商或</w:t>
      </w:r>
      <w:r>
        <w:rPr>
          <w:rFonts w:hint="eastAsia" w:ascii="宋体" w:hAnsi="宋体"/>
          <w:color w:val="000000" w:themeColor="text1"/>
          <w:szCs w:val="21"/>
          <w:highlight w:val="none"/>
          <w:lang w:eastAsia="zh-CN"/>
          <w14:textFill>
            <w14:solidFill>
              <w14:schemeClr w14:val="tx1"/>
            </w14:solidFill>
          </w14:textFill>
        </w:rPr>
        <w:t>成交</w:t>
      </w:r>
      <w:r>
        <w:rPr>
          <w:rFonts w:hint="eastAsia" w:ascii="宋体" w:hAnsi="宋体"/>
          <w:color w:val="000000" w:themeColor="text1"/>
          <w:szCs w:val="21"/>
          <w:highlight w:val="none"/>
          <w14:textFill>
            <w14:solidFill>
              <w14:schemeClr w14:val="tx1"/>
            </w14:solidFill>
          </w14:textFill>
        </w:rPr>
        <w:t>候选分包人的资料报送发包人，发包人应在收到资料后3天内与承包人共同确定</w:t>
      </w:r>
      <w:r>
        <w:rPr>
          <w:rFonts w:hint="eastAsia" w:ascii="宋体" w:hAnsi="宋体"/>
          <w:color w:val="000000" w:themeColor="text1"/>
          <w:szCs w:val="21"/>
          <w:highlight w:val="none"/>
          <w:lang w:eastAsia="zh-CN"/>
          <w14:textFill>
            <w14:solidFill>
              <w14:schemeClr w14:val="tx1"/>
            </w14:solidFill>
          </w14:textFill>
        </w:rPr>
        <w:t>成交</w:t>
      </w:r>
      <w:r>
        <w:rPr>
          <w:rFonts w:hint="eastAsia" w:ascii="宋体" w:hAnsi="宋体"/>
          <w:color w:val="000000" w:themeColor="text1"/>
          <w:szCs w:val="21"/>
          <w:highlight w:val="none"/>
          <w14:textFill>
            <w14:solidFill>
              <w14:schemeClr w14:val="tx1"/>
            </w14:solidFill>
          </w14:textFill>
        </w:rPr>
        <w:t>人；承包人应当在签订合同后7天内，将暂估价合同副本报送发包人留存。</w:t>
      </w:r>
    </w:p>
    <w:p w14:paraId="0FAAB6C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w:t>
      </w:r>
      <w:r>
        <w:rPr>
          <w:rFonts w:hint="eastAsia" w:ascii="宋体" w:hAnsi="宋体"/>
          <w:color w:val="000000" w:themeColor="text1"/>
          <w:szCs w:val="21"/>
          <w:highlight w:val="none"/>
          <w:lang w:eastAsia="zh-CN"/>
          <w14:textFill>
            <w14:solidFill>
              <w14:schemeClr w14:val="tx1"/>
            </w14:solidFill>
          </w14:textFill>
        </w:rPr>
        <w:t>成交</w:t>
      </w:r>
      <w:r>
        <w:rPr>
          <w:rFonts w:hint="eastAsia" w:ascii="宋体" w:hAnsi="宋体"/>
          <w:color w:val="000000" w:themeColor="text1"/>
          <w:szCs w:val="21"/>
          <w:highlight w:val="none"/>
          <w14:textFill>
            <w14:solidFill>
              <w14:schemeClr w14:val="tx1"/>
            </w14:solidFill>
          </w14:textFill>
        </w:rPr>
        <w:t>人后，由发包人、承包人与</w:t>
      </w:r>
      <w:r>
        <w:rPr>
          <w:rFonts w:hint="eastAsia" w:ascii="宋体" w:hAnsi="宋体"/>
          <w:color w:val="000000" w:themeColor="text1"/>
          <w:szCs w:val="21"/>
          <w:highlight w:val="none"/>
          <w:lang w:eastAsia="zh-CN"/>
          <w14:textFill>
            <w14:solidFill>
              <w14:schemeClr w14:val="tx1"/>
            </w14:solidFill>
          </w14:textFill>
        </w:rPr>
        <w:t>成交</w:t>
      </w:r>
      <w:r>
        <w:rPr>
          <w:rFonts w:hint="eastAsia" w:ascii="宋体" w:hAnsi="宋体"/>
          <w:color w:val="000000" w:themeColor="text1"/>
          <w:szCs w:val="21"/>
          <w:highlight w:val="none"/>
          <w14:textFill>
            <w14:solidFill>
              <w14:schemeClr w14:val="tx1"/>
            </w14:solidFill>
          </w14:textFill>
        </w:rPr>
        <w:t>人共同签订暂估价合同。</w:t>
      </w:r>
    </w:p>
    <w:p w14:paraId="1C050DA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10.7.2不属于依法必须招标的暂估价项目</w:t>
      </w:r>
    </w:p>
    <w:p w14:paraId="5404322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除专用合同条款另有约定外，对于不属于依法必须招标的暂估价项目，采取以下第1种方式确定：</w:t>
      </w:r>
    </w:p>
    <w:p w14:paraId="6E8E7F4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第1种方式：对于不属于依法必须招标的暂估价项目，按本项约定确认和批准：</w:t>
      </w:r>
    </w:p>
    <w:p w14:paraId="649DE6A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51A555F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（2）发包人认为承包人确定的供应商、分包人无法满足工程质量或合同要求的，发包人可以要求承包人重新确定暂估价项目的供应商、分包人；</w:t>
      </w:r>
    </w:p>
    <w:p w14:paraId="5D58244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（3）承包人应当在签订暂估价合同后7天内，将暂估价合同副本报送发包人留存。</w:t>
      </w:r>
    </w:p>
    <w:p w14:paraId="720003A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第2种方式：承包人按照第10.7.1项〔依法必须招标的暂估价项目〕约定的第1种方式确定暂估价项目。</w:t>
      </w:r>
    </w:p>
    <w:p w14:paraId="36EDF4C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第3种方式：承包人直接实施的暂估价项目</w:t>
      </w:r>
    </w:p>
    <w:p w14:paraId="077FA78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承包人具备实施暂估价项目的资格和条件的，经发包人和承包人协商一致后，可由承包人自行实施暂估价项目，合同当事人可以在专用合同条款约定具体事项。</w:t>
      </w:r>
    </w:p>
    <w:p w14:paraId="4F341FB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10.7.3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716998B0">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39" w:name="_Toc217642233"/>
      <w:bookmarkStart w:id="340" w:name="_Toc29282"/>
      <w:r>
        <w:rPr>
          <w:rFonts w:hint="eastAsia" w:ascii="黑体" w:hAnsi="黑体"/>
          <w:b/>
          <w:bCs/>
          <w:color w:val="000000" w:themeColor="text1"/>
          <w:sz w:val="32"/>
          <w:szCs w:val="32"/>
          <w:highlight w:val="none"/>
          <w14:textFill>
            <w14:solidFill>
              <w14:schemeClr w14:val="tx1"/>
            </w14:solidFill>
          </w14:textFill>
        </w:rPr>
        <w:t>10.8暂列金额</w:t>
      </w:r>
      <w:bookmarkEnd w:id="339"/>
      <w:bookmarkEnd w:id="340"/>
    </w:p>
    <w:p w14:paraId="69B1847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暂列金额应按照发包人的要求使用，发包人的要求应通过监理人发出。合同当事人可以在专用合同条款中协商确定有关事项。</w:t>
      </w:r>
    </w:p>
    <w:p w14:paraId="13BFF62B">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41" w:name="_Toc24461"/>
      <w:bookmarkStart w:id="342" w:name="_Toc217642234"/>
      <w:r>
        <w:rPr>
          <w:rFonts w:hint="eastAsia" w:ascii="黑体" w:hAnsi="黑体"/>
          <w:b/>
          <w:bCs/>
          <w:color w:val="000000" w:themeColor="text1"/>
          <w:sz w:val="32"/>
          <w:szCs w:val="32"/>
          <w:highlight w:val="none"/>
          <w14:textFill>
            <w14:solidFill>
              <w14:schemeClr w14:val="tx1"/>
            </w14:solidFill>
          </w14:textFill>
        </w:rPr>
        <w:t>10.9计日工</w:t>
      </w:r>
      <w:bookmarkEnd w:id="341"/>
      <w:bookmarkEnd w:id="342"/>
    </w:p>
    <w:p w14:paraId="7111D44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5B21D4F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采用计日工计价的任何一项工作，承包人应在该项工作实施过程中，每天提交以下报表和有关凭证报送监理人审查：</w:t>
      </w:r>
    </w:p>
    <w:p w14:paraId="75A1879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（1）工作名称、内容和数量；</w:t>
      </w:r>
    </w:p>
    <w:p w14:paraId="52E36E4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（2）投入该工作的所有人员的姓名、专业、工种、级别和耗用工时；</w:t>
      </w:r>
    </w:p>
    <w:p w14:paraId="743A14E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（3）投入该工作的材料类别和数量；</w:t>
      </w:r>
    </w:p>
    <w:p w14:paraId="24EB4C4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（4）投入该工作的施工设备型号、台数和耗用台时；</w:t>
      </w:r>
    </w:p>
    <w:p w14:paraId="66D7511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（5）其他有关资料和凭证。</w:t>
      </w:r>
    </w:p>
    <w:p w14:paraId="32947F9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计日工由承包人汇总后，列入最近一期进度付款申请单，由监理人审查并经发包人批准后列入进度付款。</w:t>
      </w:r>
    </w:p>
    <w:p w14:paraId="17A673F3">
      <w:pPr>
        <w:keepNext/>
        <w:keepLines/>
        <w:spacing w:before="260" w:after="260" w:line="416" w:lineRule="auto"/>
        <w:outlineLvl w:val="1"/>
        <w:rPr>
          <w:rFonts w:ascii="黑体" w:hAnsi="黑体"/>
          <w:b/>
          <w:bCs/>
          <w:color w:val="000000" w:themeColor="text1"/>
          <w:sz w:val="32"/>
          <w:szCs w:val="32"/>
          <w:highlight w:val="none"/>
          <w14:textFill>
            <w14:solidFill>
              <w14:schemeClr w14:val="tx1"/>
            </w14:solidFill>
          </w14:textFill>
        </w:rPr>
      </w:pPr>
      <w:bookmarkStart w:id="343" w:name="_Toc217642235"/>
      <w:bookmarkStart w:id="344" w:name="_Toc25256"/>
      <w:r>
        <w:rPr>
          <w:rFonts w:hint="eastAsia" w:ascii="黑体" w:hAnsi="黑体"/>
          <w:b/>
          <w:bCs/>
          <w:color w:val="000000" w:themeColor="text1"/>
          <w:sz w:val="32"/>
          <w:szCs w:val="32"/>
          <w:highlight w:val="none"/>
          <w14:textFill>
            <w14:solidFill>
              <w14:schemeClr w14:val="tx1"/>
            </w14:solidFill>
          </w14:textFill>
        </w:rPr>
        <w:t>11.价格调整</w:t>
      </w:r>
      <w:bookmarkEnd w:id="343"/>
      <w:bookmarkEnd w:id="344"/>
    </w:p>
    <w:p w14:paraId="2E0D84FA">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45" w:name="_Toc18995"/>
      <w:bookmarkStart w:id="346" w:name="_Toc217642236"/>
      <w:r>
        <w:rPr>
          <w:rFonts w:hint="eastAsia" w:ascii="黑体" w:hAnsi="黑体"/>
          <w:b/>
          <w:bCs/>
          <w:color w:val="000000" w:themeColor="text1"/>
          <w:sz w:val="32"/>
          <w:szCs w:val="32"/>
          <w:highlight w:val="none"/>
          <w14:textFill>
            <w14:solidFill>
              <w14:schemeClr w14:val="tx1"/>
            </w14:solidFill>
          </w14:textFill>
        </w:rPr>
        <w:t>11.1市场价格波动引起的调整</w:t>
      </w:r>
      <w:bookmarkEnd w:id="345"/>
      <w:bookmarkEnd w:id="346"/>
    </w:p>
    <w:p w14:paraId="3000239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除专用合同条款另有约定外，市场价格波动超过合同当事人约定的范围，合同价格应当调整。合同当事人可以在专用合同条款中约定选择以下一种方式对合同价格进行调整：</w:t>
      </w:r>
    </w:p>
    <w:p w14:paraId="17E3F66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第1种方式：采用价格指数进行价格调整。</w:t>
      </w:r>
    </w:p>
    <w:p w14:paraId="3DD68D6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（1）价格调整公式</w:t>
      </w:r>
    </w:p>
    <w:p w14:paraId="0C9C7D0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因人工、材料和设备等价格波动影响合同价格时，根据专用合同条款中约定的数据，按以下公式计算差额并调整合同价格：</w:t>
      </w:r>
    </w:p>
    <w:p w14:paraId="7346AE5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公式中：ΔP——需调整的价格差额；</w:t>
      </w:r>
    </w:p>
    <w:p w14:paraId="391781B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——约定的付款证书中承包人应得到的已完成工程量的金额。此项金额应不包括价格调整、不计质量保证金的扣留和支付、预付款的支付和扣回。约定的变更及其他金额已按现行价格计价的，也不计在内；</w:t>
      </w:r>
    </w:p>
    <w:p w14:paraId="2DA687F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A——定值权重（即不调部分的权重）；</w:t>
      </w:r>
    </w:p>
    <w:p w14:paraId="1827DD6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——各可调因子的变值权重（即可调部分的权重），为各可调因子在签约合同价中所占的比例；</w:t>
      </w:r>
    </w:p>
    <w:p w14:paraId="2390102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——各可调因子的现行价格指数，指约定的付款证书相关周期最后一天的前42天的各可调因子的价格指数；</w:t>
      </w:r>
    </w:p>
    <w:p w14:paraId="42E9319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——各可调因子的基本价格指数，指基准日期的各可调因子的价格指数。</w:t>
      </w:r>
    </w:p>
    <w:p w14:paraId="75FABAD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102607F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（2）暂时确定调整差额</w:t>
      </w:r>
    </w:p>
    <w:p w14:paraId="217A86F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在计算调整差额时无现行价格指数的，合同当事人同意暂用前次价格指数计算。实际价格指数有调整的，合同当事人进行相应调整。</w:t>
      </w:r>
    </w:p>
    <w:p w14:paraId="2B4E133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（3）权重的调整</w:t>
      </w:r>
    </w:p>
    <w:p w14:paraId="2771E63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因变更导致合同约定的权重不合理时，按照第4.4款〔商定或确定〕执行。</w:t>
      </w:r>
    </w:p>
    <w:p w14:paraId="072CF3D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（4）因承包人原因工期延误后的价格调整</w:t>
      </w:r>
    </w:p>
    <w:p w14:paraId="2F911B3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因承包人原因未按期竣工的，对合同约定的竣工日期后继续施工的工程，在使用价格调整公式时，应采用计划竣工日期与实际竣工日期的两个价格指数中较低的一个作为现行价格指数。</w:t>
      </w:r>
    </w:p>
    <w:p w14:paraId="5D09648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第2种方式：采用造价信息进行价格调整。</w:t>
      </w:r>
    </w:p>
    <w:p w14:paraId="4A57088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4DF4934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605D0F8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（2）材料、工程设备价格变化的价款调整按照发包人提供的基准价格，按以下风险范围规定执行：</w:t>
      </w:r>
    </w:p>
    <w:p w14:paraId="105DD7A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1AFE847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56D37C9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③承包人在已标价工程量清单或预算书中载明材料单价等于基准价格的：除专用合同条款另有约定外，合同履行期间材料单价涨跌幅以基准价格为基础超过±5%时，其超过部分据实调整。</w:t>
      </w:r>
    </w:p>
    <w:p w14:paraId="4C91F8F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70D28A6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前述基准价格是指由发包人在招标文件或专用合同条款中给定的材料、工程设备的价格，该价格原则上应当按照省级或行业建设主管部门或其授权的工程造价管理机构发布的信息价编制。</w:t>
      </w:r>
    </w:p>
    <w:p w14:paraId="78AF41C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（3）施工机械台班单价或施工机械使用费发生变化超过省级或行业建设主管部门或其授权的工程造价管理机构规定的范围时，按规定调整合同价格。</w:t>
      </w:r>
    </w:p>
    <w:p w14:paraId="5C9CB89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第3种方式：专用合同条款约定的其他方式。</w:t>
      </w:r>
    </w:p>
    <w:p w14:paraId="59DBC853">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47" w:name="_Toc217642237"/>
      <w:bookmarkStart w:id="348" w:name="_Toc3826"/>
      <w:r>
        <w:rPr>
          <w:rFonts w:hint="eastAsia" w:ascii="黑体" w:hAnsi="黑体"/>
          <w:b/>
          <w:bCs/>
          <w:color w:val="000000" w:themeColor="text1"/>
          <w:sz w:val="32"/>
          <w:szCs w:val="32"/>
          <w:highlight w:val="none"/>
          <w14:textFill>
            <w14:solidFill>
              <w14:schemeClr w14:val="tx1"/>
            </w14:solidFill>
          </w14:textFill>
        </w:rPr>
        <w:t>11.2法律变化引起的调整</w:t>
      </w:r>
      <w:bookmarkEnd w:id="347"/>
      <w:bookmarkEnd w:id="348"/>
    </w:p>
    <w:p w14:paraId="12BBAA6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2AA594E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因法律变化引起的合同价格和工期调整，合同当事人无法达成一致的，由总监理工程师按第4.4款〔商定或确定〕的约定处理。</w:t>
      </w:r>
    </w:p>
    <w:p w14:paraId="2C5B26C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因承包人原因造成工期延误，在工期延误期间出现法律变化的，由此增加的费用和（或）延误的工期由承包人承担。</w:t>
      </w:r>
    </w:p>
    <w:p w14:paraId="492BD845">
      <w:pPr>
        <w:keepNext/>
        <w:keepLines/>
        <w:spacing w:before="260" w:after="260" w:line="416" w:lineRule="auto"/>
        <w:outlineLvl w:val="1"/>
        <w:rPr>
          <w:rFonts w:ascii="黑体" w:hAnsi="黑体"/>
          <w:b/>
          <w:bCs/>
          <w:color w:val="000000" w:themeColor="text1"/>
          <w:sz w:val="32"/>
          <w:szCs w:val="32"/>
          <w:highlight w:val="none"/>
          <w14:textFill>
            <w14:solidFill>
              <w14:schemeClr w14:val="tx1"/>
            </w14:solidFill>
          </w14:textFill>
        </w:rPr>
      </w:pPr>
      <w:bookmarkStart w:id="349" w:name="_Toc9413"/>
      <w:bookmarkStart w:id="350" w:name="_Toc217642238"/>
      <w:r>
        <w:rPr>
          <w:rFonts w:hint="eastAsia" w:ascii="黑体" w:hAnsi="黑体"/>
          <w:b/>
          <w:bCs/>
          <w:color w:val="000000" w:themeColor="text1"/>
          <w:sz w:val="32"/>
          <w:szCs w:val="32"/>
          <w:highlight w:val="none"/>
          <w14:textFill>
            <w14:solidFill>
              <w14:schemeClr w14:val="tx1"/>
            </w14:solidFill>
          </w14:textFill>
        </w:rPr>
        <w:t>12.合同价格、计量与支付</w:t>
      </w:r>
      <w:bookmarkEnd w:id="349"/>
      <w:bookmarkEnd w:id="350"/>
    </w:p>
    <w:p w14:paraId="38E1EAD7">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51" w:name="_Toc29834"/>
      <w:bookmarkStart w:id="352" w:name="_Toc217642239"/>
      <w:r>
        <w:rPr>
          <w:rFonts w:hint="eastAsia" w:ascii="黑体" w:hAnsi="黑体"/>
          <w:b/>
          <w:bCs/>
          <w:color w:val="000000" w:themeColor="text1"/>
          <w:sz w:val="32"/>
          <w:szCs w:val="32"/>
          <w:highlight w:val="none"/>
          <w14:textFill>
            <w14:solidFill>
              <w14:schemeClr w14:val="tx1"/>
            </w14:solidFill>
          </w14:textFill>
        </w:rPr>
        <w:t>12.1合同价格形式</w:t>
      </w:r>
      <w:bookmarkEnd w:id="351"/>
      <w:bookmarkEnd w:id="352"/>
    </w:p>
    <w:p w14:paraId="40EC8D1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发包人和承包人应在合同协议书中选择下列一种合同价格形式：</w:t>
      </w:r>
    </w:p>
    <w:p w14:paraId="3BB7C31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1.单价合同</w:t>
      </w:r>
    </w:p>
    <w:p w14:paraId="5A9AF7D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价合同是指合同当事人约定以工程量清单及其综合单价进行合同价格计算、调整和确认的建设工程施工合同，在约定的范围内合同单价不作调整。合同当事人应在专用合同条款中约定综合单价包含的风险范围和风险费用的计算方法，并约定风险范围以外的合同价格的调整方法，其中因市场价格波动引起的调整按第11.1款〔市场价格波动引起的调整〕约定执行。</w:t>
      </w:r>
    </w:p>
    <w:p w14:paraId="404DD2E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2.总价合同</w:t>
      </w:r>
    </w:p>
    <w:p w14:paraId="06249D3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总价合同是指合同当事人约定以施工图、已标价工程量清单或预算书及有关条件进行合同价格计算、调整和确认的建设工程施工合同，在约定的范围内合同总价不作调整。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04A97EB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3.其它价格形式</w:t>
      </w:r>
    </w:p>
    <w:p w14:paraId="68D40CC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合同当事人可在专用合同条款中约定其他合同价格形式。</w:t>
      </w:r>
    </w:p>
    <w:p w14:paraId="0EAE7061">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53" w:name="_Toc22832"/>
      <w:bookmarkStart w:id="354" w:name="_Toc217642240"/>
      <w:r>
        <w:rPr>
          <w:rFonts w:hint="eastAsia" w:ascii="黑体" w:hAnsi="黑体"/>
          <w:b/>
          <w:bCs/>
          <w:color w:val="000000" w:themeColor="text1"/>
          <w:sz w:val="32"/>
          <w:szCs w:val="32"/>
          <w:highlight w:val="none"/>
          <w14:textFill>
            <w14:solidFill>
              <w14:schemeClr w14:val="tx1"/>
            </w14:solidFill>
          </w14:textFill>
        </w:rPr>
        <w:t>12.2预付款</w:t>
      </w:r>
      <w:bookmarkEnd w:id="353"/>
      <w:bookmarkEnd w:id="354"/>
    </w:p>
    <w:p w14:paraId="6D79E60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12.2.1预付款的支付</w:t>
      </w:r>
    </w:p>
    <w:p w14:paraId="1D2F135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预付款的支付按照专用合同条款约定执行，但至迟应在开工通知载明的开工日期7天前支付。预付款应当用于材料、工程设备、施工设备的采购及修建临时工程、组织施工队伍进场等。</w:t>
      </w:r>
    </w:p>
    <w:p w14:paraId="6D78C46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除专用合同条款另有约定外，预付款在进度付款中同比例扣回。在颁发工程接收证书前，提前解除合同的，尚未扣完的预付款应与合同价款一并结算。</w:t>
      </w:r>
    </w:p>
    <w:p w14:paraId="778F64D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发包人逾期支付预付款超过7天的，承包人有权向发包人发出要求预付的催告通知，发包人收到通知后7天内仍未支付的，承包人有权暂停施工，并按第16.1.1项〔发包人违约的情形〕执行。</w:t>
      </w:r>
    </w:p>
    <w:p w14:paraId="27CB872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12.2.2预付款担保</w:t>
      </w:r>
    </w:p>
    <w:p w14:paraId="6820649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55301DD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发包人在工程款中逐期扣回预付款后，预付款担保额度应相应减少，但剩余的预付款担保金额不得低于未被扣回的预付款金额。</w:t>
      </w:r>
    </w:p>
    <w:p w14:paraId="19D59F43">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55" w:name="_Toc217642241"/>
      <w:bookmarkStart w:id="356" w:name="_Toc22605"/>
      <w:r>
        <w:rPr>
          <w:rFonts w:hint="eastAsia" w:ascii="黑体" w:hAnsi="黑体"/>
          <w:b/>
          <w:bCs/>
          <w:color w:val="000000" w:themeColor="text1"/>
          <w:sz w:val="32"/>
          <w:szCs w:val="32"/>
          <w:highlight w:val="none"/>
          <w14:textFill>
            <w14:solidFill>
              <w14:schemeClr w14:val="tx1"/>
            </w14:solidFill>
          </w14:textFill>
        </w:rPr>
        <w:t>12.3计量</w:t>
      </w:r>
      <w:bookmarkEnd w:id="355"/>
      <w:bookmarkEnd w:id="356"/>
    </w:p>
    <w:p w14:paraId="1BFC84E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12.3.1计量原则</w:t>
      </w:r>
    </w:p>
    <w:p w14:paraId="454BB8A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工程量计量按照合同约定的工程量计算规则、图纸及变更指示等进行计量。工程量计算规则应以相关的国家标准、行业标准等为依据，由合同当事人在专用合同条款中约定。</w:t>
      </w:r>
    </w:p>
    <w:p w14:paraId="3A5FCF4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12.3.2计量周期</w:t>
      </w:r>
    </w:p>
    <w:p w14:paraId="5AD60E5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除专用合同条款另有约定外，工程量的计量按月进行。</w:t>
      </w:r>
    </w:p>
    <w:p w14:paraId="79E4F52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12.3.3单价合同的计量</w:t>
      </w:r>
    </w:p>
    <w:p w14:paraId="6DA0255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除专用合同条款另有约定外，单价合同的计量按照本项约定执行：</w:t>
      </w:r>
    </w:p>
    <w:p w14:paraId="4B6D86E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（1）承包人应于每月25日向监理人报送上月20日至当月19日已完成的工程量报告，并附具进度付款申请单、已完成工程量报表和有关资料。</w:t>
      </w:r>
    </w:p>
    <w:p w14:paraId="7D82C43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7BBBB40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（3）监理人未在收到承包人提交的工程量报表后的7天内完成审核的，承包人报送的工程量报告中的工程量视为承包人实际完成的工程量，据此计算工程价款。</w:t>
      </w:r>
    </w:p>
    <w:p w14:paraId="7B59E7B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12.3.4总价合同的计量</w:t>
      </w:r>
    </w:p>
    <w:p w14:paraId="0614149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除专用合同条款另有约定外，按月计量支付的总价合同，按照本项约定执行：</w:t>
      </w:r>
    </w:p>
    <w:p w14:paraId="3AF7EFB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（1）承包人应于每月25日向监理人报送上月20日至当月19日已完成的工程量报告，并附具进度付款申请单、已完成工程量报表和有关资料。</w:t>
      </w:r>
    </w:p>
    <w:p w14:paraId="25E5746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7B29968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（3）监理人未在收到承包人提交的工程量报表后的7天内完成复核的，承包人提交的工程量报告中的工程量视为承包人实际完成的工程量。</w:t>
      </w:r>
    </w:p>
    <w:p w14:paraId="10ACF69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12.3.5总价合同采用支付分解表计量支付的，可以按照第12.3.4项〔总价合同的计量〕约定进行计量，但合同价款按照支付分解表进行支付。</w:t>
      </w:r>
    </w:p>
    <w:p w14:paraId="34EF30D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12.3.6其他价格形式合同的计量</w:t>
      </w:r>
    </w:p>
    <w:p w14:paraId="1D30F37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合同当事人可在专用合同条款中约定其他价格形式合同的计量方式和程序。</w:t>
      </w:r>
    </w:p>
    <w:p w14:paraId="45A33233">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57" w:name="_Toc6390"/>
      <w:bookmarkStart w:id="358" w:name="_Toc217642242"/>
      <w:r>
        <w:rPr>
          <w:rFonts w:hint="eastAsia" w:ascii="黑体" w:hAnsi="黑体"/>
          <w:b/>
          <w:bCs/>
          <w:color w:val="000000" w:themeColor="text1"/>
          <w:sz w:val="32"/>
          <w:szCs w:val="32"/>
          <w:highlight w:val="none"/>
          <w14:textFill>
            <w14:solidFill>
              <w14:schemeClr w14:val="tx1"/>
            </w14:solidFill>
          </w14:textFill>
        </w:rPr>
        <w:t>12.4工程进度款支付</w:t>
      </w:r>
      <w:bookmarkEnd w:id="357"/>
      <w:bookmarkEnd w:id="358"/>
    </w:p>
    <w:p w14:paraId="2F0DAB3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12.4.1付款周期</w:t>
      </w:r>
    </w:p>
    <w:p w14:paraId="59B2AFC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除专用合同条款另有约定外，付款周期应按照第12.3.2项〔计量周期〕的约定与计量周期保持一致。</w:t>
      </w:r>
    </w:p>
    <w:p w14:paraId="24C5325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12.4.2进度付款申请单的编制</w:t>
      </w:r>
    </w:p>
    <w:p w14:paraId="00BA157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除专用合同条款另有约定外，进度付款申请单应包括下列内容：</w:t>
      </w:r>
    </w:p>
    <w:p w14:paraId="696864B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（1）截至本次付款周期已完成工作对应的金额；</w:t>
      </w:r>
    </w:p>
    <w:p w14:paraId="12DD578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（2）根据第10条〔变更〕应增加和扣减的变更金额；</w:t>
      </w:r>
    </w:p>
    <w:p w14:paraId="4B39422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（3）根据第12.2款〔预付款〕约定应支付的预付款和扣减的返还预付款；</w:t>
      </w:r>
    </w:p>
    <w:p w14:paraId="1346D63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（4）根据第15.3款〔质量保证金〕约定应扣减的质量保证金；</w:t>
      </w:r>
    </w:p>
    <w:p w14:paraId="3ED914B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（5）根据第19条〔索赔〕应增加和扣减的索赔金额；</w:t>
      </w:r>
    </w:p>
    <w:p w14:paraId="6C76391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（6）对已签发的进度款支付证书中出现错误的修正，应在本次进度付款中支付或扣除的金额；</w:t>
      </w:r>
    </w:p>
    <w:p w14:paraId="342E5A7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（7）根据合同约定应增加和扣减的其他金额。</w:t>
      </w:r>
    </w:p>
    <w:p w14:paraId="66EA332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12.4.3进度付款申请单的提交</w:t>
      </w:r>
    </w:p>
    <w:p w14:paraId="247BE07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（1）单价合同进度付款申请单的提交</w:t>
      </w:r>
    </w:p>
    <w:p w14:paraId="059C759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1CB668F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（2）总价合同进度付款申请单的提交</w:t>
      </w:r>
    </w:p>
    <w:p w14:paraId="01BCFE4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总价合同按月计量支付的，承包人按照第12.3.4项〔总价合同的计量〕约定的时间按月向监理人提交进度付款申请单，并附上已完成工程量报表和有关资料。</w:t>
      </w:r>
    </w:p>
    <w:p w14:paraId="62BB326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总价合同按支付分解表支付的，承包人应按照第12.4.6项〔支付分解表〕及第12.4.2项〔进度付款申请单的编制〕的约定向监理人提交进度付款申请单。</w:t>
      </w:r>
    </w:p>
    <w:p w14:paraId="0B91581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（3）其他价格形式合同的进度付款申请单的提交</w:t>
      </w:r>
    </w:p>
    <w:p w14:paraId="5CFC663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合同当事人可在专用合同条款中约定其他价格形式合同的进度付款申请单的编制和提交程序。</w:t>
      </w:r>
    </w:p>
    <w:p w14:paraId="38950AC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12.4.4进度款审核和支付</w:t>
      </w:r>
    </w:p>
    <w:p w14:paraId="0095E6D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13DA759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37B468B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（2）除专用合同条款另有约定外，发包人应在进度款支付证书或临时进度款支付证书签发后14天内完成支付，发包人逾期支付进度款的，应按照中国人民银行发布的同期同类贷款基准利率支付违约金。</w:t>
      </w:r>
    </w:p>
    <w:p w14:paraId="232A6EF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（3）发包人签发进度款支付证书或临时进度款支付证书，不表明发包人已同意、批准或接受了承包人完成的相应部分的工作。</w:t>
      </w:r>
    </w:p>
    <w:p w14:paraId="115C3EC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12.4.5进度付款的修正</w:t>
      </w:r>
    </w:p>
    <w:p w14:paraId="471237B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在对已签发的进度款支付证书进行阶段汇总和复核中发现错误、遗漏或重复的，发包人和承包人均有权提出修正申请。经发包人和承包人同意的修正，应在下期进度付款中支付或扣除。</w:t>
      </w:r>
    </w:p>
    <w:p w14:paraId="657FD64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12.4.6支付分解表</w:t>
      </w:r>
    </w:p>
    <w:p w14:paraId="03549C2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1.支付分解表的编制要求</w:t>
      </w:r>
    </w:p>
    <w:p w14:paraId="7341BA6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（1）支付分解表中所列的每期付款金额，应为第12.4.2项〔进度付款申请单的编制〕第（1）目的估算金额；</w:t>
      </w:r>
    </w:p>
    <w:p w14:paraId="360C3AE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（2）实际进度与施工进度计划不一致的，合同当事人可按照第4.4款〔商定或确定〕修改支付分解表；</w:t>
      </w:r>
    </w:p>
    <w:p w14:paraId="490C415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（3）不采用支付分解表的，承包人应向发包人和监理人提交按季度编制的支付估算分解表，用于支付参考。</w:t>
      </w:r>
    </w:p>
    <w:p w14:paraId="5238625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2.总价合同支付分解表的编制与审批</w:t>
      </w:r>
    </w:p>
    <w:p w14:paraId="525A6AF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77A7E1A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（2）监理人应在收到支付分解表后7天内完成审核并报送发包人。发包人应在收到经监理人审核的支付分解表后7天内完成审批，经发包人批准的支付分解表为有约束力的支付分解表。</w:t>
      </w:r>
    </w:p>
    <w:p w14:paraId="1E4BC6A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（3）发包人逾期未完成支付分解表审批的，也未及时要求承包人进行修正和提供补充资料的，则承包人提交的支付分解表视为已经获得发包人批准。</w:t>
      </w:r>
    </w:p>
    <w:p w14:paraId="373A239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3.单价合同的总价项目支付分解表的编制与审批</w:t>
      </w:r>
    </w:p>
    <w:p w14:paraId="4022DDC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13A2589D">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59" w:name="_Toc3432"/>
      <w:bookmarkStart w:id="360" w:name="_Toc217642243"/>
      <w:r>
        <w:rPr>
          <w:rFonts w:hint="eastAsia" w:ascii="黑体" w:hAnsi="黑体"/>
          <w:b/>
          <w:bCs/>
          <w:color w:val="000000" w:themeColor="text1"/>
          <w:sz w:val="32"/>
          <w:szCs w:val="32"/>
          <w:highlight w:val="none"/>
          <w14:textFill>
            <w14:solidFill>
              <w14:schemeClr w14:val="tx1"/>
            </w14:solidFill>
          </w14:textFill>
        </w:rPr>
        <w:t>12.5支付账户</w:t>
      </w:r>
      <w:bookmarkEnd w:id="359"/>
      <w:bookmarkEnd w:id="360"/>
    </w:p>
    <w:p w14:paraId="515E8E0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发包人应将合同价款支付至合同协议书中约定的承包人账户。</w:t>
      </w:r>
    </w:p>
    <w:p w14:paraId="195C2DCC">
      <w:pPr>
        <w:keepNext/>
        <w:keepLines/>
        <w:spacing w:before="260" w:after="260" w:line="416" w:lineRule="auto"/>
        <w:outlineLvl w:val="1"/>
        <w:rPr>
          <w:rFonts w:ascii="黑体" w:hAnsi="黑体"/>
          <w:b/>
          <w:bCs/>
          <w:color w:val="000000" w:themeColor="text1"/>
          <w:sz w:val="32"/>
          <w:szCs w:val="32"/>
          <w:highlight w:val="none"/>
          <w14:textFill>
            <w14:solidFill>
              <w14:schemeClr w14:val="tx1"/>
            </w14:solidFill>
          </w14:textFill>
        </w:rPr>
      </w:pPr>
      <w:bookmarkStart w:id="361" w:name="_Toc31616"/>
      <w:bookmarkStart w:id="362" w:name="_Toc217642244"/>
      <w:r>
        <w:rPr>
          <w:rFonts w:hint="eastAsia" w:ascii="黑体" w:hAnsi="黑体"/>
          <w:b/>
          <w:bCs/>
          <w:color w:val="000000" w:themeColor="text1"/>
          <w:sz w:val="32"/>
          <w:szCs w:val="32"/>
          <w:highlight w:val="none"/>
          <w14:textFill>
            <w14:solidFill>
              <w14:schemeClr w14:val="tx1"/>
            </w14:solidFill>
          </w14:textFill>
        </w:rPr>
        <w:t>13.验收和工程试车</w:t>
      </w:r>
      <w:bookmarkEnd w:id="361"/>
      <w:bookmarkEnd w:id="362"/>
    </w:p>
    <w:p w14:paraId="3E03AF19">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63" w:name="_Toc17121"/>
      <w:bookmarkStart w:id="364" w:name="_Toc217642245"/>
      <w:r>
        <w:rPr>
          <w:rFonts w:hint="eastAsia" w:ascii="黑体" w:hAnsi="黑体"/>
          <w:b/>
          <w:bCs/>
          <w:color w:val="000000" w:themeColor="text1"/>
          <w:sz w:val="32"/>
          <w:szCs w:val="32"/>
          <w:highlight w:val="none"/>
          <w14:textFill>
            <w14:solidFill>
              <w14:schemeClr w14:val="tx1"/>
            </w14:solidFill>
          </w14:textFill>
        </w:rPr>
        <w:t>13.1分部分项工程验收</w:t>
      </w:r>
      <w:bookmarkEnd w:id="363"/>
      <w:bookmarkEnd w:id="364"/>
    </w:p>
    <w:p w14:paraId="50416E8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13.1.1分部分项工程质量应符合国家有关工程施工验收规范、标准及合同约定，承包人应按照施工组织设计的要求完成分部分项工程施工。</w:t>
      </w:r>
    </w:p>
    <w:p w14:paraId="7E35F6B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13.1.2除专用合同条款另有约定外，分部分项工程经承包人自检合格并具备验收条件的，承包人应提前48小时通知监理人进行验收。监理人不能按时进行验收的，应在验收前24小时向承包人提交书面延期要求，但延期不能超过48小时。监理人未按时进行验收，也未提出延期要求的，承包人有权自行验收，监理人应认可验收结果。分部分项工程未经验收的，不得进入下一道工序施工。</w:t>
      </w:r>
    </w:p>
    <w:p w14:paraId="22CC598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分部分项工程的验收资料应当作为竣工资料的组成部分。</w:t>
      </w:r>
    </w:p>
    <w:p w14:paraId="45095960">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65" w:name="_Toc217642246"/>
      <w:bookmarkStart w:id="366" w:name="_Toc7150"/>
      <w:r>
        <w:rPr>
          <w:rFonts w:hint="eastAsia" w:ascii="黑体" w:hAnsi="黑体"/>
          <w:b/>
          <w:bCs/>
          <w:color w:val="000000" w:themeColor="text1"/>
          <w:sz w:val="32"/>
          <w:szCs w:val="32"/>
          <w:highlight w:val="none"/>
          <w14:textFill>
            <w14:solidFill>
              <w14:schemeClr w14:val="tx1"/>
            </w14:solidFill>
          </w14:textFill>
        </w:rPr>
        <w:t>13.2竣工验收</w:t>
      </w:r>
      <w:bookmarkEnd w:id="365"/>
      <w:bookmarkEnd w:id="366"/>
    </w:p>
    <w:p w14:paraId="0583BC4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13.2.1竣工验收条件</w:t>
      </w:r>
    </w:p>
    <w:p w14:paraId="796AA3C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工程具备以下条件的，承包人可以申请竣工验收：</w:t>
      </w:r>
    </w:p>
    <w:p w14:paraId="082BC75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（1）除发包人同意的甩项工作和缺陷修补工作外，合同范围内的全部工程以及有关工作，包括合同要求的试验、试运行以及检验均已完成，并符合合同要求；</w:t>
      </w:r>
    </w:p>
    <w:p w14:paraId="4F25376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（2）已按合同约定编制了甩项工作和缺陷修补工作清单以及相应的施工计划；</w:t>
      </w:r>
    </w:p>
    <w:p w14:paraId="737A67B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（3）已按合同约定的内容和份数备齐竣工资料。</w:t>
      </w:r>
    </w:p>
    <w:p w14:paraId="57DE564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13.2.2竣工验收程序</w:t>
      </w:r>
    </w:p>
    <w:p w14:paraId="4AE451C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除专用合同条款另有约定外，承包人申请竣工验收的，应当按照以下程序进行：</w:t>
      </w:r>
    </w:p>
    <w:p w14:paraId="0F303F6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4B71678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3901DF7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（3）竣工验收合格的，发包人应在验收合格后14天内向承包人签发工程接收证书。发包人无正当理由逾期不颁发工程接收证书的，自验收合格后第15天起视为已颁发工程接收证书。</w:t>
      </w:r>
    </w:p>
    <w:p w14:paraId="3077864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780214D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07AAEFD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除专用合同条款另有约定外，发包人不按照本项约定组织竣工验收、颁发工程接收证书的，每逾期一天，应以签约合同价为基数，按照中国人民银行发布的同期同类贷款基准利率支付违约金。</w:t>
      </w:r>
    </w:p>
    <w:p w14:paraId="6BAE17F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13.2.3竣工日期</w:t>
      </w:r>
    </w:p>
    <w:p w14:paraId="2A0CCE5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14:paraId="3A50895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13.2.4拒绝接收全部或部分工程</w:t>
      </w:r>
    </w:p>
    <w:p w14:paraId="729ACC2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463CA12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13.2.5移交、接收全部与部分工程</w:t>
      </w:r>
    </w:p>
    <w:p w14:paraId="7B59898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除专用合同条款另有约定外，合同当事人应当在颁发工程接收证书后7天内完成工程的移交。</w:t>
      </w:r>
    </w:p>
    <w:p w14:paraId="5C27F53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发包人无正当理由不接收工程的，发包人自应当接收工程之日起，承担工程照管、成品保护、保管等与工程有关的各项费用，合同当事人可以在专用合同条款中另行约定发包人逾期接收工程的违约责任。</w:t>
      </w:r>
    </w:p>
    <w:p w14:paraId="0D60B5A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承包人无正当理由不移交工程的，承包人应承担工程照管、成品保护、保管等与工程有关的各项费用，合同当事人可以在专用合同条款中另行约定承包人无正当理由不移交工程的违约责任。</w:t>
      </w:r>
    </w:p>
    <w:p w14:paraId="1F1016C2">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67" w:name="_Toc217642247"/>
      <w:bookmarkStart w:id="368" w:name="_Toc5804"/>
      <w:r>
        <w:rPr>
          <w:rFonts w:hint="eastAsia" w:ascii="黑体" w:hAnsi="黑体"/>
          <w:b/>
          <w:bCs/>
          <w:color w:val="000000" w:themeColor="text1"/>
          <w:sz w:val="32"/>
          <w:szCs w:val="32"/>
          <w:highlight w:val="none"/>
          <w14:textFill>
            <w14:solidFill>
              <w14:schemeClr w14:val="tx1"/>
            </w14:solidFill>
          </w14:textFill>
        </w:rPr>
        <w:t>13.3工程试车</w:t>
      </w:r>
      <w:bookmarkEnd w:id="367"/>
      <w:bookmarkEnd w:id="368"/>
    </w:p>
    <w:p w14:paraId="5A00AAC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13.3.1试车程序</w:t>
      </w:r>
    </w:p>
    <w:p w14:paraId="49D7CCF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工程需要试车的，除专用合同条款另有约定外，试车内容应与承包人承包范围相一致，试车费用由承包人承担。工程试车应按如下程序进行：</w:t>
      </w:r>
    </w:p>
    <w:p w14:paraId="291F113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4147B20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59B0CA1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0B5BF2D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13.3.2试车中的责任</w:t>
      </w:r>
    </w:p>
    <w:p w14:paraId="5DBA172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7732283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350F8E4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13.3.3投料试车</w:t>
      </w:r>
    </w:p>
    <w:p w14:paraId="74D42AE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如需进行投料试车的，发包人应在工程竣工验收后组织投料试车。发包人要求在工程竣工验收前进行或需要承包人配合时，应征得承包人同意，并在专用合同条款中约定有关事项。</w:t>
      </w:r>
    </w:p>
    <w:p w14:paraId="2987456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1117BB4D">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69" w:name="_Toc6768"/>
      <w:bookmarkStart w:id="370" w:name="_Toc217642248"/>
      <w:r>
        <w:rPr>
          <w:rFonts w:hint="eastAsia" w:ascii="黑体" w:hAnsi="黑体"/>
          <w:b/>
          <w:bCs/>
          <w:color w:val="000000" w:themeColor="text1"/>
          <w:sz w:val="32"/>
          <w:szCs w:val="32"/>
          <w:highlight w:val="none"/>
          <w14:textFill>
            <w14:solidFill>
              <w14:schemeClr w14:val="tx1"/>
            </w14:solidFill>
          </w14:textFill>
        </w:rPr>
        <w:t>13.4提前交付单位工程的验收</w:t>
      </w:r>
      <w:bookmarkEnd w:id="369"/>
      <w:bookmarkEnd w:id="370"/>
    </w:p>
    <w:p w14:paraId="70366F2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13.4.1发包人需要在工程竣工前使用单位工程的，或承包人提出提前交付已经竣工的单位工程且经发包人同意的，可进行单位工程验收，验收的程序按照第13.2款〔竣工验收〕的约定进行。</w:t>
      </w:r>
    </w:p>
    <w:p w14:paraId="1EC24AB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验收合格后，由监理人向承包人出具经发包人签认的单位工程接收证书。已签发单位工程接收证书的单位工程由发包人负责照管。单位工程的验收成果和结论作为整体工程竣工验收申请报告的附件。</w:t>
      </w:r>
    </w:p>
    <w:p w14:paraId="3F71222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13.4.2发包人要求在工程竣工前交付单位工程，由此导致承包人费用增加和（或）工期延误的，由发包人承担由此增加的费用和（或）延误的工期，并支付承包人合理的利润。</w:t>
      </w:r>
    </w:p>
    <w:p w14:paraId="11D5A7FB">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71" w:name="_Toc25113"/>
      <w:bookmarkStart w:id="372" w:name="_Toc217642249"/>
      <w:r>
        <w:rPr>
          <w:rFonts w:hint="eastAsia" w:ascii="黑体" w:hAnsi="黑体"/>
          <w:b/>
          <w:bCs/>
          <w:color w:val="000000" w:themeColor="text1"/>
          <w:sz w:val="32"/>
          <w:szCs w:val="32"/>
          <w:highlight w:val="none"/>
          <w14:textFill>
            <w14:solidFill>
              <w14:schemeClr w14:val="tx1"/>
            </w14:solidFill>
          </w14:textFill>
        </w:rPr>
        <w:t>13.5施工期运行</w:t>
      </w:r>
      <w:bookmarkEnd w:id="371"/>
      <w:bookmarkEnd w:id="372"/>
    </w:p>
    <w:p w14:paraId="65D9413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13.5.1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79F7E2C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13.5.2在施工期运行中发现工程或工程设备损坏或存在缺陷的，由承包人按第15.2款〔缺陷责任期〕约定进行修复。</w:t>
      </w:r>
    </w:p>
    <w:p w14:paraId="6E5E9DE7">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73" w:name="_Toc17779"/>
      <w:bookmarkStart w:id="374" w:name="_Toc217642250"/>
      <w:r>
        <w:rPr>
          <w:rFonts w:hint="eastAsia" w:ascii="黑体" w:hAnsi="黑体"/>
          <w:b/>
          <w:bCs/>
          <w:color w:val="000000" w:themeColor="text1"/>
          <w:sz w:val="32"/>
          <w:szCs w:val="32"/>
          <w:highlight w:val="none"/>
          <w14:textFill>
            <w14:solidFill>
              <w14:schemeClr w14:val="tx1"/>
            </w14:solidFill>
          </w14:textFill>
        </w:rPr>
        <w:t>13.6竣工退场</w:t>
      </w:r>
      <w:bookmarkEnd w:id="373"/>
      <w:bookmarkEnd w:id="374"/>
    </w:p>
    <w:p w14:paraId="7CC6266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13.6.1竣工退场</w:t>
      </w:r>
    </w:p>
    <w:p w14:paraId="0589E59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颁发工程接收证书后，承包人应按以下要求对施工现场进行清理：</w:t>
      </w:r>
    </w:p>
    <w:p w14:paraId="4498ACF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（1）施工现场内残留的垃圾已全部清除出场；</w:t>
      </w:r>
    </w:p>
    <w:p w14:paraId="7DC5155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（2）临时工程已拆除，场地已进行清理、平整或复原；</w:t>
      </w:r>
    </w:p>
    <w:p w14:paraId="520283B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（3）按合同约定应撤离的人员、承包人施工设备和剩余的材料，包括废弃的施工设备和材料，已按计划撤离施工现场；</w:t>
      </w:r>
    </w:p>
    <w:p w14:paraId="57059F3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（4）施工现场周边及其附近道路、河道的施工堆积物，已全部清理；</w:t>
      </w:r>
    </w:p>
    <w:p w14:paraId="004374A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（5）施工现场其他场地清理工作已全部完成。</w:t>
      </w:r>
    </w:p>
    <w:p w14:paraId="7B74F9A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4380ECD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13.6.2地表还原</w:t>
      </w:r>
    </w:p>
    <w:p w14:paraId="796310A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承包人应按发包人要求恢复临时占地及清理场地，承包人未按发包人的要求恢复临时占地，或者场地清理未达到合同约定要求的，发包人有权委托其他人恢复或清理，所发生的费用由承包人承担。</w:t>
      </w:r>
    </w:p>
    <w:p w14:paraId="73D53696">
      <w:pPr>
        <w:keepNext/>
        <w:keepLines/>
        <w:spacing w:before="260" w:after="260" w:line="416" w:lineRule="auto"/>
        <w:outlineLvl w:val="1"/>
        <w:rPr>
          <w:rFonts w:ascii="黑体" w:hAnsi="黑体"/>
          <w:b/>
          <w:bCs/>
          <w:color w:val="000000" w:themeColor="text1"/>
          <w:sz w:val="32"/>
          <w:szCs w:val="32"/>
          <w:highlight w:val="none"/>
          <w14:textFill>
            <w14:solidFill>
              <w14:schemeClr w14:val="tx1"/>
            </w14:solidFill>
          </w14:textFill>
        </w:rPr>
      </w:pPr>
      <w:bookmarkStart w:id="375" w:name="_Toc4816"/>
      <w:bookmarkStart w:id="376" w:name="_Toc217642251"/>
      <w:r>
        <w:rPr>
          <w:rFonts w:hint="eastAsia" w:ascii="黑体" w:hAnsi="黑体"/>
          <w:b/>
          <w:bCs/>
          <w:color w:val="000000" w:themeColor="text1"/>
          <w:sz w:val="32"/>
          <w:szCs w:val="32"/>
          <w:highlight w:val="none"/>
          <w14:textFill>
            <w14:solidFill>
              <w14:schemeClr w14:val="tx1"/>
            </w14:solidFill>
          </w14:textFill>
        </w:rPr>
        <w:t>14.竣工结算</w:t>
      </w:r>
      <w:bookmarkEnd w:id="375"/>
      <w:bookmarkEnd w:id="376"/>
    </w:p>
    <w:p w14:paraId="11BC9538">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77" w:name="_Toc217642252"/>
      <w:bookmarkStart w:id="378" w:name="_Toc4391"/>
      <w:r>
        <w:rPr>
          <w:rFonts w:hint="eastAsia" w:ascii="黑体" w:hAnsi="黑体"/>
          <w:b/>
          <w:bCs/>
          <w:color w:val="000000" w:themeColor="text1"/>
          <w:sz w:val="32"/>
          <w:szCs w:val="32"/>
          <w:highlight w:val="none"/>
          <w14:textFill>
            <w14:solidFill>
              <w14:schemeClr w14:val="tx1"/>
            </w14:solidFill>
          </w14:textFill>
        </w:rPr>
        <w:t>14.1竣工结算申请</w:t>
      </w:r>
      <w:bookmarkEnd w:id="377"/>
      <w:bookmarkEnd w:id="378"/>
    </w:p>
    <w:p w14:paraId="7034DA6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承包人应在工程竣工验收合格后28天内向发包人和监理人提交竣工结算申请单，并提交完整的结算资料，有关竣工结算申请单的资料清单和份数等要求由合同当事人在专用合同条款中约定。</w:t>
      </w:r>
    </w:p>
    <w:p w14:paraId="5B07C21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除专用合同条款另有约定外，竣工结算申请单应包括以下内容：</w:t>
      </w:r>
    </w:p>
    <w:p w14:paraId="1F03198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（1）竣工结算合同价格；</w:t>
      </w:r>
    </w:p>
    <w:p w14:paraId="17FD73A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（2）发包人已支付承包人的款项；</w:t>
      </w:r>
    </w:p>
    <w:p w14:paraId="14B89E0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（3）应扣留的质量保证金。已缴纳履约保证金的或提供其他工程质量担保方式的除外；</w:t>
      </w:r>
    </w:p>
    <w:p w14:paraId="6AF12D0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（4）发包人应支付承包人的合同价款。</w:t>
      </w:r>
    </w:p>
    <w:p w14:paraId="10C95E89">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79" w:name="_Toc15561"/>
      <w:bookmarkStart w:id="380" w:name="_Toc217642253"/>
      <w:r>
        <w:rPr>
          <w:rFonts w:hint="eastAsia" w:ascii="黑体" w:hAnsi="黑体"/>
          <w:b/>
          <w:bCs/>
          <w:color w:val="000000" w:themeColor="text1"/>
          <w:sz w:val="32"/>
          <w:szCs w:val="32"/>
          <w:highlight w:val="none"/>
          <w14:textFill>
            <w14:solidFill>
              <w14:schemeClr w14:val="tx1"/>
            </w14:solidFill>
          </w14:textFill>
        </w:rPr>
        <w:t>14.2竣工结算审核</w:t>
      </w:r>
      <w:bookmarkEnd w:id="379"/>
      <w:bookmarkEnd w:id="380"/>
    </w:p>
    <w:p w14:paraId="3357C0D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发包人对竣工结算申请单有异议的，有权要求承包人进行修正和提供补充资料，承包人应提交修正后的竣工结算申请单。</w:t>
      </w:r>
    </w:p>
    <w:p w14:paraId="04B5F8A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47C89F6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除专用合同条款另有约定外，发包人应在签发竣工付款证书后的14天内，完成对承包人的竣工付款。发包人逾期支付的，按照中国人民银行发布的同期同类贷款基准利率支付违约金；逾期支付超过56天的，按照中国人民银行发布的同期同类贷款基准利率的两倍支付违约金。</w:t>
      </w:r>
    </w:p>
    <w:p w14:paraId="5472D9C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0BFF5049">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81" w:name="_Toc30751"/>
      <w:bookmarkStart w:id="382" w:name="_Toc217642254"/>
      <w:r>
        <w:rPr>
          <w:rFonts w:hint="eastAsia" w:ascii="黑体" w:hAnsi="黑体"/>
          <w:b/>
          <w:bCs/>
          <w:color w:val="000000" w:themeColor="text1"/>
          <w:sz w:val="32"/>
          <w:szCs w:val="32"/>
          <w:highlight w:val="none"/>
          <w14:textFill>
            <w14:solidFill>
              <w14:schemeClr w14:val="tx1"/>
            </w14:solidFill>
          </w14:textFill>
        </w:rPr>
        <w:t>14.3甩项竣工协议</w:t>
      </w:r>
      <w:bookmarkEnd w:id="381"/>
      <w:bookmarkEnd w:id="382"/>
    </w:p>
    <w:p w14:paraId="1525390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要求甩项竣工的，合同当事人应签订甩项竣工协议。在甩项竣工协议中应明确，合同当事人按照第14.1款〔竣工结算申请〕及14.2款〔竣工结算审核〕的约定，对已完合格工程进行结算，并支付相应合同价款。</w:t>
      </w:r>
    </w:p>
    <w:p w14:paraId="085AD5DA">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83" w:name="_Toc217642255"/>
      <w:bookmarkStart w:id="384" w:name="_Toc13530"/>
      <w:r>
        <w:rPr>
          <w:rFonts w:hint="eastAsia" w:ascii="黑体" w:hAnsi="黑体"/>
          <w:b/>
          <w:bCs/>
          <w:color w:val="000000" w:themeColor="text1"/>
          <w:sz w:val="32"/>
          <w:szCs w:val="32"/>
          <w:highlight w:val="none"/>
          <w14:textFill>
            <w14:solidFill>
              <w14:schemeClr w14:val="tx1"/>
            </w14:solidFill>
          </w14:textFill>
        </w:rPr>
        <w:t>14.4最终结清</w:t>
      </w:r>
      <w:bookmarkEnd w:id="383"/>
      <w:bookmarkEnd w:id="384"/>
    </w:p>
    <w:p w14:paraId="39C4C67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14.4.1最终结清申请单</w:t>
      </w:r>
    </w:p>
    <w:p w14:paraId="60617E9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（1）除专用合同条款另有约定外，承包人应在缺陷责任期终止证书颁发后7天内，按专用合同条款约定的份数向发包人提交最终结清申请单，并提供相关证明材料。</w:t>
      </w:r>
    </w:p>
    <w:p w14:paraId="0D325AE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除专用合同条款另有约定外，最终结清申请单应列明质量保证金、应扣除的质量保证金、缺陷责任期内发生的增减费用。</w:t>
      </w:r>
    </w:p>
    <w:p w14:paraId="2B96A5F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（2）发包人对最终结清申请单内容有异议的，有权要求承包人进行修正和提供补充资料，承包人应向发包人提交修正后的最终结清申请单。</w:t>
      </w:r>
    </w:p>
    <w:p w14:paraId="0CD7F41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14.4.2最终结清证书和支付</w:t>
      </w:r>
    </w:p>
    <w:p w14:paraId="3EFE31D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7205ACF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179B758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（3）承包人对发包人颁发的最终结清证书有异议的，按第20条〔争议解决〕的约定办理。</w:t>
      </w:r>
    </w:p>
    <w:p w14:paraId="38081610">
      <w:pPr>
        <w:keepNext/>
        <w:keepLines/>
        <w:spacing w:before="260" w:after="260" w:line="416" w:lineRule="auto"/>
        <w:outlineLvl w:val="1"/>
        <w:rPr>
          <w:rFonts w:ascii="黑体" w:hAnsi="黑体"/>
          <w:b/>
          <w:bCs/>
          <w:color w:val="000000" w:themeColor="text1"/>
          <w:sz w:val="32"/>
          <w:szCs w:val="32"/>
          <w:highlight w:val="none"/>
          <w14:textFill>
            <w14:solidFill>
              <w14:schemeClr w14:val="tx1"/>
            </w14:solidFill>
          </w14:textFill>
        </w:rPr>
      </w:pPr>
      <w:bookmarkStart w:id="385" w:name="_Toc217642256"/>
      <w:bookmarkStart w:id="386" w:name="_Toc30244"/>
      <w:r>
        <w:rPr>
          <w:rFonts w:hint="eastAsia" w:ascii="黑体" w:hAnsi="黑体"/>
          <w:b/>
          <w:bCs/>
          <w:color w:val="000000" w:themeColor="text1"/>
          <w:sz w:val="32"/>
          <w:szCs w:val="32"/>
          <w:highlight w:val="none"/>
          <w14:textFill>
            <w14:solidFill>
              <w14:schemeClr w14:val="tx1"/>
            </w14:solidFill>
          </w14:textFill>
        </w:rPr>
        <w:t>15.缺陷责任与保修</w:t>
      </w:r>
      <w:bookmarkEnd w:id="385"/>
      <w:bookmarkEnd w:id="386"/>
    </w:p>
    <w:p w14:paraId="7026BC4A">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87" w:name="_Toc217642257"/>
      <w:bookmarkStart w:id="388" w:name="_Toc16588"/>
      <w:r>
        <w:rPr>
          <w:rFonts w:hint="eastAsia" w:ascii="黑体" w:hAnsi="黑体"/>
          <w:b/>
          <w:bCs/>
          <w:color w:val="000000" w:themeColor="text1"/>
          <w:sz w:val="32"/>
          <w:szCs w:val="32"/>
          <w:highlight w:val="none"/>
          <w14:textFill>
            <w14:solidFill>
              <w14:schemeClr w14:val="tx1"/>
            </w14:solidFill>
          </w14:textFill>
        </w:rPr>
        <w:t>15.1工程保修的原则</w:t>
      </w:r>
      <w:bookmarkEnd w:id="387"/>
      <w:bookmarkEnd w:id="388"/>
    </w:p>
    <w:p w14:paraId="7859D50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在工程移交发包人后，因承包人原因产生的质量缺陷，承包人应承担质量缺陷责任和保修义务。缺陷责任期届满，承包人仍应按合同约定的工程各部位保修年限承担保修义务。</w:t>
      </w:r>
    </w:p>
    <w:p w14:paraId="5C04493F">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89" w:name="_Toc217642258"/>
      <w:bookmarkStart w:id="390" w:name="_Toc5743"/>
      <w:r>
        <w:rPr>
          <w:rFonts w:hint="eastAsia" w:ascii="黑体" w:hAnsi="黑体"/>
          <w:b/>
          <w:bCs/>
          <w:color w:val="000000" w:themeColor="text1"/>
          <w:sz w:val="32"/>
          <w:szCs w:val="32"/>
          <w:highlight w:val="none"/>
          <w14:textFill>
            <w14:solidFill>
              <w14:schemeClr w14:val="tx1"/>
            </w14:solidFill>
          </w14:textFill>
        </w:rPr>
        <w:t>15.2缺陷责任期</w:t>
      </w:r>
      <w:bookmarkEnd w:id="389"/>
      <w:bookmarkEnd w:id="390"/>
    </w:p>
    <w:p w14:paraId="50FDEE3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15.2.1缺陷责任期从工程通过竣工验收之日起计算，合同当事人应在专用合同条款约定缺陷责任期的具体期限，但该期限最长不超过24个月。</w:t>
      </w:r>
    </w:p>
    <w:p w14:paraId="1EC6293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202E6CC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包人延长缺陷责任期，并应在原缺陷责任期届满前发出延长通知。但缺陷责任期（含延长部分）最长不能超过24个月。</w:t>
      </w:r>
    </w:p>
    <w:p w14:paraId="390D6A9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由他人原因造成的缺陷，发包人负责组织维修，承包人不承担费用，且发包人不得从保证金中扣除费用。</w:t>
      </w:r>
    </w:p>
    <w:p w14:paraId="3C57933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15.2.3任何一项缺陷或损坏修复后，经检查证明其影响了工程或工程设备的使用性能，承包人应重新进行合同约定的试验和试运行，试验和试运行的全部费用应由责任方承担。</w:t>
      </w:r>
    </w:p>
    <w:p w14:paraId="7924D5C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15.2.4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756A67A5">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91" w:name="_Toc4386"/>
      <w:bookmarkStart w:id="392" w:name="_Toc217642259"/>
      <w:r>
        <w:rPr>
          <w:rFonts w:hint="eastAsia" w:ascii="黑体" w:hAnsi="黑体"/>
          <w:b/>
          <w:bCs/>
          <w:color w:val="000000" w:themeColor="text1"/>
          <w:sz w:val="32"/>
          <w:szCs w:val="32"/>
          <w:highlight w:val="none"/>
          <w14:textFill>
            <w14:solidFill>
              <w14:schemeClr w14:val="tx1"/>
            </w14:solidFill>
          </w14:textFill>
        </w:rPr>
        <w:t>15.3质量保证金</w:t>
      </w:r>
      <w:bookmarkEnd w:id="391"/>
      <w:bookmarkEnd w:id="392"/>
    </w:p>
    <w:p w14:paraId="708F4FC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经合同当事人协商一致扣留质量保证金的，应在专用合同条款中予以明确。</w:t>
      </w:r>
    </w:p>
    <w:p w14:paraId="70B88D9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在工程项目竣工前，承包人已经提供履约担保的，发包人不得同时预留工程质量保证金。</w:t>
      </w:r>
    </w:p>
    <w:p w14:paraId="67D9A58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15.3.1承包人提供质量保证金的方式</w:t>
      </w:r>
    </w:p>
    <w:p w14:paraId="27CC733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承包人提供质量保证金有以下三种方式：</w:t>
      </w:r>
    </w:p>
    <w:p w14:paraId="6CF8649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（1）质量保证金保函；</w:t>
      </w:r>
    </w:p>
    <w:p w14:paraId="6AE376A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（2）相应比例的工程款；</w:t>
      </w:r>
    </w:p>
    <w:p w14:paraId="38AD086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（3）双方约定的其他方式。</w:t>
      </w:r>
    </w:p>
    <w:p w14:paraId="7650051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除专用合同条款另有约定外，质量保证金原则上采用上述第（1）种方式。</w:t>
      </w:r>
    </w:p>
    <w:p w14:paraId="0E04B6A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15.3.2质量保证金的扣留</w:t>
      </w:r>
    </w:p>
    <w:p w14:paraId="76F3432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质量保证金的扣留有以下三种方式：</w:t>
      </w:r>
    </w:p>
    <w:p w14:paraId="06B4E22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（1）在支付工程进度款时逐次扣留，在此情形下，质量保证金的计算基数不包括预付款的支付、扣回以及价格调整的金额；</w:t>
      </w:r>
    </w:p>
    <w:p w14:paraId="1BF17D2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（2）工程竣工结算时一次性扣留质量保证金；</w:t>
      </w:r>
    </w:p>
    <w:p w14:paraId="2C34B3C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（3）双方约定的其他扣留方式。</w:t>
      </w:r>
    </w:p>
    <w:p w14:paraId="53139AE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除专用合同条款另有约定外，质量保证金的扣留原则上采用上述第（1）种方式。</w:t>
      </w:r>
    </w:p>
    <w:p w14:paraId="0FB8C95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00A49CB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发包人在退还质量保证金的同时按照中国人民银行发布的同期同类贷款基准利率支付利息。</w:t>
      </w:r>
    </w:p>
    <w:p w14:paraId="1EF81B6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15.3.3质量保证金的退还</w:t>
      </w:r>
    </w:p>
    <w:p w14:paraId="684D08B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缺陷责任期内，承包人认真履行合同约定的责任，到期后，承包人可向发包人申请返还保证金。</w:t>
      </w:r>
    </w:p>
    <w:p w14:paraId="37E6492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3741B13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发包人和承包人对保证金预留、返还以及工程维修质量、费用有争议的，按本合同第20条约定的争议和纠纷解决程序处理。</w:t>
      </w:r>
    </w:p>
    <w:p w14:paraId="7CC27A49">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93" w:name="_Toc217642260"/>
      <w:bookmarkStart w:id="394" w:name="_Toc6375"/>
      <w:r>
        <w:rPr>
          <w:rFonts w:hint="eastAsia" w:ascii="黑体" w:hAnsi="黑体"/>
          <w:b/>
          <w:bCs/>
          <w:color w:val="000000" w:themeColor="text1"/>
          <w:sz w:val="32"/>
          <w:szCs w:val="32"/>
          <w:highlight w:val="none"/>
          <w14:textFill>
            <w14:solidFill>
              <w14:schemeClr w14:val="tx1"/>
            </w14:solidFill>
          </w14:textFill>
        </w:rPr>
        <w:t>15.4保修</w:t>
      </w:r>
      <w:bookmarkEnd w:id="393"/>
      <w:bookmarkEnd w:id="394"/>
    </w:p>
    <w:p w14:paraId="52A2762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15.4.1保修责任</w:t>
      </w:r>
    </w:p>
    <w:p w14:paraId="077184C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17B4E92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发包人未经竣工验收擅自使用工程的，保修期自转移占有之日起算。</w:t>
      </w:r>
    </w:p>
    <w:p w14:paraId="44DDA80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15.4.2修复费用</w:t>
      </w:r>
    </w:p>
    <w:p w14:paraId="5395BBB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保修期内，修复的费用按照以下约定处理：</w:t>
      </w:r>
    </w:p>
    <w:p w14:paraId="5200355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（1）保修期内，因承包人原因造成工程的缺陷、损坏，承包人应负责修复，并承担修复的费用以及因工程的缺陷、损坏造成的人身伤害和财产损失；</w:t>
      </w:r>
    </w:p>
    <w:p w14:paraId="54C9032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（2）保修期内，因发包人使用不当造成工程的缺陷、损坏，可以委托承包人修复，但发包人应承担修复的费用，并支付承包人合理利润；</w:t>
      </w:r>
    </w:p>
    <w:p w14:paraId="7CD42A4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（3）因其他原因造成工程的缺陷、损坏，可以委托承包人修复，发包人应承担修复的费用，并支付承包人合理的利润，因工程的缺陷、损坏造成的人身伤害和财产损失由责任方承担。</w:t>
      </w:r>
    </w:p>
    <w:p w14:paraId="2967571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15.4.3修复通知</w:t>
      </w:r>
    </w:p>
    <w:p w14:paraId="030C620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79920CA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15.4.4未能修复</w:t>
      </w:r>
    </w:p>
    <w:p w14:paraId="3CD5E30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04B8C96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15.4.5承包人出入权</w:t>
      </w:r>
    </w:p>
    <w:p w14:paraId="210B597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617C7618">
      <w:pPr>
        <w:keepNext/>
        <w:keepLines/>
        <w:spacing w:before="260" w:after="260" w:line="416" w:lineRule="auto"/>
        <w:outlineLvl w:val="1"/>
        <w:rPr>
          <w:rFonts w:ascii="黑体" w:hAnsi="黑体"/>
          <w:b/>
          <w:bCs/>
          <w:color w:val="000000" w:themeColor="text1"/>
          <w:sz w:val="32"/>
          <w:szCs w:val="32"/>
          <w:highlight w:val="none"/>
          <w14:textFill>
            <w14:solidFill>
              <w14:schemeClr w14:val="tx1"/>
            </w14:solidFill>
          </w14:textFill>
        </w:rPr>
      </w:pPr>
      <w:bookmarkStart w:id="395" w:name="_Toc217642261"/>
      <w:bookmarkStart w:id="396" w:name="_Toc6636"/>
      <w:r>
        <w:rPr>
          <w:rFonts w:hint="eastAsia" w:ascii="黑体" w:hAnsi="黑体"/>
          <w:b/>
          <w:bCs/>
          <w:color w:val="000000" w:themeColor="text1"/>
          <w:sz w:val="32"/>
          <w:szCs w:val="32"/>
          <w:highlight w:val="none"/>
          <w14:textFill>
            <w14:solidFill>
              <w14:schemeClr w14:val="tx1"/>
            </w14:solidFill>
          </w14:textFill>
        </w:rPr>
        <w:t>16.违约</w:t>
      </w:r>
      <w:bookmarkEnd w:id="395"/>
      <w:bookmarkEnd w:id="396"/>
    </w:p>
    <w:p w14:paraId="7CE777B0">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97" w:name="_Toc217642262"/>
      <w:bookmarkStart w:id="398" w:name="_Toc3606"/>
      <w:r>
        <w:rPr>
          <w:rFonts w:hint="eastAsia" w:ascii="黑体" w:hAnsi="黑体"/>
          <w:b/>
          <w:bCs/>
          <w:color w:val="000000" w:themeColor="text1"/>
          <w:sz w:val="32"/>
          <w:szCs w:val="32"/>
          <w:highlight w:val="none"/>
          <w14:textFill>
            <w14:solidFill>
              <w14:schemeClr w14:val="tx1"/>
            </w14:solidFill>
          </w14:textFill>
        </w:rPr>
        <w:t>16.1发包人违约</w:t>
      </w:r>
      <w:bookmarkEnd w:id="397"/>
      <w:bookmarkEnd w:id="398"/>
    </w:p>
    <w:p w14:paraId="286FF94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16.1.1发包人违约的情形</w:t>
      </w:r>
    </w:p>
    <w:p w14:paraId="140AC34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在合同履行过程中发生的下列情形，属于发包人违约：</w:t>
      </w:r>
    </w:p>
    <w:p w14:paraId="15B5D47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（1）因发包人原因未能在计划开工日期前7天内下达开工通知的；</w:t>
      </w:r>
    </w:p>
    <w:p w14:paraId="48B653B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（2）因发包人原因未能按合同约定支付合同价款的；</w:t>
      </w:r>
    </w:p>
    <w:p w14:paraId="6C01199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（3）发包人违反第10.1款〔变更的范围〕第（2）项约定，自行实施被取消的工作或转由他人实施的；</w:t>
      </w:r>
    </w:p>
    <w:p w14:paraId="0963755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（4）发包人提供的材料、工程设备的规格、数量或质量不符合合同约定，或因发包人原因导致交货日期延误或交货地点变更等情况的；</w:t>
      </w:r>
    </w:p>
    <w:p w14:paraId="3699535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（5）因发包人违反合同约定造成暂停施工的；</w:t>
      </w:r>
    </w:p>
    <w:p w14:paraId="1934EE8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（6）发包人无正当理由没有在约定期限内发出复工指示，导致承包人无法复工的；</w:t>
      </w:r>
    </w:p>
    <w:p w14:paraId="0C59639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（7）发包人明确表示或者以其行为表明不履行合同主要义务的；</w:t>
      </w:r>
    </w:p>
    <w:p w14:paraId="477C6B8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（8）发包人未能按照合同约定履行其他义务的。</w:t>
      </w:r>
    </w:p>
    <w:p w14:paraId="4A82D06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235210C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16.1.2发包人违约的责任</w:t>
      </w:r>
    </w:p>
    <w:p w14:paraId="62E0752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发包人应承担因其违约给承包人增加的费用和（或）延误的工期，并支付承包人合理的利润。此外，合同当事人可在专用合同条款中另行约定发包人违约责任的承担方式和计算方法。</w:t>
      </w:r>
    </w:p>
    <w:p w14:paraId="7521868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16.1.3因发包人违约解除合同</w:t>
      </w:r>
    </w:p>
    <w:p w14:paraId="2601035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3141D5C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16.1.4因发包人违约解除合同后的付款</w:t>
      </w:r>
    </w:p>
    <w:p w14:paraId="3BEB563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承包人按照本款约定解除合同的，发包人应在解除合同后28天内支付下列款项，并解除履约担保：</w:t>
      </w:r>
    </w:p>
    <w:p w14:paraId="45151DD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（1）合同解除前所完成工作的价款；</w:t>
      </w:r>
    </w:p>
    <w:p w14:paraId="1EA8813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（2）承包人为工程施工订购并已付款的材料、工程设备和其他物品的价款；</w:t>
      </w:r>
    </w:p>
    <w:p w14:paraId="4EA8936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（3）承包人撤离施工现场以及遣散承包人人员的款项；</w:t>
      </w:r>
    </w:p>
    <w:p w14:paraId="52F0044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（4）按照合同约定在合同解除前应支付的违约金；</w:t>
      </w:r>
    </w:p>
    <w:p w14:paraId="3A0CD86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（5）按照合同约定应当支付给承包人的其他款项；</w:t>
      </w:r>
    </w:p>
    <w:p w14:paraId="6D35BC4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（6）按照合同约定应退还的质量保证金；</w:t>
      </w:r>
    </w:p>
    <w:p w14:paraId="0D22794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（7）因解除合同给承包人造成的损失。</w:t>
      </w:r>
    </w:p>
    <w:p w14:paraId="208501D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合同当事人未能就解除合同后的结清达成一致的，按照第20条〔争议解决〕的约定处理。</w:t>
      </w:r>
    </w:p>
    <w:p w14:paraId="6D79CEE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承包人应妥善做好已完工程和与工程有关的已购材料、工程设备的保护和移交工作，并将施工设备和人员撤出施工现场，发包人应为承包人撤出提供必要条件。</w:t>
      </w:r>
    </w:p>
    <w:p w14:paraId="435A475A">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399" w:name="_Toc19291"/>
      <w:bookmarkStart w:id="400" w:name="_Toc217642263"/>
      <w:r>
        <w:rPr>
          <w:rFonts w:hint="eastAsia" w:ascii="黑体" w:hAnsi="黑体"/>
          <w:b/>
          <w:bCs/>
          <w:color w:val="000000" w:themeColor="text1"/>
          <w:sz w:val="32"/>
          <w:szCs w:val="32"/>
          <w:highlight w:val="none"/>
          <w14:textFill>
            <w14:solidFill>
              <w14:schemeClr w14:val="tx1"/>
            </w14:solidFill>
          </w14:textFill>
        </w:rPr>
        <w:t>16.2承包人违约</w:t>
      </w:r>
      <w:bookmarkEnd w:id="399"/>
      <w:bookmarkEnd w:id="400"/>
    </w:p>
    <w:p w14:paraId="71DD225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16.2.1承包人违约的情形</w:t>
      </w:r>
    </w:p>
    <w:p w14:paraId="3DAB8F2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在合同履行过程中发生的下列情形，属于承包人违约：</w:t>
      </w:r>
    </w:p>
    <w:p w14:paraId="00A29F4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（1）承包人违反合同约定进行转包或违法分包的；</w:t>
      </w:r>
    </w:p>
    <w:p w14:paraId="4EBA3DB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（2）承包人违反合同约定采购和使用不合格的材料和工程设备的；</w:t>
      </w:r>
    </w:p>
    <w:p w14:paraId="2E946C1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（3）因承包人原因导致工程质量不符合合同要求的；</w:t>
      </w:r>
    </w:p>
    <w:p w14:paraId="4D96F8F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（4）承包人违反第8.9款〔材料与设备专用要求〕的约定，未经批准，私自将已按照合同约定进入施工现场的材料或设备撤离施工现场的；</w:t>
      </w:r>
    </w:p>
    <w:p w14:paraId="616C85D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（5）承包人未能按施工进度计划及时完成合同约定的工作，造成工期延误的；</w:t>
      </w:r>
    </w:p>
    <w:p w14:paraId="104394D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（6）承包人在缺陷责任期及保修期内，未能在合理期限对工程缺陷进行修复，或拒绝按发包人要求进行修复的；</w:t>
      </w:r>
    </w:p>
    <w:p w14:paraId="4ADE723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（7）承包人明确表示或者以其行为表明不履行合同主要义务的；</w:t>
      </w:r>
    </w:p>
    <w:p w14:paraId="16D4AF7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（8）承包人未能按照合同约定履行其他义务的。</w:t>
      </w:r>
    </w:p>
    <w:p w14:paraId="64651F7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承包人发生除本项第（7）目约定以外的其他违约情况时，监理人可向承包人发出整改通知，要求其在指定的期限内改正。</w:t>
      </w:r>
    </w:p>
    <w:p w14:paraId="0C49DC0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16.2.2承包人违约的责任</w:t>
      </w:r>
    </w:p>
    <w:p w14:paraId="6244F39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承包人应承担因其违约行为而增加的费用和（或）延误的工期。此外，合同当事人可在专用合同条款中另行约定承包人违约责任的承担方式和计算方法。</w:t>
      </w:r>
    </w:p>
    <w:p w14:paraId="19D0ECE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16.2.3因承包人违约解除合同</w:t>
      </w:r>
    </w:p>
    <w:p w14:paraId="2366D6E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6BED2B4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16.2.4因承包人违约解除合同后的处理</w:t>
      </w:r>
    </w:p>
    <w:p w14:paraId="49D23CF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因承包人原因导致合同解除的，则合同当事人应在合同解除后28天内完成估价、付款和清算，并按以下约定执行：</w:t>
      </w:r>
    </w:p>
    <w:p w14:paraId="08F3751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（1）合同解除后，按第4.4款〔商定或确定〕商定或确定承包人实际完成工作对应的合同价款，以及承包人已提供的材料、工程设备、施工设备和临时工程等的价值；</w:t>
      </w:r>
    </w:p>
    <w:p w14:paraId="5DF27AD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（2）合同解除后，承包人应支付的违约金；</w:t>
      </w:r>
    </w:p>
    <w:p w14:paraId="505B401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（3）合同解除后，因解除合同给发包人造成的损失；</w:t>
      </w:r>
    </w:p>
    <w:p w14:paraId="6B31E11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（4）合同解除后，承包人应按照发包人要求和监理人的指示完成现场的清理和撤离；</w:t>
      </w:r>
    </w:p>
    <w:p w14:paraId="5CCDD46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（5）发包人和承包人应在合同解除后进行清算，出具最终结清付款证书，结清全部款项。</w:t>
      </w:r>
    </w:p>
    <w:p w14:paraId="503F322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因承包人违约解除合同的，发包人有权暂停对承包人的付款，查清各项付款和已扣款项。发包人和承包人未能就合同解除后的清算和款项支付达成一致的，按照第20条〔争议解决〕的约定处理。</w:t>
      </w:r>
    </w:p>
    <w:p w14:paraId="7CC1A93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16.2.5采购合同权益转让</w:t>
      </w:r>
    </w:p>
    <w:p w14:paraId="6D439E3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11F2CD17">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01" w:name="_Toc217642264"/>
      <w:bookmarkStart w:id="402" w:name="_Toc2029"/>
      <w:r>
        <w:rPr>
          <w:rFonts w:hint="eastAsia" w:ascii="黑体" w:hAnsi="黑体"/>
          <w:b/>
          <w:bCs/>
          <w:color w:val="000000" w:themeColor="text1"/>
          <w:sz w:val="32"/>
          <w:szCs w:val="32"/>
          <w:highlight w:val="none"/>
          <w14:textFill>
            <w14:solidFill>
              <w14:schemeClr w14:val="tx1"/>
            </w14:solidFill>
          </w14:textFill>
        </w:rPr>
        <w:t>16.3第三人造成的违约</w:t>
      </w:r>
      <w:bookmarkEnd w:id="401"/>
      <w:bookmarkEnd w:id="402"/>
    </w:p>
    <w:p w14:paraId="4CCA282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在履行合同过程中，一方当事人因第三人的原因造成违约的，应当向对方当事人承担违约责任。一方当事人和第三人之间的纠纷，依照法律规定或者按照约定解决。</w:t>
      </w:r>
    </w:p>
    <w:p w14:paraId="5579D1D9">
      <w:pPr>
        <w:keepNext/>
        <w:keepLines/>
        <w:spacing w:before="260" w:after="260" w:line="416" w:lineRule="auto"/>
        <w:outlineLvl w:val="1"/>
        <w:rPr>
          <w:rFonts w:ascii="黑体" w:hAnsi="黑体"/>
          <w:b/>
          <w:bCs/>
          <w:color w:val="000000" w:themeColor="text1"/>
          <w:sz w:val="32"/>
          <w:szCs w:val="32"/>
          <w:highlight w:val="none"/>
          <w14:textFill>
            <w14:solidFill>
              <w14:schemeClr w14:val="tx1"/>
            </w14:solidFill>
          </w14:textFill>
        </w:rPr>
      </w:pPr>
      <w:bookmarkStart w:id="403" w:name="_Toc217642265"/>
      <w:bookmarkStart w:id="404" w:name="_Toc28673"/>
      <w:r>
        <w:rPr>
          <w:rFonts w:hint="eastAsia" w:ascii="黑体" w:hAnsi="黑体"/>
          <w:b/>
          <w:bCs/>
          <w:color w:val="000000" w:themeColor="text1"/>
          <w:sz w:val="32"/>
          <w:szCs w:val="32"/>
          <w:highlight w:val="none"/>
          <w14:textFill>
            <w14:solidFill>
              <w14:schemeClr w14:val="tx1"/>
            </w14:solidFill>
          </w14:textFill>
        </w:rPr>
        <w:t>17.不可抗力</w:t>
      </w:r>
      <w:bookmarkEnd w:id="403"/>
      <w:bookmarkEnd w:id="404"/>
    </w:p>
    <w:p w14:paraId="408193DE">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05" w:name="_Toc217642266"/>
      <w:bookmarkStart w:id="406" w:name="_Toc11671"/>
      <w:r>
        <w:rPr>
          <w:rFonts w:hint="eastAsia" w:ascii="黑体" w:hAnsi="黑体"/>
          <w:b/>
          <w:bCs/>
          <w:color w:val="000000" w:themeColor="text1"/>
          <w:sz w:val="32"/>
          <w:szCs w:val="32"/>
          <w:highlight w:val="none"/>
          <w14:textFill>
            <w14:solidFill>
              <w14:schemeClr w14:val="tx1"/>
            </w14:solidFill>
          </w14:textFill>
        </w:rPr>
        <w:t>17.1不可抗力的确认</w:t>
      </w:r>
      <w:bookmarkEnd w:id="405"/>
      <w:bookmarkEnd w:id="406"/>
    </w:p>
    <w:p w14:paraId="14DC29B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不可抗力是指合同当事人在签订合同时不可预见，在合同履行过程中不可避免且不能克服的自然灾害和社会性突发事件，如地震、海啸、瘟疫、骚乱、戒严、暴动、战争和专用合同条款中约定的其他情形。</w:t>
      </w:r>
    </w:p>
    <w:p w14:paraId="1342A47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2BDDF224">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07" w:name="_Toc217642267"/>
      <w:bookmarkStart w:id="408" w:name="_Toc26065"/>
      <w:r>
        <w:rPr>
          <w:rFonts w:hint="eastAsia" w:ascii="黑体" w:hAnsi="黑体"/>
          <w:b/>
          <w:bCs/>
          <w:color w:val="000000" w:themeColor="text1"/>
          <w:sz w:val="32"/>
          <w:szCs w:val="32"/>
          <w:highlight w:val="none"/>
          <w14:textFill>
            <w14:solidFill>
              <w14:schemeClr w14:val="tx1"/>
            </w14:solidFill>
          </w14:textFill>
        </w:rPr>
        <w:t>17.2不可抗力的通知</w:t>
      </w:r>
      <w:bookmarkEnd w:id="407"/>
      <w:bookmarkEnd w:id="408"/>
    </w:p>
    <w:p w14:paraId="1E63143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合同一方当事人遇到不可抗力事件，使其履行合同义务受到阻碍时，应立即通知合同另一方当事人和监理人，书面说明不可抗力和受阻碍的详细情况，并提供必要的证明。</w:t>
      </w:r>
    </w:p>
    <w:p w14:paraId="1A0D8FD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不可抗力持续发生的，合同一方当事人应及时向合同另一方当事人和监理人提交中间报告，说明不可抗力和履行合同受阻的情况，并于不可抗力事件结束后28天内提交最终报告及有关资料。</w:t>
      </w:r>
    </w:p>
    <w:p w14:paraId="389C6AA5">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09" w:name="_Toc217642268"/>
      <w:bookmarkStart w:id="410" w:name="_Toc13026"/>
      <w:r>
        <w:rPr>
          <w:rFonts w:hint="eastAsia" w:ascii="黑体" w:hAnsi="黑体"/>
          <w:b/>
          <w:bCs/>
          <w:color w:val="000000" w:themeColor="text1"/>
          <w:sz w:val="32"/>
          <w:szCs w:val="32"/>
          <w:highlight w:val="none"/>
          <w14:textFill>
            <w14:solidFill>
              <w14:schemeClr w14:val="tx1"/>
            </w14:solidFill>
          </w14:textFill>
        </w:rPr>
        <w:t>17.3不可抗力后果的承担</w:t>
      </w:r>
      <w:bookmarkEnd w:id="409"/>
      <w:bookmarkEnd w:id="410"/>
    </w:p>
    <w:p w14:paraId="6801489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17.3.1不可抗力引起的后果及造成的损失由合同当事人按照法律规定及合同约定各自承担。不可抗力发生前已完成的工程应当按照合同约定进行计量支付。</w:t>
      </w:r>
    </w:p>
    <w:p w14:paraId="6E88C5B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17.3.2不可抗力导致的人员伤亡、财产损失、费用增加和（或）工期延误等后果，由合同当事人按以下原则承担：</w:t>
      </w:r>
    </w:p>
    <w:p w14:paraId="62371DA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（1）永久工程、已运至施工现场的材料和工程设备的损坏，以及因工程损坏造成的第三人人员伤亡和财产损失由发包人承担；</w:t>
      </w:r>
    </w:p>
    <w:p w14:paraId="22B2789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（2）承包人施工设备的损坏由承包人承担；</w:t>
      </w:r>
    </w:p>
    <w:p w14:paraId="42614F7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（3）发包人和承包人承担各自人员伤亡和财产的损失；</w:t>
      </w:r>
    </w:p>
    <w:p w14:paraId="5D94015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（4）因不可抗力影响承包人履行合同约定的义务，已经引起或将引起工期延误的，应当顺延工期，由此导致承包人停工的费用损失由发包人和承包人合理分担，停工期间必须支付的工人工资由发包人承担；</w:t>
      </w:r>
    </w:p>
    <w:p w14:paraId="5F516BF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（5）因不可抗力引起或将引起工期延误，发包人要求赶工的，由此增加的赶工费用由发包人承担；</w:t>
      </w:r>
    </w:p>
    <w:p w14:paraId="0FC64FB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（6）承包人在停工期间按照发包人要求照管、清理和修复工程的费用由发包人承担。</w:t>
      </w:r>
    </w:p>
    <w:p w14:paraId="1C8BE57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不可抗力发生后，合同当事人均应采取措施尽量避免和减少损失的扩大，任何一方当事人没有采取有效措施导致损失扩大的，应对扩大的损失承担责任。</w:t>
      </w:r>
    </w:p>
    <w:p w14:paraId="5523A66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因合同一方迟延履行合同义务，在迟延履行期间遭遇不可抗力的，不免除其违约责任。</w:t>
      </w:r>
    </w:p>
    <w:p w14:paraId="70A27344">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11" w:name="_Toc217642269"/>
      <w:bookmarkStart w:id="412" w:name="_Toc20573"/>
      <w:r>
        <w:rPr>
          <w:rFonts w:hint="eastAsia" w:ascii="黑体" w:hAnsi="黑体"/>
          <w:b/>
          <w:bCs/>
          <w:color w:val="000000" w:themeColor="text1"/>
          <w:sz w:val="32"/>
          <w:szCs w:val="32"/>
          <w:highlight w:val="none"/>
          <w14:textFill>
            <w14:solidFill>
              <w14:schemeClr w14:val="tx1"/>
            </w14:solidFill>
          </w14:textFill>
        </w:rPr>
        <w:t>17.4因不可抗力解除合同</w:t>
      </w:r>
      <w:bookmarkEnd w:id="411"/>
      <w:bookmarkEnd w:id="412"/>
    </w:p>
    <w:p w14:paraId="6399E60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因不可抗力导致合同无法履行连续超过84天或累计超过140天的，发包人和承包人均有权解除合同。合同解除后，由双方当事人按照第4.4款〔商定或确定〕商定或确定发包人应支付的款项，该款项包括：</w:t>
      </w:r>
    </w:p>
    <w:p w14:paraId="5B27064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（1）合同解除前承包人已完成工作的价款；</w:t>
      </w:r>
    </w:p>
    <w:p w14:paraId="09C4F1B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（2）承包人为工程订购的并已交付给承包人，或承包人有责任接受交付的材料、工程设备和其他物品的价款；</w:t>
      </w:r>
    </w:p>
    <w:p w14:paraId="10BD000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（3）发包人要求承包人退货或解除订货合同而产生的费用，或因不能退货或解除合同而产生的损失；</w:t>
      </w:r>
    </w:p>
    <w:p w14:paraId="71BC10F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（4）承包人撤离施工现场以及遣散承包人人员的费用；</w:t>
      </w:r>
    </w:p>
    <w:p w14:paraId="5547E43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（5）按照合同约定在合同解除前应支付给承包人的其他款项；</w:t>
      </w:r>
    </w:p>
    <w:p w14:paraId="4593A32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（6）扣减承包人按照合同约定应向发包人支付的款项；</w:t>
      </w:r>
    </w:p>
    <w:p w14:paraId="313840D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（7）双方商定或确定的其他款项。</w:t>
      </w:r>
    </w:p>
    <w:p w14:paraId="6145F3B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除专用合同条款另有约定外，合同解除后，发包人应在商定或确定上述款项后28天内完成上述款项的支付。</w:t>
      </w:r>
    </w:p>
    <w:p w14:paraId="7B5DDA9C">
      <w:pPr>
        <w:keepNext/>
        <w:keepLines/>
        <w:spacing w:before="260" w:after="260" w:line="416" w:lineRule="auto"/>
        <w:outlineLvl w:val="1"/>
        <w:rPr>
          <w:rFonts w:ascii="黑体" w:hAnsi="黑体"/>
          <w:b/>
          <w:bCs/>
          <w:color w:val="000000" w:themeColor="text1"/>
          <w:sz w:val="32"/>
          <w:szCs w:val="32"/>
          <w:highlight w:val="none"/>
          <w14:textFill>
            <w14:solidFill>
              <w14:schemeClr w14:val="tx1"/>
            </w14:solidFill>
          </w14:textFill>
        </w:rPr>
      </w:pPr>
      <w:bookmarkStart w:id="413" w:name="_Toc30738"/>
      <w:bookmarkStart w:id="414" w:name="_Toc217642270"/>
      <w:r>
        <w:rPr>
          <w:rFonts w:hint="eastAsia" w:ascii="黑体" w:hAnsi="黑体"/>
          <w:b/>
          <w:bCs/>
          <w:color w:val="000000" w:themeColor="text1"/>
          <w:sz w:val="32"/>
          <w:szCs w:val="32"/>
          <w:highlight w:val="none"/>
          <w14:textFill>
            <w14:solidFill>
              <w14:schemeClr w14:val="tx1"/>
            </w14:solidFill>
          </w14:textFill>
        </w:rPr>
        <w:t>18.保险</w:t>
      </w:r>
      <w:bookmarkEnd w:id="413"/>
      <w:bookmarkEnd w:id="414"/>
    </w:p>
    <w:p w14:paraId="13E39ED2">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15" w:name="_Toc217642271"/>
      <w:bookmarkStart w:id="416" w:name="_Toc5616"/>
      <w:r>
        <w:rPr>
          <w:rFonts w:hint="eastAsia" w:ascii="黑体" w:hAnsi="黑体"/>
          <w:b/>
          <w:bCs/>
          <w:color w:val="000000" w:themeColor="text1"/>
          <w:sz w:val="32"/>
          <w:szCs w:val="32"/>
          <w:highlight w:val="none"/>
          <w14:textFill>
            <w14:solidFill>
              <w14:schemeClr w14:val="tx1"/>
            </w14:solidFill>
          </w14:textFill>
        </w:rPr>
        <w:t>18.1工程保险</w:t>
      </w:r>
      <w:bookmarkEnd w:id="415"/>
      <w:bookmarkEnd w:id="416"/>
    </w:p>
    <w:p w14:paraId="7E8DF29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w:t>
      </w:r>
      <w:r>
        <w:rPr>
          <w:rFonts w:hint="eastAsia" w:ascii="宋体" w:hAnsi="宋体"/>
          <w:color w:val="000000" w:themeColor="text1"/>
          <w:szCs w:val="21"/>
          <w:highlight w:val="none"/>
          <w:lang w:val="en-US" w:eastAsia="zh-CN"/>
          <w14:textFill>
            <w14:solidFill>
              <w14:schemeClr w14:val="tx1"/>
            </w14:solidFill>
          </w14:textFill>
        </w:rPr>
        <w:t>承包</w:t>
      </w:r>
      <w:r>
        <w:rPr>
          <w:rFonts w:hint="eastAsia" w:ascii="宋体" w:hAnsi="宋体"/>
          <w:color w:val="000000" w:themeColor="text1"/>
          <w:szCs w:val="21"/>
          <w:highlight w:val="none"/>
          <w14:textFill>
            <w14:solidFill>
              <w14:schemeClr w14:val="tx1"/>
            </w14:solidFill>
          </w14:textFill>
        </w:rPr>
        <w:t>人应投保建筑工程一切险、安装工程一切险及第三者责任险保险费用已包含在本项目合同总价之中，发包人不再另行计取和支付保险费用。由承包人自行承担费用足额投保上述险种；保险保障范围覆盖项目施工全周期、全部施工风险，保险单必须将发包人设置为共同被保险人。承包人需在项目开工前，将完整保险单复印件提交发包人备案；未按约定足额投保的，项目不得开工。保险到期的，承包人应当及时续保，保证保险有效期完整覆盖施工全过程至竣工验收。</w:t>
      </w:r>
    </w:p>
    <w:p w14:paraId="53A3EA92">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17" w:name="_Toc217642272"/>
      <w:bookmarkStart w:id="418" w:name="_Toc32019"/>
      <w:r>
        <w:rPr>
          <w:rFonts w:hint="eastAsia" w:ascii="黑体" w:hAnsi="黑体"/>
          <w:b/>
          <w:bCs/>
          <w:color w:val="000000" w:themeColor="text1"/>
          <w:sz w:val="32"/>
          <w:szCs w:val="32"/>
          <w:highlight w:val="none"/>
          <w14:textFill>
            <w14:solidFill>
              <w14:schemeClr w14:val="tx1"/>
            </w14:solidFill>
          </w14:textFill>
        </w:rPr>
        <w:t>18.2工伤保险</w:t>
      </w:r>
      <w:bookmarkEnd w:id="417"/>
      <w:bookmarkEnd w:id="418"/>
    </w:p>
    <w:p w14:paraId="12D324C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18.2.1发包人应依照法律规定参加工伤保险，并为在施工现场的全部员工办理工伤保险，缴纳工伤保险费，并要求监理人及由发包人为履行合同聘请的第三方依法参加工伤保险。</w:t>
      </w:r>
    </w:p>
    <w:p w14:paraId="009E992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18.2.2承包人应依照法律规定参加工伤保险，并为其履行合同的全部员工办理工伤保险，缴纳工伤保险费，并要求分包人及由承包人为履行合同聘请的第三方依法参加工伤保险。</w:t>
      </w:r>
    </w:p>
    <w:p w14:paraId="01024C10">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19" w:name="_Toc217642273"/>
      <w:bookmarkStart w:id="420" w:name="_Toc18024"/>
      <w:r>
        <w:rPr>
          <w:rFonts w:hint="eastAsia" w:ascii="黑体" w:hAnsi="黑体"/>
          <w:b/>
          <w:bCs/>
          <w:color w:val="000000" w:themeColor="text1"/>
          <w:sz w:val="32"/>
          <w:szCs w:val="32"/>
          <w:highlight w:val="none"/>
          <w14:textFill>
            <w14:solidFill>
              <w14:schemeClr w14:val="tx1"/>
            </w14:solidFill>
          </w14:textFill>
        </w:rPr>
        <w:t>18.3其他保险</w:t>
      </w:r>
      <w:bookmarkEnd w:id="419"/>
      <w:bookmarkEnd w:id="420"/>
    </w:p>
    <w:p w14:paraId="6B12680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发包人和承包人可以为其施工现场的全部人员办理意外伤害保险并支付保险费，包括其员工及为履行合同聘请的第三方的人员，具体事项由合同当事人在专用合同条款约定。</w:t>
      </w:r>
    </w:p>
    <w:p w14:paraId="52C4FAA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除专用合同条款另有约定外，承包人应为其施工设备等办理财产保险。</w:t>
      </w:r>
    </w:p>
    <w:p w14:paraId="5537DD36">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21" w:name="_Toc217642274"/>
      <w:bookmarkStart w:id="422" w:name="_Toc27486"/>
      <w:r>
        <w:rPr>
          <w:rFonts w:hint="eastAsia" w:ascii="黑体" w:hAnsi="黑体"/>
          <w:b/>
          <w:bCs/>
          <w:color w:val="000000" w:themeColor="text1"/>
          <w:sz w:val="32"/>
          <w:szCs w:val="32"/>
          <w:highlight w:val="none"/>
          <w14:textFill>
            <w14:solidFill>
              <w14:schemeClr w14:val="tx1"/>
            </w14:solidFill>
          </w14:textFill>
        </w:rPr>
        <w:t>18.4持续保险</w:t>
      </w:r>
      <w:bookmarkEnd w:id="421"/>
      <w:bookmarkEnd w:id="422"/>
    </w:p>
    <w:p w14:paraId="54F7997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合同当事人应与保险人保持联系，使保险人能够随时了解工程实施中的变动，并确保按保险合同条款要求持续保险。</w:t>
      </w:r>
    </w:p>
    <w:p w14:paraId="11C3C115">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23" w:name="_Toc16902"/>
      <w:bookmarkStart w:id="424" w:name="_Toc217642275"/>
      <w:r>
        <w:rPr>
          <w:rFonts w:hint="eastAsia" w:ascii="黑体" w:hAnsi="黑体"/>
          <w:b/>
          <w:bCs/>
          <w:color w:val="000000" w:themeColor="text1"/>
          <w:sz w:val="32"/>
          <w:szCs w:val="32"/>
          <w:highlight w:val="none"/>
          <w14:textFill>
            <w14:solidFill>
              <w14:schemeClr w14:val="tx1"/>
            </w14:solidFill>
          </w14:textFill>
        </w:rPr>
        <w:t>18.5保险凭证</w:t>
      </w:r>
      <w:bookmarkEnd w:id="423"/>
      <w:bookmarkEnd w:id="424"/>
    </w:p>
    <w:p w14:paraId="2BA5A77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合同当事人应及时向另一方当事人提交其已投保的各项保险的凭证和保险单复印件。</w:t>
      </w:r>
    </w:p>
    <w:p w14:paraId="67256B60">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25" w:name="_Toc21538"/>
      <w:bookmarkStart w:id="426" w:name="_Toc217642276"/>
      <w:r>
        <w:rPr>
          <w:rFonts w:hint="eastAsia" w:ascii="黑体" w:hAnsi="黑体"/>
          <w:b/>
          <w:bCs/>
          <w:color w:val="000000" w:themeColor="text1"/>
          <w:sz w:val="32"/>
          <w:szCs w:val="32"/>
          <w:highlight w:val="none"/>
          <w14:textFill>
            <w14:solidFill>
              <w14:schemeClr w14:val="tx1"/>
            </w14:solidFill>
          </w14:textFill>
        </w:rPr>
        <w:t>18.6未按约定投保的补救</w:t>
      </w:r>
      <w:bookmarkEnd w:id="425"/>
      <w:bookmarkEnd w:id="426"/>
    </w:p>
    <w:p w14:paraId="3D2AF37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18.6.1发包人未按合同约定办理保险，或未能使保险持续有效的，则承包人可代为办理，所需费用由发包人承担。发包人未按合同约定办理保险，导致未能得到足额赔偿的，由发包人负责补足。</w:t>
      </w:r>
    </w:p>
    <w:p w14:paraId="2CF006C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18.6.2承包人未按合同约定办理保险，或未能使保险持续有效的，则发包人可代为办理，所需费用由承包人承担。承包人未按合同约定办理保险，导致未能得到足额赔偿的，由承包人负责补足。</w:t>
      </w:r>
    </w:p>
    <w:p w14:paraId="5BC46671">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27" w:name="_Toc26504"/>
      <w:bookmarkStart w:id="428" w:name="_Toc217642277"/>
      <w:r>
        <w:rPr>
          <w:rFonts w:hint="eastAsia" w:ascii="黑体" w:hAnsi="黑体"/>
          <w:b/>
          <w:bCs/>
          <w:color w:val="000000" w:themeColor="text1"/>
          <w:sz w:val="32"/>
          <w:szCs w:val="32"/>
          <w:highlight w:val="none"/>
          <w14:textFill>
            <w14:solidFill>
              <w14:schemeClr w14:val="tx1"/>
            </w14:solidFill>
          </w14:textFill>
        </w:rPr>
        <w:t>18.7通知义务</w:t>
      </w:r>
      <w:bookmarkEnd w:id="427"/>
      <w:bookmarkEnd w:id="428"/>
    </w:p>
    <w:p w14:paraId="21CDD0E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除专用合同条款另有约定外，发包人变更除工伤保险之外的保险合同时，应事先征得承包人同意，并通知监理人；承包人变更除工伤保险之外的保险合同时，应事先征得发包人同意，并通知监理人。</w:t>
      </w:r>
    </w:p>
    <w:p w14:paraId="1A0A586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保险事故发生时，投保人应按照保险合同规定的条件和期限及时向保险人报告。发包人和承包人应当在知道保险事故发生后及时通知对方。</w:t>
      </w:r>
    </w:p>
    <w:p w14:paraId="25D907D4">
      <w:pPr>
        <w:keepNext/>
        <w:keepLines/>
        <w:spacing w:before="260" w:after="260" w:line="416" w:lineRule="auto"/>
        <w:outlineLvl w:val="1"/>
        <w:rPr>
          <w:rFonts w:ascii="黑体" w:hAnsi="黑体"/>
          <w:b/>
          <w:bCs/>
          <w:color w:val="000000" w:themeColor="text1"/>
          <w:sz w:val="32"/>
          <w:szCs w:val="32"/>
          <w:highlight w:val="none"/>
          <w14:textFill>
            <w14:solidFill>
              <w14:schemeClr w14:val="tx1"/>
            </w14:solidFill>
          </w14:textFill>
        </w:rPr>
      </w:pPr>
      <w:bookmarkStart w:id="429" w:name="_Toc27737"/>
      <w:bookmarkStart w:id="430" w:name="_Toc217642278"/>
      <w:r>
        <w:rPr>
          <w:rFonts w:hint="eastAsia" w:ascii="黑体" w:hAnsi="黑体"/>
          <w:b/>
          <w:bCs/>
          <w:color w:val="000000" w:themeColor="text1"/>
          <w:sz w:val="32"/>
          <w:szCs w:val="32"/>
          <w:highlight w:val="none"/>
          <w14:textFill>
            <w14:solidFill>
              <w14:schemeClr w14:val="tx1"/>
            </w14:solidFill>
          </w14:textFill>
        </w:rPr>
        <w:t>19.索赔</w:t>
      </w:r>
      <w:bookmarkEnd w:id="429"/>
      <w:bookmarkEnd w:id="430"/>
    </w:p>
    <w:p w14:paraId="01D8B7FA">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31" w:name="_Toc3146"/>
      <w:bookmarkStart w:id="432" w:name="_Toc217642279"/>
      <w:r>
        <w:rPr>
          <w:rFonts w:hint="eastAsia" w:ascii="黑体" w:hAnsi="黑体"/>
          <w:b/>
          <w:bCs/>
          <w:color w:val="000000" w:themeColor="text1"/>
          <w:sz w:val="32"/>
          <w:szCs w:val="32"/>
          <w:highlight w:val="none"/>
          <w14:textFill>
            <w14:solidFill>
              <w14:schemeClr w14:val="tx1"/>
            </w14:solidFill>
          </w14:textFill>
        </w:rPr>
        <w:t>19.1承包人的索赔</w:t>
      </w:r>
      <w:bookmarkEnd w:id="431"/>
      <w:bookmarkEnd w:id="432"/>
    </w:p>
    <w:p w14:paraId="24F68AF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根据合同约定，承包人认为有权得到追加付款和（或）延长工期的，应按以下程序向发包人提出索赔：</w:t>
      </w:r>
    </w:p>
    <w:p w14:paraId="136E884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7678CFF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（2）承包人应在发出索赔意向通知书后28天内，向监理人正式递交索赔报告；索赔报告应详细说明索赔理由以及要求追加的付款金额和（或）延长的工期，并附必要的记录和证明材料；</w:t>
      </w:r>
    </w:p>
    <w:p w14:paraId="6CFDF5A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（3）索赔事件具有持续影响的，承包人应按合理时间间隔继续递交延续索赔通知，说明持续影响的实际情况和记录，列出累计的追加付款金额和（或）工期延长天数；</w:t>
      </w:r>
    </w:p>
    <w:p w14:paraId="0B9242A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（4）在索赔事件影响结束后28天内，承包人应向监理人递交最终索赔报告，说明最终要求索赔的追加付款金额和（或）延长的工期，并附必要的记录和证明材料。</w:t>
      </w:r>
    </w:p>
    <w:p w14:paraId="5EFD8E40">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33" w:name="_Toc7933"/>
      <w:bookmarkStart w:id="434" w:name="_Toc217642280"/>
      <w:r>
        <w:rPr>
          <w:rFonts w:hint="eastAsia" w:ascii="黑体" w:hAnsi="黑体"/>
          <w:b/>
          <w:bCs/>
          <w:color w:val="000000" w:themeColor="text1"/>
          <w:sz w:val="32"/>
          <w:szCs w:val="32"/>
          <w:highlight w:val="none"/>
          <w14:textFill>
            <w14:solidFill>
              <w14:schemeClr w14:val="tx1"/>
            </w14:solidFill>
          </w14:textFill>
        </w:rPr>
        <w:t>19.2对承包人索赔的处理</w:t>
      </w:r>
      <w:bookmarkEnd w:id="433"/>
      <w:bookmarkEnd w:id="434"/>
    </w:p>
    <w:p w14:paraId="3F725B1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对承包人索赔的处理如下：</w:t>
      </w:r>
    </w:p>
    <w:p w14:paraId="359E6D8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（1）监理人应在收到索赔报告后14天内完成审查并报送发包人。监理人对索赔报告存在异议的，有权要求承包人提交全部原始记录副本；</w:t>
      </w:r>
    </w:p>
    <w:p w14:paraId="78A86B9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（2）发包人应在监理人收到索赔报告或有关索赔的进一步证明材料后的28天内，由监理人向承包人出具经发包人签认的索赔处理结果。发包人逾期答复的，则视为认可承包人的索赔要求；</w:t>
      </w:r>
    </w:p>
    <w:p w14:paraId="4C86447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（3）承包人接受索赔处理结果的，索赔款项在当期进度款中进行支付；承包人不接受索赔处理结果的，按照第20条〔争议解决〕约定处理。</w:t>
      </w:r>
    </w:p>
    <w:p w14:paraId="47E6CF63">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35" w:name="_Toc217642281"/>
      <w:bookmarkStart w:id="436" w:name="_Toc22084"/>
      <w:r>
        <w:rPr>
          <w:rFonts w:hint="eastAsia" w:ascii="黑体" w:hAnsi="黑体"/>
          <w:b/>
          <w:bCs/>
          <w:color w:val="000000" w:themeColor="text1"/>
          <w:sz w:val="32"/>
          <w:szCs w:val="32"/>
          <w:highlight w:val="none"/>
          <w14:textFill>
            <w14:solidFill>
              <w14:schemeClr w14:val="tx1"/>
            </w14:solidFill>
          </w14:textFill>
        </w:rPr>
        <w:t>19.3发包人的索赔</w:t>
      </w:r>
      <w:bookmarkEnd w:id="435"/>
      <w:bookmarkEnd w:id="436"/>
    </w:p>
    <w:p w14:paraId="36B571A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根据合同约定，发包人认为有权得到赔付金额和（或）延长缺陷责任期的，监理人应向承包人发出通知并附有详细的证明。</w:t>
      </w:r>
    </w:p>
    <w:p w14:paraId="3F75EBA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2C9AD1C8">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37" w:name="_Toc217642282"/>
      <w:bookmarkStart w:id="438" w:name="_Toc19836"/>
      <w:r>
        <w:rPr>
          <w:rFonts w:hint="eastAsia" w:ascii="黑体" w:hAnsi="黑体"/>
          <w:b/>
          <w:bCs/>
          <w:color w:val="000000" w:themeColor="text1"/>
          <w:sz w:val="32"/>
          <w:szCs w:val="32"/>
          <w:highlight w:val="none"/>
          <w14:textFill>
            <w14:solidFill>
              <w14:schemeClr w14:val="tx1"/>
            </w14:solidFill>
          </w14:textFill>
        </w:rPr>
        <w:t>19.4对发包人索赔的处理</w:t>
      </w:r>
      <w:bookmarkEnd w:id="437"/>
      <w:bookmarkEnd w:id="438"/>
    </w:p>
    <w:p w14:paraId="5295476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对发包人索赔的处理如下：</w:t>
      </w:r>
    </w:p>
    <w:p w14:paraId="7F2DFEA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（1）承包人收到发包人提交的索赔报告后，应及时审查索赔报告的内容、查验发包人证明材料；</w:t>
      </w:r>
    </w:p>
    <w:p w14:paraId="75ED0EC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（2）承包人应在收到索赔报告或有关索赔的进一步证明材料后28天内，将索赔处理结果答复发包人。如果承包人未在上述期限内作出答复的，则视为对发包人索赔要求的认可；</w:t>
      </w:r>
    </w:p>
    <w:p w14:paraId="6866987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（3）承包人接受索赔处理结果的，发包人可从应支付给承包人的合同价款中扣除赔付的金额或延长缺陷责任期；发包人不接受索赔处理结果的，按第20条〔争议解决〕约定处理。</w:t>
      </w:r>
    </w:p>
    <w:p w14:paraId="0ECC2E51">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39" w:name="_Toc3868"/>
      <w:bookmarkStart w:id="440" w:name="_Toc217642283"/>
      <w:r>
        <w:rPr>
          <w:rFonts w:hint="eastAsia" w:ascii="黑体" w:hAnsi="黑体"/>
          <w:b/>
          <w:bCs/>
          <w:color w:val="000000" w:themeColor="text1"/>
          <w:sz w:val="32"/>
          <w:szCs w:val="32"/>
          <w:highlight w:val="none"/>
          <w14:textFill>
            <w14:solidFill>
              <w14:schemeClr w14:val="tx1"/>
            </w14:solidFill>
          </w14:textFill>
        </w:rPr>
        <w:t>19.5提出索赔的期限</w:t>
      </w:r>
      <w:bookmarkEnd w:id="439"/>
      <w:bookmarkEnd w:id="440"/>
    </w:p>
    <w:p w14:paraId="34FF99A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（1）承包人按第14.2款〔竣工结算审核〕约定接收竣工付款证书后，应被视为已无权再提出在工程接收证书颁发前所发生的任何索赔。</w:t>
      </w:r>
    </w:p>
    <w:p w14:paraId="728EC0A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（2）承包人按第14.4款〔最终结清〕提交的最终结清申请单中，只限于提出工程接收证书颁发后发生的索赔。提出索赔的期限自接受最终结清证书时终止。</w:t>
      </w:r>
    </w:p>
    <w:p w14:paraId="12F64A94">
      <w:pPr>
        <w:keepNext/>
        <w:keepLines/>
        <w:spacing w:before="260" w:after="260" w:line="416" w:lineRule="auto"/>
        <w:outlineLvl w:val="1"/>
        <w:rPr>
          <w:rFonts w:ascii="黑体" w:hAnsi="黑体"/>
          <w:b/>
          <w:bCs/>
          <w:color w:val="000000" w:themeColor="text1"/>
          <w:sz w:val="32"/>
          <w:szCs w:val="32"/>
          <w:highlight w:val="none"/>
          <w14:textFill>
            <w14:solidFill>
              <w14:schemeClr w14:val="tx1"/>
            </w14:solidFill>
          </w14:textFill>
        </w:rPr>
      </w:pPr>
      <w:bookmarkStart w:id="441" w:name="_Toc217642284"/>
      <w:bookmarkStart w:id="442" w:name="_Toc6416"/>
      <w:r>
        <w:rPr>
          <w:rFonts w:hint="eastAsia" w:ascii="黑体" w:hAnsi="黑体"/>
          <w:b/>
          <w:bCs/>
          <w:color w:val="000000" w:themeColor="text1"/>
          <w:sz w:val="32"/>
          <w:szCs w:val="32"/>
          <w:highlight w:val="none"/>
          <w14:textFill>
            <w14:solidFill>
              <w14:schemeClr w14:val="tx1"/>
            </w14:solidFill>
          </w14:textFill>
        </w:rPr>
        <w:t>20.争议解决</w:t>
      </w:r>
      <w:bookmarkEnd w:id="441"/>
      <w:bookmarkEnd w:id="442"/>
    </w:p>
    <w:p w14:paraId="226AB9E9">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43" w:name="_Toc217642285"/>
      <w:bookmarkStart w:id="444" w:name="_Toc168"/>
      <w:r>
        <w:rPr>
          <w:rFonts w:hint="eastAsia" w:ascii="黑体" w:hAnsi="黑体"/>
          <w:b/>
          <w:bCs/>
          <w:color w:val="000000" w:themeColor="text1"/>
          <w:sz w:val="32"/>
          <w:szCs w:val="32"/>
          <w:highlight w:val="none"/>
          <w14:textFill>
            <w14:solidFill>
              <w14:schemeClr w14:val="tx1"/>
            </w14:solidFill>
          </w14:textFill>
        </w:rPr>
        <w:t>20.1和解</w:t>
      </w:r>
      <w:bookmarkEnd w:id="443"/>
      <w:bookmarkEnd w:id="444"/>
    </w:p>
    <w:p w14:paraId="18E661D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合同当事人可以就争议自行和解，自行和解达成协议的经双方签字并盖章后作为合同补充文件，双方均应遵照执行。</w:t>
      </w:r>
    </w:p>
    <w:p w14:paraId="4EA69710">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45" w:name="_Toc9139"/>
      <w:bookmarkStart w:id="446" w:name="_Toc217642286"/>
      <w:r>
        <w:rPr>
          <w:rFonts w:hint="eastAsia" w:ascii="黑体" w:hAnsi="黑体"/>
          <w:b/>
          <w:bCs/>
          <w:color w:val="000000" w:themeColor="text1"/>
          <w:sz w:val="32"/>
          <w:szCs w:val="32"/>
          <w:highlight w:val="none"/>
          <w14:textFill>
            <w14:solidFill>
              <w14:schemeClr w14:val="tx1"/>
            </w14:solidFill>
          </w14:textFill>
        </w:rPr>
        <w:t>20.2调解</w:t>
      </w:r>
      <w:bookmarkEnd w:id="445"/>
      <w:bookmarkEnd w:id="446"/>
    </w:p>
    <w:p w14:paraId="56B8285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合同当事人可以就争议请求建设行政主管部门、行业协会或其他第三方进行调解，调解达成协议的，经双方签字并盖章后作为合同补充文件，双方均应遵照执行。</w:t>
      </w:r>
    </w:p>
    <w:p w14:paraId="7A0CF8CA">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47" w:name="_Toc217642287"/>
      <w:bookmarkStart w:id="448" w:name="_Toc11918"/>
      <w:r>
        <w:rPr>
          <w:rFonts w:hint="eastAsia" w:ascii="黑体" w:hAnsi="黑体"/>
          <w:b/>
          <w:bCs/>
          <w:color w:val="000000" w:themeColor="text1"/>
          <w:sz w:val="32"/>
          <w:szCs w:val="32"/>
          <w:highlight w:val="none"/>
          <w14:textFill>
            <w14:solidFill>
              <w14:schemeClr w14:val="tx1"/>
            </w14:solidFill>
          </w14:textFill>
        </w:rPr>
        <w:t>20.3争议评审</w:t>
      </w:r>
      <w:bookmarkEnd w:id="447"/>
      <w:bookmarkEnd w:id="448"/>
    </w:p>
    <w:p w14:paraId="0A1CA95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合同当事人在专用合同条款中约定采取争议评审方式解决争议以及评审规则，并按下列约定执行：</w:t>
      </w:r>
    </w:p>
    <w:p w14:paraId="568A618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20.3.1争议评审小组的确定</w:t>
      </w:r>
    </w:p>
    <w:p w14:paraId="43A3266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合同当事人可以共同选择一名或三名争议评审员，组成争议评审小组。除专用合同条款另有约定外，合同当事人应当自合同签订后28天内，或者争议发生后14天内，选定争议评审员。</w:t>
      </w:r>
    </w:p>
    <w:p w14:paraId="6EFEF0F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w:t>
      </w:r>
    </w:p>
    <w:p w14:paraId="4E86090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除专用合同条款另有约定外，评审员报酬由发包人和承包人各承担一半。</w:t>
      </w:r>
    </w:p>
    <w:p w14:paraId="3EB288C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20.3.2争议评审小组的决定</w:t>
      </w:r>
    </w:p>
    <w:p w14:paraId="2612B20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05E408E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20.3.3争议评审小组决定的效力</w:t>
      </w:r>
    </w:p>
    <w:p w14:paraId="1750A4B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争议评审小组作出的书面决定经合同当事人签字确认后，对双方具有约束力，双方应遵照执行。</w:t>
      </w:r>
    </w:p>
    <w:p w14:paraId="10280A0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任何一方当事人不接受争议评审小组决定或不履行争议评审小组决定的，双方可选择采用其他争议解决方式。</w:t>
      </w:r>
    </w:p>
    <w:p w14:paraId="7D020A91">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49" w:name="_Toc28090"/>
      <w:bookmarkStart w:id="450" w:name="_Toc217642288"/>
      <w:r>
        <w:rPr>
          <w:rFonts w:hint="eastAsia" w:ascii="黑体" w:hAnsi="黑体"/>
          <w:b/>
          <w:bCs/>
          <w:color w:val="000000" w:themeColor="text1"/>
          <w:sz w:val="32"/>
          <w:szCs w:val="32"/>
          <w:highlight w:val="none"/>
          <w14:textFill>
            <w14:solidFill>
              <w14:schemeClr w14:val="tx1"/>
            </w14:solidFill>
          </w14:textFill>
        </w:rPr>
        <w:t>20.4仲裁或诉讼</w:t>
      </w:r>
      <w:bookmarkEnd w:id="449"/>
      <w:bookmarkEnd w:id="450"/>
    </w:p>
    <w:p w14:paraId="53C19E6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因合同及合同有关事项产生的争议，合同当事人可以在专用合同条款中约定以下一种方式解决争议：</w:t>
      </w:r>
    </w:p>
    <w:p w14:paraId="7486292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（1）向约定的仲裁委员会申请仲裁；</w:t>
      </w:r>
    </w:p>
    <w:p w14:paraId="37FCE42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（2）向有管辖权的人民法院起诉。</w:t>
      </w:r>
    </w:p>
    <w:p w14:paraId="3716853A">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51" w:name="_Toc7659"/>
      <w:bookmarkStart w:id="452" w:name="_Toc217642289"/>
      <w:r>
        <w:rPr>
          <w:rFonts w:hint="eastAsia" w:ascii="黑体" w:hAnsi="黑体"/>
          <w:b/>
          <w:bCs/>
          <w:color w:val="000000" w:themeColor="text1"/>
          <w:sz w:val="32"/>
          <w:szCs w:val="32"/>
          <w:highlight w:val="none"/>
          <w14:textFill>
            <w14:solidFill>
              <w14:schemeClr w14:val="tx1"/>
            </w14:solidFill>
          </w14:textFill>
        </w:rPr>
        <w:t>20.5争议解决条款效力</w:t>
      </w:r>
      <w:bookmarkEnd w:id="451"/>
      <w:bookmarkEnd w:id="452"/>
    </w:p>
    <w:p w14:paraId="2E5B353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合同有关争议解决的条款独立存在，合同的变更、解除、终止、无效或者被撤销均不影响其效力。</w:t>
      </w:r>
    </w:p>
    <w:p w14:paraId="5B00365F">
      <w:pPr>
        <w:spacing w:line="360" w:lineRule="auto"/>
        <w:ind w:firstLine="420" w:firstLineChars="200"/>
        <w:rPr>
          <w:rFonts w:ascii="宋体" w:hAnsi="宋体"/>
          <w:color w:val="000000" w:themeColor="text1"/>
          <w:szCs w:val="21"/>
          <w:highlight w:val="none"/>
          <w14:textFill>
            <w14:solidFill>
              <w14:schemeClr w14:val="tx1"/>
            </w14:solidFill>
          </w14:textFill>
        </w:rPr>
        <w:sectPr>
          <w:pgSz w:w="11906" w:h="16838"/>
          <w:pgMar w:top="1440" w:right="1134" w:bottom="1440" w:left="1418" w:header="851" w:footer="992" w:gutter="0"/>
          <w:cols w:space="720" w:num="1"/>
          <w:docGrid w:type="lines" w:linePitch="312" w:charSpace="0"/>
        </w:sectPr>
      </w:pPr>
      <w:bookmarkStart w:id="453" w:name="_Toc389065257"/>
      <w:bookmarkStart w:id="454" w:name="_Toc407135193"/>
      <w:bookmarkStart w:id="455" w:name="_Toc83895640"/>
      <w:bookmarkStart w:id="456" w:name="_Toc256000129"/>
    </w:p>
    <w:p w14:paraId="4616F5A2">
      <w:pPr>
        <w:keepNext/>
        <w:keepLines/>
        <w:spacing w:before="340" w:after="330" w:line="578" w:lineRule="auto"/>
        <w:jc w:val="center"/>
        <w:outlineLvl w:val="0"/>
        <w:rPr>
          <w:rFonts w:ascii="黑体" w:hAnsi="黑体"/>
          <w:b/>
          <w:bCs/>
          <w:color w:val="000000" w:themeColor="text1"/>
          <w:kern w:val="44"/>
          <w:sz w:val="44"/>
          <w:szCs w:val="44"/>
          <w:highlight w:val="none"/>
          <w14:textFill>
            <w14:solidFill>
              <w14:schemeClr w14:val="tx1"/>
            </w14:solidFill>
          </w14:textFill>
        </w:rPr>
      </w:pPr>
      <w:bookmarkStart w:id="457" w:name="_Toc23915"/>
      <w:bookmarkStart w:id="458" w:name="_Toc217642290"/>
      <w:r>
        <w:rPr>
          <w:rFonts w:hint="eastAsia" w:ascii="黑体" w:hAnsi="黑体"/>
          <w:b/>
          <w:bCs/>
          <w:color w:val="000000" w:themeColor="text1"/>
          <w:kern w:val="44"/>
          <w:sz w:val="44"/>
          <w:szCs w:val="44"/>
          <w:highlight w:val="none"/>
          <w14:textFill>
            <w14:solidFill>
              <w14:schemeClr w14:val="tx1"/>
            </w14:solidFill>
          </w14:textFill>
        </w:rPr>
        <w:t>第三部分</w:t>
      </w:r>
      <w:r>
        <w:rPr>
          <w:rFonts w:ascii="黑体" w:hAnsi="黑体"/>
          <w:b/>
          <w:bCs/>
          <w:color w:val="000000" w:themeColor="text1"/>
          <w:kern w:val="44"/>
          <w:sz w:val="44"/>
          <w:szCs w:val="44"/>
          <w:highlight w:val="none"/>
          <w14:textFill>
            <w14:solidFill>
              <w14:schemeClr w14:val="tx1"/>
            </w14:solidFill>
          </w14:textFill>
        </w:rPr>
        <w:t xml:space="preserve">  </w:t>
      </w:r>
      <w:r>
        <w:rPr>
          <w:rFonts w:hint="eastAsia" w:ascii="黑体" w:hAnsi="黑体"/>
          <w:b/>
          <w:bCs/>
          <w:color w:val="000000" w:themeColor="text1"/>
          <w:kern w:val="44"/>
          <w:sz w:val="44"/>
          <w:szCs w:val="44"/>
          <w:highlight w:val="none"/>
          <w14:textFill>
            <w14:solidFill>
              <w14:schemeClr w14:val="tx1"/>
            </w14:solidFill>
          </w14:textFill>
        </w:rPr>
        <w:t>专用合同条款</w:t>
      </w:r>
      <w:bookmarkEnd w:id="176"/>
      <w:bookmarkEnd w:id="177"/>
      <w:bookmarkEnd w:id="178"/>
      <w:bookmarkEnd w:id="453"/>
      <w:bookmarkEnd w:id="454"/>
      <w:bookmarkEnd w:id="455"/>
      <w:bookmarkEnd w:id="456"/>
      <w:bookmarkEnd w:id="457"/>
      <w:bookmarkEnd w:id="458"/>
    </w:p>
    <w:p w14:paraId="05078583">
      <w:pPr>
        <w:rPr>
          <w:rFonts w:ascii="Calibri" w:hAnsi="Calibri"/>
          <w:color w:val="000000" w:themeColor="text1"/>
          <w:sz w:val="20"/>
          <w:szCs w:val="22"/>
          <w:highlight w:val="none"/>
          <w14:textFill>
            <w14:solidFill>
              <w14:schemeClr w14:val="tx1"/>
            </w14:solidFill>
          </w14:textFill>
        </w:rPr>
      </w:pPr>
    </w:p>
    <w:p w14:paraId="1CFDEA1B">
      <w:pPr>
        <w:keepNext/>
        <w:keepLines/>
        <w:spacing w:before="260" w:after="260" w:line="412" w:lineRule="auto"/>
        <w:outlineLvl w:val="1"/>
        <w:rPr>
          <w:rFonts w:ascii="黑体" w:hAnsi="黑体" w:eastAsia="黑体"/>
          <w:b/>
          <w:color w:val="000000" w:themeColor="text1"/>
          <w:sz w:val="32"/>
          <w:szCs w:val="20"/>
          <w:highlight w:val="none"/>
          <w14:textFill>
            <w14:solidFill>
              <w14:schemeClr w14:val="tx1"/>
            </w14:solidFill>
          </w14:textFill>
        </w:rPr>
      </w:pPr>
      <w:bookmarkStart w:id="459" w:name="_Toc217642291"/>
      <w:bookmarkStart w:id="460" w:name="_Toc8996"/>
      <w:bookmarkStart w:id="461" w:name="_Toc166155221"/>
      <w:r>
        <w:rPr>
          <w:rFonts w:hint="eastAsia" w:ascii="黑体" w:hAnsi="黑体" w:eastAsia="黑体"/>
          <w:b/>
          <w:color w:val="000000" w:themeColor="text1"/>
          <w:sz w:val="32"/>
          <w:szCs w:val="20"/>
          <w:highlight w:val="none"/>
          <w14:textFill>
            <w14:solidFill>
              <w14:schemeClr w14:val="tx1"/>
            </w14:solidFill>
          </w14:textFill>
        </w:rPr>
        <w:t>1.一般约定</w:t>
      </w:r>
      <w:bookmarkEnd w:id="459"/>
      <w:bookmarkEnd w:id="460"/>
      <w:bookmarkEnd w:id="461"/>
    </w:p>
    <w:p w14:paraId="41B30EF1">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62" w:name="_Toc166155222"/>
      <w:bookmarkStart w:id="463" w:name="_Toc10238"/>
      <w:bookmarkStart w:id="464" w:name="_Toc217642292"/>
      <w:r>
        <w:rPr>
          <w:rFonts w:hint="eastAsia" w:ascii="黑体" w:hAnsi="黑体"/>
          <w:b/>
          <w:bCs/>
          <w:color w:val="000000" w:themeColor="text1"/>
          <w:sz w:val="32"/>
          <w:szCs w:val="32"/>
          <w:highlight w:val="none"/>
          <w14:textFill>
            <w14:solidFill>
              <w14:schemeClr w14:val="tx1"/>
            </w14:solidFill>
          </w14:textFill>
        </w:rPr>
        <w:t>1.1词语定义</w:t>
      </w:r>
      <w:bookmarkEnd w:id="462"/>
      <w:bookmarkEnd w:id="463"/>
      <w:bookmarkEnd w:id="464"/>
    </w:p>
    <w:p w14:paraId="710041F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1.1.1合同</w:t>
      </w:r>
    </w:p>
    <w:p w14:paraId="6B8839D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1.1.1.10其他合同文件包括：</w:t>
      </w:r>
      <w:r>
        <w:rPr>
          <w:rFonts w:hint="eastAsia" w:ascii="宋体" w:hAnsi="宋体"/>
          <w:color w:val="000000" w:themeColor="text1"/>
          <w:szCs w:val="21"/>
          <w:highlight w:val="none"/>
          <w:u w:val="single"/>
          <w14:textFill>
            <w14:solidFill>
              <w14:schemeClr w14:val="tx1"/>
            </w14:solidFill>
          </w14:textFill>
        </w:rPr>
        <w:t>（1）本合同协议书；（2）成交通知书；（3）响应文件及其附件；（4）专用合同条款及其附件；（5）本通用合同条款；（6）技术标准和要求；（7）图纸会审记录、施工组织设计及施工方案、设计变更、发包人和监理工程师通知及指令、现场签证、工程技术联系单、发承包人确认的相关文件资料等有关工程洽商、变更等书面协议；（8）工程报告单及预算书；（9）采购文件及其附件</w:t>
      </w:r>
      <w:r>
        <w:rPr>
          <w:rFonts w:hint="eastAsia" w:ascii="宋体" w:hAnsi="宋体"/>
          <w:color w:val="000000" w:themeColor="text1"/>
          <w:szCs w:val="21"/>
          <w:highlight w:val="none"/>
          <w14:textFill>
            <w14:solidFill>
              <w14:schemeClr w14:val="tx1"/>
            </w14:solidFill>
          </w14:textFill>
        </w:rPr>
        <w:t>。</w:t>
      </w:r>
    </w:p>
    <w:p w14:paraId="24589B0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1.1.2合同当事人及其他相关方</w:t>
      </w:r>
    </w:p>
    <w:p w14:paraId="76627CD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1.1.2.4监理人：</w:t>
      </w:r>
    </w:p>
    <w:p w14:paraId="41E9844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名称：</w:t>
      </w:r>
      <w:r>
        <w:rPr>
          <w:rFonts w:ascii="宋体" w:hAnsi="宋体"/>
          <w:b/>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w:t>
      </w:r>
    </w:p>
    <w:p w14:paraId="27FF2DE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资质类别和等级：</w:t>
      </w:r>
      <w:r>
        <w:rPr>
          <w:rFonts w:ascii="宋体" w:hAnsi="宋体"/>
          <w:b/>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w:t>
      </w:r>
    </w:p>
    <w:p w14:paraId="119511F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r>
        <w:rPr>
          <w:rFonts w:ascii="宋体" w:hAnsi="宋体"/>
          <w:b/>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w:t>
      </w:r>
    </w:p>
    <w:p w14:paraId="66E06EE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电子信箱：</w:t>
      </w:r>
      <w:r>
        <w:rPr>
          <w:rFonts w:ascii="宋体" w:hAnsi="宋体"/>
          <w:b/>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w:t>
      </w:r>
    </w:p>
    <w:p w14:paraId="149D2BF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通信地址：</w:t>
      </w:r>
      <w:r>
        <w:rPr>
          <w:rFonts w:ascii="宋体" w:hAnsi="宋体"/>
          <w:b/>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w:t>
      </w:r>
    </w:p>
    <w:p w14:paraId="3326A7E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1.1.2.5设计人：</w:t>
      </w:r>
    </w:p>
    <w:p w14:paraId="2FD5E6A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名称：</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36BD03A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资质类别和等级：</w:t>
      </w:r>
      <w:r>
        <w:rPr>
          <w:rFonts w:ascii="宋体" w:hAnsi="宋体"/>
          <w:b/>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w:t>
      </w:r>
    </w:p>
    <w:p w14:paraId="48F85BD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r>
        <w:rPr>
          <w:rFonts w:ascii="宋体" w:hAnsi="宋体"/>
          <w:b/>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w:t>
      </w:r>
    </w:p>
    <w:p w14:paraId="4586956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电子信箱：</w:t>
      </w:r>
      <w:r>
        <w:rPr>
          <w:rFonts w:ascii="宋体" w:hAnsi="宋体"/>
          <w:b/>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w:t>
      </w:r>
    </w:p>
    <w:p w14:paraId="6C58E2D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通信地址：</w:t>
      </w:r>
      <w:r>
        <w:rPr>
          <w:rFonts w:ascii="宋体" w:hAnsi="宋体"/>
          <w:b/>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w:t>
      </w:r>
    </w:p>
    <w:p w14:paraId="0E8FE85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1.1.3工程和设备</w:t>
      </w:r>
    </w:p>
    <w:p w14:paraId="64880D2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1.1.3.7作为施工现场组成部分的其他场所包括：</w:t>
      </w:r>
      <w:r>
        <w:rPr>
          <w:rFonts w:hint="eastAsia" w:ascii="宋体" w:hAnsi="宋体"/>
          <w:color w:val="000000" w:themeColor="text1"/>
          <w:szCs w:val="21"/>
          <w:highlight w:val="none"/>
          <w:u w:val="single"/>
          <w14:textFill>
            <w14:solidFill>
              <w14:schemeClr w14:val="tx1"/>
            </w14:solidFill>
          </w14:textFill>
        </w:rPr>
        <w:t>永久占地和临时占地</w:t>
      </w:r>
      <w:r>
        <w:rPr>
          <w:rFonts w:hint="eastAsia" w:ascii="宋体" w:hAnsi="宋体"/>
          <w:color w:val="000000" w:themeColor="text1"/>
          <w:szCs w:val="21"/>
          <w:highlight w:val="none"/>
          <w14:textFill>
            <w14:solidFill>
              <w14:schemeClr w14:val="tx1"/>
            </w14:solidFill>
          </w14:textFill>
        </w:rPr>
        <w:t>。</w:t>
      </w:r>
    </w:p>
    <w:p w14:paraId="7EA70A3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1.1.3.9永久占地包括：</w:t>
      </w:r>
      <w:r>
        <w:rPr>
          <w:rFonts w:hint="eastAsia" w:ascii="宋体" w:hAnsi="宋体"/>
          <w:color w:val="000000" w:themeColor="text1"/>
          <w:szCs w:val="21"/>
          <w:highlight w:val="none"/>
          <w:u w:val="single"/>
          <w14:textFill>
            <w14:solidFill>
              <w14:schemeClr w14:val="tx1"/>
            </w14:solidFill>
          </w14:textFill>
        </w:rPr>
        <w:t>通用条款1.1.3.9 执行</w:t>
      </w:r>
      <w:r>
        <w:rPr>
          <w:rFonts w:hint="eastAsia" w:ascii="宋体" w:hAnsi="宋体"/>
          <w:color w:val="000000" w:themeColor="text1"/>
          <w:szCs w:val="21"/>
          <w:highlight w:val="none"/>
          <w14:textFill>
            <w14:solidFill>
              <w14:schemeClr w14:val="tx1"/>
            </w14:solidFill>
          </w14:textFill>
        </w:rPr>
        <w:t>。</w:t>
      </w:r>
    </w:p>
    <w:p w14:paraId="4A47579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1.1.3.10临时占地包括：</w:t>
      </w:r>
      <w:r>
        <w:rPr>
          <w:rFonts w:hint="eastAsia" w:ascii="宋体" w:hAnsi="宋体"/>
          <w:color w:val="000000" w:themeColor="text1"/>
          <w:szCs w:val="21"/>
          <w:highlight w:val="none"/>
          <w:u w:val="single"/>
          <w14:textFill>
            <w14:solidFill>
              <w14:schemeClr w14:val="tx1"/>
            </w14:solidFill>
          </w14:textFill>
        </w:rPr>
        <w:t>通用条款1.1.3.10 执行</w:t>
      </w:r>
      <w:r>
        <w:rPr>
          <w:rFonts w:hint="eastAsia" w:ascii="宋体" w:hAnsi="宋体"/>
          <w:color w:val="000000" w:themeColor="text1"/>
          <w:szCs w:val="21"/>
          <w:highlight w:val="none"/>
          <w14:textFill>
            <w14:solidFill>
              <w14:schemeClr w14:val="tx1"/>
            </w14:solidFill>
          </w14:textFill>
        </w:rPr>
        <w:t>。</w:t>
      </w:r>
    </w:p>
    <w:p w14:paraId="6CE6B928">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65" w:name="_Toc217642293"/>
      <w:bookmarkStart w:id="466" w:name="_Toc166155223"/>
      <w:bookmarkStart w:id="467" w:name="_Toc12111"/>
      <w:r>
        <w:rPr>
          <w:rFonts w:hint="eastAsia" w:ascii="黑体" w:hAnsi="黑体"/>
          <w:b/>
          <w:bCs/>
          <w:color w:val="000000" w:themeColor="text1"/>
          <w:sz w:val="32"/>
          <w:szCs w:val="32"/>
          <w:highlight w:val="none"/>
          <w14:textFill>
            <w14:solidFill>
              <w14:schemeClr w14:val="tx1"/>
            </w14:solidFill>
          </w14:textFill>
        </w:rPr>
        <w:t>1.3法律</w:t>
      </w:r>
      <w:bookmarkEnd w:id="465"/>
      <w:bookmarkEnd w:id="466"/>
      <w:bookmarkEnd w:id="467"/>
    </w:p>
    <w:p w14:paraId="5F7725C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适用于合同的其他规范性文件：</w:t>
      </w:r>
      <w:r>
        <w:rPr>
          <w:rFonts w:hint="eastAsia" w:ascii="宋体" w:hAnsi="宋体"/>
          <w:color w:val="000000" w:themeColor="text1"/>
          <w:szCs w:val="21"/>
          <w:highlight w:val="none"/>
          <w:u w:val="single"/>
          <w14:textFill>
            <w14:solidFill>
              <w14:schemeClr w14:val="tx1"/>
            </w14:solidFill>
          </w14:textFill>
        </w:rPr>
        <w:t>按通用条款1.3条执行</w:t>
      </w:r>
      <w:r>
        <w:rPr>
          <w:rFonts w:hint="eastAsia" w:ascii="宋体" w:hAnsi="宋体"/>
          <w:color w:val="000000" w:themeColor="text1"/>
          <w:szCs w:val="21"/>
          <w:highlight w:val="none"/>
          <w14:textFill>
            <w14:solidFill>
              <w14:schemeClr w14:val="tx1"/>
            </w14:solidFill>
          </w14:textFill>
        </w:rPr>
        <w:t>。</w:t>
      </w:r>
    </w:p>
    <w:p w14:paraId="653FBEC5">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68" w:name="_Toc20460"/>
      <w:bookmarkStart w:id="469" w:name="_Toc166155224"/>
      <w:bookmarkStart w:id="470" w:name="_Toc217642294"/>
      <w:r>
        <w:rPr>
          <w:rFonts w:hint="eastAsia" w:ascii="黑体" w:hAnsi="黑体"/>
          <w:b/>
          <w:bCs/>
          <w:color w:val="000000" w:themeColor="text1"/>
          <w:sz w:val="32"/>
          <w:szCs w:val="32"/>
          <w:highlight w:val="none"/>
          <w14:textFill>
            <w14:solidFill>
              <w14:schemeClr w14:val="tx1"/>
            </w14:solidFill>
          </w14:textFill>
        </w:rPr>
        <w:t>1.4标准和规范</w:t>
      </w:r>
      <w:bookmarkEnd w:id="468"/>
      <w:bookmarkEnd w:id="469"/>
      <w:bookmarkEnd w:id="470"/>
    </w:p>
    <w:p w14:paraId="1D32574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1.4.1适用于工程的标准规范包括：</w:t>
      </w:r>
      <w:r>
        <w:rPr>
          <w:rFonts w:hint="eastAsia" w:ascii="宋体" w:hAnsi="宋体"/>
          <w:color w:val="000000" w:themeColor="text1"/>
          <w:szCs w:val="21"/>
          <w:highlight w:val="none"/>
          <w:u w:val="single"/>
          <w14:textFill>
            <w14:solidFill>
              <w14:schemeClr w14:val="tx1"/>
            </w14:solidFill>
          </w14:textFill>
        </w:rPr>
        <w:t>按通用条款1.4.1条执行</w:t>
      </w:r>
      <w:r>
        <w:rPr>
          <w:rFonts w:hint="eastAsia" w:ascii="宋体" w:hAnsi="宋体"/>
          <w:color w:val="000000" w:themeColor="text1"/>
          <w:szCs w:val="21"/>
          <w:highlight w:val="none"/>
          <w14:textFill>
            <w14:solidFill>
              <w14:schemeClr w14:val="tx1"/>
            </w14:solidFill>
          </w14:textFill>
        </w:rPr>
        <w:t>。</w:t>
      </w:r>
    </w:p>
    <w:p w14:paraId="3A1D1F4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1.4.2发包人提供国外标准、规范的名称：</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334690E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发包人提供国外标准、规范的份数：</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4F39594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发包人提供国外标准、规范的名称：</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32C105B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1.4.3发包人对工程的技术标准和功能要求的特殊要求：</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1B785131">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71" w:name="_Toc166155225"/>
      <w:bookmarkStart w:id="472" w:name="_Toc217642295"/>
      <w:bookmarkStart w:id="473" w:name="_Toc8664"/>
      <w:r>
        <w:rPr>
          <w:rFonts w:hint="eastAsia" w:ascii="黑体" w:hAnsi="黑体"/>
          <w:b/>
          <w:bCs/>
          <w:color w:val="000000" w:themeColor="text1"/>
          <w:sz w:val="32"/>
          <w:szCs w:val="32"/>
          <w:highlight w:val="none"/>
          <w14:textFill>
            <w14:solidFill>
              <w14:schemeClr w14:val="tx1"/>
            </w14:solidFill>
          </w14:textFill>
        </w:rPr>
        <w:t>1.5合同文件的优先顺序</w:t>
      </w:r>
      <w:bookmarkEnd w:id="471"/>
      <w:bookmarkEnd w:id="472"/>
      <w:bookmarkEnd w:id="473"/>
    </w:p>
    <w:p w14:paraId="7571E6E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合同文件组成及优先顺序为：</w:t>
      </w:r>
    </w:p>
    <w:p w14:paraId="72E41AC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（1）合同协议书；</w:t>
      </w:r>
    </w:p>
    <w:p w14:paraId="2E2FCF6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lang w:val="en-US" w:eastAsia="zh-CN"/>
          <w14:textFill>
            <w14:solidFill>
              <w14:schemeClr w14:val="tx1"/>
            </w14:solidFill>
          </w14:textFill>
        </w:rPr>
        <w:t>成交</w:t>
      </w:r>
      <w:r>
        <w:rPr>
          <w:rFonts w:hint="eastAsia" w:ascii="宋体" w:hAnsi="宋体"/>
          <w:color w:val="000000" w:themeColor="text1"/>
          <w:szCs w:val="21"/>
          <w:highlight w:val="none"/>
          <w14:textFill>
            <w14:solidFill>
              <w14:schemeClr w14:val="tx1"/>
            </w14:solidFill>
          </w14:textFill>
        </w:rPr>
        <w:t>通知书；</w:t>
      </w:r>
    </w:p>
    <w:p w14:paraId="774C854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（3）响应函、响应报价表、最终报价表；</w:t>
      </w:r>
    </w:p>
    <w:p w14:paraId="34B0F8F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（4）专用合同条款；</w:t>
      </w:r>
    </w:p>
    <w:p w14:paraId="5D1FD18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（5）通用合同条款；</w:t>
      </w:r>
    </w:p>
    <w:p w14:paraId="60C8E7F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（6）技术标准和要求；</w:t>
      </w:r>
    </w:p>
    <w:p w14:paraId="0F04513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（7）图纸；</w:t>
      </w:r>
    </w:p>
    <w:p w14:paraId="1C40986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（8）已标价工程量清单；</w:t>
      </w:r>
    </w:p>
    <w:p w14:paraId="38D02CB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（9）其他合同文件。</w:t>
      </w:r>
    </w:p>
    <w:p w14:paraId="7E58FEA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58B3E91F">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74" w:name="_Toc217642296"/>
      <w:bookmarkStart w:id="475" w:name="_Toc166155226"/>
      <w:bookmarkStart w:id="476" w:name="_Toc19068"/>
      <w:r>
        <w:rPr>
          <w:rFonts w:hint="eastAsia" w:ascii="黑体" w:hAnsi="黑体"/>
          <w:b/>
          <w:bCs/>
          <w:color w:val="000000" w:themeColor="text1"/>
          <w:sz w:val="32"/>
          <w:szCs w:val="32"/>
          <w:highlight w:val="none"/>
          <w14:textFill>
            <w14:solidFill>
              <w14:schemeClr w14:val="tx1"/>
            </w14:solidFill>
          </w14:textFill>
        </w:rPr>
        <w:t>1.6图纸和承包人文件</w:t>
      </w:r>
      <w:bookmarkEnd w:id="474"/>
      <w:bookmarkEnd w:id="475"/>
      <w:bookmarkEnd w:id="476"/>
    </w:p>
    <w:p w14:paraId="17A1D30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1.6.1图纸的提供</w:t>
      </w:r>
    </w:p>
    <w:p w14:paraId="464DE54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发包人向承包人提供图纸的期限：</w:t>
      </w:r>
      <w:r>
        <w:rPr>
          <w:rFonts w:hint="eastAsia" w:ascii="宋体" w:hAnsi="宋体"/>
          <w:color w:val="000000" w:themeColor="text1"/>
          <w:szCs w:val="21"/>
          <w:highlight w:val="none"/>
          <w:u w:val="single"/>
          <w14:textFill>
            <w14:solidFill>
              <w14:schemeClr w14:val="tx1"/>
            </w14:solidFill>
          </w14:textFill>
        </w:rPr>
        <w:t>开工前7个工作日内</w:t>
      </w:r>
      <w:r>
        <w:rPr>
          <w:rFonts w:hint="eastAsia" w:ascii="宋体" w:hAnsi="宋体"/>
          <w:color w:val="000000" w:themeColor="text1"/>
          <w:szCs w:val="21"/>
          <w:highlight w:val="none"/>
          <w14:textFill>
            <w14:solidFill>
              <w14:schemeClr w14:val="tx1"/>
            </w14:solidFill>
          </w14:textFill>
        </w:rPr>
        <w:t>；</w:t>
      </w:r>
    </w:p>
    <w:p w14:paraId="5F3B46D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发包人向承包人提供图纸的数量：</w:t>
      </w:r>
      <w:r>
        <w:rPr>
          <w:rFonts w:hint="eastAsia" w:ascii="宋体" w:hAnsi="宋体"/>
          <w:color w:val="000000" w:themeColor="text1"/>
          <w:szCs w:val="21"/>
          <w:highlight w:val="none"/>
          <w:u w:val="single"/>
          <w14:textFill>
            <w14:solidFill>
              <w14:schemeClr w14:val="tx1"/>
            </w14:solidFill>
          </w14:textFill>
        </w:rPr>
        <w:t>一式贰</w:t>
      </w:r>
      <w:r>
        <w:rPr>
          <w:rFonts w:hint="eastAsia" w:ascii="宋体" w:hAnsi="宋体"/>
          <w:color w:val="000000" w:themeColor="text1"/>
          <w:szCs w:val="21"/>
          <w:highlight w:val="none"/>
          <w14:textFill>
            <w14:solidFill>
              <w14:schemeClr w14:val="tx1"/>
            </w14:solidFill>
          </w14:textFill>
        </w:rPr>
        <w:t>套（承包人需要增加图纸套数的，发包人应代为复制，复制费用由承包人承担）；</w:t>
      </w:r>
    </w:p>
    <w:p w14:paraId="4039224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发包人向承包人提供图纸的内容：</w:t>
      </w:r>
      <w:r>
        <w:rPr>
          <w:rFonts w:hint="eastAsia" w:ascii="宋体" w:hAnsi="宋体"/>
          <w:color w:val="000000" w:themeColor="text1"/>
          <w:szCs w:val="21"/>
          <w:highlight w:val="none"/>
          <w:u w:val="single"/>
          <w14:textFill>
            <w14:solidFill>
              <w14:schemeClr w14:val="tx1"/>
            </w14:solidFill>
          </w14:textFill>
        </w:rPr>
        <w:t>经施工图审查通过的施工图纸</w:t>
      </w:r>
      <w:r>
        <w:rPr>
          <w:rFonts w:hint="eastAsia" w:ascii="宋体" w:hAnsi="宋体"/>
          <w:color w:val="000000" w:themeColor="text1"/>
          <w:szCs w:val="21"/>
          <w:highlight w:val="none"/>
          <w14:textFill>
            <w14:solidFill>
              <w14:schemeClr w14:val="tx1"/>
            </w14:solidFill>
          </w14:textFill>
        </w:rPr>
        <w:t>。</w:t>
      </w:r>
    </w:p>
    <w:p w14:paraId="13D38AE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1.6.4承包人文件</w:t>
      </w:r>
    </w:p>
    <w:p w14:paraId="198BA7F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需要由承包人提供的文件，包括：</w:t>
      </w:r>
      <w:r>
        <w:rPr>
          <w:rFonts w:hint="eastAsia" w:ascii="宋体" w:hAnsi="宋体"/>
          <w:color w:val="000000" w:themeColor="text1"/>
          <w:szCs w:val="21"/>
          <w:highlight w:val="none"/>
          <w:u w:val="single"/>
          <w14:textFill>
            <w14:solidFill>
              <w14:schemeClr w14:val="tx1"/>
            </w14:solidFill>
          </w14:textFill>
        </w:rPr>
        <w:t>（1）提交施工组织设计（施工方案）；（2）提交符合规定的工程总进度计划；（3）提交分年、分季、分月的进度计划和相应的进度统计报表</w:t>
      </w:r>
      <w:r>
        <w:rPr>
          <w:rFonts w:hint="eastAsia" w:ascii="宋体" w:hAnsi="宋体"/>
          <w:color w:val="000000" w:themeColor="text1"/>
          <w:szCs w:val="21"/>
          <w:highlight w:val="none"/>
          <w14:textFill>
            <w14:solidFill>
              <w14:schemeClr w14:val="tx1"/>
            </w14:solidFill>
          </w14:textFill>
        </w:rPr>
        <w:t>；</w:t>
      </w:r>
    </w:p>
    <w:p w14:paraId="0BBC46B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承包人提供的文件的期限为：</w:t>
      </w:r>
      <w:r>
        <w:rPr>
          <w:rFonts w:hint="eastAsia" w:ascii="宋体" w:hAnsi="宋体"/>
          <w:color w:val="000000" w:themeColor="text1"/>
          <w:szCs w:val="21"/>
          <w:highlight w:val="none"/>
          <w:u w:val="single"/>
          <w14:textFill>
            <w14:solidFill>
              <w14:schemeClr w14:val="tx1"/>
            </w14:solidFill>
          </w14:textFill>
        </w:rPr>
        <w:t>（1）收到发包人全部设计图纸后3天内提供；（2）在开工前7天；月报表每月25日前提交，季报表每季度第一个月25日前提交，年报表每年最后月25日前提交</w:t>
      </w:r>
      <w:r>
        <w:rPr>
          <w:rFonts w:hint="eastAsia" w:ascii="宋体" w:hAnsi="宋体"/>
          <w:color w:val="000000" w:themeColor="text1"/>
          <w:szCs w:val="21"/>
          <w:highlight w:val="none"/>
          <w14:textFill>
            <w14:solidFill>
              <w14:schemeClr w14:val="tx1"/>
            </w14:solidFill>
          </w14:textFill>
        </w:rPr>
        <w:t>；</w:t>
      </w:r>
    </w:p>
    <w:p w14:paraId="78C0EF6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承包人提供的文件的数量为：</w:t>
      </w:r>
      <w:r>
        <w:rPr>
          <w:rFonts w:hint="eastAsia" w:ascii="宋体" w:hAnsi="宋体"/>
          <w:color w:val="000000" w:themeColor="text1"/>
          <w:szCs w:val="21"/>
          <w:highlight w:val="none"/>
          <w:u w:val="single"/>
          <w14:textFill>
            <w14:solidFill>
              <w14:schemeClr w14:val="tx1"/>
            </w14:solidFill>
          </w14:textFill>
        </w:rPr>
        <w:t>一式贰套</w:t>
      </w:r>
      <w:r>
        <w:rPr>
          <w:rFonts w:hint="eastAsia" w:ascii="宋体" w:hAnsi="宋体"/>
          <w:color w:val="000000" w:themeColor="text1"/>
          <w:szCs w:val="21"/>
          <w:highlight w:val="none"/>
          <w14:textFill>
            <w14:solidFill>
              <w14:schemeClr w14:val="tx1"/>
            </w14:solidFill>
          </w14:textFill>
        </w:rPr>
        <w:t>；</w:t>
      </w:r>
    </w:p>
    <w:p w14:paraId="6037695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承包人提供的文件的形式为：</w:t>
      </w:r>
      <w:r>
        <w:rPr>
          <w:rFonts w:hint="eastAsia" w:ascii="宋体" w:hAnsi="宋体"/>
          <w:color w:val="000000" w:themeColor="text1"/>
          <w:szCs w:val="21"/>
          <w:highlight w:val="none"/>
          <w:u w:val="single"/>
          <w14:textFill>
            <w14:solidFill>
              <w14:schemeClr w14:val="tx1"/>
            </w14:solidFill>
          </w14:textFill>
        </w:rPr>
        <w:t>书面材料</w:t>
      </w:r>
      <w:r>
        <w:rPr>
          <w:rFonts w:hint="eastAsia" w:ascii="宋体" w:hAnsi="宋体"/>
          <w:color w:val="000000" w:themeColor="text1"/>
          <w:szCs w:val="21"/>
          <w:highlight w:val="none"/>
          <w14:textFill>
            <w14:solidFill>
              <w14:schemeClr w14:val="tx1"/>
            </w14:solidFill>
          </w14:textFill>
        </w:rPr>
        <w:t>；</w:t>
      </w:r>
    </w:p>
    <w:p w14:paraId="12DC326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发包人审批承包人文件的期限：</w:t>
      </w:r>
      <w:r>
        <w:rPr>
          <w:rFonts w:hint="eastAsia" w:ascii="宋体" w:hAnsi="宋体"/>
          <w:color w:val="000000" w:themeColor="text1"/>
          <w:szCs w:val="21"/>
          <w:highlight w:val="none"/>
          <w:u w:val="single"/>
          <w14:textFill>
            <w14:solidFill>
              <w14:schemeClr w14:val="tx1"/>
            </w14:solidFill>
          </w14:textFill>
        </w:rPr>
        <w:t>收到后7个工作日内确认批复</w:t>
      </w:r>
      <w:r>
        <w:rPr>
          <w:rFonts w:hint="eastAsia" w:ascii="宋体" w:hAnsi="宋体"/>
          <w:color w:val="000000" w:themeColor="text1"/>
          <w:szCs w:val="21"/>
          <w:highlight w:val="none"/>
          <w14:textFill>
            <w14:solidFill>
              <w14:schemeClr w14:val="tx1"/>
            </w14:solidFill>
          </w14:textFill>
        </w:rPr>
        <w:t>。</w:t>
      </w:r>
    </w:p>
    <w:p w14:paraId="3B9DBD1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1.6.5现场图纸准备</w:t>
      </w:r>
    </w:p>
    <w:p w14:paraId="3E3A5FD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关于现场图纸准备的约定：</w:t>
      </w:r>
      <w:r>
        <w:rPr>
          <w:rFonts w:hint="eastAsia" w:ascii="宋体" w:hAnsi="宋体"/>
          <w:color w:val="000000" w:themeColor="text1"/>
          <w:szCs w:val="21"/>
          <w:highlight w:val="none"/>
          <w:u w:val="single"/>
          <w14:textFill>
            <w14:solidFill>
              <w14:schemeClr w14:val="tx1"/>
            </w14:solidFill>
          </w14:textFill>
        </w:rPr>
        <w:t>按通用条款1.6.5条执行</w:t>
      </w:r>
      <w:r>
        <w:rPr>
          <w:rFonts w:hint="eastAsia" w:ascii="宋体" w:hAnsi="宋体"/>
          <w:color w:val="000000" w:themeColor="text1"/>
          <w:szCs w:val="21"/>
          <w:highlight w:val="none"/>
          <w14:textFill>
            <w14:solidFill>
              <w14:schemeClr w14:val="tx1"/>
            </w14:solidFill>
          </w14:textFill>
        </w:rPr>
        <w:t>。</w:t>
      </w:r>
    </w:p>
    <w:p w14:paraId="6D97054F">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77" w:name="_Toc166155227"/>
      <w:bookmarkStart w:id="478" w:name="_Toc217642297"/>
      <w:bookmarkStart w:id="479" w:name="_Toc2121"/>
      <w:r>
        <w:rPr>
          <w:rFonts w:hint="eastAsia" w:ascii="黑体" w:hAnsi="黑体"/>
          <w:b/>
          <w:bCs/>
          <w:color w:val="000000" w:themeColor="text1"/>
          <w:sz w:val="32"/>
          <w:szCs w:val="32"/>
          <w:highlight w:val="none"/>
          <w14:textFill>
            <w14:solidFill>
              <w14:schemeClr w14:val="tx1"/>
            </w14:solidFill>
          </w14:textFill>
        </w:rPr>
        <w:t>1.7联络</w:t>
      </w:r>
      <w:bookmarkEnd w:id="477"/>
      <w:bookmarkEnd w:id="478"/>
      <w:bookmarkEnd w:id="479"/>
    </w:p>
    <w:p w14:paraId="27545F2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1.7.1发包人和承包人应当在</w:t>
      </w:r>
      <w:r>
        <w:rPr>
          <w:rFonts w:ascii="宋体" w:hAnsi="宋体"/>
          <w:color w:val="000000" w:themeColor="text1"/>
          <w:szCs w:val="21"/>
          <w:highlight w:val="none"/>
          <w:u w:val="singl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天内将与合同有关的通知、批准、证明、证书、指示、指令、要求、请求、同意、意见、确定和决定等书面函件送达对方当事人。</w:t>
      </w:r>
    </w:p>
    <w:p w14:paraId="7B202F0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1.7.2发包人接收文件的地点：</w:t>
      </w:r>
      <w:r>
        <w:rPr>
          <w:rFonts w:hint="eastAsia" w:ascii="宋体" w:hAnsi="宋体"/>
          <w:color w:val="000000" w:themeColor="text1"/>
          <w:szCs w:val="21"/>
          <w:highlight w:val="none"/>
          <w:u w:val="single"/>
          <w14:textFill>
            <w14:solidFill>
              <w14:schemeClr w14:val="tx1"/>
            </w14:solidFill>
          </w14:textFill>
        </w:rPr>
        <w:t>发包人指定地点</w:t>
      </w:r>
      <w:r>
        <w:rPr>
          <w:rFonts w:hint="eastAsia" w:ascii="宋体" w:hAnsi="宋体"/>
          <w:color w:val="000000" w:themeColor="text1"/>
          <w:szCs w:val="21"/>
          <w:highlight w:val="none"/>
          <w14:textFill>
            <w14:solidFill>
              <w14:schemeClr w14:val="tx1"/>
            </w14:solidFill>
          </w14:textFill>
        </w:rPr>
        <w:t>；</w:t>
      </w:r>
    </w:p>
    <w:p w14:paraId="257067F9">
      <w:pPr>
        <w:tabs>
          <w:tab w:val="center" w:pos="4887"/>
        </w:tabs>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发包人指定的接收人为：</w:t>
      </w:r>
      <w:r>
        <w:rPr>
          <w:rFonts w:hint="eastAsia" w:ascii="宋体" w:hAnsi="宋体"/>
          <w:color w:val="000000" w:themeColor="text1"/>
          <w:szCs w:val="21"/>
          <w:highlight w:val="none"/>
          <w:u w:val="single"/>
          <w14:textFill>
            <w14:solidFill>
              <w14:schemeClr w14:val="tx1"/>
            </w14:solidFill>
          </w14:textFill>
        </w:rPr>
        <w:t>业主代表（现场）</w:t>
      </w:r>
      <w:r>
        <w:rPr>
          <w:rFonts w:hint="eastAsia" w:ascii="宋体" w:hAnsi="宋体"/>
          <w:color w:val="000000" w:themeColor="text1"/>
          <w:szCs w:val="21"/>
          <w:highlight w:val="none"/>
          <w14:textFill>
            <w14:solidFill>
              <w14:schemeClr w14:val="tx1"/>
            </w14:solidFill>
          </w14:textFill>
        </w:rPr>
        <w:t>；</w:t>
      </w:r>
    </w:p>
    <w:p w14:paraId="5394192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承包人接收文件的地点：</w:t>
      </w:r>
      <w:r>
        <w:rPr>
          <w:rFonts w:hint="eastAsia" w:ascii="宋体" w:hAnsi="宋体"/>
          <w:color w:val="000000" w:themeColor="text1"/>
          <w:szCs w:val="21"/>
          <w:highlight w:val="none"/>
          <w:u w:val="single"/>
          <w14:textFill>
            <w14:solidFill>
              <w14:schemeClr w14:val="tx1"/>
            </w14:solidFill>
          </w14:textFill>
        </w:rPr>
        <w:t>承包人施工场地管理机构的办公地点</w:t>
      </w:r>
      <w:r>
        <w:rPr>
          <w:rFonts w:hint="eastAsia" w:ascii="宋体" w:hAnsi="宋体"/>
          <w:color w:val="000000" w:themeColor="text1"/>
          <w:szCs w:val="21"/>
          <w:highlight w:val="none"/>
          <w14:textFill>
            <w14:solidFill>
              <w14:schemeClr w14:val="tx1"/>
            </w14:solidFill>
          </w14:textFill>
        </w:rPr>
        <w:t>；</w:t>
      </w:r>
    </w:p>
    <w:p w14:paraId="3EB2DBF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承包人指定的接收人为：</w:t>
      </w:r>
      <w:r>
        <w:rPr>
          <w:rFonts w:hint="eastAsia" w:ascii="宋体" w:hAnsi="宋体"/>
          <w:color w:val="000000" w:themeColor="text1"/>
          <w:szCs w:val="21"/>
          <w:highlight w:val="none"/>
          <w:u w:val="single"/>
          <w14:textFill>
            <w14:solidFill>
              <w14:schemeClr w14:val="tx1"/>
            </w14:solidFill>
          </w14:textFill>
        </w:rPr>
        <w:t>项目经理或资料员</w:t>
      </w:r>
      <w:r>
        <w:rPr>
          <w:rFonts w:hint="eastAsia" w:ascii="宋体" w:hAnsi="宋体"/>
          <w:color w:val="000000" w:themeColor="text1"/>
          <w:szCs w:val="21"/>
          <w:highlight w:val="none"/>
          <w14:textFill>
            <w14:solidFill>
              <w14:schemeClr w14:val="tx1"/>
            </w14:solidFill>
          </w14:textFill>
        </w:rPr>
        <w:t>；</w:t>
      </w:r>
    </w:p>
    <w:p w14:paraId="715D7FA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监理人接收文件的地点：</w:t>
      </w:r>
      <w:r>
        <w:rPr>
          <w:rFonts w:hint="eastAsia" w:ascii="宋体" w:hAnsi="宋体"/>
          <w:color w:val="000000" w:themeColor="text1"/>
          <w:szCs w:val="21"/>
          <w:highlight w:val="none"/>
          <w:u w:val="single"/>
          <w14:textFill>
            <w14:solidFill>
              <w14:schemeClr w14:val="tx1"/>
            </w14:solidFill>
          </w14:textFill>
        </w:rPr>
        <w:t>施工现场监理人办公地点</w:t>
      </w:r>
      <w:r>
        <w:rPr>
          <w:rFonts w:hint="eastAsia" w:ascii="宋体" w:hAnsi="宋体"/>
          <w:color w:val="000000" w:themeColor="text1"/>
          <w:szCs w:val="21"/>
          <w:highlight w:val="none"/>
          <w14:textFill>
            <w14:solidFill>
              <w14:schemeClr w14:val="tx1"/>
            </w14:solidFill>
          </w14:textFill>
        </w:rPr>
        <w:t>；</w:t>
      </w:r>
    </w:p>
    <w:p w14:paraId="2EEEE80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监理人指定的接收人为：</w:t>
      </w:r>
      <w:r>
        <w:rPr>
          <w:rFonts w:hint="eastAsia" w:ascii="宋体" w:hAnsi="宋体"/>
          <w:color w:val="000000" w:themeColor="text1"/>
          <w:szCs w:val="21"/>
          <w:highlight w:val="none"/>
          <w:u w:val="single"/>
          <w14:textFill>
            <w14:solidFill>
              <w14:schemeClr w14:val="tx1"/>
            </w14:solidFill>
          </w14:textFill>
        </w:rPr>
        <w:t>总监理工程师或总监代表。</w:t>
      </w:r>
    </w:p>
    <w:p w14:paraId="702C0E25">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80" w:name="_Toc166155228"/>
      <w:bookmarkStart w:id="481" w:name="_Toc12009"/>
      <w:bookmarkStart w:id="482" w:name="_Toc217642298"/>
      <w:r>
        <w:rPr>
          <w:rFonts w:hint="eastAsia" w:ascii="黑体" w:hAnsi="黑体"/>
          <w:b/>
          <w:bCs/>
          <w:color w:val="000000" w:themeColor="text1"/>
          <w:sz w:val="32"/>
          <w:szCs w:val="32"/>
          <w:highlight w:val="none"/>
          <w14:textFill>
            <w14:solidFill>
              <w14:schemeClr w14:val="tx1"/>
            </w14:solidFill>
          </w14:textFill>
        </w:rPr>
        <w:t>1.10交通运输</w:t>
      </w:r>
      <w:bookmarkEnd w:id="480"/>
      <w:bookmarkEnd w:id="481"/>
      <w:bookmarkEnd w:id="482"/>
    </w:p>
    <w:p w14:paraId="4392F53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1.10.1出入现场的权利</w:t>
      </w:r>
    </w:p>
    <w:p w14:paraId="2907B90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关于出入现场的权利的约定：</w:t>
      </w:r>
      <w:r>
        <w:rPr>
          <w:rFonts w:hint="eastAsia" w:ascii="宋体" w:hAnsi="宋体"/>
          <w:color w:val="000000" w:themeColor="text1"/>
          <w:szCs w:val="21"/>
          <w:highlight w:val="none"/>
          <w:u w:val="single"/>
          <w14:textFill>
            <w14:solidFill>
              <w14:schemeClr w14:val="tx1"/>
            </w14:solidFill>
          </w14:textFill>
        </w:rPr>
        <w:t>与施工无关的人员需出入现场须经承发包双方同意</w:t>
      </w:r>
      <w:r>
        <w:rPr>
          <w:rFonts w:hint="eastAsia" w:ascii="宋体" w:hAnsi="宋体"/>
          <w:color w:val="000000" w:themeColor="text1"/>
          <w:szCs w:val="21"/>
          <w:highlight w:val="none"/>
          <w14:textFill>
            <w14:solidFill>
              <w14:schemeClr w14:val="tx1"/>
            </w14:solidFill>
          </w14:textFill>
        </w:rPr>
        <w:t>。</w:t>
      </w:r>
    </w:p>
    <w:p w14:paraId="33E6373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1.10.3场内交通</w:t>
      </w:r>
    </w:p>
    <w:p w14:paraId="7DCAF77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关于场外交通和场内交通的边界的约定：</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p>
    <w:p w14:paraId="4889CAD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关于发包人向承包人免费提供满足工程施工需要的场内道路和交通设施的约定：</w:t>
      </w:r>
      <w:r>
        <w:rPr>
          <w:rFonts w:hint="eastAsia" w:ascii="宋体" w:hAnsi="宋体"/>
          <w:color w:val="000000" w:themeColor="text1"/>
          <w:szCs w:val="21"/>
          <w:highlight w:val="none"/>
          <w:u w:val="single"/>
          <w14:textFill>
            <w14:solidFill>
              <w14:schemeClr w14:val="tx1"/>
            </w14:solidFill>
          </w14:textFill>
        </w:rPr>
        <w:t>由承包人根据现场实际自行考虑，费用自理</w:t>
      </w:r>
      <w:r>
        <w:rPr>
          <w:rFonts w:hint="eastAsia" w:ascii="宋体" w:hAnsi="宋体"/>
          <w:color w:val="000000" w:themeColor="text1"/>
          <w:szCs w:val="21"/>
          <w:highlight w:val="none"/>
          <w14:textFill>
            <w14:solidFill>
              <w14:schemeClr w14:val="tx1"/>
            </w14:solidFill>
          </w14:textFill>
        </w:rPr>
        <w:t>。</w:t>
      </w:r>
    </w:p>
    <w:p w14:paraId="0605A10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1.10.4超大件和超重件的运输</w:t>
      </w:r>
    </w:p>
    <w:p w14:paraId="7B85B2A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运输超大件或超重件所需的道路和桥梁临时加固改造费用和其他有关费用由</w:t>
      </w:r>
      <w:r>
        <w:rPr>
          <w:rFonts w:hint="eastAsia" w:ascii="宋体" w:hAnsi="宋体"/>
          <w:color w:val="000000" w:themeColor="text1"/>
          <w:szCs w:val="21"/>
          <w:highlight w:val="none"/>
          <w:u w:val="single"/>
          <w14:textFill>
            <w14:solidFill>
              <w14:schemeClr w14:val="tx1"/>
            </w14:solidFill>
          </w14:textFill>
        </w:rPr>
        <w:t>承包人</w:t>
      </w:r>
      <w:r>
        <w:rPr>
          <w:rFonts w:hint="eastAsia" w:ascii="宋体" w:hAnsi="宋体"/>
          <w:color w:val="000000" w:themeColor="text1"/>
          <w:szCs w:val="21"/>
          <w:highlight w:val="none"/>
          <w14:textFill>
            <w14:solidFill>
              <w14:schemeClr w14:val="tx1"/>
            </w14:solidFill>
          </w14:textFill>
        </w:rPr>
        <w:t>承担。</w:t>
      </w:r>
    </w:p>
    <w:p w14:paraId="43F685DF">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83" w:name="_Toc17761"/>
      <w:bookmarkStart w:id="484" w:name="_Toc217642299"/>
      <w:bookmarkStart w:id="485" w:name="_Toc166155229"/>
      <w:r>
        <w:rPr>
          <w:rFonts w:hint="eastAsia" w:ascii="黑体" w:hAnsi="黑体"/>
          <w:b/>
          <w:bCs/>
          <w:color w:val="000000" w:themeColor="text1"/>
          <w:sz w:val="32"/>
          <w:szCs w:val="32"/>
          <w:highlight w:val="none"/>
          <w14:textFill>
            <w14:solidFill>
              <w14:schemeClr w14:val="tx1"/>
            </w14:solidFill>
          </w14:textFill>
        </w:rPr>
        <w:t>1.11知识产权</w:t>
      </w:r>
      <w:bookmarkEnd w:id="483"/>
      <w:bookmarkEnd w:id="484"/>
      <w:bookmarkEnd w:id="485"/>
    </w:p>
    <w:p w14:paraId="7E85960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1.11.1关于发包人提供给承包人的图纸、发包人为实施工程自行编制或委托编制的技术规范以及反映发包人关于合同要求或其他类似性质的文件的著作权的归属：</w:t>
      </w:r>
      <w:r>
        <w:rPr>
          <w:rFonts w:hint="eastAsia" w:ascii="宋体" w:hAnsi="宋体"/>
          <w:color w:val="000000" w:themeColor="text1"/>
          <w:szCs w:val="21"/>
          <w:highlight w:val="none"/>
          <w:u w:val="single"/>
          <w14:textFill>
            <w14:solidFill>
              <w14:schemeClr w14:val="tx1"/>
            </w14:solidFill>
          </w14:textFill>
        </w:rPr>
        <w:t>属于发包人</w:t>
      </w:r>
      <w:r>
        <w:rPr>
          <w:rFonts w:hint="eastAsia" w:ascii="宋体" w:hAnsi="宋体"/>
          <w:color w:val="000000" w:themeColor="text1"/>
          <w:szCs w:val="21"/>
          <w:highlight w:val="none"/>
          <w14:textFill>
            <w14:solidFill>
              <w14:schemeClr w14:val="tx1"/>
            </w14:solidFill>
          </w14:textFill>
        </w:rPr>
        <w:t>。</w:t>
      </w:r>
    </w:p>
    <w:p w14:paraId="1372F36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关于发包人提供的上述文件的使用限制的要求：</w:t>
      </w:r>
      <w:r>
        <w:rPr>
          <w:rFonts w:hint="eastAsia" w:ascii="宋体" w:hAnsi="宋体"/>
          <w:color w:val="000000" w:themeColor="text1"/>
          <w:szCs w:val="21"/>
          <w:highlight w:val="none"/>
          <w:u w:val="single"/>
          <w14:textFill>
            <w14:solidFill>
              <w14:schemeClr w14:val="tx1"/>
            </w14:solidFill>
          </w14:textFill>
        </w:rPr>
        <w:t>承包人可以为实现本合同目的而复制、使用此类文件，但不能用于与合同无关的其他事项，未经发包人同意，承包人不得为了合同以外的目的而复制、使用上述文件或将之提供给任何第三方</w:t>
      </w:r>
      <w:r>
        <w:rPr>
          <w:rFonts w:hint="eastAsia" w:ascii="宋体" w:hAnsi="宋体"/>
          <w:color w:val="000000" w:themeColor="text1"/>
          <w:szCs w:val="21"/>
          <w:highlight w:val="none"/>
          <w14:textFill>
            <w14:solidFill>
              <w14:schemeClr w14:val="tx1"/>
            </w14:solidFill>
          </w14:textFill>
        </w:rPr>
        <w:t>。</w:t>
      </w:r>
    </w:p>
    <w:p w14:paraId="36A21F6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1.11.2关于承包人为实施工程所编制文件的著作权的归属：</w:t>
      </w:r>
      <w:r>
        <w:rPr>
          <w:rFonts w:hint="eastAsia" w:ascii="宋体" w:hAnsi="宋体"/>
          <w:color w:val="000000" w:themeColor="text1"/>
          <w:szCs w:val="21"/>
          <w:highlight w:val="none"/>
          <w:u w:val="single"/>
          <w14:textFill>
            <w14:solidFill>
              <w14:schemeClr w14:val="tx1"/>
            </w14:solidFill>
          </w14:textFill>
        </w:rPr>
        <w:t>属于承包人</w:t>
      </w:r>
      <w:r>
        <w:rPr>
          <w:rFonts w:hint="eastAsia" w:ascii="宋体" w:hAnsi="宋体"/>
          <w:color w:val="000000" w:themeColor="text1"/>
          <w:szCs w:val="21"/>
          <w:highlight w:val="none"/>
          <w14:textFill>
            <w14:solidFill>
              <w14:schemeClr w14:val="tx1"/>
            </w14:solidFill>
          </w14:textFill>
        </w:rPr>
        <w:t>。</w:t>
      </w:r>
    </w:p>
    <w:p w14:paraId="39C2354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关于承包人提供的上述文件的使用限制的要求：</w:t>
      </w:r>
      <w:r>
        <w:rPr>
          <w:rFonts w:hint="eastAsia" w:ascii="宋体" w:hAnsi="宋体"/>
          <w:color w:val="000000" w:themeColor="text1"/>
          <w:szCs w:val="21"/>
          <w:highlight w:val="none"/>
          <w:u w:val="single"/>
          <w14:textFill>
            <w14:solidFill>
              <w14:schemeClr w14:val="tx1"/>
            </w14:solidFill>
          </w14:textFill>
        </w:rPr>
        <w:t>承包人可因实施工程的运行、调试、维修、改造等目的而复制、使用此类文件，但不能用于与合同无关的其他事项。未经发包人书面同意，承包人不得为了合同以外的目的而复制、使用上述文件或将之提供给任何第三方</w:t>
      </w:r>
      <w:r>
        <w:rPr>
          <w:rFonts w:hint="eastAsia" w:ascii="宋体" w:hAnsi="宋体"/>
          <w:color w:val="000000" w:themeColor="text1"/>
          <w:szCs w:val="21"/>
          <w:highlight w:val="none"/>
          <w14:textFill>
            <w14:solidFill>
              <w14:schemeClr w14:val="tx1"/>
            </w14:solidFill>
          </w14:textFill>
        </w:rPr>
        <w:t>。</w:t>
      </w:r>
    </w:p>
    <w:p w14:paraId="08468F1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1.11.4承包人在施工过程中所采用的专利、专有技术、技术秘密的使用费的承担方式：</w:t>
      </w:r>
      <w:r>
        <w:rPr>
          <w:rFonts w:hint="eastAsia" w:ascii="宋体" w:hAnsi="宋体"/>
          <w:color w:val="000000" w:themeColor="text1"/>
          <w:szCs w:val="21"/>
          <w:highlight w:val="none"/>
          <w:u w:val="single"/>
          <w14:textFill>
            <w14:solidFill>
              <w14:schemeClr w14:val="tx1"/>
            </w14:solidFill>
          </w14:textFill>
        </w:rPr>
        <w:t>承包人在合同签订前和签订时已确定采用的专利、专有技术、技术秘密的使用费已包含在签约合同价中。（由承包人承担）</w:t>
      </w:r>
      <w:r>
        <w:rPr>
          <w:rFonts w:hint="eastAsia" w:ascii="宋体" w:hAnsi="宋体"/>
          <w:color w:val="000000" w:themeColor="text1"/>
          <w:szCs w:val="21"/>
          <w:highlight w:val="none"/>
          <w14:textFill>
            <w14:solidFill>
              <w14:schemeClr w14:val="tx1"/>
            </w14:solidFill>
          </w14:textFill>
        </w:rPr>
        <w:t>。</w:t>
      </w:r>
    </w:p>
    <w:p w14:paraId="3B27E5C0">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86" w:name="_Toc9119"/>
      <w:bookmarkStart w:id="487" w:name="_Toc166155230"/>
      <w:bookmarkStart w:id="488" w:name="_Toc217642300"/>
      <w:r>
        <w:rPr>
          <w:rFonts w:hint="eastAsia" w:ascii="黑体" w:hAnsi="黑体"/>
          <w:b/>
          <w:bCs/>
          <w:color w:val="000000" w:themeColor="text1"/>
          <w:sz w:val="32"/>
          <w:szCs w:val="32"/>
          <w:highlight w:val="none"/>
          <w14:textFill>
            <w14:solidFill>
              <w14:schemeClr w14:val="tx1"/>
            </w14:solidFill>
          </w14:textFill>
        </w:rPr>
        <w:t>1.13工程量清单错误的修正</w:t>
      </w:r>
      <w:bookmarkEnd w:id="486"/>
      <w:bookmarkEnd w:id="487"/>
      <w:bookmarkEnd w:id="488"/>
    </w:p>
    <w:p w14:paraId="76E4F64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工程量清单工程量偏差时，可以调整合同价格。</w:t>
      </w:r>
      <w:r>
        <w:rPr>
          <w:rFonts w:hint="eastAsia" w:ascii="宋体" w:hAnsi="宋体"/>
          <w:color w:val="000000" w:themeColor="text1"/>
          <w:szCs w:val="21"/>
          <w:highlight w:val="none"/>
          <w14:textFill>
            <w14:solidFill>
              <w14:schemeClr w14:val="tx1"/>
            </w14:solidFill>
          </w14:textFill>
        </w:rPr>
        <w:t>允许调整合同价格的工程量偏差范围及其调整办法：</w:t>
      </w:r>
    </w:p>
    <w:p w14:paraId="539237C7">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承包人实际完成的某单项清单项目工程量与招标工程量清单工程量偏差超过15%且该单项清单造价超过合同总价1%以上的，超过后增加部分工程量或减少后剩余部分工程量的综合单价按以下方法调整：由承包人对增加的工程量或减少后剩余的工程量的综合单价按10.4.1（3）变更估价原则计算。经发包人确认调整后，作为结算依据。当以上变化引起的相关总价措施项目发生变化时，以项计算的总价措施项目应按实际发生变化的措施项目进行调整，以计算基础乘费率计算的总价措施项目按照实际发生变化的计算基础及竞标报价费率进行调整。</w:t>
      </w:r>
    </w:p>
    <w:p w14:paraId="6B71C8D1">
      <w:pPr>
        <w:keepNext/>
        <w:keepLines/>
        <w:spacing w:before="260" w:after="260" w:line="412" w:lineRule="auto"/>
        <w:outlineLvl w:val="1"/>
        <w:rPr>
          <w:rFonts w:ascii="黑体" w:hAnsi="黑体" w:eastAsia="黑体"/>
          <w:b/>
          <w:color w:val="000000" w:themeColor="text1"/>
          <w:sz w:val="32"/>
          <w:szCs w:val="20"/>
          <w:highlight w:val="none"/>
          <w14:textFill>
            <w14:solidFill>
              <w14:schemeClr w14:val="tx1"/>
            </w14:solidFill>
          </w14:textFill>
        </w:rPr>
      </w:pPr>
      <w:bookmarkStart w:id="489" w:name="_Toc8674"/>
      <w:bookmarkStart w:id="490" w:name="_Toc166155231"/>
      <w:bookmarkStart w:id="491" w:name="_Toc217642301"/>
      <w:r>
        <w:rPr>
          <w:rFonts w:hint="eastAsia" w:ascii="黑体" w:hAnsi="黑体" w:eastAsia="黑体"/>
          <w:b/>
          <w:color w:val="000000" w:themeColor="text1"/>
          <w:sz w:val="32"/>
          <w:szCs w:val="20"/>
          <w:highlight w:val="none"/>
          <w14:textFill>
            <w14:solidFill>
              <w14:schemeClr w14:val="tx1"/>
            </w14:solidFill>
          </w14:textFill>
        </w:rPr>
        <w:t>2.发包人</w:t>
      </w:r>
      <w:bookmarkEnd w:id="489"/>
      <w:bookmarkEnd w:id="490"/>
      <w:bookmarkEnd w:id="491"/>
    </w:p>
    <w:p w14:paraId="2151D75B">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92" w:name="_Toc8789"/>
      <w:bookmarkStart w:id="493" w:name="_Toc166155232"/>
      <w:bookmarkStart w:id="494" w:name="_Toc217642302"/>
      <w:r>
        <w:rPr>
          <w:rFonts w:hint="eastAsia" w:ascii="黑体" w:hAnsi="黑体"/>
          <w:b/>
          <w:bCs/>
          <w:color w:val="000000" w:themeColor="text1"/>
          <w:sz w:val="32"/>
          <w:szCs w:val="32"/>
          <w:highlight w:val="none"/>
          <w14:textFill>
            <w14:solidFill>
              <w14:schemeClr w14:val="tx1"/>
            </w14:solidFill>
          </w14:textFill>
        </w:rPr>
        <w:t>2.1许可或批准</w:t>
      </w:r>
      <w:bookmarkEnd w:id="492"/>
      <w:bookmarkEnd w:id="493"/>
      <w:bookmarkEnd w:id="494"/>
    </w:p>
    <w:p w14:paraId="645366D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应遵守法律，并办理法律规定由其办理的许可、批准或备案，包括但不限于建设用地规划许可证、建设工程规划许可证、建设工程施工许可证、施工所需临时用水、临时用电、中断道路交通、临时占用土地、规划核实、消防验收等许可和批准。发包人应协助承包人办理法律规定的有关施工证件和批件。因发包人原因未能及时办理完毕前述许可、批准或备案，造成工期延误的，由发包人承担。</w:t>
      </w:r>
    </w:p>
    <w:p w14:paraId="1DC3DDBC">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95" w:name="_Toc166155233"/>
      <w:bookmarkStart w:id="496" w:name="_Toc217642303"/>
      <w:bookmarkStart w:id="497" w:name="_Toc7349"/>
      <w:r>
        <w:rPr>
          <w:rFonts w:hint="eastAsia" w:ascii="黑体" w:hAnsi="黑体"/>
          <w:b/>
          <w:bCs/>
          <w:color w:val="000000" w:themeColor="text1"/>
          <w:sz w:val="32"/>
          <w:szCs w:val="32"/>
          <w:highlight w:val="none"/>
          <w14:textFill>
            <w14:solidFill>
              <w14:schemeClr w14:val="tx1"/>
            </w14:solidFill>
          </w14:textFill>
        </w:rPr>
        <w:t>2.2发包人代表</w:t>
      </w:r>
      <w:bookmarkEnd w:id="495"/>
      <w:bookmarkEnd w:id="496"/>
      <w:bookmarkEnd w:id="497"/>
    </w:p>
    <w:p w14:paraId="78DF958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姓名：_______；</w:t>
      </w:r>
    </w:p>
    <w:p w14:paraId="5BE9B05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身份证号：_______；</w:t>
      </w:r>
    </w:p>
    <w:p w14:paraId="3F42E38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职务：_______；</w:t>
      </w:r>
    </w:p>
    <w:p w14:paraId="2B28BB7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联系电话：_______；</w:t>
      </w:r>
    </w:p>
    <w:p w14:paraId="3868A65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电子信箱：_______；</w:t>
      </w:r>
    </w:p>
    <w:p w14:paraId="45405D2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通信地址：</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62376264">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发包人对发包人代表授权范围如下：负责处理合同履行过程中与发包人有关的事宜：对本工程质量、工期、进度、安全、文明施工及材料和设备进场进行监督检查；对涉及工期延长、设计变更、现场收方及签证、已完工程量报告、竣工结算报告等影响工程造价的相关事项作出处理；办理中间交工、工程验收手续；审核工程进度报表、督促监理工程师行使职权以及协调施工现场各方面的关系。</w:t>
      </w:r>
    </w:p>
    <w:p w14:paraId="5EF96878">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498" w:name="_Toc12823"/>
      <w:bookmarkStart w:id="499" w:name="_Toc166155234"/>
      <w:bookmarkStart w:id="500" w:name="_Toc217642304"/>
      <w:r>
        <w:rPr>
          <w:rFonts w:hint="eastAsia" w:ascii="黑体" w:hAnsi="黑体"/>
          <w:b/>
          <w:bCs/>
          <w:color w:val="000000" w:themeColor="text1"/>
          <w:sz w:val="32"/>
          <w:szCs w:val="32"/>
          <w:highlight w:val="none"/>
          <w14:textFill>
            <w14:solidFill>
              <w14:schemeClr w14:val="tx1"/>
            </w14:solidFill>
          </w14:textFill>
        </w:rPr>
        <w:t>2.4施工现场、施工条件和基础资料的提供</w:t>
      </w:r>
      <w:bookmarkEnd w:id="498"/>
      <w:bookmarkEnd w:id="499"/>
      <w:bookmarkEnd w:id="500"/>
    </w:p>
    <w:p w14:paraId="0874B20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2.4.1提供施工现场</w:t>
      </w:r>
    </w:p>
    <w:p w14:paraId="24419B5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关于发包人移交施工现场的期限要求：</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1268A17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2.4.2提供施工条件</w:t>
      </w:r>
    </w:p>
    <w:p w14:paraId="68B7EF7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关于发包人应负责提供施工所需要的条件，包括：</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3F2825F0">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01" w:name="_Toc15709"/>
      <w:bookmarkStart w:id="502" w:name="_Toc166155235"/>
      <w:bookmarkStart w:id="503" w:name="_Toc217642305"/>
      <w:r>
        <w:rPr>
          <w:rFonts w:hint="eastAsia" w:ascii="黑体" w:hAnsi="黑体"/>
          <w:b/>
          <w:bCs/>
          <w:color w:val="000000" w:themeColor="text1"/>
          <w:sz w:val="32"/>
          <w:szCs w:val="32"/>
          <w:highlight w:val="none"/>
          <w14:textFill>
            <w14:solidFill>
              <w14:schemeClr w14:val="tx1"/>
            </w14:solidFill>
          </w14:textFill>
        </w:rPr>
        <w:t>2.5资金来源证明及支付担保</w:t>
      </w:r>
      <w:bookmarkEnd w:id="501"/>
      <w:bookmarkEnd w:id="502"/>
      <w:bookmarkEnd w:id="503"/>
    </w:p>
    <w:p w14:paraId="55A74F1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发包人提供资金来源证明的期限要求：</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169367D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发包人是否提供支付担保：</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3279D5F2">
      <w:pPr>
        <w:keepNext/>
        <w:keepLines/>
        <w:spacing w:before="260" w:after="260" w:line="412" w:lineRule="auto"/>
        <w:outlineLvl w:val="1"/>
        <w:rPr>
          <w:rFonts w:ascii="黑体" w:hAnsi="黑体" w:eastAsia="黑体"/>
          <w:b/>
          <w:color w:val="000000" w:themeColor="text1"/>
          <w:sz w:val="32"/>
          <w:szCs w:val="20"/>
          <w:highlight w:val="none"/>
          <w14:textFill>
            <w14:solidFill>
              <w14:schemeClr w14:val="tx1"/>
            </w14:solidFill>
          </w14:textFill>
        </w:rPr>
      </w:pPr>
      <w:bookmarkStart w:id="504" w:name="_Toc28281"/>
      <w:bookmarkStart w:id="505" w:name="_Toc166155236"/>
      <w:bookmarkStart w:id="506" w:name="_Toc217642306"/>
      <w:r>
        <w:rPr>
          <w:rFonts w:hint="eastAsia" w:ascii="黑体" w:hAnsi="黑体" w:eastAsia="黑体"/>
          <w:b/>
          <w:color w:val="000000" w:themeColor="text1"/>
          <w:sz w:val="32"/>
          <w:szCs w:val="20"/>
          <w:highlight w:val="none"/>
          <w14:textFill>
            <w14:solidFill>
              <w14:schemeClr w14:val="tx1"/>
            </w14:solidFill>
          </w14:textFill>
        </w:rPr>
        <w:t>3.承包人</w:t>
      </w:r>
      <w:bookmarkEnd w:id="504"/>
      <w:bookmarkEnd w:id="505"/>
      <w:bookmarkEnd w:id="506"/>
    </w:p>
    <w:p w14:paraId="05D740E2">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07" w:name="_Toc217642307"/>
      <w:bookmarkStart w:id="508" w:name="_Toc717"/>
      <w:bookmarkStart w:id="509" w:name="_Toc166155237"/>
      <w:r>
        <w:rPr>
          <w:rFonts w:hint="eastAsia" w:ascii="黑体" w:hAnsi="黑体"/>
          <w:b/>
          <w:bCs/>
          <w:color w:val="000000" w:themeColor="text1"/>
          <w:sz w:val="32"/>
          <w:szCs w:val="32"/>
          <w:highlight w:val="none"/>
          <w14:textFill>
            <w14:solidFill>
              <w14:schemeClr w14:val="tx1"/>
            </w14:solidFill>
          </w14:textFill>
        </w:rPr>
        <w:t>3.1承包人的一般义务</w:t>
      </w:r>
      <w:bookmarkEnd w:id="507"/>
      <w:bookmarkEnd w:id="508"/>
      <w:bookmarkEnd w:id="509"/>
    </w:p>
    <w:p w14:paraId="2FEB062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（9）承包人提交的竣工资料的内容：</w:t>
      </w:r>
      <w:r>
        <w:rPr>
          <w:rFonts w:hint="eastAsia" w:ascii="宋体" w:hAnsi="宋体"/>
          <w:color w:val="000000" w:themeColor="text1"/>
          <w:szCs w:val="21"/>
          <w:highlight w:val="none"/>
          <w:u w:val="single"/>
          <w14:textFill>
            <w14:solidFill>
              <w14:schemeClr w14:val="tx1"/>
            </w14:solidFill>
          </w14:textFill>
        </w:rPr>
        <w:t>按照法律规定和合同约定编制的竣工资料，符合工程所在地建设行政主管部门和（或）城市建设档案管理机构有关施工资料的要求，并立卷及归档</w:t>
      </w:r>
      <w:r>
        <w:rPr>
          <w:rFonts w:hint="eastAsia" w:ascii="宋体" w:hAnsi="宋体"/>
          <w:color w:val="000000" w:themeColor="text1"/>
          <w:szCs w:val="21"/>
          <w:highlight w:val="none"/>
          <w14:textFill>
            <w14:solidFill>
              <w14:schemeClr w14:val="tx1"/>
            </w14:solidFill>
          </w14:textFill>
        </w:rPr>
        <w:t>。</w:t>
      </w:r>
    </w:p>
    <w:p w14:paraId="0A656B0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承包人需要提交的竣工资料套数：</w:t>
      </w:r>
      <w:r>
        <w:rPr>
          <w:rFonts w:hint="eastAsia" w:ascii="宋体" w:hAnsi="宋体"/>
          <w:color w:val="000000" w:themeColor="text1"/>
          <w:szCs w:val="21"/>
          <w:highlight w:val="none"/>
          <w:u w:val="single"/>
          <w14:textFill>
            <w14:solidFill>
              <w14:schemeClr w14:val="tx1"/>
            </w14:solidFill>
          </w14:textFill>
        </w:rPr>
        <w:t>壹式肆套</w:t>
      </w:r>
      <w:r>
        <w:rPr>
          <w:rFonts w:hint="eastAsia" w:ascii="宋体" w:hAnsi="宋体"/>
          <w:color w:val="000000" w:themeColor="text1"/>
          <w:szCs w:val="21"/>
          <w:highlight w:val="none"/>
          <w14:textFill>
            <w14:solidFill>
              <w14:schemeClr w14:val="tx1"/>
            </w14:solidFill>
          </w14:textFill>
        </w:rPr>
        <w:t>。</w:t>
      </w:r>
    </w:p>
    <w:p w14:paraId="24068B2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承包人提交的竣工资料的费用承担：</w:t>
      </w:r>
      <w:r>
        <w:rPr>
          <w:rFonts w:hint="eastAsia" w:ascii="宋体" w:hAnsi="宋体"/>
          <w:color w:val="000000" w:themeColor="text1"/>
          <w:szCs w:val="21"/>
          <w:highlight w:val="none"/>
          <w:u w:val="single"/>
          <w14:textFill>
            <w14:solidFill>
              <w14:schemeClr w14:val="tx1"/>
            </w14:solidFill>
          </w14:textFill>
        </w:rPr>
        <w:t>由承包人承担</w:t>
      </w:r>
      <w:r>
        <w:rPr>
          <w:rFonts w:hint="eastAsia" w:ascii="宋体" w:hAnsi="宋体"/>
          <w:color w:val="000000" w:themeColor="text1"/>
          <w:szCs w:val="21"/>
          <w:highlight w:val="none"/>
          <w14:textFill>
            <w14:solidFill>
              <w14:schemeClr w14:val="tx1"/>
            </w14:solidFill>
          </w14:textFill>
        </w:rPr>
        <w:t>。</w:t>
      </w:r>
    </w:p>
    <w:p w14:paraId="631CF4C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承包人提交的竣工资料移交时间：</w:t>
      </w:r>
      <w:r>
        <w:rPr>
          <w:rFonts w:hint="eastAsia" w:ascii="宋体" w:hAnsi="宋体"/>
          <w:color w:val="000000" w:themeColor="text1"/>
          <w:szCs w:val="21"/>
          <w:highlight w:val="none"/>
          <w:u w:val="single"/>
          <w14:textFill>
            <w14:solidFill>
              <w14:schemeClr w14:val="tx1"/>
            </w14:solidFill>
          </w14:textFill>
        </w:rPr>
        <w:t>经过验收合格后30日历天</w:t>
      </w:r>
      <w:r>
        <w:rPr>
          <w:rFonts w:hint="eastAsia" w:ascii="宋体" w:hAnsi="宋体"/>
          <w:color w:val="000000" w:themeColor="text1"/>
          <w:szCs w:val="21"/>
          <w:highlight w:val="none"/>
          <w14:textFill>
            <w14:solidFill>
              <w14:schemeClr w14:val="tx1"/>
            </w14:solidFill>
          </w14:textFill>
        </w:rPr>
        <w:t>。</w:t>
      </w:r>
    </w:p>
    <w:p w14:paraId="2975DD9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承包人提交的竣工资料形式要求：</w:t>
      </w:r>
      <w:r>
        <w:rPr>
          <w:rFonts w:hint="eastAsia" w:ascii="宋体" w:hAnsi="宋体"/>
          <w:color w:val="000000" w:themeColor="text1"/>
          <w:szCs w:val="21"/>
          <w:highlight w:val="none"/>
          <w:u w:val="single"/>
          <w14:textFill>
            <w14:solidFill>
              <w14:schemeClr w14:val="tx1"/>
            </w14:solidFill>
          </w14:textFill>
        </w:rPr>
        <w:t>书面及电子文档</w:t>
      </w:r>
      <w:r>
        <w:rPr>
          <w:rFonts w:hint="eastAsia" w:ascii="宋体" w:hAnsi="宋体"/>
          <w:color w:val="000000" w:themeColor="text1"/>
          <w:szCs w:val="21"/>
          <w:highlight w:val="none"/>
          <w14:textFill>
            <w14:solidFill>
              <w14:schemeClr w14:val="tx1"/>
            </w14:solidFill>
          </w14:textFill>
        </w:rPr>
        <w:t>。</w:t>
      </w:r>
    </w:p>
    <w:p w14:paraId="071E723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（10）承包人应履行的其他义务：</w:t>
      </w:r>
      <w:r>
        <w:rPr>
          <w:rFonts w:hint="eastAsia" w:ascii="宋体" w:hAnsi="宋体"/>
          <w:color w:val="000000" w:themeColor="text1"/>
          <w:szCs w:val="21"/>
          <w:highlight w:val="none"/>
          <w:u w:val="single"/>
          <w14:textFill>
            <w14:solidFill>
              <w14:schemeClr w14:val="tx1"/>
            </w14:solidFill>
          </w14:textFill>
        </w:rPr>
        <w:t>按照《中华人民共和国工会法》、《国务院关于进一步做好为农民工服务工作的意见》（国发〔2014〕40号）、《中华全国总工会关于深入贯彻落实&lt;国务院关于进一步做好为农民工服务工作的意见&gt;的实施意见》（总工发〔2015〕14号）有关要求，深入开展“农民工入会集中行动”</w:t>
      </w:r>
      <w:r>
        <w:rPr>
          <w:rFonts w:hint="eastAsia" w:ascii="宋体" w:hAnsi="宋体"/>
          <w:color w:val="000000" w:themeColor="text1"/>
          <w:szCs w:val="21"/>
          <w:highlight w:val="none"/>
          <w14:textFill>
            <w14:solidFill>
              <w14:schemeClr w14:val="tx1"/>
            </w14:solidFill>
          </w14:textFill>
        </w:rPr>
        <w:t>。</w:t>
      </w:r>
    </w:p>
    <w:p w14:paraId="7CB928C9">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p>
    <w:p w14:paraId="2E375331">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10" w:name="_Toc166155238"/>
      <w:bookmarkStart w:id="511" w:name="_Toc217642308"/>
      <w:bookmarkStart w:id="512" w:name="_Toc11658"/>
      <w:r>
        <w:rPr>
          <w:rFonts w:hint="eastAsia" w:ascii="黑体" w:hAnsi="黑体"/>
          <w:b/>
          <w:bCs/>
          <w:color w:val="000000" w:themeColor="text1"/>
          <w:sz w:val="32"/>
          <w:szCs w:val="32"/>
          <w:highlight w:val="none"/>
          <w14:textFill>
            <w14:solidFill>
              <w14:schemeClr w14:val="tx1"/>
            </w14:solidFill>
          </w14:textFill>
        </w:rPr>
        <w:t>3.2项目经理</w:t>
      </w:r>
      <w:bookmarkEnd w:id="510"/>
      <w:bookmarkEnd w:id="511"/>
      <w:bookmarkEnd w:id="512"/>
    </w:p>
    <w:p w14:paraId="607C4C1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3.2.1项目经理：</w:t>
      </w:r>
    </w:p>
    <w:p w14:paraId="0B5D7A7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姓名：_______；</w:t>
      </w:r>
    </w:p>
    <w:p w14:paraId="4B4C9FC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身份证号：_______；</w:t>
      </w:r>
    </w:p>
    <w:p w14:paraId="4760443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建造师执业资格等级：_______；</w:t>
      </w:r>
    </w:p>
    <w:p w14:paraId="312648F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建造师注册证书号：_______；</w:t>
      </w:r>
    </w:p>
    <w:p w14:paraId="498E25E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安全生产考核合格证书号：_______；</w:t>
      </w:r>
    </w:p>
    <w:p w14:paraId="51F8982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r>
        <w:rPr>
          <w:rFonts w:ascii="宋体" w:hAnsi="宋体"/>
          <w:b/>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w:t>
      </w:r>
    </w:p>
    <w:p w14:paraId="5B671B7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电子信箱：</w:t>
      </w:r>
      <w:r>
        <w:rPr>
          <w:rFonts w:ascii="宋体" w:hAnsi="宋体"/>
          <w:b/>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w:t>
      </w:r>
    </w:p>
    <w:p w14:paraId="4BBF7A3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通信地址：_______；</w:t>
      </w:r>
    </w:p>
    <w:p w14:paraId="5FA7124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承包人对项目经理的授权范围如下：</w:t>
      </w:r>
      <w:r>
        <w:rPr>
          <w:rFonts w:hint="eastAsia" w:ascii="宋体" w:hAnsi="宋体"/>
          <w:color w:val="000000" w:themeColor="text1"/>
          <w:szCs w:val="21"/>
          <w:highlight w:val="none"/>
          <w:u w:val="single"/>
          <w14:textFill>
            <w14:solidFill>
              <w14:schemeClr w14:val="tx1"/>
            </w14:solidFill>
          </w14:textFill>
        </w:rPr>
        <w:t>全面负责施工前期准备和施工过程中的安全、质量、进度管理及相关技术文件的确认。项目经理和项目部管理人员未经承包人书面授权及委托的不得以承包人名义向外赊购材料、借款、租用建筑周转材料、雇佣劳动力、签订分包合同等一切为承包人创设债权或债务的行为</w:t>
      </w:r>
      <w:r>
        <w:rPr>
          <w:rFonts w:hint="eastAsia" w:ascii="宋体" w:hAnsi="宋体"/>
          <w:color w:val="000000" w:themeColor="text1"/>
          <w:szCs w:val="21"/>
          <w:highlight w:val="none"/>
          <w14:textFill>
            <w14:solidFill>
              <w14:schemeClr w14:val="tx1"/>
            </w14:solidFill>
          </w14:textFill>
        </w:rPr>
        <w:t>。</w:t>
      </w:r>
    </w:p>
    <w:p w14:paraId="6645944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关于项目经理每月在施工现场的时间要求：</w:t>
      </w:r>
      <w:r>
        <w:rPr>
          <w:rFonts w:hint="eastAsia" w:ascii="宋体" w:hAnsi="宋体"/>
          <w:color w:val="000000" w:themeColor="text1"/>
          <w:szCs w:val="21"/>
          <w:highlight w:val="none"/>
          <w:u w:val="single"/>
          <w14:textFill>
            <w14:solidFill>
              <w14:schemeClr w14:val="tx1"/>
            </w14:solidFill>
          </w14:textFill>
        </w:rPr>
        <w:t>不得少于施工时间的80%</w:t>
      </w:r>
      <w:r>
        <w:rPr>
          <w:rFonts w:hint="eastAsia" w:ascii="宋体" w:hAnsi="宋体"/>
          <w:color w:val="000000" w:themeColor="text1"/>
          <w:szCs w:val="21"/>
          <w:highlight w:val="none"/>
          <w14:textFill>
            <w14:solidFill>
              <w14:schemeClr w14:val="tx1"/>
            </w14:solidFill>
          </w14:textFill>
        </w:rPr>
        <w:t>。</w:t>
      </w:r>
    </w:p>
    <w:p w14:paraId="278567D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承包人未提交劳动合同，以及没有为项目经理缴纳社会保险证明的违约责任：</w:t>
      </w:r>
      <w:r>
        <w:rPr>
          <w:rFonts w:hint="eastAsia" w:ascii="宋体" w:hAnsi="宋体"/>
          <w:color w:val="000000" w:themeColor="text1"/>
          <w:szCs w:val="21"/>
          <w:highlight w:val="none"/>
          <w:u w:val="single"/>
          <w14:textFill>
            <w14:solidFill>
              <w14:schemeClr w14:val="tx1"/>
            </w14:solidFill>
          </w14:textFill>
        </w:rPr>
        <w:t>承包人应向发包人支付 0.3万元的违约金，发包人有权责令承包人限期提交劳动合同并补缴社会保险，如逾期不提交劳动合同或不补缴社会保险的，视为承包人违约，承包人应从发包人责令其提交合同或补缴社会保险（以先出现的时间为准）之日起，按 1000元/天的标准向发包人支付违约金</w:t>
      </w:r>
      <w:r>
        <w:rPr>
          <w:rFonts w:hint="eastAsia" w:ascii="宋体" w:hAnsi="宋体"/>
          <w:color w:val="000000" w:themeColor="text1"/>
          <w:szCs w:val="21"/>
          <w:highlight w:val="none"/>
          <w14:textFill>
            <w14:solidFill>
              <w14:schemeClr w14:val="tx1"/>
            </w14:solidFill>
          </w14:textFill>
        </w:rPr>
        <w:t>。</w:t>
      </w:r>
    </w:p>
    <w:p w14:paraId="7F7DB7E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项目经理未经批准，擅自离开施工现场的违约责任：</w:t>
      </w:r>
      <w:r>
        <w:rPr>
          <w:rFonts w:hint="eastAsia" w:ascii="宋体" w:hAnsi="宋体"/>
          <w:color w:val="000000" w:themeColor="text1"/>
          <w:szCs w:val="21"/>
          <w:highlight w:val="none"/>
          <w:u w:val="single"/>
          <w14:textFill>
            <w14:solidFill>
              <w14:schemeClr w14:val="tx1"/>
            </w14:solidFill>
          </w14:textFill>
        </w:rPr>
        <w:t>项目经理每月在岗带班时间不得少于当月施工时间的80%。未经发包人同意或正当理由，项目经理每月在岗带班时间少于当月施工时间80%的，少在岗带班一天，发包人有权处违约金 300.00 元/日（人民币）</w:t>
      </w:r>
      <w:r>
        <w:rPr>
          <w:rFonts w:hint="eastAsia" w:ascii="宋体" w:hAnsi="宋体"/>
          <w:color w:val="000000" w:themeColor="text1"/>
          <w:szCs w:val="21"/>
          <w:highlight w:val="none"/>
          <w14:textFill>
            <w14:solidFill>
              <w14:schemeClr w14:val="tx1"/>
            </w14:solidFill>
          </w14:textFill>
        </w:rPr>
        <w:t>。</w:t>
      </w:r>
    </w:p>
    <w:p w14:paraId="38B123A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3.2.3承包人擅自更换项目经理的违约责任：</w:t>
      </w:r>
      <w:r>
        <w:rPr>
          <w:rFonts w:hint="eastAsia" w:ascii="宋体" w:hAnsi="宋体"/>
          <w:color w:val="000000" w:themeColor="text1"/>
          <w:szCs w:val="21"/>
          <w:highlight w:val="none"/>
          <w:u w:val="single"/>
          <w14:textFill>
            <w14:solidFill>
              <w14:schemeClr w14:val="tx1"/>
            </w14:solidFill>
          </w14:textFill>
        </w:rPr>
        <w:t>承包人项目经理必须与承包人竞标时所承诺的人员一致，并在（开工日期）  前到任。在监理人向承包人颁发竣工验收合格证书（竣工证明材料名称）前，项目经理不得同时兼任其他任何项目的项目经理（符合桂建管﹝2013﹞17号和桂建管﹝2014﹞25号文除外）。未经发包人书面同意，承包人擅自更换项目经理的视为违约，发包人有权上报建设行政主管部门并报有关规规定处罚</w:t>
      </w:r>
      <w:r>
        <w:rPr>
          <w:rFonts w:hint="eastAsia" w:ascii="宋体" w:hAnsi="宋体"/>
          <w:color w:val="000000" w:themeColor="text1"/>
          <w:szCs w:val="21"/>
          <w:highlight w:val="none"/>
          <w14:textFill>
            <w14:solidFill>
              <w14:schemeClr w14:val="tx1"/>
            </w14:solidFill>
          </w14:textFill>
        </w:rPr>
        <w:t>。</w:t>
      </w:r>
    </w:p>
    <w:p w14:paraId="7AF613A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3.2.5承包人无正当理由拒绝更换项目经理的违约责任：</w:t>
      </w:r>
      <w:r>
        <w:rPr>
          <w:rFonts w:hint="eastAsia" w:ascii="宋体" w:hAnsi="宋体"/>
          <w:color w:val="000000" w:themeColor="text1"/>
          <w:szCs w:val="21"/>
          <w:highlight w:val="none"/>
          <w:u w:val="single"/>
          <w14:textFill>
            <w14:solidFill>
              <w14:schemeClr w14:val="tx1"/>
            </w14:solidFill>
          </w14:textFill>
        </w:rPr>
        <w:t>因承包人项目经理不称职，发包人要求调换而未及时调换的，视为承包人违约，发包人有权上报建设行政主管部门并报有关规规定处罚</w:t>
      </w:r>
      <w:r>
        <w:rPr>
          <w:rFonts w:hint="eastAsia" w:ascii="宋体" w:hAnsi="宋体"/>
          <w:color w:val="000000" w:themeColor="text1"/>
          <w:szCs w:val="21"/>
          <w:highlight w:val="none"/>
          <w14:textFill>
            <w14:solidFill>
              <w14:schemeClr w14:val="tx1"/>
            </w14:solidFill>
          </w14:textFill>
        </w:rPr>
        <w:t>。</w:t>
      </w:r>
    </w:p>
    <w:p w14:paraId="43587526">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13" w:name="_Toc166155239"/>
      <w:bookmarkStart w:id="514" w:name="_Toc217642309"/>
      <w:bookmarkStart w:id="515" w:name="_Toc6682"/>
      <w:r>
        <w:rPr>
          <w:rFonts w:hint="eastAsia" w:ascii="黑体" w:hAnsi="黑体"/>
          <w:b/>
          <w:bCs/>
          <w:color w:val="000000" w:themeColor="text1"/>
          <w:sz w:val="32"/>
          <w:szCs w:val="32"/>
          <w:highlight w:val="none"/>
          <w14:textFill>
            <w14:solidFill>
              <w14:schemeClr w14:val="tx1"/>
            </w14:solidFill>
          </w14:textFill>
        </w:rPr>
        <w:t>3.3承包人人员</w:t>
      </w:r>
      <w:bookmarkEnd w:id="513"/>
      <w:bookmarkEnd w:id="514"/>
      <w:bookmarkEnd w:id="515"/>
    </w:p>
    <w:p w14:paraId="5410D6F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3.3.1承包人提交项目管理机构及施工现场管理人员安排报告（格式见合同附件</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）的期限：</w:t>
      </w:r>
      <w:r>
        <w:rPr>
          <w:rFonts w:hint="eastAsia" w:ascii="宋体" w:hAnsi="宋体"/>
          <w:color w:val="000000" w:themeColor="text1"/>
          <w:szCs w:val="21"/>
          <w:highlight w:val="none"/>
          <w:u w:val="single"/>
          <w14:textFill>
            <w14:solidFill>
              <w14:schemeClr w14:val="tx1"/>
            </w14:solidFill>
          </w14:textFill>
        </w:rPr>
        <w:t>拟投入本项目管理机构及施工现场管理人员必须与承包人竞标时所承诺的人员一致，开工前7个工作日提交</w:t>
      </w:r>
      <w:r>
        <w:rPr>
          <w:rFonts w:hint="eastAsia" w:ascii="宋体" w:hAnsi="宋体"/>
          <w:color w:val="000000" w:themeColor="text1"/>
          <w:szCs w:val="21"/>
          <w:highlight w:val="none"/>
          <w14:textFill>
            <w14:solidFill>
              <w14:schemeClr w14:val="tx1"/>
            </w14:solidFill>
          </w14:textFill>
        </w:rPr>
        <w:t>。</w:t>
      </w:r>
    </w:p>
    <w:p w14:paraId="77FBB67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3.3.3承包人无正当理由拒绝撤换主要施工管理人员的违约责任：</w:t>
      </w:r>
      <w:r>
        <w:rPr>
          <w:rFonts w:hint="eastAsia" w:ascii="宋体" w:hAnsi="宋体"/>
          <w:color w:val="000000" w:themeColor="text1"/>
          <w:szCs w:val="21"/>
          <w:highlight w:val="none"/>
          <w:u w:val="single"/>
          <w14:textFill>
            <w14:solidFill>
              <w14:schemeClr w14:val="tx1"/>
            </w14:solidFill>
          </w14:textFill>
        </w:rPr>
        <w:t>因承包人主要施工管理人员不称职，发包人要求调换而无正当理由拒绝撤换或未及时调换的，视为承包人违约，必须向发包人交纳处罚金，处罚标准：技术负责人500.00元/人•次（人民币）；专业工程师200.00元/人•次（人民币）</w:t>
      </w:r>
      <w:r>
        <w:rPr>
          <w:rFonts w:hint="eastAsia" w:ascii="宋体" w:hAnsi="宋体"/>
          <w:color w:val="000000" w:themeColor="text1"/>
          <w:szCs w:val="21"/>
          <w:highlight w:val="none"/>
          <w14:textFill>
            <w14:solidFill>
              <w14:schemeClr w14:val="tx1"/>
            </w14:solidFill>
          </w14:textFill>
        </w:rPr>
        <w:t>。</w:t>
      </w:r>
    </w:p>
    <w:p w14:paraId="2C778BA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3.3.4承包人主要施工管理人员离开施工现场的批准要求：</w:t>
      </w:r>
      <w:r>
        <w:rPr>
          <w:rFonts w:hint="eastAsia" w:ascii="宋体" w:hAnsi="宋体"/>
          <w:color w:val="000000" w:themeColor="text1"/>
          <w:szCs w:val="21"/>
          <w:highlight w:val="none"/>
          <w:u w:val="single"/>
          <w14:textFill>
            <w14:solidFill>
              <w14:schemeClr w14:val="tx1"/>
            </w14:solidFill>
          </w14:textFill>
        </w:rPr>
        <w:t>经项目业主批准同意方能离开</w:t>
      </w:r>
      <w:r>
        <w:rPr>
          <w:rFonts w:hint="eastAsia" w:ascii="宋体" w:hAnsi="宋体"/>
          <w:color w:val="000000" w:themeColor="text1"/>
          <w:szCs w:val="21"/>
          <w:highlight w:val="none"/>
          <w14:textFill>
            <w14:solidFill>
              <w14:schemeClr w14:val="tx1"/>
            </w14:solidFill>
          </w14:textFill>
        </w:rPr>
        <w:t>。</w:t>
      </w:r>
    </w:p>
    <w:p w14:paraId="0656681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3.3.5承包人擅自更换主要施工管理人员的违约责任：</w:t>
      </w:r>
      <w:r>
        <w:rPr>
          <w:rFonts w:hint="eastAsia" w:ascii="宋体" w:hAnsi="宋体"/>
          <w:color w:val="000000" w:themeColor="text1"/>
          <w:szCs w:val="21"/>
          <w:highlight w:val="none"/>
          <w:u w:val="single"/>
          <w14:textFill>
            <w14:solidFill>
              <w14:schemeClr w14:val="tx1"/>
            </w14:solidFill>
          </w14:textFill>
        </w:rPr>
        <w:t>项目技术负责人、专职安全员及其承诺的其它在场管理人员未经发包人书面同意不准擅自更换，擅自更换项目技术负责人处500元/人•次（人民币）违约金；擅自更换专职安全员处300元/人•次（人民币）违约金；擅自更换其它在场管理人员处200元/人•次（人民币）违约金</w:t>
      </w:r>
      <w:r>
        <w:rPr>
          <w:rFonts w:hint="eastAsia" w:ascii="宋体" w:hAnsi="宋体"/>
          <w:color w:val="000000" w:themeColor="text1"/>
          <w:szCs w:val="21"/>
          <w:highlight w:val="none"/>
          <w14:textFill>
            <w14:solidFill>
              <w14:schemeClr w14:val="tx1"/>
            </w14:solidFill>
          </w14:textFill>
        </w:rPr>
        <w:t>。</w:t>
      </w:r>
    </w:p>
    <w:p w14:paraId="15AC3D8D">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3.3.6经发包人书面同意，承包人更换主要施工管理人员，除健康状况不能正常履职及其他不可抗力因素以外，承包人还需向发包人做出经济补偿：更换项目技术负责人的，补偿</w:t>
      </w:r>
      <w:r>
        <w:rPr>
          <w:rFonts w:ascii="宋体" w:hAnsi="宋体"/>
          <w:color w:val="000000" w:themeColor="text1"/>
          <w:szCs w:val="21"/>
          <w:highlight w:val="none"/>
          <w:u w:val="single"/>
          <w14:textFill>
            <w14:solidFill>
              <w14:schemeClr w14:val="tx1"/>
            </w14:solidFill>
          </w14:textFill>
        </w:rPr>
        <w:t>200</w:t>
      </w:r>
      <w:r>
        <w:rPr>
          <w:rFonts w:hint="eastAsia" w:ascii="宋体" w:hAnsi="宋体"/>
          <w:color w:val="000000" w:themeColor="text1"/>
          <w:szCs w:val="21"/>
          <w:highlight w:val="none"/>
          <w:u w:val="single"/>
          <w14:textFill>
            <w14:solidFill>
              <w14:schemeClr w14:val="tx1"/>
            </w14:solidFill>
          </w14:textFill>
        </w:rPr>
        <w:t>元/人•次；更换专职安全生产管理人员的，补偿</w:t>
      </w:r>
      <w:r>
        <w:rPr>
          <w:rFonts w:ascii="宋体" w:hAnsi="宋体"/>
          <w:color w:val="000000" w:themeColor="text1"/>
          <w:szCs w:val="21"/>
          <w:highlight w:val="none"/>
          <w:u w:val="single"/>
          <w14:textFill>
            <w14:solidFill>
              <w14:schemeClr w14:val="tx1"/>
            </w14:solidFill>
          </w14:textFill>
        </w:rPr>
        <w:t>100</w:t>
      </w:r>
      <w:r>
        <w:rPr>
          <w:rFonts w:hint="eastAsia" w:ascii="宋体" w:hAnsi="宋体"/>
          <w:color w:val="000000" w:themeColor="text1"/>
          <w:szCs w:val="21"/>
          <w:highlight w:val="none"/>
          <w:u w:val="single"/>
          <w14:textFill>
            <w14:solidFill>
              <w14:schemeClr w14:val="tx1"/>
            </w14:solidFill>
          </w14:textFill>
        </w:rPr>
        <w:t>元/人•次；更换其他在场管理人员的，补偿</w:t>
      </w:r>
      <w:r>
        <w:rPr>
          <w:rFonts w:ascii="宋体" w:hAnsi="宋体"/>
          <w:color w:val="000000" w:themeColor="text1"/>
          <w:szCs w:val="21"/>
          <w:highlight w:val="none"/>
          <w:u w:val="single"/>
          <w14:textFill>
            <w14:solidFill>
              <w14:schemeClr w14:val="tx1"/>
            </w14:solidFill>
          </w14:textFill>
        </w:rPr>
        <w:t>50</w:t>
      </w:r>
      <w:r>
        <w:rPr>
          <w:rFonts w:hint="eastAsia" w:ascii="宋体" w:hAnsi="宋体"/>
          <w:color w:val="000000" w:themeColor="text1"/>
          <w:szCs w:val="21"/>
          <w:highlight w:val="none"/>
          <w:u w:val="single"/>
          <w14:textFill>
            <w14:solidFill>
              <w14:schemeClr w14:val="tx1"/>
            </w14:solidFill>
          </w14:textFill>
        </w:rPr>
        <w:t>元/人•次。</w:t>
      </w:r>
    </w:p>
    <w:p w14:paraId="23868A8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3.3.7承包人主要施工管理人员擅自离开施工现场的违约责任：</w:t>
      </w:r>
      <w:r>
        <w:rPr>
          <w:rFonts w:hint="eastAsia" w:ascii="宋体" w:hAnsi="宋体"/>
          <w:color w:val="000000" w:themeColor="text1"/>
          <w:szCs w:val="21"/>
          <w:highlight w:val="none"/>
          <w:u w:val="single"/>
          <w14:textFill>
            <w14:solidFill>
              <w14:schemeClr w14:val="tx1"/>
            </w14:solidFill>
          </w14:textFill>
        </w:rPr>
        <w:t>未经发包人同意，项目技术负责人擅自离岗的，视为承包人违约，发包人有权上报建设行政主管部门并报有关规规定处罚；未经发包人同意，专职安全员擅自离岗的，视为承包人违约，发包人有权上报建设行政主管部门并报有关规规定处罚；其它在场管理人员擅自离岗的，视为承包人违约，发包人有权上报建设行政主管部门并报有关规定处罚</w:t>
      </w:r>
      <w:r>
        <w:rPr>
          <w:rFonts w:hint="eastAsia" w:ascii="宋体" w:hAnsi="宋体"/>
          <w:color w:val="000000" w:themeColor="text1"/>
          <w:szCs w:val="21"/>
          <w:highlight w:val="none"/>
          <w14:textFill>
            <w14:solidFill>
              <w14:schemeClr w14:val="tx1"/>
            </w14:solidFill>
          </w14:textFill>
        </w:rPr>
        <w:t>。</w:t>
      </w:r>
    </w:p>
    <w:p w14:paraId="06F2D50F">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16" w:name="_Toc166155240"/>
      <w:bookmarkStart w:id="517" w:name="_Toc217642310"/>
      <w:bookmarkStart w:id="518" w:name="_Toc25156"/>
      <w:r>
        <w:rPr>
          <w:rFonts w:hint="eastAsia" w:ascii="黑体" w:hAnsi="黑体"/>
          <w:b/>
          <w:bCs/>
          <w:color w:val="000000" w:themeColor="text1"/>
          <w:sz w:val="32"/>
          <w:szCs w:val="32"/>
          <w:highlight w:val="none"/>
          <w14:textFill>
            <w14:solidFill>
              <w14:schemeClr w14:val="tx1"/>
            </w14:solidFill>
          </w14:textFill>
        </w:rPr>
        <w:t>3.5分包</w:t>
      </w:r>
      <w:bookmarkEnd w:id="516"/>
      <w:bookmarkEnd w:id="517"/>
      <w:bookmarkEnd w:id="518"/>
    </w:p>
    <w:p w14:paraId="5F3FF6D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3.5.1分包的一般约定</w:t>
      </w:r>
    </w:p>
    <w:p w14:paraId="6AF942C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禁止分包的工程包括：</w:t>
      </w:r>
      <w:r>
        <w:rPr>
          <w:rFonts w:hint="eastAsia" w:ascii="宋体" w:hAnsi="宋体"/>
          <w:color w:val="000000" w:themeColor="text1"/>
          <w:szCs w:val="21"/>
          <w:highlight w:val="none"/>
          <w:u w:val="single"/>
          <w14:textFill>
            <w14:solidFill>
              <w14:schemeClr w14:val="tx1"/>
            </w14:solidFill>
          </w14:textFill>
        </w:rPr>
        <w:t>本工程禁止分包</w:t>
      </w:r>
      <w:r>
        <w:rPr>
          <w:rFonts w:hint="eastAsia" w:ascii="宋体" w:hAnsi="宋体"/>
          <w:color w:val="000000" w:themeColor="text1"/>
          <w:szCs w:val="21"/>
          <w:highlight w:val="none"/>
          <w14:textFill>
            <w14:solidFill>
              <w14:schemeClr w14:val="tx1"/>
            </w14:solidFill>
          </w14:textFill>
        </w:rPr>
        <w:t>。</w:t>
      </w:r>
    </w:p>
    <w:p w14:paraId="4CFF00E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主体结构、关键性工作的范围：</w:t>
      </w:r>
      <w:r>
        <w:rPr>
          <w:rFonts w:hint="eastAsia" w:ascii="宋体" w:hAnsi="宋体"/>
          <w:color w:val="000000" w:themeColor="text1"/>
          <w:szCs w:val="21"/>
          <w:highlight w:val="none"/>
          <w:u w:val="single"/>
          <w14:textFill>
            <w14:solidFill>
              <w14:schemeClr w14:val="tx1"/>
            </w14:solidFill>
          </w14:textFill>
        </w:rPr>
        <w:t>本工程不允许违法分包</w:t>
      </w:r>
      <w:r>
        <w:rPr>
          <w:rFonts w:hint="eastAsia" w:ascii="宋体" w:hAnsi="宋体"/>
          <w:color w:val="000000" w:themeColor="text1"/>
          <w:szCs w:val="21"/>
          <w:highlight w:val="none"/>
          <w14:textFill>
            <w14:solidFill>
              <w14:schemeClr w14:val="tx1"/>
            </w14:solidFill>
          </w14:textFill>
        </w:rPr>
        <w:t>。</w:t>
      </w:r>
    </w:p>
    <w:p w14:paraId="75C3302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3.5.2分包的确定</w:t>
      </w:r>
    </w:p>
    <w:p w14:paraId="761D2AD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允许分包的专业工程包括：</w:t>
      </w:r>
      <w:r>
        <w:rPr>
          <w:rFonts w:hint="eastAsia" w:ascii="宋体" w:hAnsi="宋体"/>
          <w:color w:val="000000" w:themeColor="text1"/>
          <w:szCs w:val="21"/>
          <w:highlight w:val="none"/>
          <w:u w:val="single"/>
          <w14:textFill>
            <w14:solidFill>
              <w14:schemeClr w14:val="tx1"/>
            </w14:solidFill>
          </w14:textFill>
        </w:rPr>
        <w:t>所需分包的工程需经过发包人书面同意</w:t>
      </w:r>
      <w:r>
        <w:rPr>
          <w:rFonts w:hint="eastAsia" w:ascii="宋体" w:hAnsi="宋体"/>
          <w:color w:val="000000" w:themeColor="text1"/>
          <w:szCs w:val="21"/>
          <w:highlight w:val="none"/>
          <w14:textFill>
            <w14:solidFill>
              <w14:schemeClr w14:val="tx1"/>
            </w14:solidFill>
          </w14:textFill>
        </w:rPr>
        <w:t>。</w:t>
      </w:r>
    </w:p>
    <w:p w14:paraId="1B2C004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其他关于分包的约定：</w:t>
      </w:r>
    </w:p>
    <w:p w14:paraId="6BA5831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2638029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（2）在相关分包合同签订并报送有关建设行政主管部门备案后7天内，承包人应当将一份副本提交给监理人，承包人应保障分包工作不得再次分包。</w:t>
      </w:r>
    </w:p>
    <w:p w14:paraId="1CFB27F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（3）未经发包人和监理人审批同意的分包工程和分包人，发包人有权拒绝验收分包工程和支付相应款项，由此引起的发包人费用增加和（或）延误的工期由承包人承担。</w:t>
      </w:r>
    </w:p>
    <w:p w14:paraId="602851A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（4）承包人有以下情况之一者，发包人有权解除合同：</w:t>
      </w:r>
    </w:p>
    <w:p w14:paraId="32C0FDC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①个人承包工程，包括本人单位及外单位人员承包，发包人不承认其个人拥有任何资质等级及营业许可资格。</w:t>
      </w:r>
    </w:p>
    <w:p w14:paraId="7BE179E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②几个人联合承包工程，就地组织暗分包队伍，不具备完成本工程的技术、机械能力，被发包人判定为没有能力履行的承包人。</w:t>
      </w:r>
    </w:p>
    <w:p w14:paraId="3B237EE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③就地转包全部的工程，以谋取高额转让费、管理费的承包人。</w:t>
      </w:r>
    </w:p>
    <w:p w14:paraId="1E186C6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④承包人有部分分包现象（其中包括冒充承包人下属单位的挂勾单位，凭口头协议参与施工的分包人及其他暗分包个体户），一经发现核实，发包人将采取驱逐该暗分包人措施。</w:t>
      </w:r>
    </w:p>
    <w:p w14:paraId="54F82EB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3.5.4分包合同价款</w:t>
      </w:r>
    </w:p>
    <w:p w14:paraId="293C3AD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关于分包合同价款支付的约定：</w:t>
      </w:r>
      <w:r>
        <w:rPr>
          <w:rFonts w:hint="eastAsia" w:ascii="宋体" w:hAnsi="宋体"/>
          <w:color w:val="000000" w:themeColor="text1"/>
          <w:szCs w:val="21"/>
          <w:highlight w:val="none"/>
          <w:u w:val="single"/>
          <w14:textFill>
            <w14:solidFill>
              <w14:schemeClr w14:val="tx1"/>
            </w14:solidFill>
          </w14:textFill>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r>
        <w:rPr>
          <w:rFonts w:hint="eastAsia" w:ascii="宋体" w:hAnsi="宋体"/>
          <w:color w:val="000000" w:themeColor="text1"/>
          <w:szCs w:val="21"/>
          <w:highlight w:val="none"/>
          <w14:textFill>
            <w14:solidFill>
              <w14:schemeClr w14:val="tx1"/>
            </w14:solidFill>
          </w14:textFill>
        </w:rPr>
        <w:t>。</w:t>
      </w:r>
    </w:p>
    <w:p w14:paraId="53A4C55F">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19" w:name="_Toc9128"/>
      <w:bookmarkStart w:id="520" w:name="_Toc166155241"/>
      <w:bookmarkStart w:id="521" w:name="_Toc217642311"/>
      <w:r>
        <w:rPr>
          <w:rFonts w:hint="eastAsia" w:ascii="黑体" w:hAnsi="黑体"/>
          <w:b/>
          <w:bCs/>
          <w:color w:val="000000" w:themeColor="text1"/>
          <w:sz w:val="32"/>
          <w:szCs w:val="32"/>
          <w:highlight w:val="none"/>
          <w14:textFill>
            <w14:solidFill>
              <w14:schemeClr w14:val="tx1"/>
            </w14:solidFill>
          </w14:textFill>
        </w:rPr>
        <w:t>3.6工程照管与成品、半成品保护</w:t>
      </w:r>
      <w:bookmarkEnd w:id="519"/>
      <w:bookmarkEnd w:id="520"/>
      <w:bookmarkEnd w:id="521"/>
    </w:p>
    <w:p w14:paraId="4862BC2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承包人负责照管工程及工程相关的材料、工程设备的起始时间：</w:t>
      </w:r>
      <w:r>
        <w:rPr>
          <w:rFonts w:hint="eastAsia" w:ascii="宋体" w:hAnsi="宋体"/>
          <w:color w:val="000000" w:themeColor="text1"/>
          <w:szCs w:val="21"/>
          <w:highlight w:val="none"/>
          <w:u w:val="single"/>
          <w14:textFill>
            <w14:solidFill>
              <w14:schemeClr w14:val="tx1"/>
            </w14:solidFill>
          </w14:textFill>
        </w:rPr>
        <w:t>签订合同之日起，完成工程移交之日止</w:t>
      </w:r>
      <w:r>
        <w:rPr>
          <w:rFonts w:hint="eastAsia" w:ascii="宋体" w:hAnsi="宋体"/>
          <w:color w:val="000000" w:themeColor="text1"/>
          <w:szCs w:val="21"/>
          <w:highlight w:val="none"/>
          <w14:textFill>
            <w14:solidFill>
              <w14:schemeClr w14:val="tx1"/>
            </w14:solidFill>
          </w14:textFill>
        </w:rPr>
        <w:t>。</w:t>
      </w:r>
    </w:p>
    <w:p w14:paraId="4153BF00">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22" w:name="_Toc1926"/>
      <w:bookmarkStart w:id="523" w:name="_Toc166155242"/>
      <w:bookmarkStart w:id="524" w:name="_Toc217642312"/>
      <w:r>
        <w:rPr>
          <w:rFonts w:hint="eastAsia" w:ascii="黑体" w:hAnsi="黑体"/>
          <w:b/>
          <w:bCs/>
          <w:color w:val="000000" w:themeColor="text1"/>
          <w:sz w:val="32"/>
          <w:szCs w:val="32"/>
          <w:highlight w:val="none"/>
          <w14:textFill>
            <w14:solidFill>
              <w14:schemeClr w14:val="tx1"/>
            </w14:solidFill>
          </w14:textFill>
        </w:rPr>
        <w:t>3.7履约保证金</w:t>
      </w:r>
      <w:bookmarkEnd w:id="522"/>
      <w:bookmarkEnd w:id="523"/>
      <w:bookmarkEnd w:id="524"/>
    </w:p>
    <w:p w14:paraId="7D27AAF3">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承包人提供履约担保金额及期限：</w:t>
      </w:r>
      <w:r>
        <w:rPr>
          <w:rFonts w:hint="eastAsia" w:ascii="宋体" w:hAnsi="宋体"/>
          <w:color w:val="000000" w:themeColor="text1"/>
          <w:szCs w:val="21"/>
          <w:highlight w:val="none"/>
          <w:u w:val="single"/>
          <w14:textFill>
            <w14:solidFill>
              <w14:schemeClr w14:val="tx1"/>
            </w14:solidFill>
          </w14:textFill>
        </w:rPr>
        <w:t>本项目不收取履约保证金。</w:t>
      </w:r>
    </w:p>
    <w:p w14:paraId="33090C7A">
      <w:pPr>
        <w:keepNext/>
        <w:keepLines/>
        <w:spacing w:before="260" w:after="260" w:line="412" w:lineRule="auto"/>
        <w:outlineLvl w:val="1"/>
        <w:rPr>
          <w:rFonts w:ascii="黑体" w:hAnsi="黑体" w:eastAsia="黑体"/>
          <w:b/>
          <w:color w:val="000000" w:themeColor="text1"/>
          <w:sz w:val="32"/>
          <w:szCs w:val="20"/>
          <w:highlight w:val="none"/>
          <w14:textFill>
            <w14:solidFill>
              <w14:schemeClr w14:val="tx1"/>
            </w14:solidFill>
          </w14:textFill>
        </w:rPr>
      </w:pPr>
      <w:bookmarkStart w:id="525" w:name="_Toc166155243"/>
      <w:bookmarkStart w:id="526" w:name="_Toc217642313"/>
      <w:bookmarkStart w:id="527" w:name="_Toc17082"/>
      <w:r>
        <w:rPr>
          <w:rFonts w:hint="eastAsia" w:ascii="黑体" w:hAnsi="黑体" w:eastAsia="黑体"/>
          <w:b/>
          <w:color w:val="000000" w:themeColor="text1"/>
          <w:sz w:val="32"/>
          <w:szCs w:val="20"/>
          <w:highlight w:val="none"/>
          <w14:textFill>
            <w14:solidFill>
              <w14:schemeClr w14:val="tx1"/>
            </w14:solidFill>
          </w14:textFill>
        </w:rPr>
        <w:t>4.监理人</w:t>
      </w:r>
      <w:bookmarkEnd w:id="525"/>
      <w:bookmarkEnd w:id="526"/>
      <w:bookmarkEnd w:id="527"/>
    </w:p>
    <w:p w14:paraId="6E0FC5CF">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28" w:name="_Toc32738"/>
      <w:bookmarkStart w:id="529" w:name="_Toc166155244"/>
      <w:bookmarkStart w:id="530" w:name="_Toc217642314"/>
      <w:r>
        <w:rPr>
          <w:rFonts w:hint="eastAsia" w:ascii="黑体" w:hAnsi="黑体"/>
          <w:b/>
          <w:bCs/>
          <w:color w:val="000000" w:themeColor="text1"/>
          <w:sz w:val="32"/>
          <w:szCs w:val="32"/>
          <w:highlight w:val="none"/>
          <w14:textFill>
            <w14:solidFill>
              <w14:schemeClr w14:val="tx1"/>
            </w14:solidFill>
          </w14:textFill>
        </w:rPr>
        <w:t>4.1监理人的一般规定</w:t>
      </w:r>
      <w:bookmarkEnd w:id="528"/>
      <w:bookmarkEnd w:id="529"/>
      <w:bookmarkEnd w:id="530"/>
    </w:p>
    <w:p w14:paraId="7C54B0C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关于监理人的监理内容：</w:t>
      </w:r>
      <w:r>
        <w:rPr>
          <w:rFonts w:hint="eastAsia" w:ascii="宋体" w:hAnsi="宋体"/>
          <w:color w:val="000000" w:themeColor="text1"/>
          <w:szCs w:val="21"/>
          <w:highlight w:val="none"/>
          <w:u w:val="single"/>
          <w14:textFill>
            <w14:solidFill>
              <w14:schemeClr w14:val="tx1"/>
            </w14:solidFill>
          </w14:textFill>
        </w:rPr>
        <w:t>质量、进度、投资控制；合同管理、信息管理、安全管理；项目有关单位的协调。具体以监理合同约定为准</w:t>
      </w:r>
      <w:r>
        <w:rPr>
          <w:rFonts w:hint="eastAsia" w:ascii="宋体" w:hAnsi="宋体"/>
          <w:color w:val="000000" w:themeColor="text1"/>
          <w:szCs w:val="21"/>
          <w:highlight w:val="none"/>
          <w14:textFill>
            <w14:solidFill>
              <w14:schemeClr w14:val="tx1"/>
            </w14:solidFill>
          </w14:textFill>
        </w:rPr>
        <w:t>。</w:t>
      </w:r>
    </w:p>
    <w:p w14:paraId="55BAEE7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关于监理人的监理权限：</w:t>
      </w:r>
      <w:r>
        <w:rPr>
          <w:rFonts w:hint="eastAsia" w:ascii="宋体" w:hAnsi="宋体"/>
          <w:color w:val="000000" w:themeColor="text1"/>
          <w:szCs w:val="21"/>
          <w:highlight w:val="none"/>
          <w:u w:val="single"/>
          <w14:textFill>
            <w14:solidFill>
              <w14:schemeClr w14:val="tx1"/>
            </w14:solidFill>
          </w14:textFill>
        </w:rPr>
        <w:t>对施工中的质量、进度、安全、投资进行监督控制，收集整理与施工有关的信息，协助发包人处理与施工相关的问题；对于涉及设计、工期、造价等变更文件的确认，须由发包人盖章及项目现场代表、总监理工程师签字后方能生效</w:t>
      </w:r>
      <w:r>
        <w:rPr>
          <w:rFonts w:hint="eastAsia" w:ascii="宋体" w:hAnsi="宋体"/>
          <w:color w:val="000000" w:themeColor="text1"/>
          <w:szCs w:val="21"/>
          <w:highlight w:val="none"/>
          <w14:textFill>
            <w14:solidFill>
              <w14:schemeClr w14:val="tx1"/>
            </w14:solidFill>
          </w14:textFill>
        </w:rPr>
        <w:t>。</w:t>
      </w:r>
    </w:p>
    <w:p w14:paraId="1D2ECB5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关于监理人在施工现场的办公场所、生活场所的提供和费用承担的约定：</w:t>
      </w:r>
      <w:r>
        <w:rPr>
          <w:rFonts w:hint="eastAsia" w:ascii="宋体" w:hAnsi="宋体"/>
          <w:color w:val="000000" w:themeColor="text1"/>
          <w:szCs w:val="21"/>
          <w:highlight w:val="none"/>
          <w:u w:val="single"/>
          <w14:textFill>
            <w14:solidFill>
              <w14:schemeClr w14:val="tx1"/>
            </w14:solidFill>
          </w14:textFill>
        </w:rPr>
        <w:t>监理人进场前提供经过与发包人、承包人协商认可的施工现场办公、住宿场所的需用计划给承包人，承包人根据计划提供且承担所发生的费用</w:t>
      </w:r>
      <w:r>
        <w:rPr>
          <w:rFonts w:hint="eastAsia" w:ascii="宋体" w:hAnsi="宋体"/>
          <w:color w:val="000000" w:themeColor="text1"/>
          <w:szCs w:val="21"/>
          <w:highlight w:val="none"/>
          <w14:textFill>
            <w14:solidFill>
              <w14:schemeClr w14:val="tx1"/>
            </w14:solidFill>
          </w14:textFill>
        </w:rPr>
        <w:t>。</w:t>
      </w:r>
    </w:p>
    <w:p w14:paraId="53BF4DA3">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31" w:name="_Toc217642315"/>
      <w:bookmarkStart w:id="532" w:name="_Toc166155245"/>
      <w:bookmarkStart w:id="533" w:name="_Toc21138"/>
      <w:r>
        <w:rPr>
          <w:rFonts w:hint="eastAsia" w:ascii="黑体" w:hAnsi="黑体"/>
          <w:b/>
          <w:bCs/>
          <w:color w:val="000000" w:themeColor="text1"/>
          <w:sz w:val="32"/>
          <w:szCs w:val="32"/>
          <w:highlight w:val="none"/>
          <w14:textFill>
            <w14:solidFill>
              <w14:schemeClr w14:val="tx1"/>
            </w14:solidFill>
          </w14:textFill>
        </w:rPr>
        <w:t>4.2监理人员</w:t>
      </w:r>
      <w:bookmarkEnd w:id="531"/>
      <w:bookmarkEnd w:id="532"/>
      <w:bookmarkEnd w:id="533"/>
    </w:p>
    <w:p w14:paraId="685BAF9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总监理工程师：</w:t>
      </w:r>
    </w:p>
    <w:p w14:paraId="0960569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姓名：</w:t>
      </w:r>
      <w:r>
        <w:rPr>
          <w:rFonts w:ascii="宋体" w:hAnsi="宋体"/>
          <w:b/>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w:t>
      </w:r>
    </w:p>
    <w:p w14:paraId="198E055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职务：</w:t>
      </w:r>
      <w:r>
        <w:rPr>
          <w:rFonts w:ascii="宋体" w:hAnsi="宋体"/>
          <w:b/>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w:t>
      </w:r>
    </w:p>
    <w:p w14:paraId="4E74FE4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监理工程师注册证书号：</w:t>
      </w:r>
      <w:r>
        <w:rPr>
          <w:rFonts w:ascii="宋体" w:hAnsi="宋体"/>
          <w:b/>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w:t>
      </w:r>
    </w:p>
    <w:p w14:paraId="6D91D2D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r>
        <w:rPr>
          <w:rFonts w:ascii="宋体" w:hAnsi="宋体"/>
          <w:b/>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w:t>
      </w:r>
    </w:p>
    <w:p w14:paraId="0DA2018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电子信箱：</w:t>
      </w:r>
      <w:r>
        <w:rPr>
          <w:rFonts w:ascii="宋体" w:hAnsi="宋体"/>
          <w:b/>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w:t>
      </w:r>
    </w:p>
    <w:p w14:paraId="0AD95CD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通信地址：</w:t>
      </w:r>
      <w:r>
        <w:rPr>
          <w:rFonts w:ascii="宋体" w:hAnsi="宋体"/>
          <w:b/>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w:t>
      </w:r>
    </w:p>
    <w:p w14:paraId="1BFBEF5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关于监理人的其他约定：</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p>
    <w:p w14:paraId="1FCADEB2">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34" w:name="_Toc217642316"/>
      <w:bookmarkStart w:id="535" w:name="_Toc30907"/>
      <w:bookmarkStart w:id="536" w:name="_Toc166155246"/>
      <w:r>
        <w:rPr>
          <w:rFonts w:hint="eastAsia" w:ascii="黑体" w:hAnsi="黑体"/>
          <w:b/>
          <w:bCs/>
          <w:color w:val="000000" w:themeColor="text1"/>
          <w:sz w:val="32"/>
          <w:szCs w:val="32"/>
          <w:highlight w:val="none"/>
          <w14:textFill>
            <w14:solidFill>
              <w14:schemeClr w14:val="tx1"/>
            </w14:solidFill>
          </w14:textFill>
        </w:rPr>
        <w:t>4.4商定或确定</w:t>
      </w:r>
      <w:bookmarkEnd w:id="534"/>
      <w:bookmarkEnd w:id="535"/>
      <w:bookmarkEnd w:id="536"/>
    </w:p>
    <w:p w14:paraId="4426623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在发包人和承包人不能通过协商达成一致意见时，发包人授权监理人对以下事项进行确定：</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5A0CE385">
      <w:pPr>
        <w:keepNext/>
        <w:keepLines/>
        <w:spacing w:before="260" w:after="260" w:line="412" w:lineRule="auto"/>
        <w:outlineLvl w:val="1"/>
        <w:rPr>
          <w:rFonts w:ascii="黑体" w:hAnsi="黑体" w:eastAsia="黑体"/>
          <w:b/>
          <w:color w:val="000000" w:themeColor="text1"/>
          <w:sz w:val="32"/>
          <w:szCs w:val="20"/>
          <w:highlight w:val="none"/>
          <w14:textFill>
            <w14:solidFill>
              <w14:schemeClr w14:val="tx1"/>
            </w14:solidFill>
          </w14:textFill>
        </w:rPr>
      </w:pPr>
      <w:bookmarkStart w:id="537" w:name="_Toc13700"/>
      <w:bookmarkStart w:id="538" w:name="_Toc217642317"/>
      <w:bookmarkStart w:id="539" w:name="_Toc166155247"/>
      <w:r>
        <w:rPr>
          <w:rFonts w:hint="eastAsia" w:ascii="黑体" w:hAnsi="黑体" w:eastAsia="黑体"/>
          <w:b/>
          <w:color w:val="000000" w:themeColor="text1"/>
          <w:sz w:val="32"/>
          <w:szCs w:val="20"/>
          <w:highlight w:val="none"/>
          <w14:textFill>
            <w14:solidFill>
              <w14:schemeClr w14:val="tx1"/>
            </w14:solidFill>
          </w14:textFill>
        </w:rPr>
        <w:t>5.工程质量</w:t>
      </w:r>
      <w:bookmarkEnd w:id="537"/>
      <w:bookmarkEnd w:id="538"/>
      <w:bookmarkEnd w:id="539"/>
    </w:p>
    <w:p w14:paraId="48BB3890">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40" w:name="_Toc217642318"/>
      <w:bookmarkStart w:id="541" w:name="_Toc5008"/>
      <w:bookmarkStart w:id="542" w:name="_Toc166155248"/>
      <w:r>
        <w:rPr>
          <w:rFonts w:hint="eastAsia" w:ascii="黑体" w:hAnsi="黑体"/>
          <w:b/>
          <w:bCs/>
          <w:color w:val="000000" w:themeColor="text1"/>
          <w:sz w:val="32"/>
          <w:szCs w:val="32"/>
          <w:highlight w:val="none"/>
          <w14:textFill>
            <w14:solidFill>
              <w14:schemeClr w14:val="tx1"/>
            </w14:solidFill>
          </w14:textFill>
        </w:rPr>
        <w:t>5.1质量要求</w:t>
      </w:r>
      <w:bookmarkEnd w:id="540"/>
      <w:bookmarkEnd w:id="541"/>
      <w:bookmarkEnd w:id="542"/>
    </w:p>
    <w:p w14:paraId="518A3CF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5.1.1特殊质量标准和要求：</w:t>
      </w:r>
      <w:r>
        <w:rPr>
          <w:rFonts w:hint="eastAsia" w:ascii="宋体" w:hAnsi="宋体"/>
          <w:color w:val="000000" w:themeColor="text1"/>
          <w:szCs w:val="21"/>
          <w:highlight w:val="none"/>
          <w:u w:val="single"/>
          <w14:textFill>
            <w14:solidFill>
              <w14:schemeClr w14:val="tx1"/>
            </w14:solidFill>
          </w14:textFill>
        </w:rPr>
        <w:t>严格执行广西壮族自治区住房和城乡建设厅《关于严格实行房屋建筑和市政基础设施工程质量终身责任承诺、永久性质量责任标牌、终身责任信息档案等制度的通知》（桂建管[2014]96号）和南宁市城乡建设委员会《关于落实建设工程质量终身责任，加强工程质量管理的通知》（南建质安[2014]155号）要求，落实建设工程质量终身责任</w:t>
      </w:r>
      <w:r>
        <w:rPr>
          <w:rFonts w:hint="eastAsia" w:ascii="宋体" w:hAnsi="宋体"/>
          <w:color w:val="000000" w:themeColor="text1"/>
          <w:szCs w:val="21"/>
          <w:highlight w:val="none"/>
          <w14:textFill>
            <w14:solidFill>
              <w14:schemeClr w14:val="tx1"/>
            </w14:solidFill>
          </w14:textFill>
        </w:rPr>
        <w:t>。</w:t>
      </w:r>
    </w:p>
    <w:p w14:paraId="40B727F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关于工程奖项的约定：无。</w:t>
      </w:r>
    </w:p>
    <w:p w14:paraId="1E3058BB">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43" w:name="_Toc5542"/>
      <w:bookmarkStart w:id="544" w:name="_Toc217642319"/>
      <w:bookmarkStart w:id="545" w:name="_Toc166155249"/>
      <w:r>
        <w:rPr>
          <w:rFonts w:hint="eastAsia" w:ascii="黑体" w:hAnsi="黑体"/>
          <w:b/>
          <w:bCs/>
          <w:color w:val="000000" w:themeColor="text1"/>
          <w:sz w:val="32"/>
          <w:szCs w:val="32"/>
          <w:highlight w:val="none"/>
          <w14:textFill>
            <w14:solidFill>
              <w14:schemeClr w14:val="tx1"/>
            </w14:solidFill>
          </w14:textFill>
        </w:rPr>
        <w:t>5.3隐蔽工程检查</w:t>
      </w:r>
      <w:bookmarkEnd w:id="543"/>
      <w:bookmarkEnd w:id="544"/>
      <w:bookmarkEnd w:id="545"/>
    </w:p>
    <w:p w14:paraId="5B12699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5.3.2承包人提前通知监理人隐蔽工程检查的期限的约定：工程隐蔽或中间验收前24小时以书面形式通知发包人和监理工程师验收的内容、时间、地点，承包人准备验收记录单（最好是印制的表格）由双方签证。验收合格，承包人可进行隐蔽和继续施工；验收不合格，双方商定时限内修改后按上述循序重新验收。</w:t>
      </w:r>
    </w:p>
    <w:p w14:paraId="0269277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监理人不能按时进行检查时，应提前</w:t>
      </w:r>
      <w:r>
        <w:rPr>
          <w:rFonts w:ascii="宋体" w:hAnsi="宋体"/>
          <w:color w:val="000000" w:themeColor="text1"/>
          <w:szCs w:val="21"/>
          <w:highlight w:val="none"/>
          <w:u w:val="single"/>
          <w14:textFill>
            <w14:solidFill>
              <w14:schemeClr w14:val="tx1"/>
            </w14:solidFill>
          </w14:textFill>
        </w:rPr>
        <w:t>24</w:t>
      </w:r>
      <w:r>
        <w:rPr>
          <w:rFonts w:hint="eastAsia" w:ascii="宋体" w:hAnsi="宋体"/>
          <w:color w:val="000000" w:themeColor="text1"/>
          <w:szCs w:val="21"/>
          <w:highlight w:val="none"/>
          <w14:textFill>
            <w14:solidFill>
              <w14:schemeClr w14:val="tx1"/>
            </w14:solidFill>
          </w14:textFill>
        </w:rPr>
        <w:t>小时提交书面延期要求。</w:t>
      </w:r>
    </w:p>
    <w:p w14:paraId="1C7CC68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关于延期最长不得超过：</w:t>
      </w:r>
      <w:r>
        <w:rPr>
          <w:rFonts w:ascii="宋体" w:hAnsi="宋体"/>
          <w:color w:val="000000" w:themeColor="text1"/>
          <w:szCs w:val="21"/>
          <w:highlight w:val="none"/>
          <w:u w:val="single"/>
          <w14:textFill>
            <w14:solidFill>
              <w14:schemeClr w14:val="tx1"/>
            </w14:solidFill>
          </w14:textFill>
        </w:rPr>
        <w:t>48</w:t>
      </w:r>
      <w:r>
        <w:rPr>
          <w:rFonts w:hint="eastAsia" w:ascii="宋体" w:hAnsi="宋体"/>
          <w:color w:val="000000" w:themeColor="text1"/>
          <w:szCs w:val="21"/>
          <w:highlight w:val="none"/>
          <w14:textFill>
            <w14:solidFill>
              <w14:schemeClr w14:val="tx1"/>
            </w14:solidFill>
          </w14:textFill>
        </w:rPr>
        <w:t>小时。</w:t>
      </w:r>
    </w:p>
    <w:p w14:paraId="38EBB464">
      <w:pPr>
        <w:keepNext/>
        <w:keepLines/>
        <w:spacing w:before="260" w:after="260" w:line="412" w:lineRule="auto"/>
        <w:outlineLvl w:val="1"/>
        <w:rPr>
          <w:rFonts w:ascii="黑体" w:hAnsi="黑体" w:eastAsia="黑体"/>
          <w:b/>
          <w:color w:val="000000" w:themeColor="text1"/>
          <w:sz w:val="32"/>
          <w:szCs w:val="20"/>
          <w:highlight w:val="none"/>
          <w14:textFill>
            <w14:solidFill>
              <w14:schemeClr w14:val="tx1"/>
            </w14:solidFill>
          </w14:textFill>
        </w:rPr>
      </w:pPr>
      <w:bookmarkStart w:id="546" w:name="_Toc217642320"/>
      <w:bookmarkStart w:id="547" w:name="_Toc28263"/>
      <w:bookmarkStart w:id="548" w:name="_Toc166155250"/>
      <w:r>
        <w:rPr>
          <w:rFonts w:hint="eastAsia" w:ascii="黑体" w:hAnsi="黑体" w:eastAsia="黑体"/>
          <w:b/>
          <w:color w:val="000000" w:themeColor="text1"/>
          <w:sz w:val="32"/>
          <w:szCs w:val="20"/>
          <w:highlight w:val="none"/>
          <w14:textFill>
            <w14:solidFill>
              <w14:schemeClr w14:val="tx1"/>
            </w14:solidFill>
          </w14:textFill>
        </w:rPr>
        <w:t>6.安全文明施工与环境保护</w:t>
      </w:r>
      <w:bookmarkEnd w:id="546"/>
      <w:bookmarkEnd w:id="547"/>
      <w:bookmarkEnd w:id="548"/>
    </w:p>
    <w:p w14:paraId="00E92F8E">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49" w:name="_Toc166155251"/>
      <w:bookmarkStart w:id="550" w:name="_Toc27655"/>
      <w:bookmarkStart w:id="551" w:name="_Toc217642321"/>
      <w:r>
        <w:rPr>
          <w:rFonts w:hint="eastAsia" w:ascii="黑体" w:hAnsi="黑体"/>
          <w:b/>
          <w:bCs/>
          <w:color w:val="000000" w:themeColor="text1"/>
          <w:sz w:val="32"/>
          <w:szCs w:val="32"/>
          <w:highlight w:val="none"/>
          <w14:textFill>
            <w14:solidFill>
              <w14:schemeClr w14:val="tx1"/>
            </w14:solidFill>
          </w14:textFill>
        </w:rPr>
        <w:t>6.1安全文明施工</w:t>
      </w:r>
      <w:bookmarkEnd w:id="549"/>
      <w:bookmarkEnd w:id="550"/>
      <w:bookmarkEnd w:id="551"/>
    </w:p>
    <w:p w14:paraId="3BBF875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6.1.1项目安全生产的达标目标及相应事项的约定：</w:t>
      </w:r>
      <w:r>
        <w:rPr>
          <w:rFonts w:hint="eastAsia" w:ascii="宋体" w:hAnsi="宋体"/>
          <w:color w:val="000000" w:themeColor="text1"/>
          <w:szCs w:val="21"/>
          <w:highlight w:val="none"/>
          <w:u w:val="single"/>
          <w14:textFill>
            <w14:solidFill>
              <w14:schemeClr w14:val="tx1"/>
            </w14:solidFill>
          </w14:textFill>
        </w:rPr>
        <w:t>按合同通用条款6.1.1款执行</w:t>
      </w:r>
      <w:r>
        <w:rPr>
          <w:rFonts w:hint="eastAsia" w:ascii="宋体" w:hAnsi="宋体"/>
          <w:color w:val="000000" w:themeColor="text1"/>
          <w:szCs w:val="21"/>
          <w:highlight w:val="none"/>
          <w14:textFill>
            <w14:solidFill>
              <w14:schemeClr w14:val="tx1"/>
            </w14:solidFill>
          </w14:textFill>
        </w:rPr>
        <w:t>。</w:t>
      </w:r>
    </w:p>
    <w:p w14:paraId="790A3D9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关于安全文明施工奖项的约定：</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326EA20B">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6.1.4关于治安保卫的特别约定：</w:t>
      </w:r>
      <w:r>
        <w:rPr>
          <w:rFonts w:hint="eastAsia" w:ascii="宋体" w:hAnsi="宋体"/>
          <w:color w:val="000000" w:themeColor="text1"/>
          <w:szCs w:val="21"/>
          <w:highlight w:val="none"/>
          <w:u w:val="single"/>
          <w14:textFill>
            <w14:solidFill>
              <w14:schemeClr w14:val="tx1"/>
            </w14:solidFill>
          </w14:textFill>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37A0B53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关于编制施工场地治安管理计划的约定：</w:t>
      </w:r>
      <w:r>
        <w:rPr>
          <w:rFonts w:hint="eastAsia" w:ascii="宋体" w:hAnsi="宋体"/>
          <w:color w:val="000000" w:themeColor="text1"/>
          <w:szCs w:val="21"/>
          <w:highlight w:val="none"/>
          <w:u w:val="single"/>
          <w14:textFill>
            <w14:solidFill>
              <w14:schemeClr w14:val="tx1"/>
            </w14:solidFill>
          </w14:textFill>
        </w:rPr>
        <w:t>按通用条款6.1.4执行</w:t>
      </w:r>
      <w:r>
        <w:rPr>
          <w:rFonts w:hint="eastAsia" w:ascii="宋体" w:hAnsi="宋体"/>
          <w:color w:val="000000" w:themeColor="text1"/>
          <w:szCs w:val="21"/>
          <w:highlight w:val="none"/>
          <w14:textFill>
            <w14:solidFill>
              <w14:schemeClr w14:val="tx1"/>
            </w14:solidFill>
          </w14:textFill>
        </w:rPr>
        <w:t>。</w:t>
      </w:r>
    </w:p>
    <w:p w14:paraId="7ABB8B9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6.1.5文明施工</w:t>
      </w:r>
    </w:p>
    <w:p w14:paraId="5D16538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合同当事人对文明施工的要求：</w:t>
      </w:r>
      <w:r>
        <w:rPr>
          <w:rFonts w:hint="eastAsia" w:ascii="宋体" w:hAnsi="宋体"/>
          <w:color w:val="000000" w:themeColor="text1"/>
          <w:szCs w:val="21"/>
          <w:highlight w:val="none"/>
          <w:u w:val="single"/>
          <w14:textFill>
            <w14:solidFill>
              <w14:schemeClr w14:val="tx1"/>
            </w14:solidFill>
          </w14:textFill>
        </w:rPr>
        <w:t>严格执行《中华人民共和国大气污染防治法》（主席令第三十一号）、《南宁市建设工程质量和安全生产管理办法》（南宁市人民政府令 第46号）、《南宁市建设工程质量安全标准化图集》、《南宁市建设工程施工现场管理若干规定》（南宁市人民政府令 第8号）的有关规定，与辖区卫生防疫、环卫管理部门或有合法资质资格的企业签订病媒生物消杀协议、生活垃圾清运协议、渣土密闭运输协议、在线远程监控扬尘监测协议，遵守“一口两池三包四协议”的有关规定，施工前办理排水许可证，严格执行排水许可，做好工地泥浆水、临时生活污水的排放管理，现场设置三级沉淀池及化粪池，避免生活污水及施工废水直排市政排水管网及内河。采取道路硬化、裸土覆盖（种草、绿网）、洗车出门、保洁路口、在线监测、抑尘喷淋等有效措施，确保建设工程各项安全防护、文明施工措施及其费用在工地一线按标准落实到位</w:t>
      </w:r>
      <w:r>
        <w:rPr>
          <w:rFonts w:hint="eastAsia" w:ascii="宋体" w:hAnsi="宋体"/>
          <w:color w:val="000000" w:themeColor="text1"/>
          <w:szCs w:val="21"/>
          <w:highlight w:val="none"/>
          <w14:textFill>
            <w14:solidFill>
              <w14:schemeClr w14:val="tx1"/>
            </w14:solidFill>
          </w14:textFill>
        </w:rPr>
        <w:t>。</w:t>
      </w:r>
    </w:p>
    <w:p w14:paraId="5B3DF68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6.1.6关于安全生产费总额、支付比例、支付期限、转入和结余收回的约定：</w:t>
      </w:r>
    </w:p>
    <w:p w14:paraId="15E6B1C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（1）本合同价款已包含安全文明施工费</w:t>
      </w:r>
      <w:r>
        <w:rPr>
          <w:rFonts w:ascii="宋体" w:hAnsi="宋体"/>
          <w:b/>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元。</w:t>
      </w:r>
    </w:p>
    <w:p w14:paraId="7FC2B22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（2）使用要求：专款专用。具体按</w:t>
      </w:r>
      <w:r>
        <w:rPr>
          <w:rFonts w:hint="eastAsia" w:ascii="宋体" w:hAnsi="宋体"/>
          <w:color w:val="000000" w:themeColor="text1"/>
          <w:szCs w:val="21"/>
          <w:highlight w:val="none"/>
          <w:u w:val="single"/>
          <w14:textFill>
            <w14:solidFill>
              <w14:schemeClr w14:val="tx1"/>
            </w14:solidFill>
          </w14:textFill>
        </w:rPr>
        <w:t>《广西壮族自治区建设工程安全文明施工费使用管理细则》（桂建质〔2015〕16号）</w:t>
      </w:r>
      <w:r>
        <w:rPr>
          <w:rFonts w:hint="eastAsia" w:ascii="宋体" w:hAnsi="宋体"/>
          <w:color w:val="000000" w:themeColor="text1"/>
          <w:szCs w:val="21"/>
          <w:highlight w:val="none"/>
          <w14:textFill>
            <w14:solidFill>
              <w14:schemeClr w14:val="tx1"/>
            </w14:solidFill>
          </w14:textFill>
        </w:rPr>
        <w:t>和</w:t>
      </w:r>
      <w:r>
        <w:rPr>
          <w:rFonts w:hint="eastAsia" w:ascii="宋体" w:hAnsi="宋体"/>
          <w:color w:val="000000" w:themeColor="text1"/>
          <w:szCs w:val="21"/>
          <w:highlight w:val="none"/>
          <w:u w:val="single"/>
          <w14:textFill>
            <w14:solidFill>
              <w14:schemeClr w14:val="tx1"/>
            </w14:solidFill>
          </w14:textFill>
        </w:rPr>
        <w:t>《广西壮族自治区建筑工程安全生产管理办法》（广西壮族自治区人民政府令第124号）、《南宁市建设工程施工现场管理若干规定》（南宁市人民政府令第8号）等南宁</w:t>
      </w:r>
      <w:r>
        <w:rPr>
          <w:rFonts w:hint="eastAsia" w:ascii="宋体" w:hAnsi="宋体"/>
          <w:color w:val="000000" w:themeColor="text1"/>
          <w:szCs w:val="21"/>
          <w:highlight w:val="none"/>
          <w14:textFill>
            <w14:solidFill>
              <w14:schemeClr w14:val="tx1"/>
            </w14:solidFill>
          </w14:textFill>
        </w:rPr>
        <w:t>市相关规定执行。</w:t>
      </w:r>
    </w:p>
    <w:p w14:paraId="5CD701F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（3）支付约定：在本合同签订后    个工作日内，预付安全文明施工费总额的     （30%-50%），其余部分与进度款同期支付，安全文明施工费预付款在工程进度款累计金额超过合同价的   %时开始起扣，每月从支付给承包商的工程款内按安全文明预付款占合同总价的同一百分比扣回。</w:t>
      </w:r>
    </w:p>
    <w:p w14:paraId="57E3BF8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（4）建设单位按规定将安全生产费用转入承包人设立的安全生产费用专户。</w:t>
      </w:r>
    </w:p>
    <w:p w14:paraId="7900E68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（5）工程施工完成后安全生产费用尚有结余的，结余部分由建设单位收回。</w:t>
      </w:r>
    </w:p>
    <w:p w14:paraId="0572E14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（6）承包人将安全生产费用使用情况定期报告建设单位和监理单位，并提供相应的材料接受建设行政主管部门对此事项监管。</w:t>
      </w:r>
    </w:p>
    <w:p w14:paraId="45DDF54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（7）安全生产费用专户：</w:t>
      </w:r>
    </w:p>
    <w:p w14:paraId="7E71676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账户名称：</w:t>
      </w:r>
      <w:r>
        <w:rPr>
          <w:rFonts w:ascii="宋体" w:hAnsi="宋体"/>
          <w:b/>
          <w:color w:val="000000" w:themeColor="text1"/>
          <w:szCs w:val="21"/>
          <w:highlight w:val="none"/>
          <w14:textFill>
            <w14:solidFill>
              <w14:schemeClr w14:val="tx1"/>
            </w14:solidFill>
          </w14:textFill>
        </w:rPr>
        <w:t>______</w:t>
      </w:r>
    </w:p>
    <w:p w14:paraId="3636460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纳税人识别号：</w:t>
      </w:r>
      <w:r>
        <w:rPr>
          <w:rFonts w:ascii="宋体" w:hAnsi="宋体"/>
          <w:b/>
          <w:color w:val="000000" w:themeColor="text1"/>
          <w:szCs w:val="21"/>
          <w:highlight w:val="none"/>
          <w14:textFill>
            <w14:solidFill>
              <w14:schemeClr w14:val="tx1"/>
            </w14:solidFill>
          </w14:textFill>
        </w:rPr>
        <w:t>______</w:t>
      </w:r>
    </w:p>
    <w:p w14:paraId="0EAEE9C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收款人账号：</w:t>
      </w:r>
      <w:r>
        <w:rPr>
          <w:rFonts w:ascii="宋体" w:hAnsi="宋体"/>
          <w:b/>
          <w:color w:val="000000" w:themeColor="text1"/>
          <w:szCs w:val="21"/>
          <w:highlight w:val="none"/>
          <w14:textFill>
            <w14:solidFill>
              <w14:schemeClr w14:val="tx1"/>
            </w14:solidFill>
          </w14:textFill>
        </w:rPr>
        <w:t>______</w:t>
      </w:r>
    </w:p>
    <w:p w14:paraId="0F5C527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收款人开户行：</w:t>
      </w:r>
      <w:r>
        <w:rPr>
          <w:rFonts w:ascii="宋体" w:hAnsi="宋体"/>
          <w:b/>
          <w:color w:val="000000" w:themeColor="text1"/>
          <w:szCs w:val="21"/>
          <w:highlight w:val="none"/>
          <w14:textFill>
            <w14:solidFill>
              <w14:schemeClr w14:val="tx1"/>
            </w14:solidFill>
          </w14:textFill>
        </w:rPr>
        <w:t>______</w:t>
      </w:r>
    </w:p>
    <w:p w14:paraId="25B1BF0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收款人开户行行号：</w:t>
      </w:r>
      <w:r>
        <w:rPr>
          <w:rFonts w:ascii="宋体" w:hAnsi="宋体"/>
          <w:b/>
          <w:color w:val="000000" w:themeColor="text1"/>
          <w:szCs w:val="21"/>
          <w:highlight w:val="none"/>
          <w14:textFill>
            <w14:solidFill>
              <w14:schemeClr w14:val="tx1"/>
            </w14:solidFill>
          </w14:textFill>
        </w:rPr>
        <w:t>______</w:t>
      </w:r>
    </w:p>
    <w:p w14:paraId="77D7A17B">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52" w:name="_Toc11438"/>
      <w:bookmarkStart w:id="553" w:name="_Toc217642322"/>
      <w:bookmarkStart w:id="554" w:name="_Toc166155252"/>
      <w:r>
        <w:rPr>
          <w:rFonts w:hint="eastAsia" w:ascii="黑体" w:hAnsi="黑体"/>
          <w:b/>
          <w:bCs/>
          <w:color w:val="000000" w:themeColor="text1"/>
          <w:sz w:val="32"/>
          <w:szCs w:val="32"/>
          <w:highlight w:val="none"/>
          <w14:textFill>
            <w14:solidFill>
              <w14:schemeClr w14:val="tx1"/>
            </w14:solidFill>
          </w14:textFill>
        </w:rPr>
        <w:t>6.3环境保护</w:t>
      </w:r>
      <w:bookmarkEnd w:id="552"/>
      <w:bookmarkEnd w:id="553"/>
      <w:bookmarkEnd w:id="554"/>
    </w:p>
    <w:p w14:paraId="06D2A317">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因施工需要，经发包人批准，由承包人办理有关施工场地交通、环卫和施工噪音管理等手续，费用由承包人负责。</w:t>
      </w:r>
    </w:p>
    <w:p w14:paraId="6E8C7FC2">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经过城市道路的施工车辆，必须按交警、城管、运输等部门相关规定执行。由于施工车辆造成的道路、环境等污染，其责任和费用均由承包人承担。</w:t>
      </w:r>
    </w:p>
    <w:p w14:paraId="2EA95B8C">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根据《南宁市挥发性有机物污染防治实施方案（2019-2020年）》（南环委办〔2019〕166号）文件精神，宜优先使用低VOCs含量的涂料、油漆和有机溶剂。</w:t>
      </w:r>
    </w:p>
    <w:p w14:paraId="58126DEC">
      <w:pPr>
        <w:keepNext/>
        <w:keepLines/>
        <w:spacing w:before="260" w:after="260" w:line="412" w:lineRule="auto"/>
        <w:outlineLvl w:val="1"/>
        <w:rPr>
          <w:rFonts w:ascii="黑体" w:hAnsi="黑体" w:eastAsia="黑体"/>
          <w:b/>
          <w:color w:val="000000" w:themeColor="text1"/>
          <w:sz w:val="32"/>
          <w:szCs w:val="20"/>
          <w:highlight w:val="none"/>
          <w14:textFill>
            <w14:solidFill>
              <w14:schemeClr w14:val="tx1"/>
            </w14:solidFill>
          </w14:textFill>
        </w:rPr>
      </w:pPr>
      <w:bookmarkStart w:id="555" w:name="_Toc2706"/>
      <w:bookmarkStart w:id="556" w:name="_Toc166155253"/>
      <w:bookmarkStart w:id="557" w:name="_Toc217642323"/>
      <w:r>
        <w:rPr>
          <w:rFonts w:hint="eastAsia" w:ascii="黑体" w:hAnsi="黑体" w:eastAsia="黑体"/>
          <w:b/>
          <w:color w:val="000000" w:themeColor="text1"/>
          <w:sz w:val="32"/>
          <w:szCs w:val="20"/>
          <w:highlight w:val="none"/>
          <w14:textFill>
            <w14:solidFill>
              <w14:schemeClr w14:val="tx1"/>
            </w14:solidFill>
          </w14:textFill>
        </w:rPr>
        <w:t>7.工期和进度</w:t>
      </w:r>
      <w:bookmarkEnd w:id="555"/>
      <w:bookmarkEnd w:id="556"/>
      <w:bookmarkEnd w:id="557"/>
    </w:p>
    <w:p w14:paraId="38212549">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58" w:name="_Toc166155254"/>
      <w:bookmarkStart w:id="559" w:name="_Toc27665"/>
      <w:bookmarkStart w:id="560" w:name="_Toc217642324"/>
      <w:r>
        <w:rPr>
          <w:rFonts w:hint="eastAsia" w:ascii="黑体" w:hAnsi="黑体"/>
          <w:b/>
          <w:bCs/>
          <w:color w:val="000000" w:themeColor="text1"/>
          <w:sz w:val="32"/>
          <w:szCs w:val="32"/>
          <w:highlight w:val="none"/>
          <w14:textFill>
            <w14:solidFill>
              <w14:schemeClr w14:val="tx1"/>
            </w14:solidFill>
          </w14:textFill>
        </w:rPr>
        <w:t>7.1施工组织设计</w:t>
      </w:r>
      <w:bookmarkEnd w:id="558"/>
      <w:bookmarkEnd w:id="559"/>
      <w:bookmarkEnd w:id="560"/>
    </w:p>
    <w:p w14:paraId="5B0E8B1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7.1.1合同当事人约定的施工组织设计应包括的其他内容：</w:t>
      </w:r>
      <w:r>
        <w:rPr>
          <w:rFonts w:hint="eastAsia" w:ascii="宋体" w:hAnsi="宋体"/>
          <w:color w:val="000000" w:themeColor="text1"/>
          <w:szCs w:val="21"/>
          <w:highlight w:val="none"/>
          <w:u w:val="single"/>
          <w14:textFill>
            <w14:solidFill>
              <w14:schemeClr w14:val="tx1"/>
            </w14:solidFill>
          </w14:textFill>
        </w:rPr>
        <w:t>按有关规定执行</w:t>
      </w:r>
      <w:r>
        <w:rPr>
          <w:rFonts w:hint="eastAsia" w:ascii="宋体" w:hAnsi="宋体"/>
          <w:color w:val="000000" w:themeColor="text1"/>
          <w:szCs w:val="21"/>
          <w:highlight w:val="none"/>
          <w14:textFill>
            <w14:solidFill>
              <w14:schemeClr w14:val="tx1"/>
            </w14:solidFill>
          </w14:textFill>
        </w:rPr>
        <w:t>。</w:t>
      </w:r>
    </w:p>
    <w:p w14:paraId="1FB0260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7.1.2施工组织设计的提交和修改</w:t>
      </w:r>
    </w:p>
    <w:p w14:paraId="1469C46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承包人提交详细施工组织设计的期限的约定：</w:t>
      </w:r>
      <w:r>
        <w:rPr>
          <w:rFonts w:hint="eastAsia" w:ascii="宋体" w:hAnsi="宋体"/>
          <w:color w:val="000000" w:themeColor="text1"/>
          <w:szCs w:val="21"/>
          <w:highlight w:val="none"/>
          <w:u w:val="single"/>
          <w14:textFill>
            <w14:solidFill>
              <w14:schemeClr w14:val="tx1"/>
            </w14:solidFill>
          </w14:textFill>
        </w:rPr>
        <w:t>工程开工前7个工作日内</w:t>
      </w:r>
      <w:r>
        <w:rPr>
          <w:rFonts w:hint="eastAsia" w:ascii="宋体" w:hAnsi="宋体"/>
          <w:color w:val="000000" w:themeColor="text1"/>
          <w:szCs w:val="21"/>
          <w:highlight w:val="none"/>
          <w14:textFill>
            <w14:solidFill>
              <w14:schemeClr w14:val="tx1"/>
            </w14:solidFill>
          </w14:textFill>
        </w:rPr>
        <w:t>。</w:t>
      </w:r>
    </w:p>
    <w:p w14:paraId="190ACDA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发包人和监理人在收到详细的施工组织设计后确认或提出修改意见的期限：</w:t>
      </w:r>
      <w:r>
        <w:rPr>
          <w:rFonts w:hint="eastAsia" w:ascii="宋体" w:hAnsi="宋体"/>
          <w:color w:val="000000" w:themeColor="text1"/>
          <w:szCs w:val="21"/>
          <w:highlight w:val="none"/>
          <w:u w:val="single"/>
          <w14:textFill>
            <w14:solidFill>
              <w14:schemeClr w14:val="tx1"/>
            </w14:solidFill>
          </w14:textFill>
        </w:rPr>
        <w:t>从收到承包人提供的施工组织设计（施工方案）之日起七天内予以确认，如有重大异议必须在收到上述资料之日起五天内以书面形式送达承包人，逾期不确认也不提出书面意见的，视为同意</w:t>
      </w:r>
      <w:r>
        <w:rPr>
          <w:rFonts w:hint="eastAsia" w:ascii="宋体" w:hAnsi="宋体"/>
          <w:color w:val="000000" w:themeColor="text1"/>
          <w:szCs w:val="21"/>
          <w:highlight w:val="none"/>
          <w14:textFill>
            <w14:solidFill>
              <w14:schemeClr w14:val="tx1"/>
            </w14:solidFill>
          </w14:textFill>
        </w:rPr>
        <w:t>。</w:t>
      </w:r>
    </w:p>
    <w:p w14:paraId="1D034473">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61" w:name="_Toc1537"/>
      <w:bookmarkStart w:id="562" w:name="_Toc217642325"/>
      <w:bookmarkStart w:id="563" w:name="_Toc166155255"/>
      <w:r>
        <w:rPr>
          <w:rFonts w:hint="eastAsia" w:ascii="黑体" w:hAnsi="黑体"/>
          <w:b/>
          <w:bCs/>
          <w:color w:val="000000" w:themeColor="text1"/>
          <w:sz w:val="32"/>
          <w:szCs w:val="32"/>
          <w:highlight w:val="none"/>
          <w14:textFill>
            <w14:solidFill>
              <w14:schemeClr w14:val="tx1"/>
            </w14:solidFill>
          </w14:textFill>
        </w:rPr>
        <w:t>7.2施工进度计划</w:t>
      </w:r>
      <w:bookmarkEnd w:id="561"/>
      <w:bookmarkEnd w:id="562"/>
      <w:bookmarkEnd w:id="563"/>
    </w:p>
    <w:p w14:paraId="1671235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7.2.2施工进度计划的修订</w:t>
      </w:r>
    </w:p>
    <w:p w14:paraId="61AE6C9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发包人和监理人在收到修订的施工进度计划后确认或提出修改意见的期限：</w:t>
      </w:r>
      <w:r>
        <w:rPr>
          <w:rFonts w:hint="eastAsia" w:ascii="宋体" w:hAnsi="宋体"/>
          <w:color w:val="000000" w:themeColor="text1"/>
          <w:szCs w:val="21"/>
          <w:highlight w:val="none"/>
          <w:u w:val="single"/>
          <w14:textFill>
            <w14:solidFill>
              <w14:schemeClr w14:val="tx1"/>
            </w14:solidFill>
          </w14:textFill>
        </w:rPr>
        <w:t>收到之后3 个工作日内</w:t>
      </w:r>
      <w:r>
        <w:rPr>
          <w:rFonts w:hint="eastAsia" w:ascii="宋体" w:hAnsi="宋体"/>
          <w:color w:val="000000" w:themeColor="text1"/>
          <w:szCs w:val="21"/>
          <w:highlight w:val="none"/>
          <w14:textFill>
            <w14:solidFill>
              <w14:schemeClr w14:val="tx1"/>
            </w14:solidFill>
          </w14:textFill>
        </w:rPr>
        <w:t>。</w:t>
      </w:r>
    </w:p>
    <w:p w14:paraId="240A7278">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64" w:name="_Toc166155256"/>
      <w:bookmarkStart w:id="565" w:name="_Toc11541"/>
      <w:bookmarkStart w:id="566" w:name="_Toc217642326"/>
      <w:r>
        <w:rPr>
          <w:rFonts w:hint="eastAsia" w:ascii="黑体" w:hAnsi="黑体"/>
          <w:b/>
          <w:bCs/>
          <w:color w:val="000000" w:themeColor="text1"/>
          <w:sz w:val="32"/>
          <w:szCs w:val="32"/>
          <w:highlight w:val="none"/>
          <w14:textFill>
            <w14:solidFill>
              <w14:schemeClr w14:val="tx1"/>
            </w14:solidFill>
          </w14:textFill>
        </w:rPr>
        <w:t>7.3开工</w:t>
      </w:r>
      <w:bookmarkEnd w:id="564"/>
      <w:bookmarkEnd w:id="565"/>
      <w:bookmarkEnd w:id="566"/>
    </w:p>
    <w:p w14:paraId="6AB8CDA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7.3.1开工准备</w:t>
      </w:r>
    </w:p>
    <w:p w14:paraId="4065F39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关于承包人提交工程开工报审表的期限：</w:t>
      </w:r>
      <w:r>
        <w:rPr>
          <w:rFonts w:hint="eastAsia" w:ascii="宋体" w:hAnsi="宋体"/>
          <w:color w:val="000000" w:themeColor="text1"/>
          <w:szCs w:val="21"/>
          <w:highlight w:val="none"/>
          <w:u w:val="single"/>
          <w14:textFill>
            <w14:solidFill>
              <w14:schemeClr w14:val="tx1"/>
            </w14:solidFill>
          </w14:textFill>
        </w:rPr>
        <w:t>承包人在图纸会审和设计交底之日起7个工作日内报送</w:t>
      </w:r>
      <w:r>
        <w:rPr>
          <w:rFonts w:hint="eastAsia" w:ascii="宋体" w:hAnsi="宋体"/>
          <w:color w:val="000000" w:themeColor="text1"/>
          <w:szCs w:val="21"/>
          <w:highlight w:val="none"/>
          <w14:textFill>
            <w14:solidFill>
              <w14:schemeClr w14:val="tx1"/>
            </w14:solidFill>
          </w14:textFill>
        </w:rPr>
        <w:t>。</w:t>
      </w:r>
    </w:p>
    <w:p w14:paraId="1350415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关于发包人应完成的其他开工准备工作及期限：</w:t>
      </w:r>
      <w:r>
        <w:rPr>
          <w:rFonts w:hint="eastAsia" w:ascii="宋体" w:hAnsi="宋体"/>
          <w:color w:val="000000" w:themeColor="text1"/>
          <w:szCs w:val="21"/>
          <w:highlight w:val="none"/>
          <w:u w:val="single"/>
          <w14:textFill>
            <w14:solidFill>
              <w14:schemeClr w14:val="tx1"/>
            </w14:solidFill>
          </w14:textFill>
        </w:rPr>
        <w:t>签订合同后14天内</w:t>
      </w:r>
      <w:r>
        <w:rPr>
          <w:rFonts w:hint="eastAsia" w:ascii="宋体" w:hAnsi="宋体"/>
          <w:color w:val="000000" w:themeColor="text1"/>
          <w:szCs w:val="21"/>
          <w:highlight w:val="none"/>
          <w14:textFill>
            <w14:solidFill>
              <w14:schemeClr w14:val="tx1"/>
            </w14:solidFill>
          </w14:textFill>
        </w:rPr>
        <w:t>。</w:t>
      </w:r>
    </w:p>
    <w:p w14:paraId="7C4495C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关于承包人应完成的其他开工准备工作及期限：</w:t>
      </w:r>
      <w:r>
        <w:rPr>
          <w:rFonts w:hint="eastAsia" w:ascii="宋体" w:hAnsi="宋体"/>
          <w:color w:val="000000" w:themeColor="text1"/>
          <w:szCs w:val="21"/>
          <w:highlight w:val="none"/>
          <w:u w:val="single"/>
          <w14:textFill>
            <w14:solidFill>
              <w14:schemeClr w14:val="tx1"/>
            </w14:solidFill>
          </w14:textFill>
        </w:rPr>
        <w:t>签订合同后14天内</w:t>
      </w:r>
      <w:r>
        <w:rPr>
          <w:rFonts w:hint="eastAsia" w:ascii="宋体" w:hAnsi="宋体"/>
          <w:color w:val="000000" w:themeColor="text1"/>
          <w:szCs w:val="21"/>
          <w:highlight w:val="none"/>
          <w14:textFill>
            <w14:solidFill>
              <w14:schemeClr w14:val="tx1"/>
            </w14:solidFill>
          </w14:textFill>
        </w:rPr>
        <w:t>。</w:t>
      </w:r>
    </w:p>
    <w:p w14:paraId="2D7D661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7.3.2开工通知</w:t>
      </w:r>
    </w:p>
    <w:p w14:paraId="1BF486E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因发包人原因造成监理人未能在计划开工日期之日起</w:t>
      </w:r>
      <w:r>
        <w:rPr>
          <w:rFonts w:ascii="宋体" w:hAnsi="宋体"/>
          <w:color w:val="000000" w:themeColor="text1"/>
          <w:szCs w:val="21"/>
          <w:highlight w:val="none"/>
          <w:u w:val="single"/>
          <w14:textFill>
            <w14:solidFill>
              <w14:schemeClr w14:val="tx1"/>
            </w14:solidFill>
          </w14:textFill>
        </w:rPr>
        <w:t>90</w:t>
      </w:r>
      <w:r>
        <w:rPr>
          <w:rFonts w:hint="eastAsia" w:ascii="宋体" w:hAnsi="宋体"/>
          <w:color w:val="000000" w:themeColor="text1"/>
          <w:szCs w:val="21"/>
          <w:highlight w:val="none"/>
          <w14:textFill>
            <w14:solidFill>
              <w14:schemeClr w14:val="tx1"/>
            </w14:solidFill>
          </w14:textFill>
        </w:rPr>
        <w:t>天内发出开工通知的，承包人有权提出价格调整要求，或者解除合同。</w:t>
      </w:r>
    </w:p>
    <w:p w14:paraId="75951FA0">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67" w:name="_Toc2202"/>
      <w:bookmarkStart w:id="568" w:name="_Toc166155257"/>
      <w:bookmarkStart w:id="569" w:name="_Toc217642327"/>
      <w:r>
        <w:rPr>
          <w:rFonts w:hint="eastAsia" w:ascii="黑体" w:hAnsi="黑体"/>
          <w:b/>
          <w:bCs/>
          <w:color w:val="000000" w:themeColor="text1"/>
          <w:sz w:val="32"/>
          <w:szCs w:val="32"/>
          <w:highlight w:val="none"/>
          <w14:textFill>
            <w14:solidFill>
              <w14:schemeClr w14:val="tx1"/>
            </w14:solidFill>
          </w14:textFill>
        </w:rPr>
        <w:t>7.4测量放线</w:t>
      </w:r>
      <w:bookmarkEnd w:id="567"/>
      <w:bookmarkEnd w:id="568"/>
      <w:bookmarkEnd w:id="569"/>
    </w:p>
    <w:p w14:paraId="0FC4F26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7.4.1发包人通过监理人向承包人提供测量基准点、基准线和水准点及其书面资料的期限：</w:t>
      </w:r>
      <w:r>
        <w:rPr>
          <w:rFonts w:hint="eastAsia" w:ascii="宋体" w:hAnsi="宋体"/>
          <w:color w:val="000000" w:themeColor="text1"/>
          <w:szCs w:val="21"/>
          <w:highlight w:val="none"/>
          <w:u w:val="single"/>
          <w14:textFill>
            <w14:solidFill>
              <w14:schemeClr w14:val="tx1"/>
            </w14:solidFill>
          </w14:textFill>
        </w:rPr>
        <w:t>《开工通知》标明的开工日期前七天内，以书面形式交给承包人，双方现场进行交验</w:t>
      </w:r>
      <w:r>
        <w:rPr>
          <w:rFonts w:hint="eastAsia" w:ascii="宋体" w:hAnsi="宋体"/>
          <w:color w:val="000000" w:themeColor="text1"/>
          <w:szCs w:val="21"/>
          <w:highlight w:val="none"/>
          <w14:textFill>
            <w14:solidFill>
              <w14:schemeClr w14:val="tx1"/>
            </w14:solidFill>
          </w14:textFill>
        </w:rPr>
        <w:t>。</w:t>
      </w:r>
    </w:p>
    <w:p w14:paraId="6672C95B">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70" w:name="_Toc166155258"/>
      <w:bookmarkStart w:id="571" w:name="_Toc217642328"/>
      <w:bookmarkStart w:id="572" w:name="_Toc13690"/>
      <w:r>
        <w:rPr>
          <w:rFonts w:hint="eastAsia" w:ascii="黑体" w:hAnsi="黑体"/>
          <w:b/>
          <w:bCs/>
          <w:color w:val="000000" w:themeColor="text1"/>
          <w:sz w:val="32"/>
          <w:szCs w:val="32"/>
          <w:highlight w:val="none"/>
          <w14:textFill>
            <w14:solidFill>
              <w14:schemeClr w14:val="tx1"/>
            </w14:solidFill>
          </w14:textFill>
        </w:rPr>
        <w:t>7.5工期延误</w:t>
      </w:r>
      <w:bookmarkEnd w:id="570"/>
      <w:bookmarkEnd w:id="571"/>
      <w:bookmarkEnd w:id="572"/>
    </w:p>
    <w:p w14:paraId="7F24EFA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7.5.1因发包人原因导致工期延误</w:t>
      </w:r>
    </w:p>
    <w:p w14:paraId="16BA4A9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（7）因发包人原因导致工期延误的其他情形：</w:t>
      </w:r>
      <w:r>
        <w:rPr>
          <w:rFonts w:hint="eastAsia" w:ascii="宋体" w:hAnsi="宋体"/>
          <w:color w:val="000000" w:themeColor="text1"/>
          <w:szCs w:val="21"/>
          <w:highlight w:val="none"/>
          <w:u w:val="single"/>
          <w14:textFill>
            <w14:solidFill>
              <w14:schemeClr w14:val="tx1"/>
            </w14:solidFill>
          </w14:textFill>
        </w:rPr>
        <w:t>①重大图纸变更影响关键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ascii="宋体" w:hAnsi="宋体"/>
          <w:color w:val="000000" w:themeColor="text1"/>
          <w:szCs w:val="21"/>
          <w:highlight w:val="none"/>
          <w14:textFill>
            <w14:solidFill>
              <w14:schemeClr w14:val="tx1"/>
            </w14:solidFill>
          </w14:textFill>
        </w:rPr>
        <w:t>。</w:t>
      </w:r>
    </w:p>
    <w:p w14:paraId="395532F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7.5.2因承包人原因导致工期延误</w:t>
      </w:r>
    </w:p>
    <w:p w14:paraId="460CC83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双方约定经监理工程师确认，工期相应顺延的情况：</w:t>
      </w:r>
      <w:r>
        <w:rPr>
          <w:rFonts w:hint="eastAsia" w:ascii="宋体" w:hAnsi="宋体"/>
          <w:color w:val="000000" w:themeColor="text1"/>
          <w:szCs w:val="21"/>
          <w:highlight w:val="none"/>
          <w:u w:val="single"/>
          <w14:textFill>
            <w14:solidFill>
              <w14:schemeClr w14:val="tx1"/>
            </w14:solidFill>
          </w14:textFill>
        </w:rPr>
        <w:t>满足专用条款第7.5.1条及专用条款7.7条及当地政府指令性要求（包括规划调整、征地等）原因</w:t>
      </w:r>
      <w:r>
        <w:rPr>
          <w:rFonts w:hint="eastAsia" w:ascii="宋体" w:hAnsi="宋体"/>
          <w:color w:val="000000" w:themeColor="text1"/>
          <w:szCs w:val="21"/>
          <w:highlight w:val="none"/>
          <w14:textFill>
            <w14:solidFill>
              <w14:schemeClr w14:val="tx1"/>
            </w14:solidFill>
          </w14:textFill>
        </w:rPr>
        <w:t>。</w:t>
      </w:r>
    </w:p>
    <w:p w14:paraId="387ACEC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因承包人原因造成工期延误，逾期竣工违约金的计算方法为：</w:t>
      </w:r>
      <w:r>
        <w:rPr>
          <w:rFonts w:hint="eastAsia" w:ascii="宋体" w:hAnsi="宋体"/>
          <w:color w:val="000000" w:themeColor="text1"/>
          <w:szCs w:val="21"/>
          <w:highlight w:val="none"/>
          <w:u w:val="single"/>
          <w14:textFill>
            <w14:solidFill>
              <w14:schemeClr w14:val="tx1"/>
            </w14:solidFill>
          </w14:textFill>
        </w:rPr>
        <w:t>按逾期竣工的单项工程罚款，每延误一天，按单项工程应支付给承包人的结算造价的万分之四处罚，罚款直接从结算款中扣除。误期时间从规定竣工日期起直到实际竣工日期的天数（扣除发包人批准顺延的工期）</w:t>
      </w:r>
      <w:r>
        <w:rPr>
          <w:rFonts w:hint="eastAsia" w:ascii="宋体" w:hAnsi="宋体"/>
          <w:color w:val="000000" w:themeColor="text1"/>
          <w:szCs w:val="21"/>
          <w:highlight w:val="none"/>
          <w14:textFill>
            <w14:solidFill>
              <w14:schemeClr w14:val="tx1"/>
            </w14:solidFill>
          </w14:textFill>
        </w:rPr>
        <w:t>。</w:t>
      </w:r>
    </w:p>
    <w:p w14:paraId="46BEBF0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因承包人原因造成工期延误，逾期竣工违约金的上限：</w:t>
      </w:r>
      <w:r>
        <w:rPr>
          <w:rFonts w:hint="eastAsia" w:ascii="宋体" w:hAnsi="宋体"/>
          <w:color w:val="000000" w:themeColor="text1"/>
          <w:szCs w:val="21"/>
          <w:highlight w:val="none"/>
          <w:u w:val="single"/>
          <w14:textFill>
            <w14:solidFill>
              <w14:schemeClr w14:val="tx1"/>
            </w14:solidFill>
          </w14:textFill>
        </w:rPr>
        <w:t>逾期竣工的单位工程合同价扣除建安劳保费、发包人材料价款后的3%</w:t>
      </w:r>
      <w:r>
        <w:rPr>
          <w:rFonts w:hint="eastAsia" w:ascii="宋体" w:hAnsi="宋体"/>
          <w:color w:val="000000" w:themeColor="text1"/>
          <w:szCs w:val="21"/>
          <w:highlight w:val="none"/>
          <w14:textFill>
            <w14:solidFill>
              <w14:schemeClr w14:val="tx1"/>
            </w14:solidFill>
          </w14:textFill>
        </w:rPr>
        <w:t>。</w:t>
      </w:r>
    </w:p>
    <w:p w14:paraId="4B07A4BF">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73" w:name="_Toc7040"/>
      <w:bookmarkStart w:id="574" w:name="_Toc217642329"/>
      <w:bookmarkStart w:id="575" w:name="_Toc166155259"/>
      <w:r>
        <w:rPr>
          <w:rFonts w:hint="eastAsia" w:ascii="黑体" w:hAnsi="黑体"/>
          <w:b/>
          <w:bCs/>
          <w:color w:val="000000" w:themeColor="text1"/>
          <w:sz w:val="32"/>
          <w:szCs w:val="32"/>
          <w:highlight w:val="none"/>
          <w14:textFill>
            <w14:solidFill>
              <w14:schemeClr w14:val="tx1"/>
            </w14:solidFill>
          </w14:textFill>
        </w:rPr>
        <w:t>7.6不利物质条件</w:t>
      </w:r>
      <w:bookmarkEnd w:id="573"/>
      <w:bookmarkEnd w:id="574"/>
      <w:bookmarkEnd w:id="575"/>
    </w:p>
    <w:p w14:paraId="04342B3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不利物质条件的其他情形和有关约定：</w:t>
      </w:r>
      <w:r>
        <w:rPr>
          <w:rFonts w:hint="eastAsia" w:ascii="宋体" w:hAnsi="宋体"/>
          <w:color w:val="000000" w:themeColor="text1"/>
          <w:szCs w:val="21"/>
          <w:highlight w:val="none"/>
          <w:u w:val="single"/>
          <w14:textFill>
            <w14:solidFill>
              <w14:schemeClr w14:val="tx1"/>
            </w14:solidFill>
          </w14:textFill>
        </w:rPr>
        <w:t>以有关部门发布的文告或文件为准</w:t>
      </w:r>
      <w:r>
        <w:rPr>
          <w:rFonts w:hint="eastAsia" w:ascii="宋体" w:hAnsi="宋体"/>
          <w:color w:val="000000" w:themeColor="text1"/>
          <w:szCs w:val="21"/>
          <w:highlight w:val="none"/>
          <w14:textFill>
            <w14:solidFill>
              <w14:schemeClr w14:val="tx1"/>
            </w14:solidFill>
          </w14:textFill>
        </w:rPr>
        <w:t>。</w:t>
      </w:r>
    </w:p>
    <w:p w14:paraId="4CC382E8">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76" w:name="_Toc166155260"/>
      <w:bookmarkStart w:id="577" w:name="_Toc25260"/>
      <w:bookmarkStart w:id="578" w:name="_Toc217642330"/>
      <w:r>
        <w:rPr>
          <w:rFonts w:hint="eastAsia" w:ascii="黑体" w:hAnsi="黑体"/>
          <w:b/>
          <w:bCs/>
          <w:color w:val="000000" w:themeColor="text1"/>
          <w:sz w:val="32"/>
          <w:szCs w:val="32"/>
          <w:highlight w:val="none"/>
          <w14:textFill>
            <w14:solidFill>
              <w14:schemeClr w14:val="tx1"/>
            </w14:solidFill>
          </w14:textFill>
        </w:rPr>
        <w:t>7.7异常恶劣的气候条件</w:t>
      </w:r>
      <w:bookmarkEnd w:id="576"/>
      <w:bookmarkEnd w:id="577"/>
      <w:bookmarkEnd w:id="578"/>
    </w:p>
    <w:p w14:paraId="5CE7DCD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发包人和承包人同意以下情形视为异常恶劣的气候条件：</w:t>
      </w:r>
    </w:p>
    <w:p w14:paraId="1A64617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（1）6级以上地震；</w:t>
      </w:r>
    </w:p>
    <w:p w14:paraId="5290A4C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（2）10级以上持续1天的大风；</w:t>
      </w:r>
    </w:p>
    <w:p w14:paraId="32E1479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（3）日气温低于零摄氏度的严寒大于3天；</w:t>
      </w:r>
    </w:p>
    <w:p w14:paraId="48B9B31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（4）日气温超过40摄氏度的高温大于3天；</w:t>
      </w:r>
    </w:p>
    <w:p w14:paraId="77000B2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（5）一日内降雨达200mm的暴雨（以气象部门公布的为准）；</w:t>
      </w:r>
    </w:p>
    <w:p w14:paraId="78C8C8F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（6）造成工程损坏的冰雹和大雪灾害；其他异常恶劣气候灾害（以气象部门公布的为准）。</w:t>
      </w:r>
    </w:p>
    <w:p w14:paraId="4BA2F131">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79" w:name="_Toc217642331"/>
      <w:bookmarkStart w:id="580" w:name="_Toc166155261"/>
      <w:bookmarkStart w:id="581" w:name="_Toc9184"/>
      <w:r>
        <w:rPr>
          <w:rFonts w:hint="eastAsia" w:ascii="黑体" w:hAnsi="黑体"/>
          <w:b/>
          <w:bCs/>
          <w:color w:val="000000" w:themeColor="text1"/>
          <w:sz w:val="32"/>
          <w:szCs w:val="32"/>
          <w:highlight w:val="none"/>
          <w14:textFill>
            <w14:solidFill>
              <w14:schemeClr w14:val="tx1"/>
            </w14:solidFill>
          </w14:textFill>
        </w:rPr>
        <w:t>7.9提前竣工</w:t>
      </w:r>
      <w:bookmarkEnd w:id="579"/>
      <w:bookmarkEnd w:id="580"/>
      <w:bookmarkEnd w:id="581"/>
    </w:p>
    <w:p w14:paraId="2525030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7.9.2提前竣工（赶工）增加费的计算方法：</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2CA0F632">
      <w:pPr>
        <w:keepNext/>
        <w:keepLines/>
        <w:spacing w:before="260" w:after="260" w:line="412" w:lineRule="auto"/>
        <w:outlineLvl w:val="1"/>
        <w:rPr>
          <w:rFonts w:ascii="黑体" w:hAnsi="黑体" w:eastAsia="黑体"/>
          <w:b/>
          <w:color w:val="000000" w:themeColor="text1"/>
          <w:sz w:val="32"/>
          <w:szCs w:val="20"/>
          <w:highlight w:val="none"/>
          <w14:textFill>
            <w14:solidFill>
              <w14:schemeClr w14:val="tx1"/>
            </w14:solidFill>
          </w14:textFill>
        </w:rPr>
      </w:pPr>
      <w:bookmarkStart w:id="582" w:name="_Toc21713"/>
      <w:bookmarkStart w:id="583" w:name="_Toc217642332"/>
      <w:bookmarkStart w:id="584" w:name="_Toc166155262"/>
      <w:r>
        <w:rPr>
          <w:rFonts w:hint="eastAsia" w:ascii="黑体" w:hAnsi="黑体" w:eastAsia="黑体"/>
          <w:b/>
          <w:color w:val="000000" w:themeColor="text1"/>
          <w:sz w:val="32"/>
          <w:szCs w:val="20"/>
          <w:highlight w:val="none"/>
          <w14:textFill>
            <w14:solidFill>
              <w14:schemeClr w14:val="tx1"/>
            </w14:solidFill>
          </w14:textFill>
        </w:rPr>
        <w:t>8.材料与设备</w:t>
      </w:r>
      <w:bookmarkEnd w:id="582"/>
      <w:bookmarkEnd w:id="583"/>
      <w:bookmarkEnd w:id="584"/>
    </w:p>
    <w:p w14:paraId="1C031937">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85" w:name="_Toc217642333"/>
      <w:bookmarkStart w:id="586" w:name="_Toc31303"/>
      <w:bookmarkStart w:id="587" w:name="_Toc166155263"/>
      <w:r>
        <w:rPr>
          <w:rFonts w:hint="eastAsia" w:ascii="黑体" w:hAnsi="黑体"/>
          <w:b/>
          <w:bCs/>
          <w:color w:val="000000" w:themeColor="text1"/>
          <w:sz w:val="32"/>
          <w:szCs w:val="32"/>
          <w:highlight w:val="none"/>
          <w14:textFill>
            <w14:solidFill>
              <w14:schemeClr w14:val="tx1"/>
            </w14:solidFill>
          </w14:textFill>
        </w:rPr>
        <w:t>8.2承包人采购材料与工程设备</w:t>
      </w:r>
      <w:bookmarkEnd w:id="585"/>
      <w:bookmarkEnd w:id="586"/>
      <w:bookmarkEnd w:id="587"/>
    </w:p>
    <w:p w14:paraId="48DFAAD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的附件《发包人供应材料设备一览表》中明确的材料、工程设备外，由承包人负责材料和工程设备的采购、运输和保管。对工程使用的重要建设工程材料，承包人应按《南宁市建设工程材料使用管理办法》相关规定，从南宁市建设行政主管部门公布的建设工程材料备案目录中选用。</w:t>
      </w:r>
    </w:p>
    <w:p w14:paraId="5F4E86B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对发包人在招标时有“参照或相当于”约定的材料，承包人在施工过程中必须按类似于或优于所约定品牌、厂家和等级进行采购，并经发包人认可。当发包人与承包人对招标文件所约定的材料有争议时，发包人有权要求承包人按招标文件有“参照或相当于”标明材料品牌的材料进行采购，并在结算时按投标单价支付。</w:t>
      </w:r>
    </w:p>
    <w:p w14:paraId="41BEF9F7">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对发包人在招标时，没有明确约定“参照或相当于”**品牌、档次的材料和设备，或双方对材料和设备选择有争议的，发包人有权要求承包人按不低于招标控制价相同细目的材料或设备价格进行采购。</w:t>
      </w:r>
    </w:p>
    <w:p w14:paraId="73652D34">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满足南宁市城乡建设委员会南宁市工业和信息化委员会关于重新印发《南宁市城乡建设委员会和南宁市工业和信息化委员会关于推广应用高性能混凝土的通知》的通知（南建规【2016】1号）要求的，本工程推荐使用高性能混凝土。</w:t>
      </w:r>
    </w:p>
    <w:p w14:paraId="434D7E5C">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满足南宁市人民政府印发的《南宁市人民政府关于推广使用预拌砂浆的实施意见》（南府规〔2016〕12号）要求的，本工程必须使用预拌砂浆，价格执行市场询价。</w:t>
      </w:r>
    </w:p>
    <w:p w14:paraId="7A53B17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满足《南宁市松材线虫病防控工作领导小组工作制度》要求，要求涉木产品供货商对应施检疫的产品提供《植物检疫证书》；涉及松木质包装材料的，积极配合林业部门做好检疫工作</w:t>
      </w:r>
      <w:r>
        <w:rPr>
          <w:rFonts w:hint="eastAsia" w:ascii="宋体" w:hAnsi="宋体"/>
          <w:color w:val="000000" w:themeColor="text1"/>
          <w:szCs w:val="21"/>
          <w:highlight w:val="none"/>
          <w14:textFill>
            <w14:solidFill>
              <w14:schemeClr w14:val="tx1"/>
            </w14:solidFill>
          </w14:textFill>
        </w:rPr>
        <w:t>。</w:t>
      </w:r>
    </w:p>
    <w:p w14:paraId="7205ACF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禁止使用松木及其制品、松木包装材料设备、种子、苗木、花卉及繁殖材料。</w:t>
      </w:r>
    </w:p>
    <w:p w14:paraId="10C8B4A7">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88" w:name="_Toc217642334"/>
      <w:bookmarkStart w:id="589" w:name="_Toc24374"/>
      <w:bookmarkStart w:id="590" w:name="_Toc166155264"/>
      <w:r>
        <w:rPr>
          <w:rFonts w:hint="eastAsia" w:ascii="黑体" w:hAnsi="黑体"/>
          <w:b/>
          <w:bCs/>
          <w:color w:val="000000" w:themeColor="text1"/>
          <w:sz w:val="32"/>
          <w:szCs w:val="32"/>
          <w:highlight w:val="none"/>
          <w14:textFill>
            <w14:solidFill>
              <w14:schemeClr w14:val="tx1"/>
            </w14:solidFill>
          </w14:textFill>
        </w:rPr>
        <w:t>8.4材料与工程设备的保管与使用</w:t>
      </w:r>
      <w:bookmarkEnd w:id="588"/>
      <w:bookmarkEnd w:id="589"/>
      <w:bookmarkEnd w:id="590"/>
    </w:p>
    <w:p w14:paraId="6295DE8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8.4.1发包人供应的材料设备的保管费用的承担：</w:t>
      </w:r>
      <w:r>
        <w:rPr>
          <w:rFonts w:hint="eastAsia" w:ascii="宋体" w:hAnsi="宋体"/>
          <w:color w:val="000000" w:themeColor="text1"/>
          <w:szCs w:val="21"/>
          <w:highlight w:val="none"/>
          <w:u w:val="single"/>
          <w14:textFill>
            <w14:solidFill>
              <w14:schemeClr w14:val="tx1"/>
            </w14:solidFill>
          </w14:textFill>
        </w:rPr>
        <w:t>材料设备堆放至发包人指定的存放地点后，所发生的一切保管、运输费用均由承包人承担，因保管不力所造成的损失由承包人负责。移交承包人之前由发包人承担</w:t>
      </w:r>
      <w:r>
        <w:rPr>
          <w:rFonts w:hint="eastAsia" w:ascii="宋体" w:hAnsi="宋体"/>
          <w:color w:val="000000" w:themeColor="text1"/>
          <w:szCs w:val="21"/>
          <w:highlight w:val="none"/>
          <w14:textFill>
            <w14:solidFill>
              <w14:schemeClr w14:val="tx1"/>
            </w14:solidFill>
          </w14:textFill>
        </w:rPr>
        <w:t>。</w:t>
      </w:r>
    </w:p>
    <w:p w14:paraId="154F060B">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91" w:name="_Toc30178"/>
      <w:bookmarkStart w:id="592" w:name="_Toc166155265"/>
      <w:bookmarkStart w:id="593" w:name="_Toc217642335"/>
      <w:r>
        <w:rPr>
          <w:rFonts w:hint="eastAsia" w:ascii="黑体" w:hAnsi="黑体"/>
          <w:b/>
          <w:bCs/>
          <w:color w:val="000000" w:themeColor="text1"/>
          <w:sz w:val="32"/>
          <w:szCs w:val="32"/>
          <w:highlight w:val="none"/>
          <w14:textFill>
            <w14:solidFill>
              <w14:schemeClr w14:val="tx1"/>
            </w14:solidFill>
          </w14:textFill>
        </w:rPr>
        <w:t>8.6样品</w:t>
      </w:r>
      <w:bookmarkEnd w:id="591"/>
      <w:bookmarkEnd w:id="592"/>
      <w:bookmarkEnd w:id="593"/>
    </w:p>
    <w:p w14:paraId="52C0D26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8.6.1样品的报送与封存</w:t>
      </w:r>
    </w:p>
    <w:p w14:paraId="0D63D6E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需要承包人报送样品的材料或工程设备，样品的种类、名称、规格、数量要求：</w:t>
      </w:r>
      <w:r>
        <w:rPr>
          <w:rFonts w:hint="eastAsia" w:ascii="宋体" w:hAnsi="宋体"/>
          <w:color w:val="000000" w:themeColor="text1"/>
          <w:szCs w:val="21"/>
          <w:highlight w:val="none"/>
          <w:u w:val="single"/>
          <w14:textFill>
            <w14:solidFill>
              <w14:schemeClr w14:val="tx1"/>
            </w14:solidFill>
          </w14:textFill>
        </w:rPr>
        <w:t>主要材料涉及品种、款式、颜色等方面内容的，承包人应提交准备合格的材料样品送发包人选定</w:t>
      </w:r>
      <w:r>
        <w:rPr>
          <w:rFonts w:hint="eastAsia" w:ascii="宋体" w:hAnsi="宋体"/>
          <w:color w:val="000000" w:themeColor="text1"/>
          <w:szCs w:val="21"/>
          <w:highlight w:val="none"/>
          <w14:textFill>
            <w14:solidFill>
              <w14:schemeClr w14:val="tx1"/>
            </w14:solidFill>
          </w14:textFill>
        </w:rPr>
        <w:t>。</w:t>
      </w:r>
    </w:p>
    <w:p w14:paraId="6D5BB9D3">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594" w:name="_Toc166155266"/>
      <w:bookmarkStart w:id="595" w:name="_Toc217642336"/>
      <w:bookmarkStart w:id="596" w:name="_Toc20774"/>
      <w:r>
        <w:rPr>
          <w:rFonts w:hint="eastAsia" w:ascii="黑体" w:hAnsi="黑体"/>
          <w:b/>
          <w:bCs/>
          <w:color w:val="000000" w:themeColor="text1"/>
          <w:sz w:val="32"/>
          <w:szCs w:val="32"/>
          <w:highlight w:val="none"/>
          <w14:textFill>
            <w14:solidFill>
              <w14:schemeClr w14:val="tx1"/>
            </w14:solidFill>
          </w14:textFill>
        </w:rPr>
        <w:t>8.8施工设备和临时设施</w:t>
      </w:r>
      <w:bookmarkEnd w:id="594"/>
      <w:bookmarkEnd w:id="595"/>
      <w:bookmarkEnd w:id="596"/>
    </w:p>
    <w:p w14:paraId="5C7A59E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8.8.1承包人提供的施工设备和临时设施</w:t>
      </w:r>
    </w:p>
    <w:p w14:paraId="7619322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p>
    <w:p w14:paraId="1840520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关于修建临时设施费用承担的约定：</w:t>
      </w:r>
      <w:r>
        <w:rPr>
          <w:rFonts w:hint="eastAsia" w:ascii="宋体" w:hAnsi="宋体"/>
          <w:color w:val="000000" w:themeColor="text1"/>
          <w:szCs w:val="21"/>
          <w:highlight w:val="none"/>
          <w:u w:val="single"/>
          <w14:textFill>
            <w14:solidFill>
              <w14:schemeClr w14:val="tx1"/>
            </w14:solidFill>
          </w14:textFill>
        </w:rPr>
        <w:t>由承包人自行承担。</w:t>
      </w:r>
    </w:p>
    <w:p w14:paraId="648CD98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8.8.2发包人提供的施工设备和临时设施</w:t>
      </w:r>
    </w:p>
    <w:p w14:paraId="4FA56A0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发包人提供的施工设备和临时设施：</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5DBF0D8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发包人提供的施工设备和临时设施的运行、维护、拆除、清运费用的承担人：</w:t>
      </w:r>
      <w:r>
        <w:rPr>
          <w:rFonts w:hint="eastAsia" w:ascii="宋体" w:hAnsi="宋体"/>
          <w:color w:val="000000" w:themeColor="text1"/>
          <w:szCs w:val="21"/>
          <w:highlight w:val="none"/>
          <w:u w:val="single"/>
          <w14:textFill>
            <w14:solidFill>
              <w14:schemeClr w14:val="tx1"/>
            </w14:solidFill>
          </w14:textFill>
        </w:rPr>
        <w:t>承包人</w:t>
      </w:r>
      <w:r>
        <w:rPr>
          <w:rFonts w:hint="eastAsia" w:ascii="宋体" w:hAnsi="宋体"/>
          <w:color w:val="000000" w:themeColor="text1"/>
          <w:szCs w:val="21"/>
          <w:highlight w:val="none"/>
          <w14:textFill>
            <w14:solidFill>
              <w14:schemeClr w14:val="tx1"/>
            </w14:solidFill>
          </w14:textFill>
        </w:rPr>
        <w:t>。</w:t>
      </w:r>
    </w:p>
    <w:p w14:paraId="5502697A">
      <w:pPr>
        <w:keepNext/>
        <w:keepLines/>
        <w:spacing w:before="260" w:after="260" w:line="412" w:lineRule="auto"/>
        <w:outlineLvl w:val="1"/>
        <w:rPr>
          <w:rFonts w:ascii="黑体" w:hAnsi="黑体" w:eastAsia="黑体"/>
          <w:b/>
          <w:color w:val="000000" w:themeColor="text1"/>
          <w:sz w:val="32"/>
          <w:szCs w:val="20"/>
          <w:highlight w:val="none"/>
          <w14:textFill>
            <w14:solidFill>
              <w14:schemeClr w14:val="tx1"/>
            </w14:solidFill>
          </w14:textFill>
        </w:rPr>
      </w:pPr>
      <w:bookmarkStart w:id="597" w:name="_Toc166155267"/>
      <w:bookmarkStart w:id="598" w:name="_Toc21107"/>
      <w:bookmarkStart w:id="599" w:name="_Toc217642337"/>
      <w:r>
        <w:rPr>
          <w:rFonts w:hint="eastAsia" w:ascii="黑体" w:hAnsi="黑体" w:eastAsia="黑体"/>
          <w:b/>
          <w:color w:val="000000" w:themeColor="text1"/>
          <w:sz w:val="32"/>
          <w:szCs w:val="20"/>
          <w:highlight w:val="none"/>
          <w14:textFill>
            <w14:solidFill>
              <w14:schemeClr w14:val="tx1"/>
            </w14:solidFill>
          </w14:textFill>
        </w:rPr>
        <w:t>9.试验与检验</w:t>
      </w:r>
      <w:bookmarkEnd w:id="597"/>
      <w:bookmarkEnd w:id="598"/>
      <w:bookmarkEnd w:id="599"/>
    </w:p>
    <w:p w14:paraId="29683CFF">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00" w:name="_Toc166155268"/>
      <w:bookmarkStart w:id="601" w:name="_Toc622"/>
      <w:bookmarkStart w:id="602" w:name="_Toc217642338"/>
      <w:r>
        <w:rPr>
          <w:rFonts w:hint="eastAsia" w:ascii="黑体" w:hAnsi="黑体"/>
          <w:b/>
          <w:bCs/>
          <w:color w:val="000000" w:themeColor="text1"/>
          <w:sz w:val="32"/>
          <w:szCs w:val="32"/>
          <w:highlight w:val="none"/>
          <w14:textFill>
            <w14:solidFill>
              <w14:schemeClr w14:val="tx1"/>
            </w14:solidFill>
          </w14:textFill>
        </w:rPr>
        <w:t>9.1试验设备与试验人员</w:t>
      </w:r>
      <w:bookmarkEnd w:id="600"/>
      <w:bookmarkEnd w:id="601"/>
      <w:bookmarkEnd w:id="602"/>
    </w:p>
    <w:p w14:paraId="736803B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9.1.2试验设备</w:t>
      </w:r>
    </w:p>
    <w:p w14:paraId="02B6045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施工现场需要配置的试验场所：</w:t>
      </w:r>
      <w:r>
        <w:rPr>
          <w:rFonts w:hint="eastAsia" w:ascii="宋体" w:hAnsi="宋体"/>
          <w:color w:val="000000" w:themeColor="text1"/>
          <w:szCs w:val="21"/>
          <w:highlight w:val="none"/>
          <w:u w:val="single"/>
          <w14:textFill>
            <w14:solidFill>
              <w14:schemeClr w14:val="tx1"/>
            </w14:solidFill>
          </w14:textFill>
        </w:rPr>
        <w:t>由承包人自理</w:t>
      </w:r>
      <w:r>
        <w:rPr>
          <w:rFonts w:hint="eastAsia" w:ascii="宋体" w:hAnsi="宋体"/>
          <w:color w:val="000000" w:themeColor="text1"/>
          <w:szCs w:val="21"/>
          <w:highlight w:val="none"/>
          <w14:textFill>
            <w14:solidFill>
              <w14:schemeClr w14:val="tx1"/>
            </w14:solidFill>
          </w14:textFill>
        </w:rPr>
        <w:t>。</w:t>
      </w:r>
    </w:p>
    <w:p w14:paraId="67AAC21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施工现场需要配备的试验设备：</w:t>
      </w:r>
      <w:r>
        <w:rPr>
          <w:rFonts w:hint="eastAsia" w:ascii="宋体" w:hAnsi="宋体"/>
          <w:color w:val="000000" w:themeColor="text1"/>
          <w:szCs w:val="21"/>
          <w:highlight w:val="none"/>
          <w:u w:val="single"/>
          <w14:textFill>
            <w14:solidFill>
              <w14:schemeClr w14:val="tx1"/>
            </w14:solidFill>
          </w14:textFill>
        </w:rPr>
        <w:t>由承包人自理</w:t>
      </w:r>
      <w:r>
        <w:rPr>
          <w:rFonts w:hint="eastAsia" w:ascii="宋体" w:hAnsi="宋体"/>
          <w:color w:val="000000" w:themeColor="text1"/>
          <w:szCs w:val="21"/>
          <w:highlight w:val="none"/>
          <w14:textFill>
            <w14:solidFill>
              <w14:schemeClr w14:val="tx1"/>
            </w14:solidFill>
          </w14:textFill>
        </w:rPr>
        <w:t>。</w:t>
      </w:r>
    </w:p>
    <w:p w14:paraId="5AE49A4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施工现场需要具备的其他试验条件：</w:t>
      </w:r>
      <w:r>
        <w:rPr>
          <w:rFonts w:hint="eastAsia" w:ascii="宋体" w:hAnsi="宋体"/>
          <w:color w:val="000000" w:themeColor="text1"/>
          <w:szCs w:val="21"/>
          <w:highlight w:val="none"/>
          <w:u w:val="single"/>
          <w14:textFill>
            <w14:solidFill>
              <w14:schemeClr w14:val="tx1"/>
            </w14:solidFill>
          </w14:textFill>
        </w:rPr>
        <w:t>由承包人自理</w:t>
      </w:r>
      <w:r>
        <w:rPr>
          <w:rFonts w:hint="eastAsia" w:ascii="宋体" w:hAnsi="宋体"/>
          <w:color w:val="000000" w:themeColor="text1"/>
          <w:szCs w:val="21"/>
          <w:highlight w:val="none"/>
          <w14:textFill>
            <w14:solidFill>
              <w14:schemeClr w14:val="tx1"/>
            </w14:solidFill>
          </w14:textFill>
        </w:rPr>
        <w:t>。</w:t>
      </w:r>
    </w:p>
    <w:p w14:paraId="41B4C5FE">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03" w:name="_Toc20292"/>
      <w:bookmarkStart w:id="604" w:name="_Toc166155269"/>
      <w:bookmarkStart w:id="605" w:name="_Toc217642339"/>
      <w:r>
        <w:rPr>
          <w:rFonts w:hint="eastAsia" w:ascii="黑体" w:hAnsi="黑体"/>
          <w:b/>
          <w:bCs/>
          <w:color w:val="000000" w:themeColor="text1"/>
          <w:sz w:val="32"/>
          <w:szCs w:val="32"/>
          <w:highlight w:val="none"/>
          <w14:textFill>
            <w14:solidFill>
              <w14:schemeClr w14:val="tx1"/>
            </w14:solidFill>
          </w14:textFill>
        </w:rPr>
        <w:t>9.4现场工艺试验</w:t>
      </w:r>
      <w:bookmarkEnd w:id="603"/>
      <w:bookmarkEnd w:id="604"/>
      <w:bookmarkEnd w:id="605"/>
    </w:p>
    <w:p w14:paraId="5242CC3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现场工艺试验的有关约定：</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11876448">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06" w:name="_Toc10529"/>
      <w:bookmarkStart w:id="607" w:name="_Toc166155270"/>
      <w:bookmarkStart w:id="608" w:name="_Toc217642340"/>
      <w:r>
        <w:rPr>
          <w:rFonts w:hint="eastAsia" w:ascii="黑体" w:hAnsi="黑体"/>
          <w:b/>
          <w:bCs/>
          <w:color w:val="000000" w:themeColor="text1"/>
          <w:sz w:val="32"/>
          <w:szCs w:val="32"/>
          <w:highlight w:val="none"/>
          <w14:textFill>
            <w14:solidFill>
              <w14:schemeClr w14:val="tx1"/>
            </w14:solidFill>
          </w14:textFill>
        </w:rPr>
        <w:t>9.5检验费用</w:t>
      </w:r>
      <w:bookmarkEnd w:id="606"/>
      <w:bookmarkEnd w:id="607"/>
      <w:bookmarkEnd w:id="608"/>
    </w:p>
    <w:p w14:paraId="639F366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建设工程质量检测管理办法》（2022年12月29日中华人民共和国住房和城乡建设部令第57号）以及《广西壮族自治区建设工程质量检测管理实施细则》（桂建发〔2025〕5号）规定，工程质量检测业务由发包人委托有相应资质的检测机构检测。费用从发包人的项目建设经费中支出并直接支付给检测机构，不计入合同价款内。</w:t>
      </w:r>
    </w:p>
    <w:p w14:paraId="2154D0C3">
      <w:pPr>
        <w:keepNext/>
        <w:keepLines/>
        <w:spacing w:before="260" w:after="260" w:line="412" w:lineRule="auto"/>
        <w:outlineLvl w:val="1"/>
        <w:rPr>
          <w:rFonts w:ascii="黑体" w:hAnsi="黑体" w:eastAsia="黑体"/>
          <w:b/>
          <w:color w:val="000000" w:themeColor="text1"/>
          <w:sz w:val="32"/>
          <w:szCs w:val="20"/>
          <w:highlight w:val="none"/>
          <w14:textFill>
            <w14:solidFill>
              <w14:schemeClr w14:val="tx1"/>
            </w14:solidFill>
          </w14:textFill>
        </w:rPr>
      </w:pPr>
      <w:bookmarkStart w:id="609" w:name="_Toc5727"/>
      <w:bookmarkStart w:id="610" w:name="_Toc217642341"/>
      <w:bookmarkStart w:id="611" w:name="_Toc166155271"/>
      <w:r>
        <w:rPr>
          <w:rFonts w:hint="eastAsia" w:ascii="黑体" w:hAnsi="黑体" w:eastAsia="黑体"/>
          <w:b/>
          <w:color w:val="000000" w:themeColor="text1"/>
          <w:sz w:val="32"/>
          <w:szCs w:val="20"/>
          <w:highlight w:val="none"/>
          <w14:textFill>
            <w14:solidFill>
              <w14:schemeClr w14:val="tx1"/>
            </w14:solidFill>
          </w14:textFill>
        </w:rPr>
        <w:t>10.变更</w:t>
      </w:r>
      <w:bookmarkEnd w:id="609"/>
      <w:bookmarkEnd w:id="610"/>
      <w:bookmarkEnd w:id="611"/>
    </w:p>
    <w:p w14:paraId="34632425">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12" w:name="_Toc166155272"/>
      <w:bookmarkStart w:id="613" w:name="_Toc27222"/>
      <w:bookmarkStart w:id="614" w:name="_Toc217642342"/>
      <w:r>
        <w:rPr>
          <w:rFonts w:hint="eastAsia" w:ascii="黑体" w:hAnsi="黑体"/>
          <w:b/>
          <w:bCs/>
          <w:color w:val="000000" w:themeColor="text1"/>
          <w:sz w:val="32"/>
          <w:szCs w:val="32"/>
          <w:highlight w:val="none"/>
          <w14:textFill>
            <w14:solidFill>
              <w14:schemeClr w14:val="tx1"/>
            </w14:solidFill>
          </w14:textFill>
        </w:rPr>
        <w:t>10.1变更的范围</w:t>
      </w:r>
      <w:bookmarkEnd w:id="612"/>
      <w:bookmarkEnd w:id="613"/>
      <w:bookmarkEnd w:id="614"/>
    </w:p>
    <w:p w14:paraId="5F252F9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关于变更的范围的约定：</w:t>
      </w:r>
      <w:r>
        <w:rPr>
          <w:rFonts w:hint="eastAsia" w:ascii="宋体" w:hAnsi="宋体"/>
          <w:color w:val="000000" w:themeColor="text1"/>
          <w:szCs w:val="21"/>
          <w:highlight w:val="none"/>
          <w:u w:val="single"/>
          <w14:textFill>
            <w14:solidFill>
              <w14:schemeClr w14:val="tx1"/>
            </w14:solidFill>
          </w14:textFill>
        </w:rPr>
        <w:t>除通用合同条款约定的范围外，发包人有权根据本工程的实际提出其他的变更事项。凡涉及合同价款增减变化的变更事项，必须以发包人代表签字并经发包人盖章确认后的书面文件为准</w:t>
      </w:r>
      <w:r>
        <w:rPr>
          <w:rFonts w:hint="eastAsia" w:ascii="宋体" w:hAnsi="宋体"/>
          <w:color w:val="000000" w:themeColor="text1"/>
          <w:szCs w:val="21"/>
          <w:highlight w:val="none"/>
          <w14:textFill>
            <w14:solidFill>
              <w14:schemeClr w14:val="tx1"/>
            </w14:solidFill>
          </w14:textFill>
        </w:rPr>
        <w:t>。</w:t>
      </w:r>
    </w:p>
    <w:p w14:paraId="7EBCDAFD">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15" w:name="_Toc14032"/>
      <w:bookmarkStart w:id="616" w:name="_Toc166155273"/>
      <w:bookmarkStart w:id="617" w:name="_Toc217642343"/>
      <w:r>
        <w:rPr>
          <w:rFonts w:hint="eastAsia" w:ascii="黑体" w:hAnsi="黑体"/>
          <w:b/>
          <w:bCs/>
          <w:color w:val="000000" w:themeColor="text1"/>
          <w:sz w:val="32"/>
          <w:szCs w:val="32"/>
          <w:highlight w:val="none"/>
          <w14:textFill>
            <w14:solidFill>
              <w14:schemeClr w14:val="tx1"/>
            </w14:solidFill>
          </w14:textFill>
        </w:rPr>
        <w:t>10.3变更程序</w:t>
      </w:r>
      <w:bookmarkEnd w:id="615"/>
      <w:bookmarkEnd w:id="616"/>
      <w:bookmarkEnd w:id="617"/>
    </w:p>
    <w:p w14:paraId="6B75F32E">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10.3.1国有投资项目：</w:t>
      </w:r>
    </w:p>
    <w:p w14:paraId="287B00BC">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（1）设计变更和工程签证，按南宁市政府或相关部门的规定办理。属不可抗力（自然灾害、突发事件等）造成变更的，按特事特办原则予以办理。</w:t>
      </w:r>
    </w:p>
    <w:p w14:paraId="299A20E7">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（2）建设单位在实施项目过程中，若发生单价变动，由建设单位、施工单位及其他相关单位共同商定并签字确认，并按规定办理相关手续。</w:t>
      </w:r>
    </w:p>
    <w:p w14:paraId="335413CD">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（3）当合同规定的合同价款调整情况发生后，承包人未在规定时间内通知发包人，或者未在规定时间内提出调整报告，发包人可以根据有关资料，决定是否调整和调整的金额，并书面通知承包人。</w:t>
      </w:r>
    </w:p>
    <w:p w14:paraId="14CE0857">
      <w:pPr>
        <w:keepNext/>
        <w:keepLines/>
        <w:spacing w:before="260" w:after="260"/>
        <w:outlineLvl w:val="2"/>
        <w:rPr>
          <w:rFonts w:hint="eastAsia" w:ascii="宋体" w:hAnsi="宋体"/>
          <w:b/>
          <w:bCs/>
          <w:color w:val="000000" w:themeColor="text1"/>
          <w:sz w:val="32"/>
          <w:szCs w:val="21"/>
          <w:highlight w:val="none"/>
          <w14:textFill>
            <w14:solidFill>
              <w14:schemeClr w14:val="tx1"/>
            </w14:solidFill>
          </w14:textFill>
        </w:rPr>
      </w:pPr>
      <w:bookmarkStart w:id="618" w:name="_Toc26100"/>
      <w:bookmarkStart w:id="619" w:name="_Toc217642344"/>
      <w:r>
        <w:rPr>
          <w:rFonts w:hint="eastAsia" w:ascii="宋体" w:hAnsi="宋体"/>
          <w:b/>
          <w:bCs/>
          <w:color w:val="000000" w:themeColor="text1"/>
          <w:sz w:val="32"/>
          <w:szCs w:val="21"/>
          <w:highlight w:val="none"/>
          <w14:textFill>
            <w14:solidFill>
              <w14:schemeClr w14:val="tx1"/>
            </w14:solidFill>
          </w14:textFill>
        </w:rPr>
        <w:t>10.3.2非国有投资项目：无。</w:t>
      </w:r>
      <w:bookmarkEnd w:id="618"/>
      <w:bookmarkStart w:id="620" w:name="_Toc166155274"/>
    </w:p>
    <w:p w14:paraId="10AF5425">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21" w:name="_Toc4548"/>
      <w:r>
        <w:rPr>
          <w:rFonts w:hint="eastAsia" w:ascii="黑体" w:hAnsi="黑体"/>
          <w:b/>
          <w:bCs/>
          <w:color w:val="000000" w:themeColor="text1"/>
          <w:sz w:val="32"/>
          <w:szCs w:val="32"/>
          <w:highlight w:val="none"/>
          <w14:textFill>
            <w14:solidFill>
              <w14:schemeClr w14:val="tx1"/>
            </w14:solidFill>
          </w14:textFill>
        </w:rPr>
        <w:t>10.4变更估价</w:t>
      </w:r>
      <w:bookmarkEnd w:id="619"/>
      <w:bookmarkEnd w:id="620"/>
      <w:bookmarkEnd w:id="621"/>
    </w:p>
    <w:p w14:paraId="6EEB8AD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10.4.1变更估价原则</w:t>
      </w:r>
    </w:p>
    <w:p w14:paraId="5A26CC1B">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关于变更估价的约定：</w:t>
      </w:r>
      <w:r>
        <w:rPr>
          <w:rFonts w:hint="eastAsia" w:ascii="宋体" w:hAnsi="宋体"/>
          <w:color w:val="000000" w:themeColor="text1"/>
          <w:szCs w:val="21"/>
          <w:highlight w:val="none"/>
          <w:u w:val="single"/>
          <w14:textFill>
            <w14:solidFill>
              <w14:schemeClr w14:val="tx1"/>
            </w14:solidFill>
          </w14:textFill>
        </w:rPr>
        <w:t>本合同实施期间因工程量清单漏项、工程变更及相关签证引起工程项目、工程量变化的，其工程量按实际发生并监理工程师及发包人确认，变更合同价款按下列方法进行：（1）合同中已有相同清单项目的，按合同该清单项目价格进行计算；（2）合同中只有类似清单项目的，参照该类似清单项目价格进行计算；（3）合同中没有适用或类似子目的价格计算方法：有定额的套定额（土石方工程除外），并乘以下浮系数（成交价/公布的工程招标控制价）计算，其中材料价格按施工期间的《南宁建设工程造价信息》相应价格信息进行计算；《南宁建设工程造价信息》没有相应价格信息的按市场价计算不下浮；无定额可套的，根据市场价格协商确定综合价格不下浮；新增项目的单价必须经南宁市政府财政评审中心审定。</w:t>
      </w:r>
    </w:p>
    <w:p w14:paraId="5153BEF1">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22" w:name="_Toc15820"/>
      <w:bookmarkStart w:id="623" w:name="_Toc166155275"/>
      <w:bookmarkStart w:id="624" w:name="_Toc217642345"/>
      <w:r>
        <w:rPr>
          <w:rFonts w:hint="eastAsia" w:ascii="黑体" w:hAnsi="黑体"/>
          <w:b/>
          <w:bCs/>
          <w:color w:val="000000" w:themeColor="text1"/>
          <w:sz w:val="32"/>
          <w:szCs w:val="32"/>
          <w:highlight w:val="none"/>
          <w14:textFill>
            <w14:solidFill>
              <w14:schemeClr w14:val="tx1"/>
            </w14:solidFill>
          </w14:textFill>
        </w:rPr>
        <w:t>10.5承包人的合理化建议</w:t>
      </w:r>
      <w:bookmarkEnd w:id="622"/>
      <w:bookmarkEnd w:id="623"/>
      <w:bookmarkEnd w:id="624"/>
    </w:p>
    <w:p w14:paraId="2FF3D83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监理人审查承包人合理化建议的期限：</w:t>
      </w:r>
      <w:r>
        <w:rPr>
          <w:rFonts w:hint="eastAsia" w:ascii="宋体" w:hAnsi="宋体"/>
          <w:color w:val="000000" w:themeColor="text1"/>
          <w:szCs w:val="21"/>
          <w:highlight w:val="none"/>
          <w:u w:val="single"/>
          <w14:textFill>
            <w14:solidFill>
              <w14:schemeClr w14:val="tx1"/>
            </w14:solidFill>
          </w14:textFill>
        </w:rPr>
        <w:t>按通用条款10.5执行</w:t>
      </w:r>
      <w:r>
        <w:rPr>
          <w:rFonts w:hint="eastAsia" w:ascii="宋体" w:hAnsi="宋体"/>
          <w:color w:val="000000" w:themeColor="text1"/>
          <w:szCs w:val="21"/>
          <w:highlight w:val="none"/>
          <w14:textFill>
            <w14:solidFill>
              <w14:schemeClr w14:val="tx1"/>
            </w14:solidFill>
          </w14:textFill>
        </w:rPr>
        <w:t>。</w:t>
      </w:r>
    </w:p>
    <w:p w14:paraId="2A53E27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发包人审批承包人合理化建议的期限：</w:t>
      </w:r>
      <w:r>
        <w:rPr>
          <w:rFonts w:hint="eastAsia" w:ascii="宋体" w:hAnsi="宋体"/>
          <w:color w:val="000000" w:themeColor="text1"/>
          <w:szCs w:val="21"/>
          <w:highlight w:val="none"/>
          <w:u w:val="single"/>
          <w14:textFill>
            <w14:solidFill>
              <w14:schemeClr w14:val="tx1"/>
            </w14:solidFill>
          </w14:textFill>
        </w:rPr>
        <w:t>按通用条款10.5执行</w:t>
      </w:r>
      <w:r>
        <w:rPr>
          <w:rFonts w:hint="eastAsia" w:ascii="宋体" w:hAnsi="宋体"/>
          <w:color w:val="000000" w:themeColor="text1"/>
          <w:szCs w:val="21"/>
          <w:highlight w:val="none"/>
          <w14:textFill>
            <w14:solidFill>
              <w14:schemeClr w14:val="tx1"/>
            </w14:solidFill>
          </w14:textFill>
        </w:rPr>
        <w:t>。</w:t>
      </w:r>
    </w:p>
    <w:p w14:paraId="6A9CFCF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承包人提出的合理化建议降低了合同价格或者提高了工程经济效益的奖励的方法和金额为：</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19DA46E9">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25" w:name="_Toc217642346"/>
      <w:bookmarkStart w:id="626" w:name="_Toc22971"/>
      <w:bookmarkStart w:id="627" w:name="_Toc166155277"/>
      <w:r>
        <w:rPr>
          <w:rFonts w:hint="eastAsia" w:ascii="黑体" w:hAnsi="黑体"/>
          <w:b/>
          <w:bCs/>
          <w:color w:val="000000" w:themeColor="text1"/>
          <w:sz w:val="32"/>
          <w:szCs w:val="32"/>
          <w:highlight w:val="none"/>
          <w14:textFill>
            <w14:solidFill>
              <w14:schemeClr w14:val="tx1"/>
            </w14:solidFill>
          </w14:textFill>
        </w:rPr>
        <w:t>10.7暂估价</w:t>
      </w:r>
      <w:bookmarkEnd w:id="625"/>
      <w:bookmarkEnd w:id="626"/>
      <w:bookmarkEnd w:id="627"/>
    </w:p>
    <w:p w14:paraId="0AF5401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暂估价材料和工程设备的明细详见已标价工程量清单《材料（工程设备）暂估价格及调整表》（表12-2）和《专业工程暂估价表》（表12-3）。</w:t>
      </w:r>
    </w:p>
    <w:p w14:paraId="6D787AA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10.7.1依法必须招标的暂估价项目</w:t>
      </w:r>
    </w:p>
    <w:p w14:paraId="6200C4D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对于依法必须招标的暂估价项目的确认和批准采取第</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种方式确定。</w:t>
      </w:r>
    </w:p>
    <w:p w14:paraId="7311EED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10.7.2不属于依法必须招标的暂估价项目</w:t>
      </w:r>
    </w:p>
    <w:p w14:paraId="694C14B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对于不属于依法必须招标的暂估价项目的确认和批准采取第</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种方式确定。</w:t>
      </w:r>
    </w:p>
    <w:p w14:paraId="3F0BB42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第3种方式：承包人直接实施的暂估价项目</w:t>
      </w:r>
    </w:p>
    <w:p w14:paraId="251611B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承包人直接实施的暂估价项目的约定：</w:t>
      </w:r>
      <w:r>
        <w:rPr>
          <w:rFonts w:hint="eastAsia" w:ascii="宋体" w:hAnsi="宋体"/>
          <w:color w:val="000000" w:themeColor="text1"/>
          <w:szCs w:val="21"/>
          <w:highlight w:val="none"/>
          <w:u w:val="single"/>
          <w14:textFill>
            <w14:solidFill>
              <w14:schemeClr w14:val="tx1"/>
            </w14:solidFill>
          </w14:textFill>
        </w:rPr>
        <w:t>报经发包人同意之后方可实施</w:t>
      </w:r>
      <w:r>
        <w:rPr>
          <w:rFonts w:hint="eastAsia" w:ascii="宋体" w:hAnsi="宋体"/>
          <w:color w:val="000000" w:themeColor="text1"/>
          <w:szCs w:val="21"/>
          <w:highlight w:val="none"/>
          <w14:textFill>
            <w14:solidFill>
              <w14:schemeClr w14:val="tx1"/>
            </w14:solidFill>
          </w14:textFill>
        </w:rPr>
        <w:t>。</w:t>
      </w:r>
    </w:p>
    <w:p w14:paraId="2AB3DE4A">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28" w:name="_Toc23182"/>
      <w:bookmarkStart w:id="629" w:name="_Toc217642347"/>
      <w:bookmarkStart w:id="630" w:name="_Toc166155278"/>
      <w:r>
        <w:rPr>
          <w:rFonts w:hint="eastAsia" w:ascii="黑体" w:hAnsi="黑体"/>
          <w:b/>
          <w:bCs/>
          <w:color w:val="000000" w:themeColor="text1"/>
          <w:sz w:val="32"/>
          <w:szCs w:val="32"/>
          <w:highlight w:val="none"/>
          <w14:textFill>
            <w14:solidFill>
              <w14:schemeClr w14:val="tx1"/>
            </w14:solidFill>
          </w14:textFill>
        </w:rPr>
        <w:t>10.8暂列金额</w:t>
      </w:r>
      <w:bookmarkEnd w:id="628"/>
      <w:bookmarkEnd w:id="629"/>
      <w:bookmarkEnd w:id="630"/>
    </w:p>
    <w:p w14:paraId="0EA4B10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合同当事人关于暂列金额使用的约定：</w:t>
      </w:r>
      <w:r>
        <w:rPr>
          <w:rFonts w:hint="eastAsia" w:ascii="宋体" w:hAnsi="宋体"/>
          <w:color w:val="000000" w:themeColor="text1"/>
          <w:szCs w:val="21"/>
          <w:highlight w:val="none"/>
          <w:u w:val="single"/>
          <w14:textFill>
            <w14:solidFill>
              <w14:schemeClr w14:val="tx1"/>
            </w14:solidFill>
          </w14:textFill>
        </w:rPr>
        <w:t>以发包人要求为准，内容详见工程量清单</w:t>
      </w:r>
      <w:r>
        <w:rPr>
          <w:rFonts w:hint="eastAsia" w:ascii="宋体" w:hAnsi="宋体"/>
          <w:color w:val="000000" w:themeColor="text1"/>
          <w:szCs w:val="21"/>
          <w:highlight w:val="none"/>
          <w14:textFill>
            <w14:solidFill>
              <w14:schemeClr w14:val="tx1"/>
            </w14:solidFill>
          </w14:textFill>
        </w:rPr>
        <w:t>。</w:t>
      </w:r>
    </w:p>
    <w:p w14:paraId="7B1DF087">
      <w:pPr>
        <w:keepNext/>
        <w:keepLines/>
        <w:spacing w:before="260" w:after="260" w:line="412" w:lineRule="auto"/>
        <w:outlineLvl w:val="1"/>
        <w:rPr>
          <w:rFonts w:ascii="黑体" w:hAnsi="黑体" w:eastAsia="黑体"/>
          <w:b/>
          <w:color w:val="000000" w:themeColor="text1"/>
          <w:sz w:val="32"/>
          <w:szCs w:val="20"/>
          <w:highlight w:val="none"/>
          <w14:textFill>
            <w14:solidFill>
              <w14:schemeClr w14:val="tx1"/>
            </w14:solidFill>
          </w14:textFill>
        </w:rPr>
      </w:pPr>
      <w:bookmarkStart w:id="631" w:name="_Toc166155279"/>
      <w:bookmarkStart w:id="632" w:name="_Toc31781"/>
      <w:bookmarkStart w:id="633" w:name="_Toc217642348"/>
      <w:r>
        <w:rPr>
          <w:rFonts w:hint="eastAsia" w:ascii="黑体" w:hAnsi="黑体" w:eastAsia="黑体"/>
          <w:b/>
          <w:color w:val="000000" w:themeColor="text1"/>
          <w:sz w:val="32"/>
          <w:szCs w:val="20"/>
          <w:highlight w:val="none"/>
          <w14:textFill>
            <w14:solidFill>
              <w14:schemeClr w14:val="tx1"/>
            </w14:solidFill>
          </w14:textFill>
        </w:rPr>
        <w:t>11.价格调整</w:t>
      </w:r>
      <w:bookmarkEnd w:id="631"/>
      <w:bookmarkEnd w:id="632"/>
      <w:bookmarkEnd w:id="633"/>
    </w:p>
    <w:p w14:paraId="3612CDA4">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34" w:name="_Toc217642349"/>
      <w:bookmarkStart w:id="635" w:name="_Toc1374"/>
      <w:bookmarkStart w:id="636" w:name="_Toc166155280"/>
      <w:r>
        <w:rPr>
          <w:rFonts w:hint="eastAsia" w:ascii="黑体" w:hAnsi="黑体"/>
          <w:b/>
          <w:bCs/>
          <w:color w:val="000000" w:themeColor="text1"/>
          <w:sz w:val="32"/>
          <w:szCs w:val="32"/>
          <w:highlight w:val="none"/>
          <w14:textFill>
            <w14:solidFill>
              <w14:schemeClr w14:val="tx1"/>
            </w14:solidFill>
          </w14:textFill>
        </w:rPr>
        <w:t>11.1市场价格波动引起的调整</w:t>
      </w:r>
      <w:bookmarkEnd w:id="634"/>
      <w:bookmarkEnd w:id="635"/>
      <w:bookmarkEnd w:id="636"/>
    </w:p>
    <w:p w14:paraId="4458980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①法律变化引起的调整；</w:t>
      </w:r>
    </w:p>
    <w:p w14:paraId="30B50D7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②工程变更、项目特征不符、工程量清单缺项、工程量偏差引起的调整；</w:t>
      </w:r>
    </w:p>
    <w:p w14:paraId="57C2700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③计日工引起的调整。</w:t>
      </w:r>
    </w:p>
    <w:p w14:paraId="735E5A1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市场价格波动是否调整合同价格的约定：</w:t>
      </w:r>
      <w:r>
        <w:rPr>
          <w:rFonts w:hint="eastAsia" w:ascii="宋体" w:hAnsi="宋体"/>
          <w:color w:val="000000" w:themeColor="text1"/>
          <w:szCs w:val="21"/>
          <w:highlight w:val="none"/>
          <w:u w:val="single"/>
          <w14:textFill>
            <w14:solidFill>
              <w14:schemeClr w14:val="tx1"/>
            </w14:solidFill>
          </w14:textFill>
        </w:rPr>
        <w:t>第三种方式</w:t>
      </w:r>
      <w:r>
        <w:rPr>
          <w:rFonts w:hint="eastAsia" w:ascii="宋体" w:hAnsi="宋体"/>
          <w:color w:val="000000" w:themeColor="text1"/>
          <w:szCs w:val="21"/>
          <w:highlight w:val="none"/>
          <w14:textFill>
            <w14:solidFill>
              <w14:schemeClr w14:val="tx1"/>
            </w14:solidFill>
          </w14:textFill>
        </w:rPr>
        <w:t>。</w:t>
      </w:r>
    </w:p>
    <w:p w14:paraId="73F8A0A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因市场价格波动调整合同价格，采用以下第</w:t>
      </w:r>
      <w:r>
        <w:rPr>
          <w:rFonts w:hint="eastAsia" w:ascii="宋体" w:hAnsi="宋体"/>
          <w:color w:val="000000" w:themeColor="text1"/>
          <w:szCs w:val="21"/>
          <w:highlight w:val="none"/>
          <w:u w:val="singl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种方式对合同价格进行调整：</w:t>
      </w:r>
    </w:p>
    <w:p w14:paraId="1BB91C0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第1种方式：采用价格指数进行价格调整。</w:t>
      </w:r>
    </w:p>
    <w:p w14:paraId="25A1A12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关于各可调因子、定值和变值权重，以及基本价格指数及其来源的约定：   ；</w:t>
      </w:r>
    </w:p>
    <w:p w14:paraId="2FFC53B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第2种方式：采用造价信息进行价格调整。</w:t>
      </w:r>
    </w:p>
    <w:p w14:paraId="63FDD49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（1）允许调整的主要材料和设备、基期价格、风险系数、竞标报价：详见《承包人提供主要材料和设备一览表》，价差调整部分仅计算税金，除此表列明的材料、设备外，其余材料设备价差原则上不予调整。</w:t>
      </w:r>
    </w:p>
    <w:p w14:paraId="6BBB3DB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（2）主要材料和设备确认价：</w:t>
      </w:r>
    </w:p>
    <w:p w14:paraId="201B839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按施工期间《南宁市建设工程造价信息》加权平均计算，信息价没有的按通用条款规定确定。</w:t>
      </w:r>
    </w:p>
    <w:p w14:paraId="300F019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（3）价差计算方法：</w:t>
      </w:r>
    </w:p>
    <w:p w14:paraId="231FCB3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承包人提供主要材料和设备一览表》中载明的材料和设备竞标报价低于基准价格的：合同履行期间材料和设备单价涨幅以基准价格为基础超过约定的风险范围时，或材料和设备单价跌幅以竞标报价为基础超过约定的风险范围时，对其超过部分进行价差调整，价差计算公式：价格上涨价差=确认价-基准单价*（1+风险系数），价格下跌价差=确认价-竞标报价*（1+风险系数）。</w:t>
      </w:r>
    </w:p>
    <w:p w14:paraId="2496230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承包人在《承包人提供主要材料和设备一览表》中载明的材料和设备竞标报价高于基准价格的：合同履行期间材料和设备单价跌幅以基准价格为基础超过约定的风险范围时，或材料和设备单价涨幅以竞标报价为基础超过约定的风险范围时，对其超过部分进行价差调整。价差计算公式：价格上涨价差=确认价-竞标报价*（1+风险系数），价格下跌价差=确认价-基准价*（1+风险系数。）</w:t>
      </w:r>
    </w:p>
    <w:p w14:paraId="56D0BA0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承包人在《承包人提供主要材料和设备一览表》中载明的材料和设备单价等于基准单价的：合同履行期间材料和设备单价涨跌幅以基准单价为基础超过约定的风险范围时，其超过部分据实调整。价差计算公式：上涨或下跌价差=确认价-基准单价*（1+风险系数）</w:t>
      </w:r>
    </w:p>
    <w:p w14:paraId="65E93331">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第3种方式：</w:t>
      </w:r>
      <w:r>
        <w:rPr>
          <w:rFonts w:hint="eastAsia" w:ascii="宋体" w:hAnsi="宋体"/>
          <w:color w:val="000000" w:themeColor="text1"/>
          <w:szCs w:val="21"/>
          <w:highlight w:val="none"/>
          <w:u w:val="single"/>
          <w14:textFill>
            <w14:solidFill>
              <w14:schemeClr w14:val="tx1"/>
            </w14:solidFill>
          </w14:textFill>
        </w:rPr>
        <w:t>其他价格调整方式：除合同约定可以调整的主要材料外，材料单价在合同实施期间不因市场价格变化因素而变动，因征地拆迁影响及重大设计变更等发包人的原因，在招标后延迟开工或中途停建重新复工的施工工期内，主要材料涨跌的调整幅度按南重点办【2014】29号文执行。</w:t>
      </w:r>
    </w:p>
    <w:p w14:paraId="37FA29B7">
      <w:pPr>
        <w:keepNext/>
        <w:keepLines/>
        <w:spacing w:before="260" w:after="260" w:line="412" w:lineRule="auto"/>
        <w:outlineLvl w:val="1"/>
        <w:rPr>
          <w:rFonts w:ascii="黑体" w:hAnsi="黑体" w:eastAsia="黑体"/>
          <w:b/>
          <w:color w:val="000000" w:themeColor="text1"/>
          <w:sz w:val="32"/>
          <w:szCs w:val="20"/>
          <w:highlight w:val="none"/>
          <w14:textFill>
            <w14:solidFill>
              <w14:schemeClr w14:val="tx1"/>
            </w14:solidFill>
          </w14:textFill>
        </w:rPr>
      </w:pPr>
      <w:bookmarkStart w:id="637" w:name="_Toc20777"/>
      <w:bookmarkStart w:id="638" w:name="_Toc217642350"/>
      <w:bookmarkStart w:id="639" w:name="_Toc166155281"/>
      <w:r>
        <w:rPr>
          <w:rFonts w:hint="eastAsia" w:ascii="黑体" w:hAnsi="黑体" w:eastAsia="黑体"/>
          <w:b/>
          <w:color w:val="000000" w:themeColor="text1"/>
          <w:sz w:val="32"/>
          <w:szCs w:val="20"/>
          <w:highlight w:val="none"/>
          <w14:textFill>
            <w14:solidFill>
              <w14:schemeClr w14:val="tx1"/>
            </w14:solidFill>
          </w14:textFill>
        </w:rPr>
        <w:t>12.合同价格、计量与支付</w:t>
      </w:r>
      <w:bookmarkEnd w:id="637"/>
      <w:bookmarkEnd w:id="638"/>
      <w:bookmarkEnd w:id="639"/>
    </w:p>
    <w:p w14:paraId="16A29709">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40" w:name="_Toc217642351"/>
      <w:bookmarkStart w:id="641" w:name="_Toc25361"/>
      <w:bookmarkStart w:id="642" w:name="_Toc166155282"/>
      <w:r>
        <w:rPr>
          <w:rFonts w:hint="eastAsia" w:ascii="黑体" w:hAnsi="黑体"/>
          <w:b/>
          <w:bCs/>
          <w:color w:val="000000" w:themeColor="text1"/>
          <w:sz w:val="32"/>
          <w:szCs w:val="32"/>
          <w:highlight w:val="none"/>
          <w14:textFill>
            <w14:solidFill>
              <w14:schemeClr w14:val="tx1"/>
            </w14:solidFill>
          </w14:textFill>
        </w:rPr>
        <w:t>12.1合同价格形式</w:t>
      </w:r>
      <w:bookmarkEnd w:id="640"/>
      <w:bookmarkEnd w:id="641"/>
      <w:bookmarkEnd w:id="642"/>
    </w:p>
    <w:p w14:paraId="7582A2D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本工程采用</w:t>
      </w:r>
      <w:r>
        <w:rPr>
          <w:rFonts w:hint="eastAsia" w:ascii="宋体" w:hAnsi="宋体"/>
          <w:color w:val="000000" w:themeColor="text1"/>
          <w:szCs w:val="21"/>
          <w:highlight w:val="none"/>
          <w:u w:val="single"/>
          <w14:textFill>
            <w14:solidFill>
              <w14:schemeClr w14:val="tx1"/>
            </w14:solidFill>
          </w14:textFill>
        </w:rPr>
        <w:t>固定综合单价</w:t>
      </w:r>
      <w:r>
        <w:rPr>
          <w:rFonts w:hint="eastAsia" w:ascii="宋体" w:hAnsi="宋体"/>
          <w:color w:val="000000" w:themeColor="text1"/>
          <w:szCs w:val="21"/>
          <w:highlight w:val="none"/>
          <w14:textFill>
            <w14:solidFill>
              <w14:schemeClr w14:val="tx1"/>
            </w14:solidFill>
          </w14:textFill>
        </w:rPr>
        <w:t>合同价格形式，合同价格包含增值税，本工程计价时采用的增值税计税方法为：</w:t>
      </w:r>
      <w:r>
        <w:rPr>
          <w:rFonts w:ascii="Wingdings 2" w:hAnsi="Wingdings 2"/>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一般计税法□简易计税法。</w:t>
      </w:r>
    </w:p>
    <w:p w14:paraId="3590720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（1）单价合同。</w:t>
      </w:r>
    </w:p>
    <w:p w14:paraId="1C7F811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采用综合单价合同方式时，工程量按建设单位、施工单位三方确认的竣工图结算。固定综合单价包含的风险范围：</w:t>
      </w:r>
      <w:r>
        <w:rPr>
          <w:rFonts w:hint="eastAsia" w:ascii="宋体" w:hAnsi="宋体"/>
          <w:color w:val="000000" w:themeColor="text1"/>
          <w:szCs w:val="21"/>
          <w:highlight w:val="none"/>
          <w:u w:val="single"/>
          <w14:textFill>
            <w14:solidFill>
              <w14:schemeClr w14:val="tx1"/>
            </w14:solidFill>
          </w14:textFill>
        </w:rPr>
        <w:t>除工程变更、项目特征不符、工程量清单缺项、工程量偏差、政策性调整、本工程《承包人提供主要材料和设备一览表》中约定的材料和设备价格变动风险以外的其他风险因素</w:t>
      </w:r>
      <w:r>
        <w:rPr>
          <w:rFonts w:hint="eastAsia" w:ascii="宋体" w:hAnsi="宋体"/>
          <w:color w:val="000000" w:themeColor="text1"/>
          <w:szCs w:val="21"/>
          <w:highlight w:val="none"/>
          <w14:textFill>
            <w14:solidFill>
              <w14:schemeClr w14:val="tx1"/>
            </w14:solidFill>
          </w14:textFill>
        </w:rPr>
        <w:t>。</w:t>
      </w:r>
    </w:p>
    <w:p w14:paraId="548079A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风险范围以外合同价款调整方法：</w:t>
      </w:r>
    </w:p>
    <w:p w14:paraId="4433F60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（1）工程变更、项目特征不符、工程量清单缺项：按10.4.1变更估价原则的约定调整。</w:t>
      </w:r>
    </w:p>
    <w:p w14:paraId="3447CAF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（2）工程量偏差：按1.13工程量清单错误修正的约定调整。</w:t>
      </w:r>
    </w:p>
    <w:p w14:paraId="0B17FEF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（3）政策性调整：</w:t>
      </w:r>
      <w:r>
        <w:rPr>
          <w:rFonts w:hint="eastAsia" w:ascii="宋体" w:hAnsi="宋体"/>
          <w:color w:val="000000" w:themeColor="text1"/>
          <w:szCs w:val="21"/>
          <w:highlight w:val="none"/>
          <w:u w:val="single"/>
          <w14:textFill>
            <w14:solidFill>
              <w14:schemeClr w14:val="tx1"/>
            </w14:solidFill>
          </w14:textFill>
        </w:rPr>
        <w:t>按自治区住房和城乡建设厅或工程所在地住房城乡建设主管部门颁布的文件执行</w:t>
      </w:r>
      <w:r>
        <w:rPr>
          <w:rFonts w:hint="eastAsia" w:ascii="宋体" w:hAnsi="宋体"/>
          <w:color w:val="000000" w:themeColor="text1"/>
          <w:szCs w:val="21"/>
          <w:highlight w:val="none"/>
          <w14:textFill>
            <w14:solidFill>
              <w14:schemeClr w14:val="tx1"/>
            </w14:solidFill>
          </w14:textFill>
        </w:rPr>
        <w:t>。</w:t>
      </w:r>
    </w:p>
    <w:p w14:paraId="6496D9B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（4）市场波动引起的调整：按11.1的约定调整。</w:t>
      </w:r>
    </w:p>
    <w:p w14:paraId="368C123B">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43" w:name="_Toc166155283"/>
      <w:bookmarkStart w:id="644" w:name="_Toc2666"/>
      <w:bookmarkStart w:id="645" w:name="_Toc217642352"/>
      <w:r>
        <w:rPr>
          <w:rFonts w:hint="eastAsia" w:ascii="黑体" w:hAnsi="黑体"/>
          <w:b/>
          <w:bCs/>
          <w:color w:val="000000" w:themeColor="text1"/>
          <w:sz w:val="32"/>
          <w:szCs w:val="32"/>
          <w:highlight w:val="none"/>
          <w14:textFill>
            <w14:solidFill>
              <w14:schemeClr w14:val="tx1"/>
            </w14:solidFill>
          </w14:textFill>
        </w:rPr>
        <w:t>12.2预付款</w:t>
      </w:r>
      <w:bookmarkEnd w:id="643"/>
      <w:bookmarkEnd w:id="644"/>
      <w:bookmarkEnd w:id="645"/>
    </w:p>
    <w:p w14:paraId="4D0A77C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12.2.1预付款的支付</w:t>
      </w:r>
    </w:p>
    <w:p w14:paraId="3151F96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预付款支付比例或金额：</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67959BC6">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预付款支付期限：</w:t>
      </w:r>
      <w:r>
        <w:rPr>
          <w:rFonts w:hint="eastAsia" w:ascii="宋体" w:hAnsi="宋体"/>
          <w:color w:val="000000" w:themeColor="text1"/>
          <w:szCs w:val="21"/>
          <w:highlight w:val="none"/>
          <w:u w:val="single"/>
          <w14:textFill>
            <w14:solidFill>
              <w14:schemeClr w14:val="tx1"/>
            </w14:solidFill>
          </w14:textFill>
        </w:rPr>
        <w:t>无。</w:t>
      </w:r>
    </w:p>
    <w:p w14:paraId="34F7FB8F">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预付款扣回的方式：</w:t>
      </w:r>
      <w:r>
        <w:rPr>
          <w:rFonts w:hint="eastAsia" w:ascii="宋体" w:hAnsi="宋体"/>
          <w:color w:val="000000" w:themeColor="text1"/>
          <w:szCs w:val="21"/>
          <w:highlight w:val="none"/>
          <w:u w:val="single"/>
          <w14:textFill>
            <w14:solidFill>
              <w14:schemeClr w14:val="tx1"/>
            </w14:solidFill>
          </w14:textFill>
        </w:rPr>
        <w:t>无。</w:t>
      </w:r>
    </w:p>
    <w:p w14:paraId="4C70D71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12.2.2预付款担保</w:t>
      </w:r>
    </w:p>
    <w:p w14:paraId="0F6A9B8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承包人提交预付款担保的期限：</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2F40FD8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预付款担保的形式为：</w:t>
      </w:r>
      <w:r>
        <w:rPr>
          <w:rFonts w:hint="eastAsia" w:ascii="宋体" w:hAnsi="宋体"/>
          <w:color w:val="000000" w:themeColor="text1"/>
          <w:szCs w:val="21"/>
          <w:highlight w:val="none"/>
          <w:u w:val="single"/>
          <w:lang w:val="en-US" w:eastAsia="zh-CN"/>
          <w14:textFill>
            <w14:solidFill>
              <w14:schemeClr w14:val="tx1"/>
            </w14:solidFill>
          </w14:textFill>
        </w:rPr>
        <w:t>/</w:t>
      </w:r>
      <w:r>
        <w:rPr>
          <w:rFonts w:hint="eastAsia" w:ascii="宋体" w:hAnsi="宋体"/>
          <w:color w:val="000000" w:themeColor="text1"/>
          <w:szCs w:val="21"/>
          <w:highlight w:val="none"/>
          <w:u w:val="none"/>
          <w14:textFill>
            <w14:solidFill>
              <w14:schemeClr w14:val="tx1"/>
            </w14:solidFill>
          </w14:textFill>
        </w:rPr>
        <w:t>。</w:t>
      </w:r>
    </w:p>
    <w:p w14:paraId="28B49949">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46" w:name="_Toc217642353"/>
      <w:bookmarkStart w:id="647" w:name="_Toc1631"/>
      <w:bookmarkStart w:id="648" w:name="_Toc166155284"/>
      <w:r>
        <w:rPr>
          <w:rFonts w:hint="eastAsia" w:ascii="黑体" w:hAnsi="黑体"/>
          <w:b/>
          <w:bCs/>
          <w:color w:val="000000" w:themeColor="text1"/>
          <w:sz w:val="32"/>
          <w:szCs w:val="32"/>
          <w:highlight w:val="none"/>
          <w14:textFill>
            <w14:solidFill>
              <w14:schemeClr w14:val="tx1"/>
            </w14:solidFill>
          </w14:textFill>
        </w:rPr>
        <w:t>12.3计量</w:t>
      </w:r>
      <w:bookmarkEnd w:id="646"/>
      <w:bookmarkEnd w:id="647"/>
      <w:bookmarkEnd w:id="648"/>
    </w:p>
    <w:p w14:paraId="51492B0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12.3.1计量原则</w:t>
      </w:r>
    </w:p>
    <w:p w14:paraId="20A991B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工程量计算规则：</w:t>
      </w:r>
      <w:r>
        <w:rPr>
          <w:rFonts w:hint="eastAsia" w:ascii="宋体" w:hAnsi="宋体"/>
          <w:color w:val="000000" w:themeColor="text1"/>
          <w:szCs w:val="21"/>
          <w:highlight w:val="none"/>
          <w:u w:val="single"/>
          <w14:textFill>
            <w14:solidFill>
              <w14:schemeClr w14:val="tx1"/>
            </w14:solidFill>
          </w14:textFill>
        </w:rPr>
        <w:t>工程的计量均以《建设工程工程量清单计价规范》（GB50500－2013）及其广西壮族自治区实施细则、《建设工程工程量清单计算规范》（GB50854~50862－2013）及其广西实施细则、本工程补充项目清单为准</w:t>
      </w:r>
      <w:r>
        <w:rPr>
          <w:rFonts w:hint="eastAsia" w:ascii="宋体" w:hAnsi="宋体"/>
          <w:color w:val="000000" w:themeColor="text1"/>
          <w:szCs w:val="21"/>
          <w:highlight w:val="none"/>
          <w14:textFill>
            <w14:solidFill>
              <w14:schemeClr w14:val="tx1"/>
            </w14:solidFill>
          </w14:textFill>
        </w:rPr>
        <w:t>。</w:t>
      </w:r>
    </w:p>
    <w:p w14:paraId="771DB48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12.3.2计量周期</w:t>
      </w:r>
    </w:p>
    <w:p w14:paraId="3D1053F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关于计量周期的约定：</w:t>
      </w:r>
      <w:r>
        <w:rPr>
          <w:rFonts w:hint="eastAsia" w:ascii="宋体" w:hAnsi="宋体"/>
          <w:color w:val="000000" w:themeColor="text1"/>
          <w:szCs w:val="21"/>
          <w:highlight w:val="none"/>
          <w:u w:val="single"/>
          <w14:textFill>
            <w14:solidFill>
              <w14:schemeClr w14:val="tx1"/>
            </w14:solidFill>
          </w14:textFill>
        </w:rPr>
        <w:t>每月25日前</w:t>
      </w:r>
      <w:r>
        <w:rPr>
          <w:rFonts w:hint="eastAsia" w:ascii="宋体" w:hAnsi="宋体"/>
          <w:color w:val="000000" w:themeColor="text1"/>
          <w:szCs w:val="21"/>
          <w:highlight w:val="none"/>
          <w14:textFill>
            <w14:solidFill>
              <w14:schemeClr w14:val="tx1"/>
            </w14:solidFill>
          </w14:textFill>
        </w:rPr>
        <w:t>。</w:t>
      </w:r>
    </w:p>
    <w:p w14:paraId="4555AC6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12.3.3单价合同的计量</w:t>
      </w:r>
    </w:p>
    <w:p w14:paraId="74E27A0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关于单价合同计量的约定：</w:t>
      </w:r>
    </w:p>
    <w:p w14:paraId="3BB85A2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u w:val="single"/>
          <w14:textFill>
            <w14:solidFill>
              <w14:schemeClr w14:val="tx1"/>
            </w14:solidFill>
          </w14:textFill>
        </w:rPr>
        <w:t>工程量清单所列的工程量，不能作为承包人按合同履行其责任依据，实际施工中发生的工程量增加或减少并不影响承包人履行合同的责任，工程结算以完成的实际工程量为准</w:t>
      </w:r>
      <w:r>
        <w:rPr>
          <w:rFonts w:hint="eastAsia" w:ascii="宋体" w:hAnsi="宋体"/>
          <w:color w:val="000000" w:themeColor="text1"/>
          <w:szCs w:val="21"/>
          <w:highlight w:val="none"/>
          <w14:textFill>
            <w14:solidFill>
              <w14:schemeClr w14:val="tx1"/>
            </w14:solidFill>
          </w14:textFill>
        </w:rPr>
        <w:t>。</w:t>
      </w:r>
    </w:p>
    <w:p w14:paraId="2328090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（2）除另有规定外，工程师应按照合同通过计量来核实确定已完成的工程量和价值，承包人应得到该价值扣除保留金后的价款。当工程师要对已完工的工程量进行计量时，应适时地通知承包人参加。</w:t>
      </w:r>
    </w:p>
    <w:p w14:paraId="49FA8F3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12.3.4总价合同的计量</w:t>
      </w:r>
    </w:p>
    <w:p w14:paraId="7AADDC2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（1）总价合同计量约定：进度款按支付分解表支付，支付分解表在招标完成后签合同之前制定，具体详见本专用合同条款12.4.6。</w:t>
      </w:r>
    </w:p>
    <w:p w14:paraId="3F857F8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12.3.6其他价格形式合同的计量</w:t>
      </w:r>
    </w:p>
    <w:p w14:paraId="077FBB5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其他价格形式的计量方式和程序：</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1069FB25">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49" w:name="_Toc166155285"/>
      <w:bookmarkStart w:id="650" w:name="_Toc24820"/>
      <w:bookmarkStart w:id="651" w:name="_Toc217642354"/>
      <w:r>
        <w:rPr>
          <w:rFonts w:hint="eastAsia" w:ascii="黑体" w:hAnsi="黑体"/>
          <w:b/>
          <w:bCs/>
          <w:color w:val="000000" w:themeColor="text1"/>
          <w:sz w:val="32"/>
          <w:szCs w:val="32"/>
          <w:highlight w:val="none"/>
          <w14:textFill>
            <w14:solidFill>
              <w14:schemeClr w14:val="tx1"/>
            </w14:solidFill>
          </w14:textFill>
        </w:rPr>
        <w:t>12.4工程进度款支付</w:t>
      </w:r>
      <w:bookmarkEnd w:id="649"/>
      <w:bookmarkEnd w:id="650"/>
      <w:bookmarkEnd w:id="651"/>
    </w:p>
    <w:p w14:paraId="6F4743E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12.4.1付款周期</w:t>
      </w:r>
    </w:p>
    <w:p w14:paraId="6549C65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付款方式及条件：</w:t>
      </w:r>
      <w:r>
        <w:rPr>
          <w:rFonts w:hint="eastAsia" w:ascii="宋体" w:hAnsi="宋体" w:eastAsia="宋体" w:cs="宋体"/>
          <w:color w:val="000000" w:themeColor="text1"/>
          <w:sz w:val="21"/>
          <w:szCs w:val="21"/>
          <w:highlight w:val="none"/>
          <w:lang w:val="en-US" w:eastAsia="zh-CN"/>
          <w14:textFill>
            <w14:solidFill>
              <w14:schemeClr w14:val="tx1"/>
            </w14:solidFill>
          </w14:textFill>
        </w:rPr>
        <w:t>本项目无预付款，工程款原则上按月支付，合同内进度款支付限额为已完成工程量的80%，工程变更部分进度款支付限额为已完成工程量的60%。工程完工验收达到质量要求，结算经相关部门审定后，工程款支付至结算总价的97%（含已支付的）。发包人按工程价款结算总额的 3%（最高不超过3%）预留工程质量保证金，待工程质量保修期满后返还。每次支付款项前，承包人需提供相应金额的增值税发票(质保金发票在合同款支付至97%时一并开具），否则，发包人有权相应顺延当期的付款时间。</w:t>
      </w:r>
      <w:r>
        <w:rPr>
          <w:rFonts w:hint="eastAsia" w:ascii="宋体" w:hAnsi="宋体"/>
          <w:color w:val="000000" w:themeColor="text1"/>
          <w:szCs w:val="21"/>
          <w:highlight w:val="none"/>
          <w:lang w:eastAsia="zh-CN"/>
          <w14:textFill>
            <w14:solidFill>
              <w14:schemeClr w14:val="tx1"/>
            </w14:solidFill>
          </w14:textFill>
        </w:rPr>
        <w:t>因财政资金拨付审批等非发包人原因导致逾期支付的，不视为发包人违约，发包人不承担逾期付款违约金。</w:t>
      </w:r>
    </w:p>
    <w:p w14:paraId="711D920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12.4.2进度付款申请单的编制</w:t>
      </w:r>
    </w:p>
    <w:p w14:paraId="77B0359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关于进度付款申请单编制的约定：</w:t>
      </w:r>
      <w:r>
        <w:rPr>
          <w:rFonts w:hint="eastAsia" w:ascii="宋体" w:hAnsi="宋体"/>
          <w:color w:val="000000" w:themeColor="text1"/>
          <w:szCs w:val="21"/>
          <w:highlight w:val="none"/>
          <w:u w:val="single"/>
          <w14:textFill>
            <w14:solidFill>
              <w14:schemeClr w14:val="tx1"/>
            </w14:solidFill>
          </w14:textFill>
        </w:rPr>
        <w:t>按通用条款12.4.2执行</w:t>
      </w:r>
      <w:r>
        <w:rPr>
          <w:rFonts w:hint="eastAsia" w:ascii="宋体" w:hAnsi="宋体"/>
          <w:color w:val="000000" w:themeColor="text1"/>
          <w:szCs w:val="21"/>
          <w:highlight w:val="none"/>
          <w14:textFill>
            <w14:solidFill>
              <w14:schemeClr w14:val="tx1"/>
            </w14:solidFill>
          </w14:textFill>
        </w:rPr>
        <w:t>。</w:t>
      </w:r>
    </w:p>
    <w:p w14:paraId="548AFA8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12.4.3进度付款申请单的提交</w:t>
      </w:r>
    </w:p>
    <w:p w14:paraId="79D0BBE7">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（1）单价合同进度付款申请单提交的约定：</w:t>
      </w:r>
      <w:r>
        <w:rPr>
          <w:rFonts w:hint="eastAsia" w:ascii="宋体" w:hAnsi="宋体"/>
          <w:color w:val="000000" w:themeColor="text1"/>
          <w:szCs w:val="21"/>
          <w:highlight w:val="none"/>
          <w:u w:val="single"/>
          <w14:textFill>
            <w14:solidFill>
              <w14:schemeClr w14:val="tx1"/>
            </w14:solidFill>
          </w14:textFill>
        </w:rPr>
        <w:t>承包人申请工程进度款时，承包人向发包人提供以下资料：①《工程用款支付证书》；②《财政性资金投资项目用款核定通知书》；③工程量计量报表（格式按财政局业务科室具体要求）。</w:t>
      </w:r>
    </w:p>
    <w:p w14:paraId="30F8FAC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（2）总价合同进度付款申请单提交的约定：</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0104E71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（3）其他价格形式合同进度付款申请单提交的约定：</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6566516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12.4.4进度款审核和支付</w:t>
      </w:r>
    </w:p>
    <w:p w14:paraId="761CD1C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（1）发包人完成审批并签发进度款支付证书的期限：发包人应在收到后7个工作日内完成审批并签发进度款支付证书。</w:t>
      </w:r>
    </w:p>
    <w:p w14:paraId="68F821A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（2）发包人支付进度款的期限：自收到承包人递交的申请单起15天内。</w:t>
      </w:r>
    </w:p>
    <w:p w14:paraId="4DF2B38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发包人逾期支付进度款的违约金的计算方式：无。</w:t>
      </w:r>
    </w:p>
    <w:p w14:paraId="355AFCC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进度款支付方式：银行转账。</w:t>
      </w:r>
    </w:p>
    <w:p w14:paraId="15CD030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（3）农民工工资支付</w:t>
      </w:r>
    </w:p>
    <w:p w14:paraId="2C44559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承包人在</w:t>
      </w:r>
      <w:r>
        <w:rPr>
          <w:rFonts w:hint="eastAsia" w:ascii="宋体" w:hAnsi="宋体"/>
          <w:color w:val="000000" w:themeColor="text1"/>
          <w:szCs w:val="21"/>
          <w:highlight w:val="none"/>
          <w:lang w:eastAsia="zh-CN"/>
          <w14:textFill>
            <w14:solidFill>
              <w14:schemeClr w14:val="tx1"/>
            </w14:solidFill>
          </w14:textFill>
        </w:rPr>
        <w:t>成交</w:t>
      </w:r>
      <w:r>
        <w:rPr>
          <w:rFonts w:hint="eastAsia" w:ascii="宋体" w:hAnsi="宋体"/>
          <w:color w:val="000000" w:themeColor="text1"/>
          <w:szCs w:val="21"/>
          <w:highlight w:val="none"/>
          <w14:textFill>
            <w14:solidFill>
              <w14:schemeClr w14:val="tx1"/>
            </w14:solidFill>
          </w14:textFill>
        </w:rPr>
        <w:t>后7个工作日内，按南宁市住房和城乡建设局（各市住房城乡建设行政主管部门）规定将农民工工资保证金存入账户。工程竣工验收结算经审定后，按照规定程序，将农民工工资保证金没有使用或剩余的金额退还给承包人。</w:t>
      </w:r>
    </w:p>
    <w:p w14:paraId="4684787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人工费应与工程进度款分账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账出来的人工费转入承包人农民工工资支付专用账户，转入农民工工资支付专用账户环节必须有银行流水凭证。</w:t>
      </w:r>
    </w:p>
    <w:p w14:paraId="5B116E9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3）发包人依据工程进度，审核承包人申报的工程进度款，将人工费及时足额拨付至承包人的农民工工资专用账户，其余工程进度款项由发包人支付到承包人的单位基本户。</w:t>
      </w:r>
    </w:p>
    <w:p w14:paraId="2E2947E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工程建设领域总包单位对农民工工资支付负总责，推行分包单位农民工工资委托总包单位代发制度（以下简称总包代发制度）。工程建设项目施行总包代发制度的，总包单位与分包单位签订委托工资支付协议。</w:t>
      </w:r>
    </w:p>
    <w:p w14:paraId="3AA2E19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5）凡未向付款单位提供农民工工资专用账户的，或者请款单位在申请工程进度款时未将人工费单列的，付款单位有权拒绝支付工程进度款。</w:t>
      </w:r>
    </w:p>
    <w:p w14:paraId="7339133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6）人工费使用要求：专款专用，除发放农民工工资外，不得用于其他用途。</w:t>
      </w:r>
    </w:p>
    <w:p w14:paraId="647E8CD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7）承包人将人工费支付情况定期报告发包人和监理单位，并提供相应的材料接受建设行政主管部门和劳动保障行政主管部门对此事项监管。</w:t>
      </w:r>
    </w:p>
    <w:p w14:paraId="6FCA178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8）人工费支付专用账户：</w:t>
      </w:r>
    </w:p>
    <w:p w14:paraId="290F902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户名：_______</w:t>
      </w:r>
      <w:r>
        <w:rPr>
          <w:rFonts w:hint="eastAsia" w:ascii="宋体" w:hAnsi="宋体"/>
          <w:color w:val="000000" w:themeColor="text1"/>
          <w:szCs w:val="21"/>
          <w:highlight w:val="none"/>
          <w:u w:val="single"/>
          <w14:textFill>
            <w14:solidFill>
              <w14:schemeClr w14:val="tx1"/>
            </w14:solidFill>
          </w14:textFill>
        </w:rPr>
        <w:t>农民工工资支付专用账户</w:t>
      </w:r>
    </w:p>
    <w:p w14:paraId="40F3C7D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账号：</w:t>
      </w:r>
      <w:r>
        <w:rPr>
          <w:rFonts w:ascii="宋体" w:hAnsi="宋体"/>
          <w:b/>
          <w:color w:val="000000" w:themeColor="text1"/>
          <w:szCs w:val="21"/>
          <w:highlight w:val="none"/>
          <w14:textFill>
            <w14:solidFill>
              <w14:schemeClr w14:val="tx1"/>
            </w14:solidFill>
          </w14:textFill>
        </w:rPr>
        <w:t>______</w:t>
      </w:r>
    </w:p>
    <w:p w14:paraId="14084C4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开户行：</w:t>
      </w:r>
      <w:r>
        <w:rPr>
          <w:rFonts w:ascii="宋体" w:hAnsi="宋体"/>
          <w:b/>
          <w:color w:val="000000" w:themeColor="text1"/>
          <w:szCs w:val="21"/>
          <w:highlight w:val="none"/>
          <w14:textFill>
            <w14:solidFill>
              <w14:schemeClr w14:val="tx1"/>
            </w14:solidFill>
          </w14:textFill>
        </w:rPr>
        <w:t>______</w:t>
      </w:r>
    </w:p>
    <w:p w14:paraId="5AD7874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联行号：</w:t>
      </w:r>
      <w:r>
        <w:rPr>
          <w:rFonts w:ascii="宋体" w:hAnsi="宋体"/>
          <w:b/>
          <w:color w:val="000000" w:themeColor="text1"/>
          <w:szCs w:val="21"/>
          <w:highlight w:val="none"/>
          <w14:textFill>
            <w14:solidFill>
              <w14:schemeClr w14:val="tx1"/>
            </w14:solidFill>
          </w14:textFill>
        </w:rPr>
        <w:t>______</w:t>
      </w:r>
    </w:p>
    <w:p w14:paraId="71789756">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9）本项目不允许转包分包，发包人不向除承包人以外的任何分包人农民工工资账户支付任何款项，也不向任何分包人的任何账户支付任何款项。</w:t>
      </w:r>
    </w:p>
    <w:p w14:paraId="27891D88">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10）承包人必须与包括农民工在内的所有雇用人员签订劳动合同，为雇佣人员购买工伤保险、医疗保险、意外伤害险等，并应及时足额支付劳动报酬，若发现承包人有非法用工或未及时足额支付雇用人员劳动报酬的，发包人有权拒绝支付承包人任何款项至承包人整改完毕为止。</w:t>
      </w:r>
    </w:p>
    <w:p w14:paraId="3C83493E">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11）承包人与雇佣人员发生劳动纠纷、工伤等情形的，均由承包人负责处理并承担相应的责任，与发包人无关；承包人不得以劳动纠纷或工人纠集闹事等任何理由提前预支任何款项。</w:t>
      </w:r>
    </w:p>
    <w:p w14:paraId="73AEEB60">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12）承包人不得以任何借口将承包人与包括农民工在内的雇用人员的劳酬纠纷引发的矛盾转嫁发包人，如果出现雇用人员聚众向发包方闹事的情形，承包人须按（人民币）</w:t>
      </w:r>
      <w:r>
        <w:rPr>
          <w:rFonts w:ascii="宋体" w:hAnsi="宋体"/>
          <w:color w:val="000000" w:themeColor="text1"/>
          <w:szCs w:val="21"/>
          <w:highlight w:val="none"/>
          <w:u w:val="single"/>
          <w14:textFill>
            <w14:solidFill>
              <w14:schemeClr w14:val="tx1"/>
            </w14:solidFill>
          </w14:textFill>
        </w:rPr>
        <w:t>1</w:t>
      </w:r>
      <w:r>
        <w:rPr>
          <w:rFonts w:hint="eastAsia" w:ascii="宋体" w:hAnsi="宋体"/>
          <w:color w:val="000000" w:themeColor="text1"/>
          <w:szCs w:val="21"/>
          <w:highlight w:val="none"/>
          <w:u w:val="single"/>
          <w14:textFill>
            <w14:solidFill>
              <w14:schemeClr w14:val="tx1"/>
            </w14:solidFill>
          </w14:textFill>
        </w:rPr>
        <w:t>万元/次的标准向发包人计付违约金，若因此造成发包人工作人员人身伤害、财产损毁的，承包人还须承担赔偿损失等法律责任。</w:t>
      </w:r>
    </w:p>
    <w:p w14:paraId="2B79E85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12.4.6支付分解表的编制</w:t>
      </w:r>
    </w:p>
    <w:p w14:paraId="2364CBFE">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（1）总价合同支付分解表的编制与审批：</w:t>
      </w:r>
      <w:r>
        <w:rPr>
          <w:rFonts w:hint="eastAsia" w:ascii="宋体" w:hAnsi="宋体"/>
          <w:color w:val="000000" w:themeColor="text1"/>
          <w:szCs w:val="21"/>
          <w:highlight w:val="none"/>
          <w:u w:val="single"/>
          <w14:textFill>
            <w14:solidFill>
              <w14:schemeClr w14:val="tx1"/>
            </w14:solidFill>
          </w14:textFill>
        </w:rPr>
        <w:t>总价合同支付分解表在招标完成后由发包人和承包人共同编制，由发包人审批，并作为本合同内容。</w:t>
      </w:r>
    </w:p>
    <w:p w14:paraId="417D513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（2）单价合同的总价项目支付分解表的编制与审批：总价项目不采用支付分解表的方式计算，而按《&lt;建设工程工程量清单计价规范（GB50500-2013）&gt;广西壮族自治区实施细则》的规定执行。</w:t>
      </w:r>
    </w:p>
    <w:p w14:paraId="3C87614B">
      <w:pPr>
        <w:keepNext/>
        <w:keepLines/>
        <w:spacing w:before="260" w:after="260" w:line="412" w:lineRule="auto"/>
        <w:outlineLvl w:val="1"/>
        <w:rPr>
          <w:rFonts w:ascii="黑体" w:hAnsi="黑体" w:eastAsia="黑体"/>
          <w:b/>
          <w:color w:val="000000" w:themeColor="text1"/>
          <w:sz w:val="32"/>
          <w:szCs w:val="20"/>
          <w:highlight w:val="none"/>
          <w14:textFill>
            <w14:solidFill>
              <w14:schemeClr w14:val="tx1"/>
            </w14:solidFill>
          </w14:textFill>
        </w:rPr>
      </w:pPr>
      <w:bookmarkStart w:id="652" w:name="_Toc217642355"/>
      <w:bookmarkStart w:id="653" w:name="_Toc14471"/>
      <w:bookmarkStart w:id="654" w:name="_Toc166155286"/>
      <w:r>
        <w:rPr>
          <w:rFonts w:hint="eastAsia" w:ascii="黑体" w:hAnsi="黑体" w:eastAsia="黑体"/>
          <w:b/>
          <w:color w:val="000000" w:themeColor="text1"/>
          <w:sz w:val="32"/>
          <w:szCs w:val="20"/>
          <w:highlight w:val="none"/>
          <w14:textFill>
            <w14:solidFill>
              <w14:schemeClr w14:val="tx1"/>
            </w14:solidFill>
          </w14:textFill>
        </w:rPr>
        <w:t>13.验收和工程试车</w:t>
      </w:r>
      <w:bookmarkEnd w:id="652"/>
      <w:bookmarkEnd w:id="653"/>
      <w:bookmarkEnd w:id="654"/>
    </w:p>
    <w:p w14:paraId="5CD6E8DB">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55" w:name="_Toc17355"/>
      <w:bookmarkStart w:id="656" w:name="_Toc217642356"/>
      <w:bookmarkStart w:id="657" w:name="_Toc166155287"/>
      <w:r>
        <w:rPr>
          <w:rFonts w:hint="eastAsia" w:ascii="黑体" w:hAnsi="黑体"/>
          <w:b/>
          <w:bCs/>
          <w:color w:val="000000" w:themeColor="text1"/>
          <w:sz w:val="32"/>
          <w:szCs w:val="32"/>
          <w:highlight w:val="none"/>
          <w14:textFill>
            <w14:solidFill>
              <w14:schemeClr w14:val="tx1"/>
            </w14:solidFill>
          </w14:textFill>
        </w:rPr>
        <w:t>13.1分部分项工程验收</w:t>
      </w:r>
      <w:bookmarkEnd w:id="655"/>
      <w:bookmarkEnd w:id="656"/>
    </w:p>
    <w:p w14:paraId="454C161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13.1.2发包人不能按时进行验收时，应提前24小时提交书面延期要求。</w:t>
      </w:r>
    </w:p>
    <w:p w14:paraId="04FA5FF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关于延期最长不得超过：48小时。</w:t>
      </w:r>
    </w:p>
    <w:p w14:paraId="259FF0EC">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58" w:name="_Toc21562"/>
      <w:bookmarkStart w:id="659" w:name="_Toc217642357"/>
      <w:r>
        <w:rPr>
          <w:rFonts w:hint="eastAsia" w:ascii="黑体" w:hAnsi="黑体"/>
          <w:b/>
          <w:bCs/>
          <w:color w:val="000000" w:themeColor="text1"/>
          <w:sz w:val="32"/>
          <w:szCs w:val="32"/>
          <w:highlight w:val="none"/>
          <w14:textFill>
            <w14:solidFill>
              <w14:schemeClr w14:val="tx1"/>
            </w14:solidFill>
          </w14:textFill>
        </w:rPr>
        <w:t>13.2竣工验收</w:t>
      </w:r>
      <w:bookmarkEnd w:id="657"/>
      <w:bookmarkEnd w:id="658"/>
      <w:bookmarkEnd w:id="659"/>
    </w:p>
    <w:p w14:paraId="7800FEE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13.2.1竣工验收条件</w:t>
      </w:r>
    </w:p>
    <w:p w14:paraId="3B510E9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（3）承包人负责整理和提交的竣工验收资料应当符合工程所在地建设行政主管部门和（或）城市建设档案管理机构有关施工资料的要求，具体内容包括：</w:t>
      </w:r>
      <w:r>
        <w:rPr>
          <w:rFonts w:hint="eastAsia" w:ascii="宋体" w:hAnsi="宋体"/>
          <w:color w:val="000000" w:themeColor="text1"/>
          <w:szCs w:val="21"/>
          <w:highlight w:val="none"/>
          <w:u w:val="single"/>
          <w14:textFill>
            <w14:solidFill>
              <w14:schemeClr w14:val="tx1"/>
            </w14:solidFill>
          </w14:textFill>
        </w:rPr>
        <w:t>符合要求的完整施工资料</w:t>
      </w:r>
      <w:r>
        <w:rPr>
          <w:rFonts w:hint="eastAsia" w:ascii="宋体" w:hAnsi="宋体"/>
          <w:color w:val="000000" w:themeColor="text1"/>
          <w:szCs w:val="21"/>
          <w:highlight w:val="none"/>
          <w14:textFill>
            <w14:solidFill>
              <w14:schemeClr w14:val="tx1"/>
            </w14:solidFill>
          </w14:textFill>
        </w:rPr>
        <w:t>。</w:t>
      </w:r>
    </w:p>
    <w:p w14:paraId="3A662B9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竣工验收资料的份数：</w:t>
      </w:r>
      <w:r>
        <w:rPr>
          <w:rFonts w:hint="eastAsia" w:ascii="宋体" w:hAnsi="宋体"/>
          <w:color w:val="000000" w:themeColor="text1"/>
          <w:szCs w:val="21"/>
          <w:highlight w:val="none"/>
          <w:u w:val="single"/>
          <w14:textFill>
            <w14:solidFill>
              <w14:schemeClr w14:val="tx1"/>
            </w14:solidFill>
          </w14:textFill>
        </w:rPr>
        <w:t>一式捌份</w:t>
      </w:r>
      <w:r>
        <w:rPr>
          <w:rFonts w:hint="eastAsia" w:ascii="宋体" w:hAnsi="宋体"/>
          <w:color w:val="000000" w:themeColor="text1"/>
          <w:szCs w:val="21"/>
          <w:highlight w:val="none"/>
          <w14:textFill>
            <w14:solidFill>
              <w14:schemeClr w14:val="tx1"/>
            </w14:solidFill>
          </w14:textFill>
        </w:rPr>
        <w:t>。</w:t>
      </w:r>
    </w:p>
    <w:p w14:paraId="7481F07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承包人提供竣工图的约定：</w:t>
      </w:r>
      <w:r>
        <w:rPr>
          <w:rFonts w:hint="eastAsia" w:ascii="宋体" w:hAnsi="宋体"/>
          <w:color w:val="000000" w:themeColor="text1"/>
          <w:szCs w:val="21"/>
          <w:highlight w:val="none"/>
          <w:u w:val="single"/>
          <w14:textFill>
            <w14:solidFill>
              <w14:schemeClr w14:val="tx1"/>
            </w14:solidFill>
          </w14:textFill>
        </w:rPr>
        <w:t>竣工验收正式通过后5天（工程造价在500万元以下含500万元）、10天（工程造价在500万元至1000万元之间含1000万元）、15天（工程造价在1000万元以上），提供竣工图的数量分别为2套、4套、6套</w:t>
      </w:r>
      <w:r>
        <w:rPr>
          <w:rFonts w:hint="eastAsia" w:ascii="宋体" w:hAnsi="宋体"/>
          <w:color w:val="000000" w:themeColor="text1"/>
          <w:szCs w:val="21"/>
          <w:highlight w:val="none"/>
          <w14:textFill>
            <w14:solidFill>
              <w14:schemeClr w14:val="tx1"/>
            </w14:solidFill>
          </w14:textFill>
        </w:rPr>
        <w:t>。</w:t>
      </w:r>
    </w:p>
    <w:p w14:paraId="7484E36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13.2.2竣工验收程序</w:t>
      </w:r>
    </w:p>
    <w:p w14:paraId="478BDA2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关于竣工验收程序的约定：</w:t>
      </w:r>
      <w:r>
        <w:rPr>
          <w:rFonts w:hint="eastAsia" w:ascii="宋体" w:hAnsi="宋体"/>
          <w:color w:val="000000" w:themeColor="text1"/>
          <w:szCs w:val="21"/>
          <w:highlight w:val="none"/>
          <w:u w:val="single"/>
          <w14:textFill>
            <w14:solidFill>
              <w14:schemeClr w14:val="tx1"/>
            </w14:solidFill>
          </w14:textFill>
        </w:rPr>
        <w:t>按通用条款13.2.2执行</w:t>
      </w:r>
      <w:r>
        <w:rPr>
          <w:rFonts w:hint="eastAsia" w:ascii="宋体" w:hAnsi="宋体"/>
          <w:color w:val="000000" w:themeColor="text1"/>
          <w:szCs w:val="21"/>
          <w:highlight w:val="none"/>
          <w14:textFill>
            <w14:solidFill>
              <w14:schemeClr w14:val="tx1"/>
            </w14:solidFill>
          </w14:textFill>
        </w:rPr>
        <w:t>。</w:t>
      </w:r>
    </w:p>
    <w:p w14:paraId="48B3942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发包人不按照本项约定组织竣工验收、颁发工程接收证书的违约金的计算方法：</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04DD5F7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13.2.5移交、接收全部与部分工程</w:t>
      </w:r>
    </w:p>
    <w:p w14:paraId="5BC4469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承包人向发包人移交工程的期限：</w:t>
      </w:r>
      <w:r>
        <w:rPr>
          <w:rFonts w:hint="eastAsia" w:ascii="宋体" w:hAnsi="宋体"/>
          <w:color w:val="000000" w:themeColor="text1"/>
          <w:szCs w:val="21"/>
          <w:highlight w:val="none"/>
          <w:u w:val="single"/>
          <w14:textFill>
            <w14:solidFill>
              <w14:schemeClr w14:val="tx1"/>
            </w14:solidFill>
          </w14:textFill>
        </w:rPr>
        <w:t>颁发工程接收证书后7个工作日内完成工程的移交</w:t>
      </w:r>
      <w:r>
        <w:rPr>
          <w:rFonts w:hint="eastAsia" w:ascii="宋体" w:hAnsi="宋体"/>
          <w:color w:val="000000" w:themeColor="text1"/>
          <w:szCs w:val="21"/>
          <w:highlight w:val="none"/>
          <w14:textFill>
            <w14:solidFill>
              <w14:schemeClr w14:val="tx1"/>
            </w14:solidFill>
          </w14:textFill>
        </w:rPr>
        <w:t>。</w:t>
      </w:r>
    </w:p>
    <w:p w14:paraId="669E41C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发包人未按本合同约定接收全部或部分工程的，违约金的计算方法为：</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6510F14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承包人未按时移交工程的，违约金的计算方法为：</w:t>
      </w:r>
      <w:r>
        <w:rPr>
          <w:rFonts w:hint="eastAsia" w:ascii="宋体" w:hAnsi="宋体"/>
          <w:color w:val="000000" w:themeColor="text1"/>
          <w:szCs w:val="21"/>
          <w:highlight w:val="none"/>
          <w:u w:val="single"/>
          <w14:textFill>
            <w14:solidFill>
              <w14:schemeClr w14:val="tx1"/>
            </w14:solidFill>
          </w14:textFill>
        </w:rPr>
        <w:t>每逾期一天，承包人按合同价款的万分之四向发包人支付违约金</w:t>
      </w:r>
      <w:r>
        <w:rPr>
          <w:rFonts w:hint="eastAsia" w:ascii="宋体" w:hAnsi="宋体"/>
          <w:color w:val="000000" w:themeColor="text1"/>
          <w:szCs w:val="21"/>
          <w:highlight w:val="none"/>
          <w14:textFill>
            <w14:solidFill>
              <w14:schemeClr w14:val="tx1"/>
            </w14:solidFill>
          </w14:textFill>
        </w:rPr>
        <w:t>。</w:t>
      </w:r>
    </w:p>
    <w:p w14:paraId="029EFF1A">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60" w:name="_Toc217642358"/>
      <w:bookmarkStart w:id="661" w:name="_Toc5033"/>
      <w:bookmarkStart w:id="662" w:name="_Toc166155288"/>
      <w:r>
        <w:rPr>
          <w:rFonts w:hint="eastAsia" w:ascii="黑体" w:hAnsi="黑体"/>
          <w:b/>
          <w:bCs/>
          <w:color w:val="000000" w:themeColor="text1"/>
          <w:sz w:val="32"/>
          <w:szCs w:val="32"/>
          <w:highlight w:val="none"/>
          <w14:textFill>
            <w14:solidFill>
              <w14:schemeClr w14:val="tx1"/>
            </w14:solidFill>
          </w14:textFill>
        </w:rPr>
        <w:t>13.3工程试车</w:t>
      </w:r>
      <w:bookmarkEnd w:id="660"/>
      <w:bookmarkEnd w:id="661"/>
      <w:bookmarkEnd w:id="662"/>
    </w:p>
    <w:p w14:paraId="1DCFBCD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13.3.1试车程序</w:t>
      </w:r>
    </w:p>
    <w:p w14:paraId="425D924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工程试车内容：</w:t>
      </w:r>
      <w:r>
        <w:rPr>
          <w:rFonts w:hint="eastAsia" w:ascii="宋体" w:hAnsi="宋体"/>
          <w:color w:val="000000" w:themeColor="text1"/>
          <w:szCs w:val="21"/>
          <w:highlight w:val="none"/>
          <w:u w:val="single"/>
          <w14:textFill>
            <w14:solidFill>
              <w14:schemeClr w14:val="tx1"/>
            </w14:solidFill>
          </w14:textFill>
        </w:rPr>
        <w:t>按通用条款13.3.1条执行</w:t>
      </w:r>
      <w:r>
        <w:rPr>
          <w:rFonts w:hint="eastAsia" w:ascii="宋体" w:hAnsi="宋体"/>
          <w:color w:val="000000" w:themeColor="text1"/>
          <w:szCs w:val="21"/>
          <w:highlight w:val="none"/>
          <w14:textFill>
            <w14:solidFill>
              <w14:schemeClr w14:val="tx1"/>
            </w14:solidFill>
          </w14:textFill>
        </w:rPr>
        <w:t>。</w:t>
      </w:r>
    </w:p>
    <w:p w14:paraId="7717610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（1）单机无负荷试车费用由</w:t>
      </w:r>
      <w:r>
        <w:rPr>
          <w:rFonts w:hint="eastAsia" w:ascii="宋体" w:hAnsi="宋体"/>
          <w:color w:val="000000" w:themeColor="text1"/>
          <w:szCs w:val="21"/>
          <w:highlight w:val="none"/>
          <w:u w:val="single"/>
          <w14:textFill>
            <w14:solidFill>
              <w14:schemeClr w14:val="tx1"/>
            </w14:solidFill>
          </w14:textFill>
        </w:rPr>
        <w:t>承包人</w:t>
      </w:r>
      <w:r>
        <w:rPr>
          <w:rFonts w:hint="eastAsia" w:ascii="宋体" w:hAnsi="宋体"/>
          <w:color w:val="000000" w:themeColor="text1"/>
          <w:szCs w:val="21"/>
          <w:highlight w:val="none"/>
          <w14:textFill>
            <w14:solidFill>
              <w14:schemeClr w14:val="tx1"/>
            </w14:solidFill>
          </w14:textFill>
        </w:rPr>
        <w:t>承担；</w:t>
      </w:r>
    </w:p>
    <w:p w14:paraId="7901045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（2）无负荷联动试车费用由</w:t>
      </w:r>
      <w:r>
        <w:rPr>
          <w:rFonts w:hint="eastAsia" w:ascii="宋体" w:hAnsi="宋体"/>
          <w:color w:val="000000" w:themeColor="text1"/>
          <w:szCs w:val="21"/>
          <w:highlight w:val="none"/>
          <w:u w:val="single"/>
          <w14:textFill>
            <w14:solidFill>
              <w14:schemeClr w14:val="tx1"/>
            </w14:solidFill>
          </w14:textFill>
        </w:rPr>
        <w:t>承包人</w:t>
      </w:r>
      <w:r>
        <w:rPr>
          <w:rFonts w:hint="eastAsia" w:ascii="宋体" w:hAnsi="宋体"/>
          <w:color w:val="000000" w:themeColor="text1"/>
          <w:szCs w:val="21"/>
          <w:highlight w:val="none"/>
          <w14:textFill>
            <w14:solidFill>
              <w14:schemeClr w14:val="tx1"/>
            </w14:solidFill>
          </w14:textFill>
        </w:rPr>
        <w:t>承担。</w:t>
      </w:r>
    </w:p>
    <w:p w14:paraId="4A1F563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13.3.3投料试车</w:t>
      </w:r>
    </w:p>
    <w:p w14:paraId="5C0E07A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关于投料试车相关事项的约定：</w:t>
      </w:r>
      <w:r>
        <w:rPr>
          <w:rFonts w:hint="eastAsia" w:ascii="宋体" w:hAnsi="宋体"/>
          <w:color w:val="000000" w:themeColor="text1"/>
          <w:szCs w:val="21"/>
          <w:highlight w:val="none"/>
          <w:u w:val="single"/>
          <w14:textFill>
            <w14:solidFill>
              <w14:schemeClr w14:val="tx1"/>
            </w14:solidFill>
          </w14:textFill>
        </w:rPr>
        <w:t>投料试运行应在工程竣工验收后由发包人负责，如发包人要求在工程竣工验收前进行或需要承包人配合时，应征得承包人同意，另行签订补充协议</w:t>
      </w:r>
      <w:r>
        <w:rPr>
          <w:rFonts w:hint="eastAsia" w:ascii="宋体" w:hAnsi="宋体"/>
          <w:color w:val="000000" w:themeColor="text1"/>
          <w:szCs w:val="21"/>
          <w:highlight w:val="none"/>
          <w14:textFill>
            <w14:solidFill>
              <w14:schemeClr w14:val="tx1"/>
            </w14:solidFill>
          </w14:textFill>
        </w:rPr>
        <w:t>。</w:t>
      </w:r>
    </w:p>
    <w:p w14:paraId="06185436">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63" w:name="_Toc11473"/>
      <w:bookmarkStart w:id="664" w:name="_Toc166155289"/>
      <w:bookmarkStart w:id="665" w:name="_Toc217642359"/>
      <w:r>
        <w:rPr>
          <w:rFonts w:hint="eastAsia" w:ascii="黑体" w:hAnsi="黑体"/>
          <w:b/>
          <w:bCs/>
          <w:color w:val="000000" w:themeColor="text1"/>
          <w:sz w:val="32"/>
          <w:szCs w:val="32"/>
          <w:highlight w:val="none"/>
          <w14:textFill>
            <w14:solidFill>
              <w14:schemeClr w14:val="tx1"/>
            </w14:solidFill>
          </w14:textFill>
        </w:rPr>
        <w:t>13.6竣工退场</w:t>
      </w:r>
      <w:bookmarkEnd w:id="663"/>
      <w:bookmarkEnd w:id="664"/>
      <w:bookmarkEnd w:id="665"/>
    </w:p>
    <w:p w14:paraId="18F233D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13.6.1竣工退场</w:t>
      </w:r>
    </w:p>
    <w:p w14:paraId="4AEF4F5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承包人完成竣工退场的期限：</w:t>
      </w:r>
      <w:r>
        <w:rPr>
          <w:rFonts w:hint="eastAsia" w:ascii="宋体" w:hAnsi="宋体"/>
          <w:color w:val="000000" w:themeColor="text1"/>
          <w:szCs w:val="21"/>
          <w:highlight w:val="none"/>
          <w:u w:val="single"/>
          <w14:textFill>
            <w14:solidFill>
              <w14:schemeClr w14:val="tx1"/>
            </w14:solidFill>
          </w14:textFill>
        </w:rPr>
        <w:t>发包人颁发（出具）工程接收证书后，承包人负责按照通用合同条款和本项约定的要求对施工场地进行清理并承担相关费用，直至发包人检验合格后七日内，如承包人到期后不退场，发包人有权安排其他人员进行清理，费用从承包人工程款中扣除</w:t>
      </w:r>
      <w:r>
        <w:rPr>
          <w:rFonts w:hint="eastAsia" w:ascii="宋体" w:hAnsi="宋体"/>
          <w:color w:val="000000" w:themeColor="text1"/>
          <w:szCs w:val="21"/>
          <w:highlight w:val="none"/>
          <w14:textFill>
            <w14:solidFill>
              <w14:schemeClr w14:val="tx1"/>
            </w14:solidFill>
          </w14:textFill>
        </w:rPr>
        <w:t>。</w:t>
      </w:r>
    </w:p>
    <w:p w14:paraId="115ECCFE">
      <w:pPr>
        <w:keepNext/>
        <w:keepLines/>
        <w:spacing w:before="260" w:after="260" w:line="412" w:lineRule="auto"/>
        <w:outlineLvl w:val="1"/>
        <w:rPr>
          <w:rFonts w:ascii="黑体" w:hAnsi="黑体" w:eastAsia="黑体"/>
          <w:b/>
          <w:color w:val="000000" w:themeColor="text1"/>
          <w:sz w:val="32"/>
          <w:szCs w:val="20"/>
          <w:highlight w:val="none"/>
          <w14:textFill>
            <w14:solidFill>
              <w14:schemeClr w14:val="tx1"/>
            </w14:solidFill>
          </w14:textFill>
        </w:rPr>
      </w:pPr>
      <w:bookmarkStart w:id="666" w:name="_Toc7663"/>
      <w:bookmarkStart w:id="667" w:name="_Toc166155290"/>
      <w:bookmarkStart w:id="668" w:name="_Toc217642360"/>
      <w:r>
        <w:rPr>
          <w:rFonts w:hint="eastAsia" w:ascii="黑体" w:hAnsi="黑体" w:eastAsia="黑体"/>
          <w:b/>
          <w:color w:val="000000" w:themeColor="text1"/>
          <w:sz w:val="32"/>
          <w:szCs w:val="20"/>
          <w:highlight w:val="none"/>
          <w14:textFill>
            <w14:solidFill>
              <w14:schemeClr w14:val="tx1"/>
            </w14:solidFill>
          </w14:textFill>
        </w:rPr>
        <w:t>14.竣工结算</w:t>
      </w:r>
      <w:bookmarkEnd w:id="666"/>
      <w:bookmarkEnd w:id="667"/>
      <w:bookmarkEnd w:id="668"/>
    </w:p>
    <w:p w14:paraId="7D51B3F4">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69" w:name="_Toc217642361"/>
      <w:bookmarkStart w:id="670" w:name="_Toc166155291"/>
      <w:bookmarkStart w:id="671" w:name="_Toc3079"/>
      <w:r>
        <w:rPr>
          <w:rFonts w:hint="eastAsia" w:ascii="黑体" w:hAnsi="黑体"/>
          <w:b/>
          <w:bCs/>
          <w:color w:val="000000" w:themeColor="text1"/>
          <w:sz w:val="32"/>
          <w:szCs w:val="32"/>
          <w:highlight w:val="none"/>
          <w14:textFill>
            <w14:solidFill>
              <w14:schemeClr w14:val="tx1"/>
            </w14:solidFill>
          </w14:textFill>
        </w:rPr>
        <w:t>14.1竣工结算及竣工付款申请</w:t>
      </w:r>
      <w:bookmarkEnd w:id="669"/>
      <w:bookmarkEnd w:id="670"/>
      <w:bookmarkEnd w:id="671"/>
    </w:p>
    <w:p w14:paraId="2426F36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承包人提交竣工结算申请单的期限：</w:t>
      </w:r>
      <w:r>
        <w:rPr>
          <w:rFonts w:hint="eastAsia" w:ascii="宋体" w:hAnsi="宋体"/>
          <w:color w:val="000000" w:themeColor="text1"/>
          <w:szCs w:val="21"/>
          <w:highlight w:val="none"/>
          <w:u w:val="single"/>
          <w14:textFill>
            <w14:solidFill>
              <w14:schemeClr w14:val="tx1"/>
            </w14:solidFill>
          </w14:textFill>
        </w:rPr>
        <w:t>本工程结算审定后28日内</w:t>
      </w:r>
      <w:r>
        <w:rPr>
          <w:rFonts w:hint="eastAsia" w:ascii="宋体" w:hAnsi="宋体"/>
          <w:color w:val="000000" w:themeColor="text1"/>
          <w:szCs w:val="21"/>
          <w:highlight w:val="none"/>
          <w14:textFill>
            <w14:solidFill>
              <w14:schemeClr w14:val="tx1"/>
            </w14:solidFill>
          </w14:textFill>
        </w:rPr>
        <w:t>。</w:t>
      </w:r>
    </w:p>
    <w:p w14:paraId="36693C76">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竣工结算申请单应包括的内容：</w:t>
      </w:r>
      <w:r>
        <w:rPr>
          <w:rFonts w:hint="eastAsia" w:ascii="宋体" w:hAnsi="宋体"/>
          <w:color w:val="000000" w:themeColor="text1"/>
          <w:szCs w:val="21"/>
          <w:highlight w:val="none"/>
          <w:u w:val="single"/>
          <w14:textFill>
            <w14:solidFill>
              <w14:schemeClr w14:val="tx1"/>
            </w14:solidFill>
          </w14:textFill>
        </w:rPr>
        <w:t>除通用合同条款第14.1款约定的内容外，还应包括：工程结算审核结论书。</w:t>
      </w:r>
    </w:p>
    <w:p w14:paraId="67DD1D48">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72" w:name="_Toc22484"/>
      <w:bookmarkStart w:id="673" w:name="_Toc217642362"/>
      <w:bookmarkStart w:id="674" w:name="_Toc166155292"/>
      <w:r>
        <w:rPr>
          <w:rFonts w:hint="eastAsia" w:ascii="黑体" w:hAnsi="黑体"/>
          <w:b/>
          <w:bCs/>
          <w:color w:val="000000" w:themeColor="text1"/>
          <w:sz w:val="32"/>
          <w:szCs w:val="32"/>
          <w:highlight w:val="none"/>
          <w14:textFill>
            <w14:solidFill>
              <w14:schemeClr w14:val="tx1"/>
            </w14:solidFill>
          </w14:textFill>
        </w:rPr>
        <w:t>14.2竣工结算审核及竣工付款</w:t>
      </w:r>
      <w:bookmarkEnd w:id="672"/>
      <w:bookmarkEnd w:id="673"/>
      <w:bookmarkEnd w:id="674"/>
    </w:p>
    <w:p w14:paraId="2B846A0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发包人审批竣工结算资料的期限：</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3543"/>
        <w:gridCol w:w="5380"/>
      </w:tblGrid>
      <w:tr w14:paraId="01A32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dxa"/>
            <w:noWrap w:val="0"/>
            <w:vAlign w:val="center"/>
          </w:tcPr>
          <w:p w14:paraId="4FCB8139">
            <w:pPr>
              <w:jc w:val="center"/>
              <w:rPr>
                <w:rFonts w:ascii="宋体" w:hAnsi="宋体"/>
                <w:color w:val="000000" w:themeColor="text1"/>
                <w:szCs w:val="21"/>
                <w:highlight w:val="none"/>
                <w14:textFill>
                  <w14:solidFill>
                    <w14:schemeClr w14:val="tx1"/>
                  </w14:solidFill>
                </w14:textFill>
              </w:rPr>
            </w:pPr>
          </w:p>
        </w:tc>
        <w:tc>
          <w:tcPr>
            <w:tcW w:w="3543" w:type="dxa"/>
            <w:noWrap w:val="0"/>
            <w:vAlign w:val="center"/>
          </w:tcPr>
          <w:p w14:paraId="15D7B61E">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工程竣工结算报告金额</w:t>
            </w:r>
          </w:p>
        </w:tc>
        <w:tc>
          <w:tcPr>
            <w:tcW w:w="5380" w:type="dxa"/>
            <w:noWrap w:val="0"/>
            <w:vAlign w:val="center"/>
          </w:tcPr>
          <w:p w14:paraId="425349CD">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发包人审查时间</w:t>
            </w:r>
          </w:p>
        </w:tc>
      </w:tr>
      <w:tr w14:paraId="4423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dxa"/>
            <w:noWrap w:val="0"/>
            <w:vAlign w:val="center"/>
          </w:tcPr>
          <w:p w14:paraId="67F87C6C">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3543" w:type="dxa"/>
            <w:noWrap w:val="0"/>
            <w:vAlign w:val="center"/>
          </w:tcPr>
          <w:p w14:paraId="75C1CA9E">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500万元以下</w:t>
            </w:r>
          </w:p>
        </w:tc>
        <w:tc>
          <w:tcPr>
            <w:tcW w:w="5380" w:type="dxa"/>
            <w:noWrap w:val="0"/>
            <w:vAlign w:val="center"/>
          </w:tcPr>
          <w:p w14:paraId="7B8B0098">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从接到竣工结算报告和完整的竣工结算资料之日起20天</w:t>
            </w:r>
          </w:p>
        </w:tc>
      </w:tr>
      <w:tr w14:paraId="08DA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dxa"/>
            <w:noWrap w:val="0"/>
            <w:vAlign w:val="center"/>
          </w:tcPr>
          <w:p w14:paraId="6ADA74DE">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3543" w:type="dxa"/>
            <w:noWrap w:val="0"/>
            <w:vAlign w:val="center"/>
          </w:tcPr>
          <w:p w14:paraId="40FBE2F5">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500万元-2000万元</w:t>
            </w:r>
          </w:p>
        </w:tc>
        <w:tc>
          <w:tcPr>
            <w:tcW w:w="5380" w:type="dxa"/>
            <w:noWrap w:val="0"/>
            <w:vAlign w:val="center"/>
          </w:tcPr>
          <w:p w14:paraId="49B846CD">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从接到竣工结算报告和完整的竣工结算资料之日起30天</w:t>
            </w:r>
          </w:p>
        </w:tc>
      </w:tr>
      <w:tr w14:paraId="340F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dxa"/>
            <w:noWrap w:val="0"/>
            <w:vAlign w:val="center"/>
          </w:tcPr>
          <w:p w14:paraId="2CDC7999">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tc>
        <w:tc>
          <w:tcPr>
            <w:tcW w:w="3543" w:type="dxa"/>
            <w:noWrap w:val="0"/>
            <w:vAlign w:val="center"/>
          </w:tcPr>
          <w:p w14:paraId="56420DA7">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2000万元-5000万元</w:t>
            </w:r>
          </w:p>
        </w:tc>
        <w:tc>
          <w:tcPr>
            <w:tcW w:w="5380" w:type="dxa"/>
            <w:noWrap w:val="0"/>
            <w:vAlign w:val="center"/>
          </w:tcPr>
          <w:p w14:paraId="39057EB0">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从接到竣工结算报告和完整的竣工结算资料之日起45天</w:t>
            </w:r>
          </w:p>
        </w:tc>
      </w:tr>
      <w:tr w14:paraId="5649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dxa"/>
            <w:noWrap w:val="0"/>
            <w:vAlign w:val="center"/>
          </w:tcPr>
          <w:p w14:paraId="0498D2DE">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p>
        </w:tc>
        <w:tc>
          <w:tcPr>
            <w:tcW w:w="3543" w:type="dxa"/>
            <w:noWrap w:val="0"/>
            <w:vAlign w:val="center"/>
          </w:tcPr>
          <w:p w14:paraId="79044B41">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5000万元以上</w:t>
            </w:r>
          </w:p>
        </w:tc>
        <w:tc>
          <w:tcPr>
            <w:tcW w:w="5380" w:type="dxa"/>
            <w:noWrap w:val="0"/>
            <w:vAlign w:val="center"/>
          </w:tcPr>
          <w:p w14:paraId="59476114">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从接到竣工结算报告和完整的竣工结算资料之日起60天</w:t>
            </w:r>
          </w:p>
        </w:tc>
      </w:tr>
      <w:tr w14:paraId="565BB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dxa"/>
            <w:noWrap w:val="0"/>
            <w:vAlign w:val="center"/>
          </w:tcPr>
          <w:p w14:paraId="28B1B294">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p>
        </w:tc>
        <w:tc>
          <w:tcPr>
            <w:tcW w:w="3543" w:type="dxa"/>
            <w:noWrap w:val="0"/>
            <w:vAlign w:val="center"/>
          </w:tcPr>
          <w:p w14:paraId="02449C94">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5000万以上每增加0.5亿（不足0.5亿不增加）</w:t>
            </w:r>
          </w:p>
        </w:tc>
        <w:tc>
          <w:tcPr>
            <w:tcW w:w="5380" w:type="dxa"/>
            <w:noWrap w:val="0"/>
            <w:vAlign w:val="center"/>
          </w:tcPr>
          <w:p w14:paraId="10E8A37D">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增加10天</w:t>
            </w:r>
          </w:p>
        </w:tc>
      </w:tr>
    </w:tbl>
    <w:p w14:paraId="351732A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因承包人提供的结算资料不完整而需要补充或承包人不按时对账耽误时间时，审查时间应相应顺延。</w:t>
      </w:r>
    </w:p>
    <w:p w14:paraId="3436C5E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竣工结算审核约定：</w:t>
      </w:r>
    </w:p>
    <w:p w14:paraId="17669C8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非国有投资项目：</w:t>
      </w:r>
      <w:r>
        <w:rPr>
          <w:rFonts w:hint="eastAsia" w:ascii="宋体" w:hAnsi="宋体"/>
          <w:color w:val="000000" w:themeColor="text1"/>
          <w:szCs w:val="21"/>
          <w:highlight w:val="none"/>
          <w:u w:val="single"/>
          <w14:textFill>
            <w14:solidFill>
              <w14:schemeClr w14:val="tx1"/>
            </w14:solidFill>
          </w14:textFill>
        </w:rPr>
        <w:t>1、工程竣工验收报告经发包人认可后   天内，承包人向发包人递交竣工验收合格资料及完整的结算资料和报告，双方按照协议书约定的合同价款及专用条款约定的合同价调整内容，进行工程竣工结算。2、发包人收到承包人递交的竣工结算报告及结算资料之日起   天内进行审核，给予确认或者提出初审意见。发包人逾期不予审定结算的视为发包人已同意上述竣工结算报告及结算资料，并以此作为最终结算的依据。发包人初审竣工结算完毕之日起  天内，按审定后的结算价款，通知经办银行向承包人支付工程竣工结算价款。承包人应根据发包人的需要随时将竣工工程交付发包人</w:t>
      </w:r>
      <w:r>
        <w:rPr>
          <w:rFonts w:hint="eastAsia" w:ascii="宋体" w:hAnsi="宋体"/>
          <w:color w:val="000000" w:themeColor="text1"/>
          <w:szCs w:val="21"/>
          <w:highlight w:val="none"/>
          <w14:textFill>
            <w14:solidFill>
              <w14:schemeClr w14:val="tx1"/>
            </w14:solidFill>
          </w14:textFill>
        </w:rPr>
        <w:t>。</w:t>
      </w:r>
    </w:p>
    <w:p w14:paraId="5918997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国有投资项目：（双方结合各地政府或有关部门管理规定进行局部调整）</w:t>
      </w:r>
    </w:p>
    <w:p w14:paraId="1CE64268">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发包人完成竣工付款的期限：</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天内。</w:t>
      </w:r>
    </w:p>
    <w:p w14:paraId="23971ADC">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关于竣工付款证书异议部分复核的方式和程序：</w:t>
      </w:r>
      <w:r>
        <w:rPr>
          <w:rFonts w:hint="eastAsia" w:ascii="宋体" w:hAnsi="宋体"/>
          <w:color w:val="000000" w:themeColor="text1"/>
          <w:szCs w:val="21"/>
          <w:highlight w:val="none"/>
          <w:u w:val="single"/>
          <w14:textFill>
            <w14:solidFill>
              <w14:schemeClr w14:val="tx1"/>
            </w14:solidFill>
          </w14:textFill>
        </w:rPr>
        <w:t>按本合同通用条款。</w:t>
      </w:r>
    </w:p>
    <w:p w14:paraId="07BF574C">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75" w:name="_Toc217642363"/>
      <w:bookmarkStart w:id="676" w:name="_Toc166155293"/>
      <w:bookmarkStart w:id="677" w:name="_Toc25311"/>
      <w:r>
        <w:rPr>
          <w:rFonts w:hint="eastAsia" w:ascii="黑体" w:hAnsi="黑体"/>
          <w:b/>
          <w:bCs/>
          <w:color w:val="000000" w:themeColor="text1"/>
          <w:sz w:val="32"/>
          <w:szCs w:val="32"/>
          <w:highlight w:val="none"/>
          <w14:textFill>
            <w14:solidFill>
              <w14:schemeClr w14:val="tx1"/>
            </w14:solidFill>
          </w14:textFill>
        </w:rPr>
        <w:t>14.4最终结清</w:t>
      </w:r>
      <w:bookmarkEnd w:id="675"/>
      <w:bookmarkEnd w:id="676"/>
      <w:bookmarkEnd w:id="677"/>
    </w:p>
    <w:p w14:paraId="566CFFB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14.4.1最终结清申请单</w:t>
      </w:r>
    </w:p>
    <w:p w14:paraId="0E898D5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承包人提交最终结清申请单的份数：</w:t>
      </w:r>
      <w:r>
        <w:rPr>
          <w:rFonts w:hint="eastAsia" w:ascii="宋体" w:hAnsi="宋体"/>
          <w:color w:val="000000" w:themeColor="text1"/>
          <w:szCs w:val="21"/>
          <w:highlight w:val="none"/>
          <w:u w:val="single"/>
          <w14:textFill>
            <w14:solidFill>
              <w14:schemeClr w14:val="tx1"/>
            </w14:solidFill>
          </w14:textFill>
        </w:rPr>
        <w:t>壹式陆份</w:t>
      </w:r>
      <w:r>
        <w:rPr>
          <w:rFonts w:hint="eastAsia" w:ascii="宋体" w:hAnsi="宋体"/>
          <w:color w:val="000000" w:themeColor="text1"/>
          <w:szCs w:val="21"/>
          <w:highlight w:val="none"/>
          <w14:textFill>
            <w14:solidFill>
              <w14:schemeClr w14:val="tx1"/>
            </w14:solidFill>
          </w14:textFill>
        </w:rPr>
        <w:t>。</w:t>
      </w:r>
    </w:p>
    <w:p w14:paraId="3ECF5CE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承包人提交最终结算申请单的期限：</w:t>
      </w:r>
      <w:r>
        <w:rPr>
          <w:rFonts w:hint="eastAsia" w:ascii="宋体" w:hAnsi="宋体"/>
          <w:color w:val="000000" w:themeColor="text1"/>
          <w:szCs w:val="21"/>
          <w:highlight w:val="none"/>
          <w:u w:val="single"/>
          <w14:textFill>
            <w14:solidFill>
              <w14:schemeClr w14:val="tx1"/>
            </w14:solidFill>
          </w14:textFill>
        </w:rPr>
        <w:t>按合同通用条款执行</w:t>
      </w:r>
      <w:r>
        <w:rPr>
          <w:rFonts w:hint="eastAsia" w:ascii="宋体" w:hAnsi="宋体"/>
          <w:color w:val="000000" w:themeColor="text1"/>
          <w:szCs w:val="21"/>
          <w:highlight w:val="none"/>
          <w14:textFill>
            <w14:solidFill>
              <w14:schemeClr w14:val="tx1"/>
            </w14:solidFill>
          </w14:textFill>
        </w:rPr>
        <w:t>。</w:t>
      </w:r>
    </w:p>
    <w:p w14:paraId="6E72703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14.4.2最终结清证书和支付</w:t>
      </w:r>
    </w:p>
    <w:p w14:paraId="445906C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（1）发包人完成最终结清申请单的审批并颁发最终结清证书的期限：</w:t>
      </w:r>
      <w:r>
        <w:rPr>
          <w:rFonts w:hint="eastAsia" w:ascii="宋体" w:hAnsi="宋体"/>
          <w:color w:val="000000" w:themeColor="text1"/>
          <w:szCs w:val="21"/>
          <w:highlight w:val="none"/>
          <w:u w:val="single"/>
          <w14:textFill>
            <w14:solidFill>
              <w14:schemeClr w14:val="tx1"/>
            </w14:solidFill>
          </w14:textFill>
        </w:rPr>
        <w:t>缺陷责任期终止证书颁发后 14天内</w:t>
      </w:r>
      <w:r>
        <w:rPr>
          <w:rFonts w:hint="eastAsia" w:ascii="宋体" w:hAnsi="宋体"/>
          <w:color w:val="000000" w:themeColor="text1"/>
          <w:szCs w:val="21"/>
          <w:highlight w:val="none"/>
          <w14:textFill>
            <w14:solidFill>
              <w14:schemeClr w14:val="tx1"/>
            </w14:solidFill>
          </w14:textFill>
        </w:rPr>
        <w:t>。</w:t>
      </w:r>
    </w:p>
    <w:p w14:paraId="244EB6F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（2）发包人完成支付的期限：</w:t>
      </w:r>
      <w:r>
        <w:rPr>
          <w:rFonts w:hint="eastAsia" w:ascii="宋体" w:hAnsi="宋体"/>
          <w:color w:val="000000" w:themeColor="text1"/>
          <w:szCs w:val="21"/>
          <w:highlight w:val="none"/>
          <w:u w:val="single"/>
          <w14:textFill>
            <w14:solidFill>
              <w14:schemeClr w14:val="tx1"/>
            </w14:solidFill>
          </w14:textFill>
        </w:rPr>
        <w:t>缺陷责任期终止证书颁发后28天内</w:t>
      </w:r>
      <w:r>
        <w:rPr>
          <w:rFonts w:hint="eastAsia" w:ascii="宋体" w:hAnsi="宋体"/>
          <w:color w:val="000000" w:themeColor="text1"/>
          <w:szCs w:val="21"/>
          <w:highlight w:val="none"/>
          <w14:textFill>
            <w14:solidFill>
              <w14:schemeClr w14:val="tx1"/>
            </w14:solidFill>
          </w14:textFill>
        </w:rPr>
        <w:t>。</w:t>
      </w:r>
    </w:p>
    <w:p w14:paraId="354FE7D0">
      <w:pPr>
        <w:keepNext/>
        <w:keepLines/>
        <w:spacing w:before="260" w:after="260" w:line="412" w:lineRule="auto"/>
        <w:outlineLvl w:val="1"/>
        <w:rPr>
          <w:rFonts w:ascii="黑体" w:hAnsi="黑体" w:eastAsia="黑体"/>
          <w:b/>
          <w:color w:val="000000" w:themeColor="text1"/>
          <w:sz w:val="32"/>
          <w:szCs w:val="20"/>
          <w:highlight w:val="none"/>
          <w14:textFill>
            <w14:solidFill>
              <w14:schemeClr w14:val="tx1"/>
            </w14:solidFill>
          </w14:textFill>
        </w:rPr>
      </w:pPr>
      <w:bookmarkStart w:id="678" w:name="_Toc166155294"/>
      <w:bookmarkStart w:id="679" w:name="_Toc9301"/>
      <w:bookmarkStart w:id="680" w:name="_Toc217642364"/>
      <w:r>
        <w:rPr>
          <w:rFonts w:hint="eastAsia" w:ascii="黑体" w:hAnsi="黑体" w:eastAsia="黑体"/>
          <w:b/>
          <w:color w:val="000000" w:themeColor="text1"/>
          <w:sz w:val="32"/>
          <w:szCs w:val="20"/>
          <w:highlight w:val="none"/>
          <w14:textFill>
            <w14:solidFill>
              <w14:schemeClr w14:val="tx1"/>
            </w14:solidFill>
          </w14:textFill>
        </w:rPr>
        <w:t>15.缺陷责任期与保修</w:t>
      </w:r>
      <w:bookmarkEnd w:id="678"/>
      <w:bookmarkEnd w:id="679"/>
      <w:bookmarkEnd w:id="680"/>
    </w:p>
    <w:p w14:paraId="59754C37">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81" w:name="_Toc217642365"/>
      <w:bookmarkStart w:id="682" w:name="_Toc28252"/>
      <w:bookmarkStart w:id="683" w:name="_Toc166155295"/>
      <w:r>
        <w:rPr>
          <w:rFonts w:hint="eastAsia" w:ascii="黑体" w:hAnsi="黑体"/>
          <w:b/>
          <w:bCs/>
          <w:color w:val="000000" w:themeColor="text1"/>
          <w:sz w:val="32"/>
          <w:szCs w:val="32"/>
          <w:highlight w:val="none"/>
          <w14:textFill>
            <w14:solidFill>
              <w14:schemeClr w14:val="tx1"/>
            </w14:solidFill>
          </w14:textFill>
        </w:rPr>
        <w:t>15.2缺陷责任期</w:t>
      </w:r>
      <w:bookmarkEnd w:id="681"/>
      <w:bookmarkEnd w:id="682"/>
      <w:bookmarkEnd w:id="683"/>
    </w:p>
    <w:p w14:paraId="73F4994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缺陷责任期的具体期限：</w:t>
      </w:r>
      <w:r>
        <w:rPr>
          <w:rFonts w:hint="eastAsia" w:ascii="宋体" w:hAnsi="宋体"/>
          <w:color w:val="000000" w:themeColor="text1"/>
          <w:szCs w:val="21"/>
          <w:highlight w:val="none"/>
          <w:u w:val="single"/>
          <w14:textFill>
            <w14:solidFill>
              <w14:schemeClr w14:val="tx1"/>
            </w14:solidFill>
          </w14:textFill>
        </w:rPr>
        <w:t>按照工程质量保修条例执行</w:t>
      </w:r>
      <w:r>
        <w:rPr>
          <w:rFonts w:hint="eastAsia" w:ascii="宋体" w:hAnsi="宋体"/>
          <w:color w:val="000000" w:themeColor="text1"/>
          <w:szCs w:val="21"/>
          <w:highlight w:val="none"/>
          <w14:textFill>
            <w14:solidFill>
              <w14:schemeClr w14:val="tx1"/>
            </w14:solidFill>
          </w14:textFill>
        </w:rPr>
        <w:t>。</w:t>
      </w:r>
    </w:p>
    <w:p w14:paraId="78214569">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84" w:name="_Toc217642366"/>
      <w:bookmarkStart w:id="685" w:name="_Toc166155296"/>
      <w:bookmarkStart w:id="686" w:name="_Toc638"/>
      <w:r>
        <w:rPr>
          <w:rFonts w:hint="eastAsia" w:ascii="黑体" w:hAnsi="黑体"/>
          <w:b/>
          <w:bCs/>
          <w:color w:val="000000" w:themeColor="text1"/>
          <w:sz w:val="32"/>
          <w:szCs w:val="32"/>
          <w:highlight w:val="none"/>
          <w14:textFill>
            <w14:solidFill>
              <w14:schemeClr w14:val="tx1"/>
            </w14:solidFill>
          </w14:textFill>
        </w:rPr>
        <w:t>15.3质量保证金</w:t>
      </w:r>
      <w:bookmarkEnd w:id="684"/>
      <w:bookmarkEnd w:id="685"/>
      <w:bookmarkEnd w:id="686"/>
    </w:p>
    <w:p w14:paraId="696381A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关于是否扣留质量保证金的约定：</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1F039FF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在工程项目竣工前，承包人按专用合同条款第3.7条提供履约担保的，发包人不得同时预留工程质量保证金。</w:t>
      </w:r>
    </w:p>
    <w:p w14:paraId="2B7BA3F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15.3.1承包人提供质量保证金的方式</w:t>
      </w:r>
    </w:p>
    <w:p w14:paraId="186CEE1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质量保证金采用以下第</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种方式：</w:t>
      </w:r>
    </w:p>
    <w:p w14:paraId="4E15F36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（1）质量保证金保函，保证金额为：   ；</w:t>
      </w:r>
    </w:p>
    <w:p w14:paraId="06B175E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（2）发包人按工程价款结算总额的/%（不得超过3%）预留工程质量保修金，待缺陷责任期满后返还，是否付息及利息计算方式为：/；</w:t>
      </w:r>
    </w:p>
    <w:p w14:paraId="332FF0C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（3）其他方式：/。</w:t>
      </w:r>
    </w:p>
    <w:p w14:paraId="29701D8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15.3.2质量保证金的扣留</w:t>
      </w:r>
    </w:p>
    <w:p w14:paraId="7A6493E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质量保证金的扣留采取以下第</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种方式：</w:t>
      </w:r>
    </w:p>
    <w:p w14:paraId="6B2D6C2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（1）在支付工程进度款时逐次扣留，质量保证金的计算基数不包括预付款的支付、扣回以及价格调整的金额；</w:t>
      </w:r>
    </w:p>
    <w:p w14:paraId="048E8E8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（2）工程竣工结算时，一次性扣留质量保证金，由承包人以银行保函、保证保险替代预留质量保证金，保函金额不得高于工程价款结算总额的 </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p>
    <w:p w14:paraId="5E0560E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（3）其他扣留方式：/。</w:t>
      </w:r>
    </w:p>
    <w:p w14:paraId="7B8E915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关于质量保证金的补充约定：/。</w:t>
      </w:r>
    </w:p>
    <w:p w14:paraId="18E990E5">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87" w:name="_Toc22311"/>
      <w:bookmarkStart w:id="688" w:name="_Toc166155297"/>
      <w:bookmarkStart w:id="689" w:name="_Toc217642367"/>
      <w:r>
        <w:rPr>
          <w:rFonts w:hint="eastAsia" w:ascii="黑体" w:hAnsi="黑体"/>
          <w:b/>
          <w:bCs/>
          <w:color w:val="000000" w:themeColor="text1"/>
          <w:sz w:val="32"/>
          <w:szCs w:val="32"/>
          <w:highlight w:val="none"/>
          <w14:textFill>
            <w14:solidFill>
              <w14:schemeClr w14:val="tx1"/>
            </w14:solidFill>
          </w14:textFill>
        </w:rPr>
        <w:t>15.4保修</w:t>
      </w:r>
      <w:bookmarkEnd w:id="687"/>
      <w:bookmarkEnd w:id="688"/>
      <w:bookmarkEnd w:id="689"/>
    </w:p>
    <w:p w14:paraId="2A68369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15.4.1保修责任</w:t>
      </w:r>
    </w:p>
    <w:p w14:paraId="7421DD7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工程保修期为：</w:t>
      </w:r>
      <w:r>
        <w:rPr>
          <w:rFonts w:hint="eastAsia" w:ascii="宋体" w:hAnsi="宋体"/>
          <w:color w:val="000000" w:themeColor="text1"/>
          <w:szCs w:val="21"/>
          <w:highlight w:val="none"/>
          <w:u w:val="single"/>
          <w14:textFill>
            <w14:solidFill>
              <w14:schemeClr w14:val="tx1"/>
            </w14:solidFill>
          </w14:textFill>
        </w:rPr>
        <w:t>项目通过竣工验收合格后2年</w:t>
      </w:r>
      <w:r>
        <w:rPr>
          <w:rFonts w:hint="eastAsia" w:ascii="宋体" w:hAnsi="宋体"/>
          <w:color w:val="000000" w:themeColor="text1"/>
          <w:szCs w:val="21"/>
          <w:highlight w:val="none"/>
          <w14:textFill>
            <w14:solidFill>
              <w14:schemeClr w14:val="tx1"/>
            </w14:solidFill>
          </w14:textFill>
        </w:rPr>
        <w:t>。</w:t>
      </w:r>
    </w:p>
    <w:p w14:paraId="58539A9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工程保修书具体内容见合同附件</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w:t>
      </w:r>
    </w:p>
    <w:p w14:paraId="39B538A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15.4.3修复通知</w:t>
      </w:r>
    </w:p>
    <w:p w14:paraId="1D4F7C5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承包人收到保修通知并到达工程现场的合理时间：</w:t>
      </w:r>
      <w:r>
        <w:rPr>
          <w:rFonts w:hint="eastAsia" w:ascii="宋体" w:hAnsi="宋体"/>
          <w:color w:val="000000" w:themeColor="text1"/>
          <w:szCs w:val="21"/>
          <w:highlight w:val="none"/>
          <w:u w:val="single"/>
          <w14:textFill>
            <w14:solidFill>
              <w14:schemeClr w14:val="tx1"/>
            </w14:solidFill>
          </w14:textFill>
        </w:rPr>
        <w:t>按质量保修书执行</w:t>
      </w:r>
      <w:r>
        <w:rPr>
          <w:rFonts w:hint="eastAsia" w:ascii="宋体" w:hAnsi="宋体"/>
          <w:color w:val="000000" w:themeColor="text1"/>
          <w:szCs w:val="21"/>
          <w:highlight w:val="none"/>
          <w14:textFill>
            <w14:solidFill>
              <w14:schemeClr w14:val="tx1"/>
            </w14:solidFill>
          </w14:textFill>
        </w:rPr>
        <w:t>。</w:t>
      </w:r>
    </w:p>
    <w:p w14:paraId="00FD7C1D">
      <w:pPr>
        <w:keepNext/>
        <w:keepLines/>
        <w:spacing w:before="260" w:after="260" w:line="412" w:lineRule="auto"/>
        <w:outlineLvl w:val="1"/>
        <w:rPr>
          <w:rFonts w:ascii="黑体" w:hAnsi="黑体" w:eastAsia="黑体"/>
          <w:b/>
          <w:color w:val="000000" w:themeColor="text1"/>
          <w:sz w:val="32"/>
          <w:szCs w:val="20"/>
          <w:highlight w:val="none"/>
          <w14:textFill>
            <w14:solidFill>
              <w14:schemeClr w14:val="tx1"/>
            </w14:solidFill>
          </w14:textFill>
        </w:rPr>
      </w:pPr>
      <w:bookmarkStart w:id="690" w:name="_Toc217642368"/>
      <w:bookmarkStart w:id="691" w:name="_Toc12020"/>
      <w:bookmarkStart w:id="692" w:name="_Toc166155298"/>
      <w:r>
        <w:rPr>
          <w:rFonts w:hint="eastAsia" w:ascii="黑体" w:hAnsi="黑体" w:eastAsia="黑体"/>
          <w:b/>
          <w:color w:val="000000" w:themeColor="text1"/>
          <w:sz w:val="32"/>
          <w:szCs w:val="20"/>
          <w:highlight w:val="none"/>
          <w14:textFill>
            <w14:solidFill>
              <w14:schemeClr w14:val="tx1"/>
            </w14:solidFill>
          </w14:textFill>
        </w:rPr>
        <w:t>16.违约</w:t>
      </w:r>
      <w:bookmarkEnd w:id="690"/>
      <w:bookmarkEnd w:id="691"/>
      <w:bookmarkEnd w:id="692"/>
    </w:p>
    <w:p w14:paraId="31A076A1">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93" w:name="_Toc19302"/>
      <w:bookmarkStart w:id="694" w:name="_Toc166155299"/>
      <w:bookmarkStart w:id="695" w:name="_Toc217642369"/>
      <w:r>
        <w:rPr>
          <w:rFonts w:hint="eastAsia" w:ascii="黑体" w:hAnsi="黑体"/>
          <w:b/>
          <w:bCs/>
          <w:color w:val="000000" w:themeColor="text1"/>
          <w:sz w:val="32"/>
          <w:szCs w:val="32"/>
          <w:highlight w:val="none"/>
          <w14:textFill>
            <w14:solidFill>
              <w14:schemeClr w14:val="tx1"/>
            </w14:solidFill>
          </w14:textFill>
        </w:rPr>
        <w:t>16.1发包人违约</w:t>
      </w:r>
      <w:bookmarkEnd w:id="693"/>
      <w:bookmarkEnd w:id="694"/>
      <w:bookmarkEnd w:id="695"/>
    </w:p>
    <w:p w14:paraId="017F069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16.1.1发包人违约的情形</w:t>
      </w:r>
    </w:p>
    <w:p w14:paraId="6D46696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发包人违约的其他情形：</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4EE4DC0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16.1.2发包人违约的责任</w:t>
      </w:r>
    </w:p>
    <w:p w14:paraId="0720937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发包人违约责任的承担方式和计算方法：</w:t>
      </w:r>
    </w:p>
    <w:p w14:paraId="684F17D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（1）因发包人原因未能在计划开工日期前7天内下达开工通知的违约责任：</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3814EDC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（2）因发包人原因未能按合同约定支付合同价款的违约责任：</w:t>
      </w:r>
      <w:r>
        <w:rPr>
          <w:rFonts w:hint="eastAsia" w:ascii="宋体" w:hAnsi="宋体"/>
          <w:color w:val="000000" w:themeColor="text1"/>
          <w:szCs w:val="21"/>
          <w:highlight w:val="none"/>
          <w:u w:val="single"/>
          <w14:textFill>
            <w14:solidFill>
              <w14:schemeClr w14:val="tx1"/>
            </w14:solidFill>
          </w14:textFill>
        </w:rPr>
        <w:t>承包人与发包人签订延期付款协议，延期付款协议须经财政部门及双方认可</w:t>
      </w:r>
      <w:r>
        <w:rPr>
          <w:rFonts w:hint="eastAsia" w:ascii="宋体" w:hAnsi="宋体"/>
          <w:color w:val="000000" w:themeColor="text1"/>
          <w:szCs w:val="21"/>
          <w:highlight w:val="none"/>
          <w14:textFill>
            <w14:solidFill>
              <w14:schemeClr w14:val="tx1"/>
            </w14:solidFill>
          </w14:textFill>
        </w:rPr>
        <w:t>。</w:t>
      </w:r>
    </w:p>
    <w:p w14:paraId="608C8D7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（3）发包人违反第10.1款〔变更的范围〕第（2）项约定，自行实施被取消的工作或转由他人实施的违约责任：</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3C0A19D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（4）发包人提供的材料、工程设备的规格、数量或质量不符合合同约定，或因发包人原因导致交货日期延误或交货地点变更等情况的违约责任：</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1391F78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（5）因发包人违反合同约定造成暂停施工的违约责任：</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3403423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（6）发包人无正当理由没有在约定期限内发出复工指示，导致承包人无法复工的违约责任：</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1E3215D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（7）其他：</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0DFCDE0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16.1.3因发包人违约解除合同</w:t>
      </w:r>
    </w:p>
    <w:p w14:paraId="3D730ED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承包人按16.1.1项〔发包人违约的情形〕约定暂停施工满</w:t>
      </w:r>
      <w:r>
        <w:rPr>
          <w:rFonts w:ascii="宋体" w:hAnsi="宋体"/>
          <w:color w:val="000000" w:themeColor="text1"/>
          <w:szCs w:val="21"/>
          <w:highlight w:val="none"/>
          <w:u w:val="single"/>
          <w14:textFill>
            <w14:solidFill>
              <w14:schemeClr w14:val="tx1"/>
            </w14:solidFill>
          </w14:textFill>
        </w:rPr>
        <w:t>28</w:t>
      </w:r>
      <w:r>
        <w:rPr>
          <w:rFonts w:hint="eastAsia" w:ascii="宋体" w:hAnsi="宋体"/>
          <w:color w:val="000000" w:themeColor="text1"/>
          <w:szCs w:val="21"/>
          <w:highlight w:val="none"/>
          <w14:textFill>
            <w14:solidFill>
              <w14:schemeClr w14:val="tx1"/>
            </w14:solidFill>
          </w14:textFill>
        </w:rPr>
        <w:t>天后发包人仍不纠正其违约行为并致使合同目的不能实现的，承包人有权解除合同。</w:t>
      </w:r>
    </w:p>
    <w:p w14:paraId="181A2E77">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696" w:name="_Toc166155300"/>
      <w:bookmarkStart w:id="697" w:name="_Toc217642370"/>
      <w:bookmarkStart w:id="698" w:name="_Toc23283"/>
      <w:r>
        <w:rPr>
          <w:rFonts w:hint="eastAsia" w:ascii="黑体" w:hAnsi="黑体"/>
          <w:b/>
          <w:bCs/>
          <w:color w:val="000000" w:themeColor="text1"/>
          <w:sz w:val="32"/>
          <w:szCs w:val="32"/>
          <w:highlight w:val="none"/>
          <w14:textFill>
            <w14:solidFill>
              <w14:schemeClr w14:val="tx1"/>
            </w14:solidFill>
          </w14:textFill>
        </w:rPr>
        <w:t>16.2承包人违约</w:t>
      </w:r>
      <w:bookmarkEnd w:id="696"/>
      <w:bookmarkEnd w:id="697"/>
      <w:bookmarkEnd w:id="698"/>
    </w:p>
    <w:p w14:paraId="7590ABE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16.2.1承包人违约的情形</w:t>
      </w:r>
    </w:p>
    <w:p w14:paraId="3D01949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承包人有违反2015年《南宁市人民政府关于修改〈南宁市建设工程造价管理办法〉的决定》（南宁市人民政府令第34号）规定的，按规定给予处罚。《南宁市建设工程造价管理办法》没有规定的按本合同《通用条款》执行</w:t>
      </w:r>
      <w:r>
        <w:rPr>
          <w:rFonts w:hint="eastAsia" w:ascii="宋体" w:hAnsi="宋体"/>
          <w:color w:val="000000" w:themeColor="text1"/>
          <w:szCs w:val="21"/>
          <w:highlight w:val="none"/>
          <w14:textFill>
            <w14:solidFill>
              <w14:schemeClr w14:val="tx1"/>
            </w14:solidFill>
          </w14:textFill>
        </w:rPr>
        <w:t>。</w:t>
      </w:r>
    </w:p>
    <w:p w14:paraId="6A8F745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16.2.2承包人违约责任</w:t>
      </w:r>
    </w:p>
    <w:p w14:paraId="2648426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承包人违约责任的承担方式和计算方法：</w:t>
      </w:r>
    </w:p>
    <w:p w14:paraId="27C45F83">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1）承包人未按本合同通用条款第16.2.1（2）、（3）条内容完成的，承包人无条件返工处理，修复至工程质量要求并承担相关费用，并在发包人规定的时间内完成返工，否则发包人有权扣罚该分项工程10%的工程款作为处罚。</w:t>
      </w:r>
    </w:p>
    <w:p w14:paraId="382BFFD4">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（2）承包人有本合同通用条款第16.2.1（6）条情形的，或经发包人检验认为修复质量不合格而承包人拒绝再进行修补的，发包人将扣除承包人全部质量保修金。</w:t>
      </w:r>
    </w:p>
    <w:p w14:paraId="44F5FD10">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（3）承包人有本专用合同条款3.2、3.3条违约责任的，发包人有权扣除承包人的违约金。违约金金额在承包人的计量支付款内扣除。 发包人预先下发含有罚款意向的指令，如承包人不及时采取措施纠正，则在指令下达后十五天下发罚款通知书（不再陈述罚款理由）。承包人被罚款后由发包人从最后一次计量支付时扣除。承包人在合同期内，完成合同规定的全部工程，且质量合格，在本工程施工竣工验收后十五天内可申请返还全部或部分罚款，返还金额由 发包人审核，发包人批准。罚款金额返还时不包括银行利息。。</w:t>
      </w:r>
    </w:p>
    <w:p w14:paraId="4CD806F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16.2.3因承包人违约解除合同</w:t>
      </w:r>
    </w:p>
    <w:p w14:paraId="720495AB">
      <w:pPr>
        <w:spacing w:line="360" w:lineRule="auto"/>
        <w:ind w:firstLine="422" w:firstLineChars="200"/>
        <w:rPr>
          <w:rFonts w:ascii="宋体" w:hAnsi="宋体"/>
          <w:b/>
          <w:color w:val="000000" w:themeColor="text1"/>
          <w:szCs w:val="21"/>
          <w:highlight w:val="none"/>
          <w:u w:val="single"/>
          <w14:textFill>
            <w14:solidFill>
              <w14:schemeClr w14:val="tx1"/>
            </w14:solidFill>
          </w14:textFill>
        </w:rPr>
      </w:pPr>
      <w:r>
        <w:rPr>
          <w:rFonts w:hint="eastAsia" w:ascii="宋体" w:hAnsi="宋体"/>
          <w:b/>
          <w:color w:val="000000" w:themeColor="text1"/>
          <w:szCs w:val="21"/>
          <w:highlight w:val="none"/>
          <w:u w:val="single"/>
          <w14:textFill>
            <w14:solidFill>
              <w14:schemeClr w14:val="tx1"/>
            </w14:solidFill>
          </w14:textFill>
        </w:rPr>
        <w:t>16.2.3.1关于因承包人违约而解除合同的特别约定</w:t>
      </w:r>
    </w:p>
    <w:p w14:paraId="11F1849D">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承包人有违反以下情况之一的，发包人有权解除合同：</w:t>
      </w:r>
    </w:p>
    <w:p w14:paraId="69050CD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（1）承包人无正当理由不按开工通知的要求及时进场组织施工和不按签订协议书时商定的进度计划有效地开展施工准备，造成工期延误的；</w:t>
      </w:r>
    </w:p>
    <w:p w14:paraId="5A136D6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（2）承包人违反本合同通用条款第3.5条规定私自将合同或合同的任何部分或任何权利转让给其他人，或私自将工程或工程的一部分分包出去的；</w:t>
      </w:r>
    </w:p>
    <w:p w14:paraId="625E1D9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（3）未经监理人批准，承包人私自将已按投标文件承诺进入工地的工程设备、施工设备、临时工程或材料撤离工地的；</w:t>
      </w:r>
    </w:p>
    <w:p w14:paraId="4259769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（4）由于承包人原因拒绝按合同进度计划及时完成合同约定的工程，而又未采取有效措施赶上进度，造成工期严重延误的；</w:t>
      </w:r>
    </w:p>
    <w:p w14:paraId="498E23C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（5）承包人否认合同有效或拒绝履行合同约定义务，或由于法律、财务等原因导致承包人无法继续履行或实质上已停止履行合同义务的；</w:t>
      </w:r>
    </w:p>
    <w:p w14:paraId="197F652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（6）合同签订且具备法定开工条件后之日起十五日内，承包人无法按合同约定及投标文件的承诺进场经监理工程师认可的该施工阶段应有的全部人员和机械的。</w:t>
      </w:r>
    </w:p>
    <w:p w14:paraId="59231F08">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（7）承包人为联合体</w:t>
      </w:r>
      <w:r>
        <w:rPr>
          <w:rFonts w:hint="eastAsia" w:ascii="宋体" w:hAnsi="宋体"/>
          <w:color w:val="000000" w:themeColor="text1"/>
          <w:szCs w:val="21"/>
          <w:highlight w:val="none"/>
          <w:u w:val="single"/>
          <w:lang w:eastAsia="zh-CN"/>
          <w14:textFill>
            <w14:solidFill>
              <w14:schemeClr w14:val="tx1"/>
            </w14:solidFill>
          </w14:textFill>
        </w:rPr>
        <w:t>成交</w:t>
      </w:r>
      <w:r>
        <w:rPr>
          <w:rFonts w:hint="eastAsia" w:ascii="宋体" w:hAnsi="宋体"/>
          <w:color w:val="000000" w:themeColor="text1"/>
          <w:szCs w:val="21"/>
          <w:highlight w:val="none"/>
          <w:u w:val="single"/>
          <w14:textFill>
            <w14:solidFill>
              <w14:schemeClr w14:val="tx1"/>
            </w14:solidFill>
          </w14:textFill>
        </w:rPr>
        <w:t>的，在施工过程中，未按联合体协议书约定进行分工实施本工程的。</w:t>
      </w:r>
    </w:p>
    <w:p w14:paraId="1C9C9927">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16.2.3.2</w:t>
      </w:r>
      <w:r>
        <w:rPr>
          <w:rFonts w:hint="eastAsia" w:ascii="宋体" w:hAnsi="宋体"/>
          <w:color w:val="000000" w:themeColor="text1"/>
          <w:szCs w:val="21"/>
          <w:highlight w:val="none"/>
          <w14:textFill>
            <w14:solidFill>
              <w14:schemeClr w14:val="tx1"/>
            </w14:solidFill>
          </w14:textFill>
        </w:rPr>
        <w:t>发包人继续使用承包人在施工现场的材料、设备、临时工程、承包人文件和由承包人或以其名义编制的其他文件的费用承担方式：</w:t>
      </w:r>
      <w:r>
        <w:rPr>
          <w:rFonts w:hint="eastAsia" w:ascii="宋体" w:hAnsi="宋体"/>
          <w:color w:val="000000" w:themeColor="text1"/>
          <w:szCs w:val="21"/>
          <w:highlight w:val="none"/>
          <w:u w:val="single"/>
          <w14:textFill>
            <w14:solidFill>
              <w14:schemeClr w14:val="tx1"/>
            </w14:solidFill>
          </w14:textFill>
        </w:rPr>
        <w:t>费用由承包人承担。</w:t>
      </w:r>
    </w:p>
    <w:p w14:paraId="0078DFC0">
      <w:pPr>
        <w:keepNext/>
        <w:keepLines/>
        <w:spacing w:before="260" w:after="260" w:line="412" w:lineRule="auto"/>
        <w:outlineLvl w:val="1"/>
        <w:rPr>
          <w:rFonts w:ascii="黑体" w:hAnsi="黑体" w:eastAsia="黑体"/>
          <w:b/>
          <w:color w:val="000000" w:themeColor="text1"/>
          <w:sz w:val="32"/>
          <w:szCs w:val="20"/>
          <w:highlight w:val="none"/>
          <w14:textFill>
            <w14:solidFill>
              <w14:schemeClr w14:val="tx1"/>
            </w14:solidFill>
          </w14:textFill>
        </w:rPr>
      </w:pPr>
      <w:bookmarkStart w:id="699" w:name="_Toc19535"/>
      <w:bookmarkStart w:id="700" w:name="_Toc217642371"/>
      <w:bookmarkStart w:id="701" w:name="_Toc166155301"/>
      <w:r>
        <w:rPr>
          <w:rFonts w:hint="eastAsia" w:ascii="黑体" w:hAnsi="黑体" w:eastAsia="黑体"/>
          <w:b/>
          <w:color w:val="000000" w:themeColor="text1"/>
          <w:sz w:val="32"/>
          <w:szCs w:val="20"/>
          <w:highlight w:val="none"/>
          <w14:textFill>
            <w14:solidFill>
              <w14:schemeClr w14:val="tx1"/>
            </w14:solidFill>
          </w14:textFill>
        </w:rPr>
        <w:t>17.不可抗力</w:t>
      </w:r>
      <w:bookmarkEnd w:id="699"/>
      <w:bookmarkEnd w:id="700"/>
      <w:bookmarkEnd w:id="701"/>
    </w:p>
    <w:p w14:paraId="7E8E8B08">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702" w:name="_Toc27678"/>
      <w:bookmarkStart w:id="703" w:name="_Toc166155302"/>
      <w:bookmarkStart w:id="704" w:name="_Toc217642372"/>
      <w:r>
        <w:rPr>
          <w:rFonts w:hint="eastAsia" w:ascii="黑体" w:hAnsi="黑体"/>
          <w:b/>
          <w:bCs/>
          <w:color w:val="000000" w:themeColor="text1"/>
          <w:sz w:val="32"/>
          <w:szCs w:val="32"/>
          <w:highlight w:val="none"/>
          <w14:textFill>
            <w14:solidFill>
              <w14:schemeClr w14:val="tx1"/>
            </w14:solidFill>
          </w14:textFill>
        </w:rPr>
        <w:t>17.1不可抗力的确认</w:t>
      </w:r>
      <w:bookmarkEnd w:id="702"/>
      <w:bookmarkEnd w:id="703"/>
      <w:bookmarkEnd w:id="704"/>
    </w:p>
    <w:p w14:paraId="59A4E7C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除通用合同条款约定的不可抗力事件之外，视为不可抗力的其他情形：</w:t>
      </w:r>
      <w:r>
        <w:rPr>
          <w:rFonts w:hint="eastAsia" w:ascii="宋体" w:hAnsi="宋体"/>
          <w:color w:val="000000" w:themeColor="text1"/>
          <w:szCs w:val="21"/>
          <w:highlight w:val="none"/>
          <w:u w:val="single"/>
          <w14:textFill>
            <w14:solidFill>
              <w14:schemeClr w14:val="tx1"/>
            </w14:solidFill>
          </w14:textFill>
        </w:rPr>
        <w:t>因政府或相关主管部门要求导致项目中断施工</w:t>
      </w:r>
      <w:r>
        <w:rPr>
          <w:rFonts w:hint="eastAsia" w:ascii="宋体" w:hAnsi="宋体"/>
          <w:color w:val="000000" w:themeColor="text1"/>
          <w:szCs w:val="21"/>
          <w:highlight w:val="none"/>
          <w14:textFill>
            <w14:solidFill>
              <w14:schemeClr w14:val="tx1"/>
            </w14:solidFill>
          </w14:textFill>
        </w:rPr>
        <w:t>。</w:t>
      </w:r>
    </w:p>
    <w:p w14:paraId="40486A9B">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705" w:name="_Toc166155303"/>
      <w:bookmarkStart w:id="706" w:name="_Toc217642373"/>
      <w:bookmarkStart w:id="707" w:name="_Toc30008"/>
      <w:r>
        <w:rPr>
          <w:rFonts w:hint="eastAsia" w:ascii="黑体" w:hAnsi="黑体"/>
          <w:b/>
          <w:bCs/>
          <w:color w:val="000000" w:themeColor="text1"/>
          <w:sz w:val="32"/>
          <w:szCs w:val="32"/>
          <w:highlight w:val="none"/>
          <w14:textFill>
            <w14:solidFill>
              <w14:schemeClr w14:val="tx1"/>
            </w14:solidFill>
          </w14:textFill>
        </w:rPr>
        <w:t>17.4因不可抗力解除合同</w:t>
      </w:r>
      <w:bookmarkEnd w:id="705"/>
      <w:bookmarkEnd w:id="706"/>
      <w:bookmarkEnd w:id="707"/>
    </w:p>
    <w:p w14:paraId="52F9612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合同解除后，发包人应在商定或确定发包人应支付款项后</w:t>
      </w:r>
      <w:r>
        <w:rPr>
          <w:rFonts w:ascii="宋体" w:hAnsi="宋体"/>
          <w:color w:val="000000" w:themeColor="text1"/>
          <w:szCs w:val="21"/>
          <w:highlight w:val="none"/>
          <w:u w:val="single"/>
          <w14:textFill>
            <w14:solidFill>
              <w14:schemeClr w14:val="tx1"/>
            </w14:solidFill>
          </w14:textFill>
        </w:rPr>
        <w:t>28</w:t>
      </w:r>
      <w:r>
        <w:rPr>
          <w:rFonts w:hint="eastAsia" w:ascii="宋体" w:hAnsi="宋体"/>
          <w:color w:val="000000" w:themeColor="text1"/>
          <w:szCs w:val="21"/>
          <w:highlight w:val="none"/>
          <w14:textFill>
            <w14:solidFill>
              <w14:schemeClr w14:val="tx1"/>
            </w14:solidFill>
          </w14:textFill>
        </w:rPr>
        <w:t>天内完成款项的支付。</w:t>
      </w:r>
    </w:p>
    <w:p w14:paraId="0731923B">
      <w:pPr>
        <w:keepNext/>
        <w:keepLines/>
        <w:spacing w:before="260" w:after="260" w:line="412" w:lineRule="auto"/>
        <w:outlineLvl w:val="1"/>
        <w:rPr>
          <w:rFonts w:ascii="黑体" w:hAnsi="黑体" w:eastAsia="黑体"/>
          <w:b/>
          <w:color w:val="000000" w:themeColor="text1"/>
          <w:sz w:val="32"/>
          <w:szCs w:val="20"/>
          <w:highlight w:val="none"/>
          <w14:textFill>
            <w14:solidFill>
              <w14:schemeClr w14:val="tx1"/>
            </w14:solidFill>
          </w14:textFill>
        </w:rPr>
      </w:pPr>
      <w:bookmarkStart w:id="708" w:name="_Toc217642374"/>
      <w:bookmarkStart w:id="709" w:name="_Toc166155304"/>
      <w:bookmarkStart w:id="710" w:name="_Toc5065"/>
      <w:r>
        <w:rPr>
          <w:rFonts w:hint="eastAsia" w:ascii="黑体" w:hAnsi="黑体" w:eastAsia="黑体"/>
          <w:b/>
          <w:color w:val="000000" w:themeColor="text1"/>
          <w:sz w:val="32"/>
          <w:szCs w:val="20"/>
          <w:highlight w:val="none"/>
          <w14:textFill>
            <w14:solidFill>
              <w14:schemeClr w14:val="tx1"/>
            </w14:solidFill>
          </w14:textFill>
        </w:rPr>
        <w:t>18.保险</w:t>
      </w:r>
      <w:bookmarkEnd w:id="708"/>
      <w:bookmarkEnd w:id="709"/>
      <w:bookmarkEnd w:id="710"/>
    </w:p>
    <w:p w14:paraId="12663470">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711" w:name="_Toc217642375"/>
      <w:bookmarkStart w:id="712" w:name="_Toc28717"/>
      <w:bookmarkStart w:id="713" w:name="_Toc166155305"/>
      <w:r>
        <w:rPr>
          <w:rFonts w:hint="eastAsia" w:ascii="黑体" w:hAnsi="黑体"/>
          <w:b/>
          <w:bCs/>
          <w:color w:val="000000" w:themeColor="text1"/>
          <w:sz w:val="32"/>
          <w:szCs w:val="32"/>
          <w:highlight w:val="none"/>
          <w14:textFill>
            <w14:solidFill>
              <w14:schemeClr w14:val="tx1"/>
            </w14:solidFill>
          </w14:textFill>
        </w:rPr>
        <w:t>18.1工程保险</w:t>
      </w:r>
      <w:bookmarkEnd w:id="711"/>
      <w:bookmarkEnd w:id="712"/>
      <w:bookmarkEnd w:id="713"/>
    </w:p>
    <w:p w14:paraId="600F159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关于工程保险的特别约定：</w:t>
      </w:r>
      <w:r>
        <w:rPr>
          <w:rFonts w:hint="eastAsia" w:ascii="宋体" w:hAnsi="宋体"/>
          <w:color w:val="000000" w:themeColor="text1"/>
          <w:szCs w:val="21"/>
          <w:highlight w:val="none"/>
          <w:u w:val="single"/>
          <w14:textFill>
            <w14:solidFill>
              <w14:schemeClr w14:val="tx1"/>
            </w14:solidFill>
          </w14:textFill>
        </w:rPr>
        <w:t>发包人可根据需要投保工程质量保险；对已投保的工程项目，承包人应积极配合保险公司开展相关工作</w:t>
      </w:r>
      <w:r>
        <w:rPr>
          <w:rFonts w:hint="eastAsia" w:ascii="宋体" w:hAnsi="宋体"/>
          <w:color w:val="000000" w:themeColor="text1"/>
          <w:szCs w:val="21"/>
          <w:highlight w:val="none"/>
          <w14:textFill>
            <w14:solidFill>
              <w14:schemeClr w14:val="tx1"/>
            </w14:solidFill>
          </w14:textFill>
        </w:rPr>
        <w:t>。</w:t>
      </w:r>
    </w:p>
    <w:p w14:paraId="0D496F3A">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714" w:name="_Toc217642376"/>
      <w:bookmarkStart w:id="715" w:name="_Toc166155306"/>
      <w:bookmarkStart w:id="716" w:name="_Toc16810"/>
      <w:r>
        <w:rPr>
          <w:rFonts w:hint="eastAsia" w:ascii="黑体" w:hAnsi="黑体"/>
          <w:b/>
          <w:bCs/>
          <w:color w:val="000000" w:themeColor="text1"/>
          <w:sz w:val="32"/>
          <w:szCs w:val="32"/>
          <w:highlight w:val="none"/>
          <w14:textFill>
            <w14:solidFill>
              <w14:schemeClr w14:val="tx1"/>
            </w14:solidFill>
          </w14:textFill>
        </w:rPr>
        <w:t>18.3其他保险</w:t>
      </w:r>
      <w:bookmarkEnd w:id="714"/>
      <w:bookmarkEnd w:id="715"/>
      <w:bookmarkEnd w:id="716"/>
    </w:p>
    <w:p w14:paraId="45B1D7D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关于其他保险的约定：</w:t>
      </w:r>
      <w:r>
        <w:rPr>
          <w:rFonts w:hint="eastAsia" w:ascii="宋体" w:hAnsi="宋体"/>
          <w:color w:val="000000" w:themeColor="text1"/>
          <w:szCs w:val="21"/>
          <w:highlight w:val="none"/>
          <w:u w:val="single"/>
          <w14:textFill>
            <w14:solidFill>
              <w14:schemeClr w14:val="tx1"/>
            </w14:solidFill>
          </w14:textFill>
        </w:rPr>
        <w:t>承包人必须为施工现场从事施工的自有作业人员和管理人员办理意外伤害保险，并支付保险费，费用已包含在综合单价中不再另计计价</w:t>
      </w:r>
      <w:r>
        <w:rPr>
          <w:rFonts w:hint="eastAsia" w:ascii="宋体" w:hAnsi="宋体"/>
          <w:color w:val="000000" w:themeColor="text1"/>
          <w:szCs w:val="21"/>
          <w:highlight w:val="none"/>
          <w14:textFill>
            <w14:solidFill>
              <w14:schemeClr w14:val="tx1"/>
            </w14:solidFill>
          </w14:textFill>
        </w:rPr>
        <w:t>。</w:t>
      </w:r>
    </w:p>
    <w:p w14:paraId="1BC2B64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承包人是否应为其施工设备等办理财产保险：</w:t>
      </w:r>
      <w:r>
        <w:rPr>
          <w:rFonts w:hint="eastAsia" w:ascii="宋体" w:hAnsi="宋体"/>
          <w:color w:val="000000" w:themeColor="text1"/>
          <w:szCs w:val="21"/>
          <w:highlight w:val="none"/>
          <w:u w:val="single"/>
          <w14:textFill>
            <w14:solidFill>
              <w14:schemeClr w14:val="tx1"/>
            </w14:solidFill>
          </w14:textFill>
        </w:rPr>
        <w:t>承包人自行考虑</w:t>
      </w:r>
      <w:r>
        <w:rPr>
          <w:rFonts w:hint="eastAsia" w:ascii="宋体" w:hAnsi="宋体"/>
          <w:color w:val="000000" w:themeColor="text1"/>
          <w:szCs w:val="21"/>
          <w:highlight w:val="none"/>
          <w14:textFill>
            <w14:solidFill>
              <w14:schemeClr w14:val="tx1"/>
            </w14:solidFill>
          </w14:textFill>
        </w:rPr>
        <w:t>。</w:t>
      </w:r>
    </w:p>
    <w:p w14:paraId="3377769F">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717" w:name="_Toc217642377"/>
      <w:bookmarkStart w:id="718" w:name="_Toc11362"/>
      <w:bookmarkStart w:id="719" w:name="_Toc166155307"/>
      <w:r>
        <w:rPr>
          <w:rFonts w:hint="eastAsia" w:ascii="黑体" w:hAnsi="黑体"/>
          <w:b/>
          <w:bCs/>
          <w:color w:val="000000" w:themeColor="text1"/>
          <w:sz w:val="32"/>
          <w:szCs w:val="32"/>
          <w:highlight w:val="none"/>
          <w14:textFill>
            <w14:solidFill>
              <w14:schemeClr w14:val="tx1"/>
            </w14:solidFill>
          </w14:textFill>
        </w:rPr>
        <w:t>18.7通知义务</w:t>
      </w:r>
      <w:bookmarkEnd w:id="717"/>
      <w:bookmarkEnd w:id="718"/>
      <w:bookmarkEnd w:id="719"/>
    </w:p>
    <w:p w14:paraId="1B69813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关于变更保险合同时的通知义务的约定：</w:t>
      </w:r>
      <w:r>
        <w:rPr>
          <w:rFonts w:hint="eastAsia" w:ascii="宋体" w:hAnsi="宋体"/>
          <w:color w:val="000000" w:themeColor="text1"/>
          <w:szCs w:val="21"/>
          <w:highlight w:val="none"/>
          <w:u w:val="single"/>
          <w14:textFill>
            <w14:solidFill>
              <w14:schemeClr w14:val="tx1"/>
            </w14:solidFill>
          </w14:textFill>
        </w:rPr>
        <w:t>无</w:t>
      </w:r>
      <w:r>
        <w:rPr>
          <w:rFonts w:hint="eastAsia" w:ascii="宋体" w:hAnsi="宋体"/>
          <w:color w:val="000000" w:themeColor="text1"/>
          <w:szCs w:val="21"/>
          <w:highlight w:val="none"/>
          <w14:textFill>
            <w14:solidFill>
              <w14:schemeClr w14:val="tx1"/>
            </w14:solidFill>
          </w14:textFill>
        </w:rPr>
        <w:t>。</w:t>
      </w:r>
    </w:p>
    <w:p w14:paraId="11737310">
      <w:pPr>
        <w:keepNext/>
        <w:keepLines/>
        <w:spacing w:before="260" w:after="260" w:line="412" w:lineRule="auto"/>
        <w:outlineLvl w:val="1"/>
        <w:rPr>
          <w:rFonts w:ascii="黑体" w:hAnsi="黑体" w:eastAsia="黑体"/>
          <w:b/>
          <w:color w:val="000000" w:themeColor="text1"/>
          <w:sz w:val="32"/>
          <w:szCs w:val="20"/>
          <w:highlight w:val="none"/>
          <w14:textFill>
            <w14:solidFill>
              <w14:schemeClr w14:val="tx1"/>
            </w14:solidFill>
          </w14:textFill>
        </w:rPr>
      </w:pPr>
      <w:bookmarkStart w:id="720" w:name="_Toc217642378"/>
      <w:bookmarkStart w:id="721" w:name="_Toc166155308"/>
      <w:bookmarkStart w:id="722" w:name="_Toc21789"/>
      <w:r>
        <w:rPr>
          <w:rFonts w:hint="eastAsia" w:ascii="黑体" w:hAnsi="黑体" w:eastAsia="黑体"/>
          <w:b/>
          <w:color w:val="000000" w:themeColor="text1"/>
          <w:sz w:val="32"/>
          <w:szCs w:val="20"/>
          <w:highlight w:val="none"/>
          <w14:textFill>
            <w14:solidFill>
              <w14:schemeClr w14:val="tx1"/>
            </w14:solidFill>
          </w14:textFill>
        </w:rPr>
        <w:t>20.争议解决</w:t>
      </w:r>
      <w:bookmarkEnd w:id="720"/>
      <w:bookmarkEnd w:id="721"/>
      <w:bookmarkEnd w:id="722"/>
    </w:p>
    <w:p w14:paraId="1C2DAA50">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723" w:name="_Toc19698"/>
      <w:bookmarkStart w:id="724" w:name="_Toc217642379"/>
      <w:bookmarkStart w:id="725" w:name="_Toc166155309"/>
      <w:r>
        <w:rPr>
          <w:rFonts w:hint="eastAsia" w:ascii="黑体" w:hAnsi="黑体"/>
          <w:b/>
          <w:bCs/>
          <w:color w:val="000000" w:themeColor="text1"/>
          <w:sz w:val="32"/>
          <w:szCs w:val="32"/>
          <w:highlight w:val="none"/>
          <w14:textFill>
            <w14:solidFill>
              <w14:schemeClr w14:val="tx1"/>
            </w14:solidFill>
          </w14:textFill>
        </w:rPr>
        <w:t>20.3争议评审</w:t>
      </w:r>
      <w:bookmarkEnd w:id="723"/>
      <w:bookmarkEnd w:id="724"/>
      <w:bookmarkEnd w:id="725"/>
    </w:p>
    <w:p w14:paraId="0C16971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合同当事人是否同意将工程争议提交争议评审小组决定：</w:t>
      </w:r>
      <w:r>
        <w:rPr>
          <w:rFonts w:hint="eastAsia" w:ascii="宋体" w:hAnsi="宋体"/>
          <w:color w:val="000000" w:themeColor="text1"/>
          <w:szCs w:val="21"/>
          <w:highlight w:val="none"/>
          <w:u w:val="single"/>
          <w14:textFill>
            <w14:solidFill>
              <w14:schemeClr w14:val="tx1"/>
            </w14:solidFill>
          </w14:textFill>
        </w:rPr>
        <w:t>是</w:t>
      </w:r>
      <w:r>
        <w:rPr>
          <w:rFonts w:hint="eastAsia" w:ascii="宋体" w:hAnsi="宋体"/>
          <w:color w:val="000000" w:themeColor="text1"/>
          <w:szCs w:val="21"/>
          <w:highlight w:val="none"/>
          <w14:textFill>
            <w14:solidFill>
              <w14:schemeClr w14:val="tx1"/>
            </w14:solidFill>
          </w14:textFill>
        </w:rPr>
        <w:t>。</w:t>
      </w:r>
    </w:p>
    <w:p w14:paraId="662EA68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20.3.1争议评审小组的确定</w:t>
      </w:r>
    </w:p>
    <w:p w14:paraId="3DC19FB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争议评审小组成员的确定：</w:t>
      </w:r>
      <w:r>
        <w:rPr>
          <w:rFonts w:hint="eastAsia" w:ascii="宋体" w:hAnsi="宋体"/>
          <w:color w:val="000000" w:themeColor="text1"/>
          <w:szCs w:val="21"/>
          <w:highlight w:val="none"/>
          <w:u w:val="single"/>
          <w14:textFill>
            <w14:solidFill>
              <w14:schemeClr w14:val="tx1"/>
            </w14:solidFill>
          </w14:textFill>
        </w:rPr>
        <w:t>按本合同通用条款相关规定执行</w:t>
      </w:r>
      <w:r>
        <w:rPr>
          <w:rFonts w:hint="eastAsia" w:ascii="宋体" w:hAnsi="宋体"/>
          <w:color w:val="000000" w:themeColor="text1"/>
          <w:szCs w:val="21"/>
          <w:highlight w:val="none"/>
          <w14:textFill>
            <w14:solidFill>
              <w14:schemeClr w14:val="tx1"/>
            </w14:solidFill>
          </w14:textFill>
        </w:rPr>
        <w:t>。</w:t>
      </w:r>
    </w:p>
    <w:p w14:paraId="5450018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选定争议评审员的期限：</w:t>
      </w:r>
      <w:r>
        <w:rPr>
          <w:rFonts w:hint="eastAsia" w:ascii="宋体" w:hAnsi="宋体"/>
          <w:color w:val="000000" w:themeColor="text1"/>
          <w:szCs w:val="21"/>
          <w:highlight w:val="none"/>
          <w:u w:val="single"/>
          <w14:textFill>
            <w14:solidFill>
              <w14:schemeClr w14:val="tx1"/>
            </w14:solidFill>
          </w14:textFill>
        </w:rPr>
        <w:t>按本合同通用条款相关规定执行</w:t>
      </w:r>
      <w:r>
        <w:rPr>
          <w:rFonts w:hint="eastAsia" w:ascii="宋体" w:hAnsi="宋体"/>
          <w:color w:val="000000" w:themeColor="text1"/>
          <w:szCs w:val="21"/>
          <w:highlight w:val="none"/>
          <w14:textFill>
            <w14:solidFill>
              <w14:schemeClr w14:val="tx1"/>
            </w14:solidFill>
          </w14:textFill>
        </w:rPr>
        <w:t>。</w:t>
      </w:r>
    </w:p>
    <w:p w14:paraId="3D9D890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争议评审小组成员的报酬承担方式：</w:t>
      </w:r>
      <w:r>
        <w:rPr>
          <w:rFonts w:hint="eastAsia" w:ascii="宋体" w:hAnsi="宋体"/>
          <w:color w:val="000000" w:themeColor="text1"/>
          <w:szCs w:val="21"/>
          <w:highlight w:val="none"/>
          <w:u w:val="single"/>
          <w14:textFill>
            <w14:solidFill>
              <w14:schemeClr w14:val="tx1"/>
            </w14:solidFill>
          </w14:textFill>
        </w:rPr>
        <w:t>按本合同通用条款相关规定执行</w:t>
      </w:r>
      <w:r>
        <w:rPr>
          <w:rFonts w:hint="eastAsia" w:ascii="宋体" w:hAnsi="宋体"/>
          <w:color w:val="000000" w:themeColor="text1"/>
          <w:szCs w:val="21"/>
          <w:highlight w:val="none"/>
          <w14:textFill>
            <w14:solidFill>
              <w14:schemeClr w14:val="tx1"/>
            </w14:solidFill>
          </w14:textFill>
        </w:rPr>
        <w:t>。</w:t>
      </w:r>
    </w:p>
    <w:p w14:paraId="398BC0B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其他事项的约定：</w:t>
      </w:r>
      <w:r>
        <w:rPr>
          <w:rFonts w:hint="eastAsia" w:ascii="宋体" w:hAnsi="宋体"/>
          <w:color w:val="000000" w:themeColor="text1"/>
          <w:szCs w:val="21"/>
          <w:highlight w:val="none"/>
          <w:u w:val="single"/>
          <w14:textFill>
            <w14:solidFill>
              <w14:schemeClr w14:val="tx1"/>
            </w14:solidFill>
          </w14:textFill>
        </w:rPr>
        <w:t>按本合同通用条款相关规定执行</w:t>
      </w:r>
      <w:r>
        <w:rPr>
          <w:rFonts w:hint="eastAsia" w:ascii="宋体" w:hAnsi="宋体"/>
          <w:color w:val="000000" w:themeColor="text1"/>
          <w:szCs w:val="21"/>
          <w:highlight w:val="none"/>
          <w14:textFill>
            <w14:solidFill>
              <w14:schemeClr w14:val="tx1"/>
            </w14:solidFill>
          </w14:textFill>
        </w:rPr>
        <w:t>。</w:t>
      </w:r>
    </w:p>
    <w:p w14:paraId="3D10295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20.3.2争议评审小组的决定</w:t>
      </w:r>
    </w:p>
    <w:p w14:paraId="2F657E6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合同当事人关于本项的约定：</w:t>
      </w:r>
      <w:r>
        <w:rPr>
          <w:rFonts w:hint="eastAsia" w:ascii="宋体" w:hAnsi="宋体"/>
          <w:color w:val="000000" w:themeColor="text1"/>
          <w:szCs w:val="21"/>
          <w:highlight w:val="none"/>
          <w:u w:val="single"/>
          <w14:textFill>
            <w14:solidFill>
              <w14:schemeClr w14:val="tx1"/>
            </w14:solidFill>
          </w14:textFill>
        </w:rPr>
        <w:t>按本合同通用条款相关规定执行</w:t>
      </w:r>
      <w:r>
        <w:rPr>
          <w:rFonts w:hint="eastAsia" w:ascii="宋体" w:hAnsi="宋体"/>
          <w:color w:val="000000" w:themeColor="text1"/>
          <w:szCs w:val="21"/>
          <w:highlight w:val="none"/>
          <w14:textFill>
            <w14:solidFill>
              <w14:schemeClr w14:val="tx1"/>
            </w14:solidFill>
          </w14:textFill>
        </w:rPr>
        <w:t>。</w:t>
      </w:r>
    </w:p>
    <w:p w14:paraId="4A57BDF4">
      <w:pPr>
        <w:keepNext/>
        <w:keepLines/>
        <w:spacing w:before="260" w:after="260"/>
        <w:outlineLvl w:val="2"/>
        <w:rPr>
          <w:rFonts w:ascii="黑体" w:hAnsi="黑体"/>
          <w:b/>
          <w:bCs/>
          <w:color w:val="000000" w:themeColor="text1"/>
          <w:sz w:val="32"/>
          <w:szCs w:val="32"/>
          <w:highlight w:val="none"/>
          <w14:textFill>
            <w14:solidFill>
              <w14:schemeClr w14:val="tx1"/>
            </w14:solidFill>
          </w14:textFill>
        </w:rPr>
      </w:pPr>
      <w:bookmarkStart w:id="726" w:name="_Toc166155310"/>
      <w:bookmarkStart w:id="727" w:name="_Toc217642380"/>
      <w:bookmarkStart w:id="728" w:name="_Toc18770"/>
      <w:r>
        <w:rPr>
          <w:rFonts w:hint="eastAsia" w:ascii="黑体" w:hAnsi="黑体"/>
          <w:b/>
          <w:bCs/>
          <w:color w:val="000000" w:themeColor="text1"/>
          <w:sz w:val="32"/>
          <w:szCs w:val="32"/>
          <w:highlight w:val="none"/>
          <w14:textFill>
            <w14:solidFill>
              <w14:schemeClr w14:val="tx1"/>
            </w14:solidFill>
          </w14:textFill>
        </w:rPr>
        <w:t>20.4仲裁或诉讼</w:t>
      </w:r>
      <w:bookmarkEnd w:id="726"/>
      <w:bookmarkEnd w:id="727"/>
      <w:bookmarkEnd w:id="728"/>
    </w:p>
    <w:p w14:paraId="2675AC4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因合同及合同有关事项发生的争议，按下列第</w:t>
      </w:r>
      <w:r>
        <w:rPr>
          <w:rFonts w:hint="eastAsia" w:ascii="宋体" w:hAnsi="宋体"/>
          <w:color w:val="000000" w:themeColor="text1"/>
          <w:szCs w:val="21"/>
          <w:highlight w:val="none"/>
          <w:u w:val="singl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种方式解决：</w:t>
      </w:r>
    </w:p>
    <w:p w14:paraId="4F7308E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（1）提请</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仲裁委员会按照该会仲裁规则进行仲裁，仲裁裁决是终局的，对合同双方均有约束力。</w:t>
      </w:r>
    </w:p>
    <w:p w14:paraId="06B683F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（2）向</w:t>
      </w:r>
      <w:r>
        <w:rPr>
          <w:rFonts w:hint="eastAsia" w:ascii="宋体" w:hAnsi="宋体"/>
          <w:color w:val="000000" w:themeColor="text1"/>
          <w:szCs w:val="21"/>
          <w:highlight w:val="none"/>
          <w:u w:val="single"/>
          <w14:textFill>
            <w14:solidFill>
              <w14:schemeClr w14:val="tx1"/>
            </w14:solidFill>
          </w14:textFill>
        </w:rPr>
        <w:t>工程所在地</w:t>
      </w:r>
      <w:r>
        <w:rPr>
          <w:rFonts w:hint="eastAsia" w:ascii="宋体" w:hAnsi="宋体"/>
          <w:color w:val="000000" w:themeColor="text1"/>
          <w:szCs w:val="21"/>
          <w:highlight w:val="none"/>
          <w14:textFill>
            <w14:solidFill>
              <w14:schemeClr w14:val="tx1"/>
            </w14:solidFill>
          </w14:textFill>
        </w:rPr>
        <w:t>人民法院起诉。</w:t>
      </w:r>
    </w:p>
    <w:p w14:paraId="7C582460">
      <w:pPr>
        <w:keepNext/>
        <w:keepLines/>
        <w:spacing w:before="260" w:after="260" w:line="412" w:lineRule="auto"/>
        <w:outlineLvl w:val="1"/>
        <w:rPr>
          <w:rFonts w:ascii="黑体" w:hAnsi="黑体" w:eastAsia="黑体"/>
          <w:color w:val="000000" w:themeColor="text1"/>
          <w:sz w:val="32"/>
          <w:szCs w:val="20"/>
          <w:highlight w:val="none"/>
          <w14:textFill>
            <w14:solidFill>
              <w14:schemeClr w14:val="tx1"/>
            </w14:solidFill>
          </w14:textFill>
        </w:rPr>
      </w:pPr>
      <w:bookmarkStart w:id="729" w:name="_Toc217642381"/>
      <w:bookmarkStart w:id="730" w:name="_Toc166155311"/>
      <w:bookmarkStart w:id="731" w:name="_Toc15046"/>
      <w:r>
        <w:rPr>
          <w:rFonts w:hint="eastAsia" w:ascii="黑体" w:hAnsi="黑体" w:eastAsia="黑体"/>
          <w:color w:val="000000" w:themeColor="text1"/>
          <w:sz w:val="32"/>
          <w:szCs w:val="20"/>
          <w:highlight w:val="none"/>
          <w14:textFill>
            <w14:solidFill>
              <w14:schemeClr w14:val="tx1"/>
            </w14:solidFill>
          </w14:textFill>
        </w:rPr>
        <w:t>21.补充条款</w:t>
      </w:r>
      <w:bookmarkEnd w:id="729"/>
      <w:bookmarkEnd w:id="730"/>
      <w:bookmarkEnd w:id="731"/>
    </w:p>
    <w:p w14:paraId="5F39F381">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无。</w:t>
      </w:r>
    </w:p>
    <w:p w14:paraId="43EC296C">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29396065">
      <w:pPr>
        <w:spacing w:line="360" w:lineRule="auto"/>
        <w:ind w:firstLine="562" w:firstLineChars="200"/>
        <w:rPr>
          <w:rFonts w:ascii="黑体" w:hAnsi="黑体" w:eastAsia="黑体"/>
          <w:b/>
          <w:color w:val="000000" w:themeColor="text1"/>
          <w:sz w:val="28"/>
          <w:szCs w:val="28"/>
          <w:highlight w:val="none"/>
          <w14:textFill>
            <w14:solidFill>
              <w14:schemeClr w14:val="tx1"/>
            </w14:solidFill>
          </w14:textFill>
        </w:rPr>
      </w:pPr>
      <w:r>
        <w:rPr>
          <w:rFonts w:hint="eastAsia" w:ascii="黑体" w:hAnsi="黑体" w:eastAsia="黑体"/>
          <w:b/>
          <w:color w:val="000000" w:themeColor="text1"/>
          <w:sz w:val="28"/>
          <w:szCs w:val="28"/>
          <w:highlight w:val="none"/>
          <w14:textFill>
            <w14:solidFill>
              <w14:schemeClr w14:val="tx1"/>
            </w14:solidFill>
          </w14:textFill>
        </w:rPr>
        <w:t>附件</w:t>
      </w:r>
    </w:p>
    <w:p w14:paraId="60D2CAB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附件</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：工程质量保修书</w:t>
      </w:r>
    </w:p>
    <w:p w14:paraId="4E8F4C0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附件</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：承包人用于本工程施工的机械设备表</w:t>
      </w:r>
    </w:p>
    <w:p w14:paraId="793B132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附件</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：承包人主要施工管理人员表</w:t>
      </w:r>
    </w:p>
    <w:p w14:paraId="7173671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附件4：</w:t>
      </w:r>
      <w:r>
        <w:rPr>
          <w:rFonts w:hint="eastAsia" w:ascii="宋体" w:hAnsi="宋体"/>
          <w:color w:val="000000" w:themeColor="text1"/>
          <w:szCs w:val="21"/>
          <w:highlight w:val="none"/>
          <w14:textFill>
            <w14:solidFill>
              <w14:schemeClr w14:val="tx1"/>
            </w14:solidFill>
          </w14:textFill>
        </w:rPr>
        <w:t>施工安全生产责任书</w:t>
      </w:r>
    </w:p>
    <w:p w14:paraId="7556E807">
      <w:pPr>
        <w:spacing w:line="360" w:lineRule="auto"/>
        <w:ind w:firstLine="420" w:firstLineChars="200"/>
        <w:rPr>
          <w:rFonts w:ascii="宋体" w:hAnsi="宋体"/>
          <w:color w:val="000000" w:themeColor="text1"/>
          <w:szCs w:val="21"/>
          <w:highlight w:val="none"/>
          <w14:textFill>
            <w14:solidFill>
              <w14:schemeClr w14:val="tx1"/>
            </w14:solidFill>
          </w14:textFill>
        </w:rPr>
        <w:sectPr>
          <w:pgSz w:w="11906" w:h="16838"/>
          <w:pgMar w:top="1440" w:right="1134" w:bottom="1440" w:left="1418" w:header="851" w:footer="992" w:gutter="0"/>
          <w:cols w:space="720" w:num="1"/>
          <w:docGrid w:type="lines" w:linePitch="312" w:charSpace="0"/>
        </w:sectPr>
      </w:pPr>
    </w:p>
    <w:p w14:paraId="0A9595D5">
      <w:pPr>
        <w:spacing w:line="360" w:lineRule="auto"/>
        <w:rPr>
          <w:rFonts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附件</w:t>
      </w:r>
      <w:r>
        <w:rPr>
          <w:rFonts w:ascii="宋体" w:hAnsi="宋体"/>
          <w:color w:val="000000" w:themeColor="text1"/>
          <w:sz w:val="30"/>
          <w:szCs w:val="30"/>
          <w:highlight w:val="none"/>
          <w14:textFill>
            <w14:solidFill>
              <w14:schemeClr w14:val="tx1"/>
            </w14:solidFill>
          </w14:textFill>
        </w:rPr>
        <w:t>1</w:t>
      </w:r>
      <w:r>
        <w:rPr>
          <w:rFonts w:hint="eastAsia" w:ascii="宋体" w:hAnsi="宋体"/>
          <w:color w:val="000000" w:themeColor="text1"/>
          <w:sz w:val="30"/>
          <w:szCs w:val="30"/>
          <w:highlight w:val="none"/>
          <w14:textFill>
            <w14:solidFill>
              <w14:schemeClr w14:val="tx1"/>
            </w14:solidFill>
          </w14:textFill>
        </w:rPr>
        <w:t>：</w:t>
      </w:r>
    </w:p>
    <w:p w14:paraId="28364B06">
      <w:pPr>
        <w:spacing w:line="360" w:lineRule="auto"/>
        <w:jc w:val="center"/>
        <w:rPr>
          <w:rFonts w:ascii="黑体" w:hAnsi="黑体" w:eastAsia="黑体"/>
          <w:color w:val="000000" w:themeColor="text1"/>
          <w:sz w:val="30"/>
          <w:szCs w:val="30"/>
          <w:highlight w:val="none"/>
          <w14:textFill>
            <w14:solidFill>
              <w14:schemeClr w14:val="tx1"/>
            </w14:solidFill>
          </w14:textFill>
        </w:rPr>
      </w:pPr>
      <w:r>
        <w:rPr>
          <w:rFonts w:hint="eastAsia" w:ascii="黑体" w:hAnsi="黑体" w:eastAsia="黑体"/>
          <w:color w:val="000000" w:themeColor="text1"/>
          <w:sz w:val="30"/>
          <w:szCs w:val="30"/>
          <w:highlight w:val="none"/>
          <w14:textFill>
            <w14:solidFill>
              <w14:schemeClr w14:val="tx1"/>
            </w14:solidFill>
          </w14:textFill>
        </w:rPr>
        <w:t>工程质量保修书（房屋建筑工程）</w:t>
      </w:r>
    </w:p>
    <w:p w14:paraId="3BFEBF8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发包人（全称）：</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p>
    <w:p w14:paraId="00BC38D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承包人（全称）：________________</w:t>
      </w:r>
    </w:p>
    <w:p w14:paraId="106C095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发包人和承包人根据《中华人民共和国建筑法》和《建设工程质量管理条例》，经协商一致就</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（工程全称）签订工程质量保修书。</w:t>
      </w:r>
    </w:p>
    <w:p w14:paraId="2B3710F1">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一、工程质量保修范围和内容</w:t>
      </w:r>
    </w:p>
    <w:p w14:paraId="27C400C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承包人在质量保修期内，按照有关法律规定和合同约定，承担工程质量保修责任。</w:t>
      </w:r>
    </w:p>
    <w:p w14:paraId="1B1E2D1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7548B18A">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1.缺陷责任期内，如发生属承包人责任的质量问题，按工程质量保修书约定执行。承包人未按照法律法规有关规定和合同约定履行质量保修义务的，发包人有权从应支付承包人的款项中扣留用于质量保修的各项支出；若应支付承包人的款项不足以抵扣实际支出费用，发包人有权要求承包人补足差额。</w:t>
      </w:r>
    </w:p>
    <w:p w14:paraId="785F3DFB">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2.缺陷责任期结束后质保期结束前，如发生属承包人责任的质量问题，由承包人负责维修并承担相关鉴定及维修费用。如承包人未及时履行保修义务，导致建筑物毁损或者造成人身损害、财产损失的，承包人应当承担赔偿责任，同时发包人可以委托他人修理，修理费用由承包人承担。如承包人拒绝履行支付，发包人有权通过法律途径要求承包人支付；防水防渗工程质量保修，承包人未按照法律法规有关规定和合同约定履行质量保修义务的，发包人有权从应支付承包人的款项中扣留用于质量保修的各项支出；若应支付承包人的款项不足以抵扣实际支出费用，发包人有权要求承包人补足差额。</w:t>
      </w:r>
    </w:p>
    <w:p w14:paraId="5EFC7C6C">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二、质量保修期</w:t>
      </w:r>
    </w:p>
    <w:p w14:paraId="65DF63C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根据《建设工程质量管理条例》及有关规定，工程的质量保修期如下：</w:t>
      </w:r>
    </w:p>
    <w:p w14:paraId="630987C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1．地基基础工程和主体结构工程为设计文件规定的工程合理使用年限；</w:t>
      </w:r>
    </w:p>
    <w:p w14:paraId="68F8AFD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2．屋面防水工程、有防水要求的卫生间、房间和外墙面的防渗为</w:t>
      </w:r>
      <w:r>
        <w:rPr>
          <w:rFonts w:hint="eastAsia" w:ascii="宋体" w:hAnsi="宋体"/>
          <w:color w:val="000000" w:themeColor="text1"/>
          <w:szCs w:val="21"/>
          <w:highlight w:val="none"/>
          <w:u w:val="singl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年；</w:t>
      </w:r>
    </w:p>
    <w:p w14:paraId="2A3814D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3．装修工程为</w:t>
      </w:r>
      <w:r>
        <w:rPr>
          <w:rFonts w:hint="eastAsia" w:ascii="宋体" w:hAnsi="宋体"/>
          <w:color w:val="000000" w:themeColor="text1"/>
          <w:szCs w:val="21"/>
          <w:highlight w:val="none"/>
          <w:u w:val="singl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年；</w:t>
      </w:r>
    </w:p>
    <w:p w14:paraId="1DBC582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4．电气管线、给排水管道、设备安装工程为</w:t>
      </w:r>
      <w:r>
        <w:rPr>
          <w:rFonts w:hint="eastAsia" w:ascii="宋体" w:hAnsi="宋体"/>
          <w:color w:val="000000" w:themeColor="text1"/>
          <w:szCs w:val="21"/>
          <w:highlight w:val="none"/>
          <w:u w:val="singl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年；</w:t>
      </w:r>
    </w:p>
    <w:p w14:paraId="34C8AA4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5．供热与供冷系统为</w:t>
      </w:r>
      <w:r>
        <w:rPr>
          <w:rFonts w:hint="eastAsia" w:ascii="宋体" w:hAnsi="宋体"/>
          <w:color w:val="000000" w:themeColor="text1"/>
          <w:szCs w:val="21"/>
          <w:highlight w:val="none"/>
          <w:u w:val="singl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个采暖期、供冷期；</w:t>
      </w:r>
    </w:p>
    <w:p w14:paraId="6E149C3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6．住宅小区内的给排水设施、道路等配套工程为</w:t>
      </w:r>
      <w:r>
        <w:rPr>
          <w:rFonts w:hint="eastAsia" w:ascii="宋体" w:hAnsi="宋体"/>
          <w:color w:val="000000" w:themeColor="text1"/>
          <w:szCs w:val="21"/>
          <w:highlight w:val="none"/>
          <w:u w:val="singl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年；</w:t>
      </w:r>
    </w:p>
    <w:p w14:paraId="51BE415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7．其他项目保修期限约定如下：</w:t>
      </w:r>
      <w:r>
        <w:rPr>
          <w:rFonts w:hint="eastAsia" w:ascii="宋体" w:hAnsi="宋体"/>
          <w:color w:val="000000" w:themeColor="text1"/>
          <w:szCs w:val="21"/>
          <w:highlight w:val="none"/>
          <w:u w:val="single"/>
          <w14:textFill>
            <w14:solidFill>
              <w14:schemeClr w14:val="tx1"/>
            </w14:solidFill>
          </w14:textFill>
        </w:rPr>
        <w:t>1年</w:t>
      </w:r>
      <w:r>
        <w:rPr>
          <w:rFonts w:hint="eastAsia" w:ascii="宋体" w:hAnsi="宋体"/>
          <w:color w:val="000000" w:themeColor="text1"/>
          <w:szCs w:val="21"/>
          <w:highlight w:val="none"/>
          <w14:textFill>
            <w14:solidFill>
              <w14:schemeClr w14:val="tx1"/>
            </w14:solidFill>
          </w14:textFill>
        </w:rPr>
        <w:t>。</w:t>
      </w:r>
    </w:p>
    <w:p w14:paraId="7FE55B4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质量保修期自工程竣工验收合格之日起计算。</w:t>
      </w:r>
    </w:p>
    <w:p w14:paraId="7CAA5B47">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三、缺陷责任期</w:t>
      </w:r>
    </w:p>
    <w:p w14:paraId="4D5C398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工程缺陷责任期为</w:t>
      </w:r>
      <w:r>
        <w:rPr>
          <w:rFonts w:hint="eastAsia" w:ascii="宋体" w:hAnsi="宋体"/>
          <w:color w:val="000000" w:themeColor="text1"/>
          <w:szCs w:val="21"/>
          <w:highlight w:val="none"/>
          <w:u w:val="single"/>
          <w14:textFill>
            <w14:solidFill>
              <w14:schemeClr w14:val="tx1"/>
            </w14:solidFill>
          </w14:textFill>
        </w:rPr>
        <w:t>24</w:t>
      </w:r>
      <w:r>
        <w:rPr>
          <w:rFonts w:hint="eastAsia" w:ascii="宋体" w:hAnsi="宋体"/>
          <w:color w:val="000000" w:themeColor="text1"/>
          <w:szCs w:val="21"/>
          <w:highlight w:val="none"/>
          <w14:textFill>
            <w14:solidFill>
              <w14:schemeClr w14:val="tx1"/>
            </w14:solidFill>
          </w14:textFill>
        </w:rPr>
        <w:t>个月（最长不超过24个月），缺陷责任期自工程竣工验收合格之日起计算。单位工程先于全部工程进行验收，单位工程缺陷责任期自单位工程验收合格之日起算。</w:t>
      </w:r>
    </w:p>
    <w:p w14:paraId="23EAB486">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四、质量保修责任</w:t>
      </w:r>
    </w:p>
    <w:p w14:paraId="7D7CCD1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1．属于保修范围、内容的项目，</w:t>
      </w:r>
      <w:r>
        <w:rPr>
          <w:rFonts w:hint="eastAsia" w:ascii="宋体" w:hAnsi="宋体"/>
          <w:color w:val="000000" w:themeColor="text1"/>
          <w:szCs w:val="21"/>
          <w:highlight w:val="none"/>
          <w:u w:val="single"/>
          <w14:textFill>
            <w14:solidFill>
              <w14:schemeClr w14:val="tx1"/>
            </w14:solidFill>
          </w14:textFill>
        </w:rPr>
        <w:t>门（窗）锁、水龙头（冲水阀）、灯具等</w:t>
      </w:r>
      <w:r>
        <w:rPr>
          <w:rFonts w:hint="eastAsia" w:ascii="宋体" w:hAnsi="宋体"/>
          <w:color w:val="000000" w:themeColor="text1"/>
          <w:szCs w:val="21"/>
          <w:highlight w:val="none"/>
          <w14:textFill>
            <w14:solidFill>
              <w14:schemeClr w14:val="tx1"/>
            </w14:solidFill>
          </w14:textFill>
        </w:rPr>
        <w:t>，承包人应在接到保修电话通知后</w:t>
      </w:r>
      <w:r>
        <w:rPr>
          <w:rFonts w:hint="eastAsia" w:ascii="宋体" w:hAnsi="宋体"/>
          <w:color w:val="000000" w:themeColor="text1"/>
          <w:szCs w:val="21"/>
          <w:highlight w:val="none"/>
          <w:u w:val="single"/>
          <w14:textFill>
            <w14:solidFill>
              <w14:schemeClr w14:val="tx1"/>
            </w14:solidFill>
          </w14:textFill>
        </w:rPr>
        <w:t>8小时</w:t>
      </w:r>
      <w:r>
        <w:rPr>
          <w:rFonts w:hint="eastAsia" w:ascii="宋体" w:hAnsi="宋体"/>
          <w:color w:val="000000" w:themeColor="text1"/>
          <w:szCs w:val="21"/>
          <w:highlight w:val="none"/>
          <w14:textFill>
            <w14:solidFill>
              <w14:schemeClr w14:val="tx1"/>
            </w14:solidFill>
          </w14:textFill>
        </w:rPr>
        <w:t>内派人保修，</w:t>
      </w:r>
      <w:r>
        <w:rPr>
          <w:rFonts w:hint="eastAsia" w:ascii="宋体" w:hAnsi="宋体"/>
          <w:color w:val="000000" w:themeColor="text1"/>
          <w:szCs w:val="21"/>
          <w:highlight w:val="none"/>
          <w:u w:val="single"/>
          <w14:textFill>
            <w14:solidFill>
              <w14:schemeClr w14:val="tx1"/>
            </w14:solidFill>
          </w14:textFill>
        </w:rPr>
        <w:t>其余项目在2天内派人保修</w:t>
      </w:r>
      <w:r>
        <w:rPr>
          <w:rFonts w:hint="eastAsia" w:ascii="宋体" w:hAnsi="宋体"/>
          <w:color w:val="000000" w:themeColor="text1"/>
          <w:szCs w:val="21"/>
          <w:highlight w:val="none"/>
          <w14:textFill>
            <w14:solidFill>
              <w14:schemeClr w14:val="tx1"/>
            </w14:solidFill>
          </w14:textFill>
        </w:rPr>
        <w:t>。承包人不在约定期限内派人保修的，发包人可以委托他人修理，修理费用从</w:t>
      </w:r>
      <w:r>
        <w:rPr>
          <w:rFonts w:hint="eastAsia" w:ascii="宋体" w:hAnsi="宋体"/>
          <w:color w:val="000000" w:themeColor="text1"/>
          <w:szCs w:val="21"/>
          <w:highlight w:val="none"/>
          <w:u w:val="single"/>
          <w14:textFill>
            <w14:solidFill>
              <w14:schemeClr w14:val="tx1"/>
            </w14:solidFill>
          </w14:textFill>
        </w:rPr>
        <w:t>应支付承包人的款项</w:t>
      </w:r>
      <w:r>
        <w:rPr>
          <w:rFonts w:hint="eastAsia" w:ascii="宋体" w:hAnsi="宋体"/>
          <w:color w:val="000000" w:themeColor="text1"/>
          <w:szCs w:val="21"/>
          <w:highlight w:val="none"/>
          <w14:textFill>
            <w14:solidFill>
              <w14:schemeClr w14:val="tx1"/>
            </w14:solidFill>
          </w14:textFill>
        </w:rPr>
        <w:t>内扣除。</w:t>
      </w:r>
    </w:p>
    <w:p w14:paraId="6543E34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2．发生紧急事故需抢修的，承包人在接到事故通知后，应当立即到达事故现场抢修。</w:t>
      </w:r>
    </w:p>
    <w:p w14:paraId="6EF2BA7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4EFD4FE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4．质量保修完成后，由发包人组织验收。</w:t>
      </w:r>
    </w:p>
    <w:p w14:paraId="01A86CAC">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五、保修费用</w:t>
      </w:r>
    </w:p>
    <w:p w14:paraId="6D12041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保修费用由造成质量缺陷的责任方承担。</w:t>
      </w:r>
    </w:p>
    <w:p w14:paraId="103FB8F0">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六、双方约定的其他工程质量保修事项：</w:t>
      </w:r>
    </w:p>
    <w:p w14:paraId="4008FCAE">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承包人未按照法律法规有关规定和合同约定履行质量保修义务的，发包人有权从应支付承包人的款项中扣留用于质量保修的各项支出；若应支付承包人的款项不足以抵扣实际支出费用，发包人有权要求承包人补足差额。</w:t>
      </w:r>
    </w:p>
    <w:p w14:paraId="6F7EFFD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前述处理方式，并不表示承包人可以不再履行质量保修义务、免于承担违约责任</w:t>
      </w:r>
      <w:r>
        <w:rPr>
          <w:rFonts w:hint="eastAsia" w:ascii="宋体" w:hAnsi="宋体"/>
          <w:color w:val="000000" w:themeColor="text1"/>
          <w:szCs w:val="21"/>
          <w:highlight w:val="none"/>
          <w14:textFill>
            <w14:solidFill>
              <w14:schemeClr w14:val="tx1"/>
            </w14:solidFill>
          </w14:textFill>
        </w:rPr>
        <w:t>。</w:t>
      </w:r>
    </w:p>
    <w:p w14:paraId="71CC375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工程质量保修书由发包人、承包人在工程竣工验收前共同签署，作为施工合同附件，其有效期限至保修期满。</w:t>
      </w:r>
    </w:p>
    <w:p w14:paraId="5E15F6CC">
      <w:pPr>
        <w:spacing w:line="360" w:lineRule="auto"/>
        <w:ind w:firstLine="420" w:firstLineChars="200"/>
        <w:rPr>
          <w:rFonts w:ascii="宋体" w:hAnsi="宋体"/>
          <w:color w:val="000000" w:themeColor="text1"/>
          <w:szCs w:val="21"/>
          <w:highlight w:val="none"/>
          <w14:textFill>
            <w14:solidFill>
              <w14:schemeClr w14:val="tx1"/>
            </w14:solidFill>
          </w14:textFill>
        </w:rPr>
        <w:sectPr>
          <w:pgSz w:w="11906" w:h="16838"/>
          <w:pgMar w:top="1440" w:right="1134" w:bottom="1440" w:left="1418" w:header="851" w:footer="992" w:gutter="0"/>
          <w:cols w:space="720" w:num="1"/>
          <w:docGrid w:type="lines" w:linePitch="312" w:charSpace="0"/>
        </w:sectPr>
      </w:pPr>
    </w:p>
    <w:p w14:paraId="5B2A4C3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（签章页，无正文）</w:t>
      </w:r>
    </w:p>
    <w:p w14:paraId="7D215B18">
      <w:pPr>
        <w:spacing w:line="360" w:lineRule="auto"/>
        <w:ind w:firstLine="420" w:firstLineChars="200"/>
        <w:rPr>
          <w:rFonts w:ascii="宋体" w:hAnsi="宋体"/>
          <w:color w:val="000000" w:themeColor="text1"/>
          <w:szCs w:val="21"/>
          <w:highlight w:val="none"/>
          <w14:textFill>
            <w14:solidFill>
              <w14:schemeClr w14:val="tx1"/>
            </w14:solidFill>
          </w14:textFill>
        </w:rPr>
      </w:pPr>
    </w:p>
    <w:tbl>
      <w:tblPr>
        <w:tblStyle w:val="35"/>
        <w:tblW w:w="0" w:type="auto"/>
        <w:jc w:val="center"/>
        <w:tblLayout w:type="autofit"/>
        <w:tblCellMar>
          <w:top w:w="0" w:type="dxa"/>
          <w:left w:w="108" w:type="dxa"/>
          <w:bottom w:w="0" w:type="dxa"/>
          <w:right w:w="108" w:type="dxa"/>
        </w:tblCellMar>
      </w:tblPr>
      <w:tblGrid>
        <w:gridCol w:w="4672"/>
        <w:gridCol w:w="4672"/>
      </w:tblGrid>
      <w:tr w14:paraId="617DB08F">
        <w:tblPrEx>
          <w:tblCellMar>
            <w:top w:w="0" w:type="dxa"/>
            <w:left w:w="108" w:type="dxa"/>
            <w:bottom w:w="0" w:type="dxa"/>
            <w:right w:w="108" w:type="dxa"/>
          </w:tblCellMar>
        </w:tblPrEx>
        <w:trPr>
          <w:trHeight w:val="1134" w:hRule="atLeast"/>
          <w:jc w:val="center"/>
        </w:trPr>
        <w:tc>
          <w:tcPr>
            <w:tcW w:w="4672" w:type="dxa"/>
            <w:noWrap w:val="0"/>
            <w:vAlign w:val="top"/>
          </w:tcPr>
          <w:p w14:paraId="309D371B">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发包人（公章）：</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p>
        </w:tc>
        <w:tc>
          <w:tcPr>
            <w:tcW w:w="4672" w:type="dxa"/>
            <w:noWrap w:val="0"/>
            <w:vAlign w:val="top"/>
          </w:tcPr>
          <w:p w14:paraId="4FEBBE85">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承包人（公章）：________________</w:t>
            </w:r>
          </w:p>
        </w:tc>
      </w:tr>
      <w:tr w14:paraId="44D092C1">
        <w:tblPrEx>
          <w:tblCellMar>
            <w:top w:w="0" w:type="dxa"/>
            <w:left w:w="108" w:type="dxa"/>
            <w:bottom w:w="0" w:type="dxa"/>
            <w:right w:w="108" w:type="dxa"/>
          </w:tblCellMar>
        </w:tblPrEx>
        <w:trPr>
          <w:trHeight w:val="1134" w:hRule="atLeast"/>
          <w:jc w:val="center"/>
        </w:trPr>
        <w:tc>
          <w:tcPr>
            <w:tcW w:w="4672" w:type="dxa"/>
            <w:noWrap w:val="0"/>
            <w:vAlign w:val="top"/>
          </w:tcPr>
          <w:p w14:paraId="13CDB958">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p>
        </w:tc>
        <w:tc>
          <w:tcPr>
            <w:tcW w:w="4672" w:type="dxa"/>
            <w:noWrap w:val="0"/>
            <w:vAlign w:val="top"/>
          </w:tcPr>
          <w:p w14:paraId="7E65BDD1">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地址：________________</w:t>
            </w:r>
          </w:p>
        </w:tc>
      </w:tr>
      <w:tr w14:paraId="2CC45497">
        <w:tblPrEx>
          <w:tblCellMar>
            <w:top w:w="0" w:type="dxa"/>
            <w:left w:w="108" w:type="dxa"/>
            <w:bottom w:w="0" w:type="dxa"/>
            <w:right w:w="108" w:type="dxa"/>
          </w:tblCellMar>
        </w:tblPrEx>
        <w:trPr>
          <w:trHeight w:val="1134" w:hRule="atLeast"/>
          <w:jc w:val="center"/>
        </w:trPr>
        <w:tc>
          <w:tcPr>
            <w:tcW w:w="4672" w:type="dxa"/>
            <w:noWrap w:val="0"/>
            <w:vAlign w:val="top"/>
          </w:tcPr>
          <w:p w14:paraId="5B509EBA">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法定代表人（签字）：</w:t>
            </w:r>
            <w:r>
              <w:rPr>
                <w:rFonts w:ascii="宋体" w:hAnsi="宋体"/>
                <w:color w:val="000000" w:themeColor="text1"/>
                <w:szCs w:val="21"/>
                <w:highlight w:val="none"/>
                <w14:textFill>
                  <w14:solidFill>
                    <w14:schemeClr w14:val="tx1"/>
                  </w14:solidFill>
                </w14:textFill>
              </w:rPr>
              <w:t>______________________</w:t>
            </w:r>
          </w:p>
        </w:tc>
        <w:tc>
          <w:tcPr>
            <w:tcW w:w="4672" w:type="dxa"/>
            <w:noWrap w:val="0"/>
            <w:vAlign w:val="top"/>
          </w:tcPr>
          <w:p w14:paraId="6A64F610">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法定代表人（签字）：</w:t>
            </w:r>
            <w:r>
              <w:rPr>
                <w:rFonts w:ascii="宋体" w:hAnsi="宋体"/>
                <w:b/>
                <w:color w:val="000000" w:themeColor="text1"/>
                <w:szCs w:val="21"/>
                <w:highlight w:val="none"/>
                <w14:textFill>
                  <w14:solidFill>
                    <w14:schemeClr w14:val="tx1"/>
                  </w14:solidFill>
                </w14:textFill>
              </w:rPr>
              <w:t>______________________</w:t>
            </w:r>
          </w:p>
        </w:tc>
      </w:tr>
      <w:tr w14:paraId="02CB619C">
        <w:tblPrEx>
          <w:tblCellMar>
            <w:top w:w="0" w:type="dxa"/>
            <w:left w:w="108" w:type="dxa"/>
            <w:bottom w:w="0" w:type="dxa"/>
            <w:right w:w="108" w:type="dxa"/>
          </w:tblCellMar>
        </w:tblPrEx>
        <w:trPr>
          <w:trHeight w:val="1134" w:hRule="atLeast"/>
          <w:jc w:val="center"/>
        </w:trPr>
        <w:tc>
          <w:tcPr>
            <w:tcW w:w="4672" w:type="dxa"/>
            <w:noWrap w:val="0"/>
            <w:vAlign w:val="top"/>
          </w:tcPr>
          <w:p w14:paraId="4FA844D1">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委托代理人（签字）：</w:t>
            </w:r>
            <w:r>
              <w:rPr>
                <w:rFonts w:ascii="宋体" w:hAnsi="宋体"/>
                <w:color w:val="000000" w:themeColor="text1"/>
                <w:szCs w:val="21"/>
                <w:highlight w:val="none"/>
                <w14:textFill>
                  <w14:solidFill>
                    <w14:schemeClr w14:val="tx1"/>
                  </w14:solidFill>
                </w14:textFill>
              </w:rPr>
              <w:t>______________________</w:t>
            </w:r>
          </w:p>
        </w:tc>
        <w:tc>
          <w:tcPr>
            <w:tcW w:w="4672" w:type="dxa"/>
            <w:noWrap w:val="0"/>
            <w:vAlign w:val="top"/>
          </w:tcPr>
          <w:p w14:paraId="3B8C75D0">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委托代理人（签字）：</w:t>
            </w:r>
            <w:r>
              <w:rPr>
                <w:rFonts w:ascii="宋体" w:hAnsi="宋体"/>
                <w:b/>
                <w:color w:val="000000" w:themeColor="text1"/>
                <w:szCs w:val="21"/>
                <w:highlight w:val="none"/>
                <w14:textFill>
                  <w14:solidFill>
                    <w14:schemeClr w14:val="tx1"/>
                  </w14:solidFill>
                </w14:textFill>
              </w:rPr>
              <w:t>______________________</w:t>
            </w:r>
          </w:p>
        </w:tc>
      </w:tr>
      <w:tr w14:paraId="04FF4870">
        <w:tblPrEx>
          <w:tblCellMar>
            <w:top w:w="0" w:type="dxa"/>
            <w:left w:w="108" w:type="dxa"/>
            <w:bottom w:w="0" w:type="dxa"/>
            <w:right w:w="108" w:type="dxa"/>
          </w:tblCellMar>
        </w:tblPrEx>
        <w:trPr>
          <w:trHeight w:val="1134" w:hRule="atLeast"/>
          <w:jc w:val="center"/>
        </w:trPr>
        <w:tc>
          <w:tcPr>
            <w:tcW w:w="4672" w:type="dxa"/>
            <w:noWrap w:val="0"/>
            <w:vAlign w:val="top"/>
          </w:tcPr>
          <w:p w14:paraId="3297AA94">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电话：________________</w:t>
            </w:r>
          </w:p>
        </w:tc>
        <w:tc>
          <w:tcPr>
            <w:tcW w:w="4672" w:type="dxa"/>
            <w:noWrap w:val="0"/>
            <w:vAlign w:val="top"/>
          </w:tcPr>
          <w:p w14:paraId="4B57920A">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电话：________________</w:t>
            </w:r>
          </w:p>
        </w:tc>
      </w:tr>
      <w:tr w14:paraId="2E699A35">
        <w:tblPrEx>
          <w:tblCellMar>
            <w:top w:w="0" w:type="dxa"/>
            <w:left w:w="108" w:type="dxa"/>
            <w:bottom w:w="0" w:type="dxa"/>
            <w:right w:w="108" w:type="dxa"/>
          </w:tblCellMar>
        </w:tblPrEx>
        <w:trPr>
          <w:trHeight w:val="1134" w:hRule="atLeast"/>
          <w:jc w:val="center"/>
        </w:trPr>
        <w:tc>
          <w:tcPr>
            <w:tcW w:w="4672" w:type="dxa"/>
            <w:noWrap w:val="0"/>
            <w:vAlign w:val="top"/>
          </w:tcPr>
          <w:p w14:paraId="385A182F">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传真：________________</w:t>
            </w:r>
          </w:p>
        </w:tc>
        <w:tc>
          <w:tcPr>
            <w:tcW w:w="4672" w:type="dxa"/>
            <w:noWrap w:val="0"/>
            <w:vAlign w:val="top"/>
          </w:tcPr>
          <w:p w14:paraId="16AB2D3C">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传真：________________</w:t>
            </w:r>
          </w:p>
        </w:tc>
      </w:tr>
      <w:tr w14:paraId="37CB55E6">
        <w:tblPrEx>
          <w:tblCellMar>
            <w:top w:w="0" w:type="dxa"/>
            <w:left w:w="108" w:type="dxa"/>
            <w:bottom w:w="0" w:type="dxa"/>
            <w:right w:w="108" w:type="dxa"/>
          </w:tblCellMar>
        </w:tblPrEx>
        <w:trPr>
          <w:trHeight w:val="1134" w:hRule="atLeast"/>
          <w:jc w:val="center"/>
        </w:trPr>
        <w:tc>
          <w:tcPr>
            <w:tcW w:w="4672" w:type="dxa"/>
            <w:noWrap w:val="0"/>
            <w:vAlign w:val="top"/>
          </w:tcPr>
          <w:p w14:paraId="183D6854">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开户银行：________________</w:t>
            </w:r>
          </w:p>
        </w:tc>
        <w:tc>
          <w:tcPr>
            <w:tcW w:w="4672" w:type="dxa"/>
            <w:noWrap w:val="0"/>
            <w:vAlign w:val="top"/>
          </w:tcPr>
          <w:p w14:paraId="157B2657">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开户银行：________________</w:t>
            </w:r>
          </w:p>
        </w:tc>
      </w:tr>
      <w:tr w14:paraId="56FA2203">
        <w:tblPrEx>
          <w:tblCellMar>
            <w:top w:w="0" w:type="dxa"/>
            <w:left w:w="108" w:type="dxa"/>
            <w:bottom w:w="0" w:type="dxa"/>
            <w:right w:w="108" w:type="dxa"/>
          </w:tblCellMar>
        </w:tblPrEx>
        <w:trPr>
          <w:trHeight w:val="1134" w:hRule="atLeast"/>
          <w:jc w:val="center"/>
        </w:trPr>
        <w:tc>
          <w:tcPr>
            <w:tcW w:w="4672" w:type="dxa"/>
            <w:noWrap w:val="0"/>
            <w:vAlign w:val="top"/>
          </w:tcPr>
          <w:p w14:paraId="42A58F40">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账号：________________</w:t>
            </w:r>
          </w:p>
        </w:tc>
        <w:tc>
          <w:tcPr>
            <w:tcW w:w="4672" w:type="dxa"/>
            <w:noWrap w:val="0"/>
            <w:vAlign w:val="top"/>
          </w:tcPr>
          <w:p w14:paraId="50690631">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账号：________________</w:t>
            </w:r>
          </w:p>
        </w:tc>
      </w:tr>
      <w:tr w14:paraId="5AD98126">
        <w:tblPrEx>
          <w:tblCellMar>
            <w:top w:w="0" w:type="dxa"/>
            <w:left w:w="108" w:type="dxa"/>
            <w:bottom w:w="0" w:type="dxa"/>
            <w:right w:w="108" w:type="dxa"/>
          </w:tblCellMar>
        </w:tblPrEx>
        <w:trPr>
          <w:trHeight w:val="1134" w:hRule="atLeast"/>
          <w:jc w:val="center"/>
        </w:trPr>
        <w:tc>
          <w:tcPr>
            <w:tcW w:w="4672" w:type="dxa"/>
            <w:noWrap w:val="0"/>
            <w:vAlign w:val="top"/>
          </w:tcPr>
          <w:p w14:paraId="04B02A78">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邮政编码：________________</w:t>
            </w:r>
          </w:p>
        </w:tc>
        <w:tc>
          <w:tcPr>
            <w:tcW w:w="4672" w:type="dxa"/>
            <w:noWrap w:val="0"/>
            <w:vAlign w:val="top"/>
          </w:tcPr>
          <w:p w14:paraId="1A11B896">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邮政编码：________________</w:t>
            </w:r>
          </w:p>
        </w:tc>
      </w:tr>
    </w:tbl>
    <w:p w14:paraId="464CC3DF">
      <w:pPr>
        <w:spacing w:line="360" w:lineRule="auto"/>
        <w:jc w:val="both"/>
        <w:rPr>
          <w:rFonts w:ascii="宋体" w:hAnsi="宋体"/>
          <w:color w:val="000000" w:themeColor="text1"/>
          <w:szCs w:val="21"/>
          <w:highlight w:val="none"/>
          <w14:textFill>
            <w14:solidFill>
              <w14:schemeClr w14:val="tx1"/>
            </w14:solidFill>
          </w14:textFill>
        </w:rPr>
      </w:pPr>
    </w:p>
    <w:p w14:paraId="6EC3CE37">
      <w:pPr>
        <w:spacing w:line="360" w:lineRule="auto"/>
        <w:rPr>
          <w:rFonts w:ascii="宋体" w:hAnsi="宋体"/>
          <w:color w:val="000000" w:themeColor="text1"/>
          <w:sz w:val="30"/>
          <w:szCs w:val="30"/>
          <w:highlight w:val="none"/>
          <w14:textFill>
            <w14:solidFill>
              <w14:schemeClr w14:val="tx1"/>
            </w14:solidFill>
          </w14:textFill>
        </w:rPr>
        <w:sectPr>
          <w:pgSz w:w="11906" w:h="16838"/>
          <w:pgMar w:top="1440" w:right="1134" w:bottom="1440" w:left="1418" w:header="851" w:footer="992" w:gutter="0"/>
          <w:cols w:space="720" w:num="1"/>
          <w:docGrid w:type="lines" w:linePitch="312" w:charSpace="0"/>
        </w:sectPr>
      </w:pPr>
    </w:p>
    <w:p w14:paraId="6CDF7BCB">
      <w:pPr>
        <w:spacing w:line="360" w:lineRule="auto"/>
        <w:rPr>
          <w:rFonts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附件</w:t>
      </w:r>
      <w:r>
        <w:rPr>
          <w:rFonts w:ascii="宋体" w:hAnsi="宋体"/>
          <w:color w:val="000000" w:themeColor="text1"/>
          <w:sz w:val="30"/>
          <w:szCs w:val="30"/>
          <w:highlight w:val="none"/>
          <w14:textFill>
            <w14:solidFill>
              <w14:schemeClr w14:val="tx1"/>
            </w14:solidFill>
          </w14:textFill>
        </w:rPr>
        <w:t>2</w:t>
      </w:r>
      <w:r>
        <w:rPr>
          <w:rFonts w:hint="eastAsia" w:ascii="宋体" w:hAnsi="宋体"/>
          <w:color w:val="000000" w:themeColor="text1"/>
          <w:sz w:val="30"/>
          <w:szCs w:val="30"/>
          <w:highlight w:val="none"/>
          <w14:textFill>
            <w14:solidFill>
              <w14:schemeClr w14:val="tx1"/>
            </w14:solidFill>
          </w14:textFill>
        </w:rPr>
        <w:t>：</w:t>
      </w:r>
    </w:p>
    <w:p w14:paraId="6F56922A">
      <w:pPr>
        <w:spacing w:line="360" w:lineRule="auto"/>
        <w:jc w:val="center"/>
        <w:rPr>
          <w:rFonts w:ascii="黑体" w:hAnsi="黑体" w:eastAsia="黑体"/>
          <w:color w:val="000000" w:themeColor="text1"/>
          <w:sz w:val="30"/>
          <w:szCs w:val="30"/>
          <w:highlight w:val="none"/>
          <w14:textFill>
            <w14:solidFill>
              <w14:schemeClr w14:val="tx1"/>
            </w14:solidFill>
          </w14:textFill>
        </w:rPr>
      </w:pPr>
      <w:r>
        <w:rPr>
          <w:rFonts w:hint="eastAsia" w:ascii="黑体" w:hAnsi="黑体" w:eastAsia="黑体"/>
          <w:color w:val="000000" w:themeColor="text1"/>
          <w:sz w:val="30"/>
          <w:szCs w:val="30"/>
          <w:highlight w:val="none"/>
          <w14:textFill>
            <w14:solidFill>
              <w14:schemeClr w14:val="tx1"/>
            </w14:solidFill>
          </w14:textFill>
        </w:rPr>
        <w:t>承包人用于本工程施工的机械设备表</w:t>
      </w:r>
    </w:p>
    <w:p w14:paraId="2760A976">
      <w:pPr>
        <w:spacing w:line="360" w:lineRule="auto"/>
        <w:jc w:val="center"/>
        <w:rPr>
          <w:rFonts w:ascii="宋体" w:hAnsi="宋体"/>
          <w:color w:val="000000" w:themeColor="text1"/>
          <w:sz w:val="30"/>
          <w:szCs w:val="30"/>
          <w:highlight w:val="none"/>
          <w14:textFill>
            <w14:solidFill>
              <w14:schemeClr w14:val="tx1"/>
            </w14:solidFill>
          </w14:textFill>
        </w:rPr>
      </w:pPr>
    </w:p>
    <w:p w14:paraId="596B60C7">
      <w:pPr>
        <w:spacing w:line="360" w:lineRule="auto"/>
        <w:rPr>
          <w:rFonts w:ascii="宋体" w:hAnsi="宋体"/>
          <w:color w:val="000000" w:themeColor="text1"/>
          <w:sz w:val="30"/>
          <w:szCs w:val="30"/>
          <w:highlight w:val="none"/>
          <w14:textFill>
            <w14:solidFill>
              <w14:schemeClr w14:val="tx1"/>
            </w14:solidFill>
          </w14:textFill>
        </w:rPr>
      </w:pPr>
    </w:p>
    <w:p w14:paraId="3F8EC4EF">
      <w:pPr>
        <w:spacing w:line="360" w:lineRule="auto"/>
        <w:rPr>
          <w:rFonts w:ascii="宋体" w:hAnsi="宋体"/>
          <w:color w:val="000000" w:themeColor="text1"/>
          <w:sz w:val="30"/>
          <w:szCs w:val="30"/>
          <w:highlight w:val="none"/>
          <w14:textFill>
            <w14:solidFill>
              <w14:schemeClr w14:val="tx1"/>
            </w14:solidFill>
          </w14:textFill>
        </w:rPr>
        <w:sectPr>
          <w:pgSz w:w="11906" w:h="16838"/>
          <w:pgMar w:top="1440" w:right="1134" w:bottom="1440" w:left="1418" w:header="851" w:footer="992" w:gutter="0"/>
          <w:cols w:space="720" w:num="1"/>
          <w:docGrid w:type="lines" w:linePitch="312" w:charSpace="0"/>
        </w:sectPr>
      </w:pPr>
    </w:p>
    <w:p w14:paraId="729BD284">
      <w:pPr>
        <w:spacing w:line="360" w:lineRule="auto"/>
        <w:rPr>
          <w:rFonts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附件</w:t>
      </w:r>
      <w:r>
        <w:rPr>
          <w:rFonts w:ascii="宋体" w:hAnsi="宋体"/>
          <w:color w:val="000000" w:themeColor="text1"/>
          <w:sz w:val="30"/>
          <w:szCs w:val="30"/>
          <w:highlight w:val="none"/>
          <w14:textFill>
            <w14:solidFill>
              <w14:schemeClr w14:val="tx1"/>
            </w14:solidFill>
          </w14:textFill>
        </w:rPr>
        <w:t>3</w:t>
      </w:r>
      <w:r>
        <w:rPr>
          <w:rFonts w:hint="eastAsia" w:ascii="宋体" w:hAnsi="宋体"/>
          <w:color w:val="000000" w:themeColor="text1"/>
          <w:sz w:val="30"/>
          <w:szCs w:val="30"/>
          <w:highlight w:val="none"/>
          <w14:textFill>
            <w14:solidFill>
              <w14:schemeClr w14:val="tx1"/>
            </w14:solidFill>
          </w14:textFill>
        </w:rPr>
        <w:t>：</w:t>
      </w:r>
    </w:p>
    <w:p w14:paraId="3138E251">
      <w:pPr>
        <w:spacing w:line="360" w:lineRule="auto"/>
        <w:jc w:val="center"/>
        <w:rPr>
          <w:rFonts w:ascii="黑体" w:hAnsi="黑体" w:eastAsia="黑体"/>
          <w:color w:val="000000" w:themeColor="text1"/>
          <w:sz w:val="30"/>
          <w:szCs w:val="30"/>
          <w:highlight w:val="none"/>
          <w14:textFill>
            <w14:solidFill>
              <w14:schemeClr w14:val="tx1"/>
            </w14:solidFill>
          </w14:textFill>
        </w:rPr>
      </w:pPr>
      <w:r>
        <w:rPr>
          <w:rFonts w:hint="eastAsia" w:ascii="黑体" w:hAnsi="黑体" w:eastAsia="黑体"/>
          <w:color w:val="000000" w:themeColor="text1"/>
          <w:sz w:val="30"/>
          <w:szCs w:val="30"/>
          <w:highlight w:val="none"/>
          <w14:textFill>
            <w14:solidFill>
              <w14:schemeClr w14:val="tx1"/>
            </w14:solidFill>
          </w14:textFill>
        </w:rPr>
        <w:t>承包人主要施工管理人员表</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2"/>
        <w:gridCol w:w="1417"/>
        <w:gridCol w:w="2268"/>
        <w:gridCol w:w="2126"/>
        <w:gridCol w:w="1978"/>
      </w:tblGrid>
      <w:tr w14:paraId="7E472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noWrap w:val="0"/>
            <w:vAlign w:val="center"/>
          </w:tcPr>
          <w:p w14:paraId="2DE6E1E0">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名称</w:t>
            </w:r>
          </w:p>
        </w:tc>
        <w:tc>
          <w:tcPr>
            <w:tcW w:w="1417" w:type="dxa"/>
            <w:noWrap w:val="0"/>
            <w:vAlign w:val="center"/>
          </w:tcPr>
          <w:p w14:paraId="3AF9F943">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姓名</w:t>
            </w:r>
          </w:p>
        </w:tc>
        <w:tc>
          <w:tcPr>
            <w:tcW w:w="2268" w:type="dxa"/>
            <w:noWrap w:val="0"/>
            <w:vAlign w:val="center"/>
          </w:tcPr>
          <w:p w14:paraId="11D1BB85">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职务</w:t>
            </w:r>
          </w:p>
        </w:tc>
        <w:tc>
          <w:tcPr>
            <w:tcW w:w="2126" w:type="dxa"/>
            <w:noWrap w:val="0"/>
            <w:vAlign w:val="center"/>
          </w:tcPr>
          <w:p w14:paraId="3B5A25A9">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职称</w:t>
            </w:r>
          </w:p>
        </w:tc>
        <w:tc>
          <w:tcPr>
            <w:tcW w:w="1978" w:type="dxa"/>
            <w:noWrap w:val="0"/>
            <w:vAlign w:val="center"/>
          </w:tcPr>
          <w:p w14:paraId="735DEDA4">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计划进场时间</w:t>
            </w:r>
          </w:p>
        </w:tc>
      </w:tr>
      <w:tr w14:paraId="7E53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noWrap w:val="0"/>
            <w:vAlign w:val="center"/>
          </w:tcPr>
          <w:p w14:paraId="161D74AA">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项目经理</w:t>
            </w:r>
          </w:p>
        </w:tc>
        <w:tc>
          <w:tcPr>
            <w:tcW w:w="1417" w:type="dxa"/>
            <w:noWrap w:val="0"/>
            <w:vAlign w:val="center"/>
          </w:tcPr>
          <w:p w14:paraId="3EDCF113">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06305960">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7EB8125A">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1438F548">
            <w:pPr>
              <w:spacing w:line="360" w:lineRule="auto"/>
              <w:jc w:val="center"/>
              <w:rPr>
                <w:rFonts w:ascii="宋体" w:hAnsi="宋体"/>
                <w:color w:val="000000" w:themeColor="text1"/>
                <w:szCs w:val="21"/>
                <w:highlight w:val="none"/>
                <w14:textFill>
                  <w14:solidFill>
                    <w14:schemeClr w14:val="tx1"/>
                  </w14:solidFill>
                </w14:textFill>
              </w:rPr>
            </w:pPr>
          </w:p>
        </w:tc>
      </w:tr>
      <w:tr w14:paraId="3C4C2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noWrap w:val="0"/>
            <w:vAlign w:val="center"/>
          </w:tcPr>
          <w:p w14:paraId="38C73639">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项目副经理</w:t>
            </w:r>
          </w:p>
        </w:tc>
        <w:tc>
          <w:tcPr>
            <w:tcW w:w="1417" w:type="dxa"/>
            <w:noWrap w:val="0"/>
            <w:vAlign w:val="center"/>
          </w:tcPr>
          <w:p w14:paraId="54119CB0">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10EE11B9">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41199815">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18300A3E">
            <w:pPr>
              <w:spacing w:line="360" w:lineRule="auto"/>
              <w:jc w:val="center"/>
              <w:rPr>
                <w:rFonts w:ascii="宋体" w:hAnsi="宋体"/>
                <w:color w:val="000000" w:themeColor="text1"/>
                <w:szCs w:val="21"/>
                <w:highlight w:val="none"/>
                <w14:textFill>
                  <w14:solidFill>
                    <w14:schemeClr w14:val="tx1"/>
                  </w14:solidFill>
                </w14:textFill>
              </w:rPr>
            </w:pPr>
          </w:p>
        </w:tc>
      </w:tr>
      <w:tr w14:paraId="4C72D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noWrap w:val="0"/>
            <w:vAlign w:val="center"/>
          </w:tcPr>
          <w:p w14:paraId="43BF07F2">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技术负责人</w:t>
            </w:r>
          </w:p>
        </w:tc>
        <w:tc>
          <w:tcPr>
            <w:tcW w:w="1417" w:type="dxa"/>
            <w:noWrap w:val="0"/>
            <w:vAlign w:val="center"/>
          </w:tcPr>
          <w:p w14:paraId="3C52C7BE">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4B225647">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3DCB0B8F">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16935872">
            <w:pPr>
              <w:spacing w:line="360" w:lineRule="auto"/>
              <w:jc w:val="center"/>
              <w:rPr>
                <w:rFonts w:ascii="宋体" w:hAnsi="宋体"/>
                <w:color w:val="000000" w:themeColor="text1"/>
                <w:szCs w:val="21"/>
                <w:highlight w:val="none"/>
                <w14:textFill>
                  <w14:solidFill>
                    <w14:schemeClr w14:val="tx1"/>
                  </w14:solidFill>
                </w14:textFill>
              </w:rPr>
            </w:pPr>
          </w:p>
        </w:tc>
      </w:tr>
      <w:tr w14:paraId="74D34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restart"/>
            <w:noWrap w:val="0"/>
            <w:vAlign w:val="center"/>
          </w:tcPr>
          <w:p w14:paraId="4C503E6D">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造价管理</w:t>
            </w:r>
          </w:p>
        </w:tc>
        <w:tc>
          <w:tcPr>
            <w:tcW w:w="1417" w:type="dxa"/>
            <w:noWrap w:val="0"/>
            <w:vAlign w:val="center"/>
          </w:tcPr>
          <w:p w14:paraId="7899A8B3">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4F098748">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19E7AD0D">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5A8A1B14">
            <w:pPr>
              <w:spacing w:line="360" w:lineRule="auto"/>
              <w:jc w:val="center"/>
              <w:rPr>
                <w:rFonts w:ascii="宋体" w:hAnsi="宋体"/>
                <w:color w:val="000000" w:themeColor="text1"/>
                <w:szCs w:val="21"/>
                <w:highlight w:val="none"/>
                <w14:textFill>
                  <w14:solidFill>
                    <w14:schemeClr w14:val="tx1"/>
                  </w14:solidFill>
                </w14:textFill>
              </w:rPr>
            </w:pPr>
          </w:p>
        </w:tc>
      </w:tr>
      <w:tr w14:paraId="1CC2C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49AEF696">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4BE69795">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6347F485">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4F7B80FF">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4447E542">
            <w:pPr>
              <w:spacing w:line="360" w:lineRule="auto"/>
              <w:jc w:val="center"/>
              <w:rPr>
                <w:rFonts w:ascii="宋体" w:hAnsi="宋体"/>
                <w:color w:val="000000" w:themeColor="text1"/>
                <w:szCs w:val="21"/>
                <w:highlight w:val="none"/>
                <w14:textFill>
                  <w14:solidFill>
                    <w14:schemeClr w14:val="tx1"/>
                  </w14:solidFill>
                </w14:textFill>
              </w:rPr>
            </w:pPr>
          </w:p>
        </w:tc>
      </w:tr>
      <w:tr w14:paraId="33F54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restart"/>
            <w:noWrap w:val="0"/>
            <w:vAlign w:val="center"/>
          </w:tcPr>
          <w:p w14:paraId="62BC82F3">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质量管理</w:t>
            </w:r>
          </w:p>
        </w:tc>
        <w:tc>
          <w:tcPr>
            <w:tcW w:w="1417" w:type="dxa"/>
            <w:noWrap w:val="0"/>
            <w:vAlign w:val="center"/>
          </w:tcPr>
          <w:p w14:paraId="77D0FF0F">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1A62C9BD">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38BC3122">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559F2103">
            <w:pPr>
              <w:spacing w:line="360" w:lineRule="auto"/>
              <w:jc w:val="center"/>
              <w:rPr>
                <w:rFonts w:ascii="宋体" w:hAnsi="宋体"/>
                <w:color w:val="000000" w:themeColor="text1"/>
                <w:szCs w:val="21"/>
                <w:highlight w:val="none"/>
                <w14:textFill>
                  <w14:solidFill>
                    <w14:schemeClr w14:val="tx1"/>
                  </w14:solidFill>
                </w14:textFill>
              </w:rPr>
            </w:pPr>
          </w:p>
        </w:tc>
      </w:tr>
      <w:tr w14:paraId="3DA24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1E3F96AE">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3349A8F4">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7C813250">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2C425554">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1C8EE09A">
            <w:pPr>
              <w:spacing w:line="360" w:lineRule="auto"/>
              <w:jc w:val="center"/>
              <w:rPr>
                <w:rFonts w:ascii="宋体" w:hAnsi="宋体"/>
                <w:color w:val="000000" w:themeColor="text1"/>
                <w:szCs w:val="21"/>
                <w:highlight w:val="none"/>
                <w14:textFill>
                  <w14:solidFill>
                    <w14:schemeClr w14:val="tx1"/>
                  </w14:solidFill>
                </w14:textFill>
              </w:rPr>
            </w:pPr>
          </w:p>
        </w:tc>
      </w:tr>
      <w:tr w14:paraId="4A94E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60AA6904">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5CCFE4DB">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59E1C582">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090D2058">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2B3EE11B">
            <w:pPr>
              <w:spacing w:line="360" w:lineRule="auto"/>
              <w:jc w:val="center"/>
              <w:rPr>
                <w:rFonts w:ascii="宋体" w:hAnsi="宋体"/>
                <w:color w:val="000000" w:themeColor="text1"/>
                <w:szCs w:val="21"/>
                <w:highlight w:val="none"/>
                <w14:textFill>
                  <w14:solidFill>
                    <w14:schemeClr w14:val="tx1"/>
                  </w14:solidFill>
                </w14:textFill>
              </w:rPr>
            </w:pPr>
          </w:p>
        </w:tc>
      </w:tr>
      <w:tr w14:paraId="01B8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1E4175E5">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3C7FC0FA">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2F685103">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1D4923AA">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1DD2291F">
            <w:pPr>
              <w:spacing w:line="360" w:lineRule="auto"/>
              <w:jc w:val="center"/>
              <w:rPr>
                <w:rFonts w:ascii="宋体" w:hAnsi="宋体"/>
                <w:color w:val="000000" w:themeColor="text1"/>
                <w:szCs w:val="21"/>
                <w:highlight w:val="none"/>
                <w14:textFill>
                  <w14:solidFill>
                    <w14:schemeClr w14:val="tx1"/>
                  </w14:solidFill>
                </w14:textFill>
              </w:rPr>
            </w:pPr>
          </w:p>
        </w:tc>
      </w:tr>
      <w:tr w14:paraId="4E54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13874263">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23BCF012">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5F97DA33">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688980CF">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1BB41C29">
            <w:pPr>
              <w:spacing w:line="360" w:lineRule="auto"/>
              <w:jc w:val="center"/>
              <w:rPr>
                <w:rFonts w:ascii="宋体" w:hAnsi="宋体"/>
                <w:color w:val="000000" w:themeColor="text1"/>
                <w:szCs w:val="21"/>
                <w:highlight w:val="none"/>
                <w14:textFill>
                  <w14:solidFill>
                    <w14:schemeClr w14:val="tx1"/>
                  </w14:solidFill>
                </w14:textFill>
              </w:rPr>
            </w:pPr>
          </w:p>
        </w:tc>
      </w:tr>
      <w:tr w14:paraId="320A7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76FA8C11">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024261F7">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761E4F8B">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3E88F11C">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26641F5B">
            <w:pPr>
              <w:spacing w:line="360" w:lineRule="auto"/>
              <w:jc w:val="center"/>
              <w:rPr>
                <w:rFonts w:ascii="宋体" w:hAnsi="宋体"/>
                <w:color w:val="000000" w:themeColor="text1"/>
                <w:szCs w:val="21"/>
                <w:highlight w:val="none"/>
                <w14:textFill>
                  <w14:solidFill>
                    <w14:schemeClr w14:val="tx1"/>
                  </w14:solidFill>
                </w14:textFill>
              </w:rPr>
            </w:pPr>
          </w:p>
        </w:tc>
      </w:tr>
      <w:tr w14:paraId="3B79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77734281">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4E310AB5">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5DE26703">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251D8C67">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3085679C">
            <w:pPr>
              <w:spacing w:line="360" w:lineRule="auto"/>
              <w:jc w:val="center"/>
              <w:rPr>
                <w:rFonts w:ascii="宋体" w:hAnsi="宋体"/>
                <w:color w:val="000000" w:themeColor="text1"/>
                <w:szCs w:val="21"/>
                <w:highlight w:val="none"/>
                <w14:textFill>
                  <w14:solidFill>
                    <w14:schemeClr w14:val="tx1"/>
                  </w14:solidFill>
                </w14:textFill>
              </w:rPr>
            </w:pPr>
          </w:p>
        </w:tc>
      </w:tr>
      <w:tr w14:paraId="138C7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736CF5C8">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1D5C3A6A">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749DA6E8">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486E06B7">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3A4E6ABA">
            <w:pPr>
              <w:spacing w:line="360" w:lineRule="auto"/>
              <w:jc w:val="center"/>
              <w:rPr>
                <w:rFonts w:ascii="宋体" w:hAnsi="宋体"/>
                <w:color w:val="000000" w:themeColor="text1"/>
                <w:szCs w:val="21"/>
                <w:highlight w:val="none"/>
                <w14:textFill>
                  <w14:solidFill>
                    <w14:schemeClr w14:val="tx1"/>
                  </w14:solidFill>
                </w14:textFill>
              </w:rPr>
            </w:pPr>
          </w:p>
        </w:tc>
      </w:tr>
      <w:tr w14:paraId="580C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restart"/>
            <w:noWrap w:val="0"/>
            <w:vAlign w:val="center"/>
          </w:tcPr>
          <w:p w14:paraId="3850DCE5">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材料管理</w:t>
            </w:r>
          </w:p>
        </w:tc>
        <w:tc>
          <w:tcPr>
            <w:tcW w:w="1417" w:type="dxa"/>
            <w:noWrap w:val="0"/>
            <w:vAlign w:val="center"/>
          </w:tcPr>
          <w:p w14:paraId="34977944">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1CE91BE1">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71B628E2">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188E3D7A">
            <w:pPr>
              <w:spacing w:line="360" w:lineRule="auto"/>
              <w:jc w:val="center"/>
              <w:rPr>
                <w:rFonts w:ascii="宋体" w:hAnsi="宋体"/>
                <w:color w:val="000000" w:themeColor="text1"/>
                <w:szCs w:val="21"/>
                <w:highlight w:val="none"/>
                <w14:textFill>
                  <w14:solidFill>
                    <w14:schemeClr w14:val="tx1"/>
                  </w14:solidFill>
                </w14:textFill>
              </w:rPr>
            </w:pPr>
          </w:p>
        </w:tc>
      </w:tr>
      <w:tr w14:paraId="19B0D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39A014E6">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7F77D914">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07B0BCBB">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6C09819C">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325A0B36">
            <w:pPr>
              <w:spacing w:line="360" w:lineRule="auto"/>
              <w:jc w:val="center"/>
              <w:rPr>
                <w:rFonts w:ascii="宋体" w:hAnsi="宋体"/>
                <w:color w:val="000000" w:themeColor="text1"/>
                <w:szCs w:val="21"/>
                <w:highlight w:val="none"/>
                <w14:textFill>
                  <w14:solidFill>
                    <w14:schemeClr w14:val="tx1"/>
                  </w14:solidFill>
                </w14:textFill>
              </w:rPr>
            </w:pPr>
          </w:p>
        </w:tc>
      </w:tr>
      <w:tr w14:paraId="4F974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623D2EBE">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25F11380">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27C2A626">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4116A2E9">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229BCA82">
            <w:pPr>
              <w:spacing w:line="360" w:lineRule="auto"/>
              <w:jc w:val="center"/>
              <w:rPr>
                <w:rFonts w:ascii="宋体" w:hAnsi="宋体"/>
                <w:color w:val="000000" w:themeColor="text1"/>
                <w:szCs w:val="21"/>
                <w:highlight w:val="none"/>
                <w14:textFill>
                  <w14:solidFill>
                    <w14:schemeClr w14:val="tx1"/>
                  </w14:solidFill>
                </w14:textFill>
              </w:rPr>
            </w:pPr>
          </w:p>
        </w:tc>
      </w:tr>
      <w:tr w14:paraId="1700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483B29A8">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1766A219">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6C8D2CD8">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364C7D6E">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7C593E36">
            <w:pPr>
              <w:spacing w:line="360" w:lineRule="auto"/>
              <w:jc w:val="center"/>
              <w:rPr>
                <w:rFonts w:ascii="宋体" w:hAnsi="宋体"/>
                <w:color w:val="000000" w:themeColor="text1"/>
                <w:szCs w:val="21"/>
                <w:highlight w:val="none"/>
                <w14:textFill>
                  <w14:solidFill>
                    <w14:schemeClr w14:val="tx1"/>
                  </w14:solidFill>
                </w14:textFill>
              </w:rPr>
            </w:pPr>
          </w:p>
        </w:tc>
      </w:tr>
      <w:tr w14:paraId="43938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1C35315F">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044A54F6">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3C6680CB">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6251EBBA">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72BB4CB8">
            <w:pPr>
              <w:spacing w:line="360" w:lineRule="auto"/>
              <w:jc w:val="center"/>
              <w:rPr>
                <w:rFonts w:ascii="宋体" w:hAnsi="宋体"/>
                <w:color w:val="000000" w:themeColor="text1"/>
                <w:szCs w:val="21"/>
                <w:highlight w:val="none"/>
                <w14:textFill>
                  <w14:solidFill>
                    <w14:schemeClr w14:val="tx1"/>
                  </w14:solidFill>
                </w14:textFill>
              </w:rPr>
            </w:pPr>
          </w:p>
        </w:tc>
      </w:tr>
      <w:tr w14:paraId="25EB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noWrap w:val="0"/>
            <w:vAlign w:val="center"/>
          </w:tcPr>
          <w:p w14:paraId="7F8B98C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计划管理</w:t>
            </w:r>
          </w:p>
        </w:tc>
        <w:tc>
          <w:tcPr>
            <w:tcW w:w="1417" w:type="dxa"/>
            <w:noWrap w:val="0"/>
            <w:vAlign w:val="center"/>
          </w:tcPr>
          <w:p w14:paraId="6FA71CDE">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64201F9C">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241DEE92">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74F4B58C">
            <w:pPr>
              <w:spacing w:line="360" w:lineRule="auto"/>
              <w:jc w:val="center"/>
              <w:rPr>
                <w:rFonts w:ascii="宋体" w:hAnsi="宋体"/>
                <w:color w:val="000000" w:themeColor="text1"/>
                <w:szCs w:val="21"/>
                <w:highlight w:val="none"/>
                <w14:textFill>
                  <w14:solidFill>
                    <w14:schemeClr w14:val="tx1"/>
                  </w14:solidFill>
                </w14:textFill>
              </w:rPr>
            </w:pPr>
          </w:p>
        </w:tc>
      </w:tr>
      <w:tr w14:paraId="19F95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restart"/>
            <w:noWrap w:val="0"/>
            <w:vAlign w:val="center"/>
          </w:tcPr>
          <w:p w14:paraId="2B4EC187">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安全管理</w:t>
            </w:r>
          </w:p>
        </w:tc>
        <w:tc>
          <w:tcPr>
            <w:tcW w:w="1417" w:type="dxa"/>
            <w:noWrap w:val="0"/>
            <w:vAlign w:val="center"/>
          </w:tcPr>
          <w:p w14:paraId="754D752F">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6114DBCA">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71C0FEBE">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754A64BA">
            <w:pPr>
              <w:spacing w:line="360" w:lineRule="auto"/>
              <w:jc w:val="center"/>
              <w:rPr>
                <w:rFonts w:ascii="宋体" w:hAnsi="宋体"/>
                <w:color w:val="000000" w:themeColor="text1"/>
                <w:szCs w:val="21"/>
                <w:highlight w:val="none"/>
                <w14:textFill>
                  <w14:solidFill>
                    <w14:schemeClr w14:val="tx1"/>
                  </w14:solidFill>
                </w14:textFill>
              </w:rPr>
            </w:pPr>
          </w:p>
        </w:tc>
      </w:tr>
      <w:tr w14:paraId="7BFD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497FEE13">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27CBCA4A">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2C61355B">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5EE44032">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5831CBD9">
            <w:pPr>
              <w:spacing w:line="360" w:lineRule="auto"/>
              <w:jc w:val="center"/>
              <w:rPr>
                <w:rFonts w:ascii="宋体" w:hAnsi="宋体"/>
                <w:color w:val="000000" w:themeColor="text1"/>
                <w:szCs w:val="21"/>
                <w:highlight w:val="none"/>
                <w14:textFill>
                  <w14:solidFill>
                    <w14:schemeClr w14:val="tx1"/>
                  </w14:solidFill>
                </w14:textFill>
              </w:rPr>
            </w:pPr>
          </w:p>
        </w:tc>
      </w:tr>
      <w:tr w14:paraId="6B1E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5B1668AA">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61E17272">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0F5D5289">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02E8255C">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4D74904C">
            <w:pPr>
              <w:spacing w:line="360" w:lineRule="auto"/>
              <w:jc w:val="center"/>
              <w:rPr>
                <w:rFonts w:ascii="宋体" w:hAnsi="宋体"/>
                <w:color w:val="000000" w:themeColor="text1"/>
                <w:szCs w:val="21"/>
                <w:highlight w:val="none"/>
                <w14:textFill>
                  <w14:solidFill>
                    <w14:schemeClr w14:val="tx1"/>
                  </w14:solidFill>
                </w14:textFill>
              </w:rPr>
            </w:pPr>
          </w:p>
        </w:tc>
      </w:tr>
      <w:tr w14:paraId="14F7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3EF99112">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79A3FF60">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0AB27F95">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178FCC53">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1A0F8DA8">
            <w:pPr>
              <w:spacing w:line="360" w:lineRule="auto"/>
              <w:jc w:val="center"/>
              <w:rPr>
                <w:rFonts w:ascii="宋体" w:hAnsi="宋体"/>
                <w:color w:val="000000" w:themeColor="text1"/>
                <w:szCs w:val="21"/>
                <w:highlight w:val="none"/>
                <w14:textFill>
                  <w14:solidFill>
                    <w14:schemeClr w14:val="tx1"/>
                  </w14:solidFill>
                </w14:textFill>
              </w:rPr>
            </w:pPr>
          </w:p>
        </w:tc>
      </w:tr>
      <w:tr w14:paraId="5D24E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025A9D49">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61F868BB">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431D71ED">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68F96475">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49557A6B">
            <w:pPr>
              <w:spacing w:line="360" w:lineRule="auto"/>
              <w:jc w:val="center"/>
              <w:rPr>
                <w:rFonts w:ascii="宋体" w:hAnsi="宋体"/>
                <w:color w:val="000000" w:themeColor="text1"/>
                <w:szCs w:val="21"/>
                <w:highlight w:val="none"/>
                <w14:textFill>
                  <w14:solidFill>
                    <w14:schemeClr w14:val="tx1"/>
                  </w14:solidFill>
                </w14:textFill>
              </w:rPr>
            </w:pPr>
          </w:p>
        </w:tc>
      </w:tr>
      <w:tr w14:paraId="010E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24B16CFF">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57DDC2E9">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353736DC">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4F6BCA19">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77857EFA">
            <w:pPr>
              <w:spacing w:line="360" w:lineRule="auto"/>
              <w:jc w:val="center"/>
              <w:rPr>
                <w:rFonts w:ascii="宋体" w:hAnsi="宋体"/>
                <w:color w:val="000000" w:themeColor="text1"/>
                <w:szCs w:val="21"/>
                <w:highlight w:val="none"/>
                <w14:textFill>
                  <w14:solidFill>
                    <w14:schemeClr w14:val="tx1"/>
                  </w14:solidFill>
                </w14:textFill>
              </w:rPr>
            </w:pPr>
          </w:p>
        </w:tc>
      </w:tr>
      <w:tr w14:paraId="75A1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restart"/>
            <w:noWrap w:val="0"/>
            <w:vAlign w:val="center"/>
          </w:tcPr>
          <w:p w14:paraId="70D855F7">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其他人员</w:t>
            </w:r>
          </w:p>
        </w:tc>
        <w:tc>
          <w:tcPr>
            <w:tcW w:w="1417" w:type="dxa"/>
            <w:noWrap w:val="0"/>
            <w:vAlign w:val="center"/>
          </w:tcPr>
          <w:p w14:paraId="3542225A">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00A8C808">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5873F4E3">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693A2021">
            <w:pPr>
              <w:spacing w:line="360" w:lineRule="auto"/>
              <w:jc w:val="center"/>
              <w:rPr>
                <w:rFonts w:ascii="宋体" w:hAnsi="宋体"/>
                <w:color w:val="000000" w:themeColor="text1"/>
                <w:szCs w:val="21"/>
                <w:highlight w:val="none"/>
                <w14:textFill>
                  <w14:solidFill>
                    <w14:schemeClr w14:val="tx1"/>
                  </w14:solidFill>
                </w14:textFill>
              </w:rPr>
            </w:pPr>
          </w:p>
        </w:tc>
      </w:tr>
      <w:tr w14:paraId="3235D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33C05A16">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2FF7F9D6">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1EE8734F">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672EC47D">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03254552">
            <w:pPr>
              <w:spacing w:line="360" w:lineRule="auto"/>
              <w:jc w:val="center"/>
              <w:rPr>
                <w:rFonts w:ascii="宋体" w:hAnsi="宋体"/>
                <w:color w:val="000000" w:themeColor="text1"/>
                <w:szCs w:val="21"/>
                <w:highlight w:val="none"/>
                <w14:textFill>
                  <w14:solidFill>
                    <w14:schemeClr w14:val="tx1"/>
                  </w14:solidFill>
                </w14:textFill>
              </w:rPr>
            </w:pPr>
          </w:p>
        </w:tc>
      </w:tr>
      <w:tr w14:paraId="4DB8C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1630D6DD">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46A5757B">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2C48C984">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327A40D9">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20175D37">
            <w:pPr>
              <w:spacing w:line="360" w:lineRule="auto"/>
              <w:jc w:val="center"/>
              <w:rPr>
                <w:rFonts w:ascii="宋体" w:hAnsi="宋体"/>
                <w:color w:val="000000" w:themeColor="text1"/>
                <w:szCs w:val="21"/>
                <w:highlight w:val="none"/>
                <w14:textFill>
                  <w14:solidFill>
                    <w14:schemeClr w14:val="tx1"/>
                  </w14:solidFill>
                </w14:textFill>
              </w:rPr>
            </w:pPr>
          </w:p>
        </w:tc>
      </w:tr>
      <w:tr w14:paraId="4B0C7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02C3074C">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0FC4691B">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2B232B7A">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580FD344">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3AAE3324">
            <w:pPr>
              <w:spacing w:line="360" w:lineRule="auto"/>
              <w:jc w:val="center"/>
              <w:rPr>
                <w:rFonts w:ascii="宋体" w:hAnsi="宋体"/>
                <w:color w:val="000000" w:themeColor="text1"/>
                <w:szCs w:val="21"/>
                <w:highlight w:val="none"/>
                <w14:textFill>
                  <w14:solidFill>
                    <w14:schemeClr w14:val="tx1"/>
                  </w14:solidFill>
                </w14:textFill>
              </w:rPr>
            </w:pPr>
          </w:p>
        </w:tc>
      </w:tr>
      <w:tr w14:paraId="65752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6F593774">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3F3A32B3">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4353AF60">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4A5CD643">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1CA09ECF">
            <w:pPr>
              <w:spacing w:line="360" w:lineRule="auto"/>
              <w:jc w:val="center"/>
              <w:rPr>
                <w:rFonts w:ascii="宋体" w:hAnsi="宋体"/>
                <w:color w:val="000000" w:themeColor="text1"/>
                <w:szCs w:val="21"/>
                <w:highlight w:val="none"/>
                <w14:textFill>
                  <w14:solidFill>
                    <w14:schemeClr w14:val="tx1"/>
                  </w14:solidFill>
                </w14:textFill>
              </w:rPr>
            </w:pPr>
          </w:p>
        </w:tc>
      </w:tr>
      <w:tr w14:paraId="2A75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556709A3">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7BE67E2A">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7C01F33E">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18618858">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7C945166">
            <w:pPr>
              <w:spacing w:line="360" w:lineRule="auto"/>
              <w:jc w:val="center"/>
              <w:rPr>
                <w:rFonts w:ascii="宋体" w:hAnsi="宋体"/>
                <w:color w:val="000000" w:themeColor="text1"/>
                <w:szCs w:val="21"/>
                <w:highlight w:val="none"/>
                <w14:textFill>
                  <w14:solidFill>
                    <w14:schemeClr w14:val="tx1"/>
                  </w14:solidFill>
                </w14:textFill>
              </w:rPr>
            </w:pPr>
          </w:p>
        </w:tc>
      </w:tr>
      <w:tr w14:paraId="18903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77EC0A90">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61751056">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37D4B9E6">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2808F097">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7D5B1041">
            <w:pPr>
              <w:spacing w:line="360" w:lineRule="auto"/>
              <w:jc w:val="center"/>
              <w:rPr>
                <w:rFonts w:ascii="宋体" w:hAnsi="宋体"/>
                <w:color w:val="000000" w:themeColor="text1"/>
                <w:szCs w:val="21"/>
                <w:highlight w:val="none"/>
                <w14:textFill>
                  <w14:solidFill>
                    <w14:schemeClr w14:val="tx1"/>
                  </w14:solidFill>
                </w14:textFill>
              </w:rPr>
            </w:pPr>
          </w:p>
        </w:tc>
      </w:tr>
      <w:tr w14:paraId="36F25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692CF927">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197287AD">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1FAE8053">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55B65B76">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70D8A873">
            <w:pPr>
              <w:spacing w:line="360" w:lineRule="auto"/>
              <w:jc w:val="center"/>
              <w:rPr>
                <w:rFonts w:ascii="宋体" w:hAnsi="宋体"/>
                <w:color w:val="000000" w:themeColor="text1"/>
                <w:szCs w:val="21"/>
                <w:highlight w:val="none"/>
                <w14:textFill>
                  <w14:solidFill>
                    <w14:schemeClr w14:val="tx1"/>
                  </w14:solidFill>
                </w14:textFill>
              </w:rPr>
            </w:pPr>
          </w:p>
        </w:tc>
      </w:tr>
      <w:tr w14:paraId="1452D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15D167B6">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1A272145">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3EEC27AE">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4234296F">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286811C6">
            <w:pPr>
              <w:spacing w:line="360" w:lineRule="auto"/>
              <w:jc w:val="center"/>
              <w:rPr>
                <w:rFonts w:ascii="宋体" w:hAnsi="宋体"/>
                <w:color w:val="000000" w:themeColor="text1"/>
                <w:szCs w:val="21"/>
                <w:highlight w:val="none"/>
                <w14:textFill>
                  <w14:solidFill>
                    <w14:schemeClr w14:val="tx1"/>
                  </w14:solidFill>
                </w14:textFill>
              </w:rPr>
            </w:pPr>
          </w:p>
        </w:tc>
      </w:tr>
      <w:tr w14:paraId="4EC96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27917F1A">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4DC2C5EE">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45DC1746">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67E1C0B9">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592D70D8">
            <w:pPr>
              <w:spacing w:line="360" w:lineRule="auto"/>
              <w:jc w:val="center"/>
              <w:rPr>
                <w:rFonts w:ascii="宋体" w:hAnsi="宋体"/>
                <w:color w:val="000000" w:themeColor="text1"/>
                <w:szCs w:val="21"/>
                <w:highlight w:val="none"/>
                <w14:textFill>
                  <w14:solidFill>
                    <w14:schemeClr w14:val="tx1"/>
                  </w14:solidFill>
                </w14:textFill>
              </w:rPr>
            </w:pPr>
          </w:p>
        </w:tc>
      </w:tr>
      <w:tr w14:paraId="208AB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2DC2EB3C">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0308D757">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50109DB5">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016A5EFB">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7C88F984">
            <w:pPr>
              <w:spacing w:line="360" w:lineRule="auto"/>
              <w:jc w:val="center"/>
              <w:rPr>
                <w:rFonts w:ascii="宋体" w:hAnsi="宋体"/>
                <w:color w:val="000000" w:themeColor="text1"/>
                <w:szCs w:val="21"/>
                <w:highlight w:val="none"/>
                <w14:textFill>
                  <w14:solidFill>
                    <w14:schemeClr w14:val="tx1"/>
                  </w14:solidFill>
                </w14:textFill>
              </w:rPr>
            </w:pPr>
          </w:p>
        </w:tc>
      </w:tr>
      <w:tr w14:paraId="37C2C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0810F700">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6AFB8F30">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0F55AEBB">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12F90E8B">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3EDCA2B4">
            <w:pPr>
              <w:spacing w:line="360" w:lineRule="auto"/>
              <w:jc w:val="center"/>
              <w:rPr>
                <w:rFonts w:ascii="宋体" w:hAnsi="宋体"/>
                <w:color w:val="000000" w:themeColor="text1"/>
                <w:szCs w:val="21"/>
                <w:highlight w:val="none"/>
                <w14:textFill>
                  <w14:solidFill>
                    <w14:schemeClr w14:val="tx1"/>
                  </w14:solidFill>
                </w14:textFill>
              </w:rPr>
            </w:pPr>
          </w:p>
        </w:tc>
      </w:tr>
      <w:tr w14:paraId="7CE17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5AC1E981">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3967895A">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3C723FB4">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7F2988D5">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405D5440">
            <w:pPr>
              <w:spacing w:line="360" w:lineRule="auto"/>
              <w:jc w:val="center"/>
              <w:rPr>
                <w:rFonts w:ascii="宋体" w:hAnsi="宋体"/>
                <w:color w:val="000000" w:themeColor="text1"/>
                <w:szCs w:val="21"/>
                <w:highlight w:val="none"/>
                <w14:textFill>
                  <w14:solidFill>
                    <w14:schemeClr w14:val="tx1"/>
                  </w14:solidFill>
                </w14:textFill>
              </w:rPr>
            </w:pPr>
          </w:p>
        </w:tc>
      </w:tr>
      <w:tr w14:paraId="21E08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77A71CDB">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1EAE2A75">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704251B2">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69FA9FFA">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12EA1A22">
            <w:pPr>
              <w:spacing w:line="360" w:lineRule="auto"/>
              <w:jc w:val="center"/>
              <w:rPr>
                <w:rFonts w:ascii="宋体" w:hAnsi="宋体"/>
                <w:color w:val="000000" w:themeColor="text1"/>
                <w:szCs w:val="21"/>
                <w:highlight w:val="none"/>
                <w14:textFill>
                  <w14:solidFill>
                    <w14:schemeClr w14:val="tx1"/>
                  </w14:solidFill>
                </w14:textFill>
              </w:rPr>
            </w:pPr>
          </w:p>
        </w:tc>
      </w:tr>
      <w:tr w14:paraId="361E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133343AA">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2211C883">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4DAE670F">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5DE9FD4A">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36606065">
            <w:pPr>
              <w:spacing w:line="360" w:lineRule="auto"/>
              <w:jc w:val="center"/>
              <w:rPr>
                <w:rFonts w:ascii="宋体" w:hAnsi="宋体"/>
                <w:color w:val="000000" w:themeColor="text1"/>
                <w:szCs w:val="21"/>
                <w:highlight w:val="none"/>
                <w14:textFill>
                  <w14:solidFill>
                    <w14:schemeClr w14:val="tx1"/>
                  </w14:solidFill>
                </w14:textFill>
              </w:rPr>
            </w:pPr>
          </w:p>
        </w:tc>
      </w:tr>
      <w:tr w14:paraId="61FF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6962942B">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2A334498">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78CFD5C2">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6AC4DD17">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5F632A53">
            <w:pPr>
              <w:spacing w:line="360" w:lineRule="auto"/>
              <w:jc w:val="center"/>
              <w:rPr>
                <w:rFonts w:ascii="宋体" w:hAnsi="宋体"/>
                <w:color w:val="000000" w:themeColor="text1"/>
                <w:szCs w:val="21"/>
                <w:highlight w:val="none"/>
                <w14:textFill>
                  <w14:solidFill>
                    <w14:schemeClr w14:val="tx1"/>
                  </w14:solidFill>
                </w14:textFill>
              </w:rPr>
            </w:pPr>
          </w:p>
        </w:tc>
      </w:tr>
      <w:tr w14:paraId="4764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6A656B44">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25B5CB1B">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41569860">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2DA72326">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1EA04993">
            <w:pPr>
              <w:spacing w:line="360" w:lineRule="auto"/>
              <w:jc w:val="center"/>
              <w:rPr>
                <w:rFonts w:ascii="宋体" w:hAnsi="宋体"/>
                <w:color w:val="000000" w:themeColor="text1"/>
                <w:szCs w:val="21"/>
                <w:highlight w:val="none"/>
                <w14:textFill>
                  <w14:solidFill>
                    <w14:schemeClr w14:val="tx1"/>
                  </w14:solidFill>
                </w14:textFill>
              </w:rPr>
            </w:pPr>
          </w:p>
        </w:tc>
      </w:tr>
      <w:tr w14:paraId="5333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58150D82">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05678C30">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065BFF39">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60EB8C15">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7D89D5FD">
            <w:pPr>
              <w:spacing w:line="360" w:lineRule="auto"/>
              <w:jc w:val="center"/>
              <w:rPr>
                <w:rFonts w:ascii="宋体" w:hAnsi="宋体"/>
                <w:color w:val="000000" w:themeColor="text1"/>
                <w:szCs w:val="21"/>
                <w:highlight w:val="none"/>
                <w14:textFill>
                  <w14:solidFill>
                    <w14:schemeClr w14:val="tx1"/>
                  </w14:solidFill>
                </w14:textFill>
              </w:rPr>
            </w:pPr>
          </w:p>
        </w:tc>
      </w:tr>
      <w:tr w14:paraId="4665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657347D3">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26E5852D">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6FA96AA0">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197455C0">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0BA1A869">
            <w:pPr>
              <w:spacing w:line="360" w:lineRule="auto"/>
              <w:jc w:val="center"/>
              <w:rPr>
                <w:rFonts w:ascii="宋体" w:hAnsi="宋体"/>
                <w:color w:val="000000" w:themeColor="text1"/>
                <w:szCs w:val="21"/>
                <w:highlight w:val="none"/>
                <w14:textFill>
                  <w14:solidFill>
                    <w14:schemeClr w14:val="tx1"/>
                  </w14:solidFill>
                </w14:textFill>
              </w:rPr>
            </w:pPr>
          </w:p>
        </w:tc>
      </w:tr>
      <w:tr w14:paraId="1C22D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24ADE369">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0D4C6ACB">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56C86D3B">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75B1A454">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696072B7">
            <w:pPr>
              <w:spacing w:line="360" w:lineRule="auto"/>
              <w:jc w:val="center"/>
              <w:rPr>
                <w:rFonts w:ascii="宋体" w:hAnsi="宋体"/>
                <w:color w:val="000000" w:themeColor="text1"/>
                <w:szCs w:val="21"/>
                <w:highlight w:val="none"/>
                <w14:textFill>
                  <w14:solidFill>
                    <w14:schemeClr w14:val="tx1"/>
                  </w14:solidFill>
                </w14:textFill>
              </w:rPr>
            </w:pPr>
          </w:p>
        </w:tc>
      </w:tr>
      <w:tr w14:paraId="77D5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noWrap w:val="0"/>
            <w:vAlign w:val="center"/>
          </w:tcPr>
          <w:p w14:paraId="00404090">
            <w:pPr>
              <w:spacing w:line="360" w:lineRule="auto"/>
              <w:jc w:val="center"/>
              <w:rPr>
                <w:rFonts w:ascii="宋体" w:hAnsi="宋体"/>
                <w:color w:val="000000" w:themeColor="text1"/>
                <w:szCs w:val="21"/>
                <w:highlight w:val="none"/>
                <w14:textFill>
                  <w14:solidFill>
                    <w14:schemeClr w14:val="tx1"/>
                  </w14:solidFill>
                </w14:textFill>
              </w:rPr>
            </w:pPr>
          </w:p>
        </w:tc>
        <w:tc>
          <w:tcPr>
            <w:tcW w:w="1417" w:type="dxa"/>
            <w:noWrap w:val="0"/>
            <w:vAlign w:val="center"/>
          </w:tcPr>
          <w:p w14:paraId="42FB6D26">
            <w:pPr>
              <w:spacing w:line="360" w:lineRule="auto"/>
              <w:jc w:val="center"/>
              <w:rPr>
                <w:rFonts w:ascii="宋体" w:hAnsi="宋体"/>
                <w:color w:val="000000" w:themeColor="text1"/>
                <w:szCs w:val="21"/>
                <w:highlight w:val="none"/>
                <w14:textFill>
                  <w14:solidFill>
                    <w14:schemeClr w14:val="tx1"/>
                  </w14:solidFill>
                </w14:textFill>
              </w:rPr>
            </w:pPr>
          </w:p>
        </w:tc>
        <w:tc>
          <w:tcPr>
            <w:tcW w:w="2268" w:type="dxa"/>
            <w:noWrap w:val="0"/>
            <w:vAlign w:val="center"/>
          </w:tcPr>
          <w:p w14:paraId="47867FCE">
            <w:pPr>
              <w:spacing w:line="360" w:lineRule="auto"/>
              <w:jc w:val="center"/>
              <w:rPr>
                <w:rFonts w:ascii="宋体" w:hAnsi="宋体"/>
                <w:color w:val="000000" w:themeColor="text1"/>
                <w:szCs w:val="21"/>
                <w:highlight w:val="none"/>
                <w14:textFill>
                  <w14:solidFill>
                    <w14:schemeClr w14:val="tx1"/>
                  </w14:solidFill>
                </w14:textFill>
              </w:rPr>
            </w:pPr>
          </w:p>
        </w:tc>
        <w:tc>
          <w:tcPr>
            <w:tcW w:w="2126" w:type="dxa"/>
            <w:noWrap w:val="0"/>
            <w:vAlign w:val="center"/>
          </w:tcPr>
          <w:p w14:paraId="7E9635EA">
            <w:pPr>
              <w:spacing w:line="360" w:lineRule="auto"/>
              <w:jc w:val="center"/>
              <w:rPr>
                <w:rFonts w:ascii="宋体" w:hAnsi="宋体"/>
                <w:color w:val="000000" w:themeColor="text1"/>
                <w:szCs w:val="21"/>
                <w:highlight w:val="none"/>
                <w14:textFill>
                  <w14:solidFill>
                    <w14:schemeClr w14:val="tx1"/>
                  </w14:solidFill>
                </w14:textFill>
              </w:rPr>
            </w:pPr>
          </w:p>
        </w:tc>
        <w:tc>
          <w:tcPr>
            <w:tcW w:w="1978" w:type="dxa"/>
            <w:noWrap w:val="0"/>
            <w:vAlign w:val="center"/>
          </w:tcPr>
          <w:p w14:paraId="22F717C1">
            <w:pPr>
              <w:spacing w:line="360" w:lineRule="auto"/>
              <w:jc w:val="center"/>
              <w:rPr>
                <w:rFonts w:ascii="宋体" w:hAnsi="宋体"/>
                <w:color w:val="000000" w:themeColor="text1"/>
                <w:szCs w:val="21"/>
                <w:highlight w:val="none"/>
                <w14:textFill>
                  <w14:solidFill>
                    <w14:schemeClr w14:val="tx1"/>
                  </w14:solidFill>
                </w14:textFill>
              </w:rPr>
            </w:pPr>
          </w:p>
        </w:tc>
      </w:tr>
    </w:tbl>
    <w:p w14:paraId="27A23B97">
      <w:pPr>
        <w:spacing w:line="360" w:lineRule="auto"/>
        <w:rPr>
          <w:rFonts w:ascii="宋体" w:hAnsi="宋体"/>
          <w:color w:val="000000" w:themeColor="text1"/>
          <w:sz w:val="30"/>
          <w:szCs w:val="30"/>
          <w:highlight w:val="none"/>
          <w14:textFill>
            <w14:solidFill>
              <w14:schemeClr w14:val="tx1"/>
            </w14:solidFill>
          </w14:textFill>
        </w:rPr>
      </w:pPr>
    </w:p>
    <w:p w14:paraId="6F412335">
      <w:pPr>
        <w:spacing w:line="360" w:lineRule="auto"/>
        <w:rPr>
          <w:rFonts w:ascii="宋体" w:hAnsi="宋体"/>
          <w:color w:val="000000" w:themeColor="text1"/>
          <w:sz w:val="30"/>
          <w:szCs w:val="30"/>
          <w:highlight w:val="none"/>
          <w14:textFill>
            <w14:solidFill>
              <w14:schemeClr w14:val="tx1"/>
            </w14:solidFill>
          </w14:textFill>
        </w:rPr>
        <w:sectPr>
          <w:pgSz w:w="11906" w:h="16838"/>
          <w:pgMar w:top="1440" w:right="1134" w:bottom="1440" w:left="1418" w:header="851" w:footer="992" w:gutter="0"/>
          <w:cols w:space="720" w:num="1"/>
          <w:docGrid w:type="lines" w:linePitch="312" w:charSpace="0"/>
        </w:sectPr>
      </w:pPr>
    </w:p>
    <w:p w14:paraId="42F86183">
      <w:pPr>
        <w:spacing w:line="360" w:lineRule="auto"/>
        <w:rPr>
          <w:rFonts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附件</w:t>
      </w:r>
      <w:r>
        <w:rPr>
          <w:rFonts w:ascii="宋体" w:hAnsi="宋体"/>
          <w:color w:val="000000" w:themeColor="text1"/>
          <w:sz w:val="30"/>
          <w:szCs w:val="30"/>
          <w:highlight w:val="none"/>
          <w14:textFill>
            <w14:solidFill>
              <w14:schemeClr w14:val="tx1"/>
            </w14:solidFill>
          </w14:textFill>
        </w:rPr>
        <w:t>4</w:t>
      </w:r>
      <w:r>
        <w:rPr>
          <w:rFonts w:hint="eastAsia" w:ascii="宋体" w:hAnsi="宋体"/>
          <w:color w:val="000000" w:themeColor="text1"/>
          <w:sz w:val="30"/>
          <w:szCs w:val="30"/>
          <w:highlight w:val="none"/>
          <w14:textFill>
            <w14:solidFill>
              <w14:schemeClr w14:val="tx1"/>
            </w14:solidFill>
          </w14:textFill>
        </w:rPr>
        <w:t>：</w:t>
      </w:r>
    </w:p>
    <w:p w14:paraId="132806CD">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施工安全生产责任书</w:t>
      </w:r>
    </w:p>
    <w:p w14:paraId="10436EEC">
      <w:pPr>
        <w:spacing w:line="360" w:lineRule="auto"/>
        <w:rPr>
          <w:rFonts w:ascii="宋体" w:hAnsi="宋体"/>
          <w:color w:val="000000" w:themeColor="text1"/>
          <w:szCs w:val="21"/>
          <w:highlight w:val="none"/>
          <w14:textFill>
            <w14:solidFill>
              <w14:schemeClr w14:val="tx1"/>
            </w14:solidFill>
          </w14:textFill>
        </w:rPr>
      </w:pPr>
    </w:p>
    <w:p w14:paraId="3B8B0CA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发包人（全称）：                       （以下简称甲方）</w:t>
      </w:r>
    </w:p>
    <w:p w14:paraId="66E47B5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承包人（全称）：                       （以下简称乙方）</w:t>
      </w:r>
    </w:p>
    <w:p w14:paraId="6DE3D508">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47C65BC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根据甲方乙方双方的约定，乙方承建甲方</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工程施工任务，经协商一致就</w:t>
      </w:r>
      <w:r>
        <w:rPr>
          <w:rFonts w:hint="eastAsia" w:ascii="宋体" w:hAnsi="宋体"/>
          <w:color w:val="000000" w:themeColor="text1"/>
          <w:szCs w:val="21"/>
          <w:highlight w:val="none"/>
          <w:u w:val="single"/>
          <w14:textFill>
            <w14:solidFill>
              <w14:schemeClr w14:val="tx1"/>
            </w14:solidFill>
          </w14:textFill>
        </w:rPr>
        <w:t xml:space="preserve">       （工程全称）</w:t>
      </w:r>
      <w:r>
        <w:rPr>
          <w:rFonts w:hint="eastAsia" w:ascii="宋体" w:hAnsi="宋体"/>
          <w:color w:val="000000" w:themeColor="text1"/>
          <w:szCs w:val="21"/>
          <w:highlight w:val="none"/>
          <w14:textFill>
            <w14:solidFill>
              <w14:schemeClr w14:val="tx1"/>
            </w14:solidFill>
          </w14:textFill>
        </w:rPr>
        <w:t>签订施工安全生产责任书。</w:t>
      </w:r>
    </w:p>
    <w:p w14:paraId="7414BB7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施工准备阶段和施工过程中，甲方和乙方都应贯彻执行《中华人民共和国建筑法》、《中华人民共和国安全生产法》等国家法律法规，以及有关建筑施工安全和文明施工，现场管理方面的法律、法规及行业安全操作、规范、标准，并确定履行法、法规所赋予双方各自的安全职责。以确保建筑工程施工始终在安全文明的前提下进行。现经甲方乙方商定，进一步确认，同意就施工过程中的安全责任事宜明确如下，并就有关安全管理事项制定以下协议内容，以供双方共同遵守。</w:t>
      </w:r>
    </w:p>
    <w:p w14:paraId="3B31443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乙方进场后应遵守国家和南宁市对安全及文明施工的有关文件规定，包括行业安全操作规程、规范及标准，以及甲方规定的各项规章制度和管理规定。乙方对施工现场的安全管理负全责，凡在施工现场内（含生产现场和生活区）因违章指挥、违章操作导致发生高空坠落、物体打击、机械事故、触电土方坍塌事故及管线折断、破裂、泄漏事故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14:paraId="2C5278A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14:paraId="3BE4BDF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三、乙方项目经理为安全生产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挥违章指挥、  违章操作的行为要及时指出、坚决制止。</w:t>
      </w:r>
    </w:p>
    <w:p w14:paraId="5EA267C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四、乙方须严格按照相关法律、法规和操作规程、规范及标准进行施工，并做到：</w:t>
      </w:r>
    </w:p>
    <w:p w14:paraId="3B16943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1、土方作业应根据基坑、基槽等和开挖深度、土质类别选择开挖方案，明确边坡或采取相应护坡支撑和护堤桩以防塌方。边坡周围施加静载（土堆等）或动载（泵车浇筑等）应符合相应安全规定。</w:t>
      </w:r>
    </w:p>
    <w:p w14:paraId="545EE6B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2、根据甲方提供的资料对施工现场及其影响的区域内地下的障碍物清理或采取相应的措施，对周围道路管线采取保护措施。</w:t>
      </w:r>
    </w:p>
    <w:p w14:paraId="44660A6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施工作业前需对机械、设备、仪器、仪表、工具器材等进行检查，确认完好无误后方可使用。电气设备、电源线路必须绝缘良好，不得与金属物浸水位置（导电物品）搭接捆绑在一起，各种临时电源线，绝缘皮要防止摩擦破损和被重物埋压。电动机、配电箱应按规定安装防护设置、漏电保护器及接地、接零和设备专一电闸等有效控制。当临时停电或停工休息时必须拉闸、上锁。</w:t>
      </w:r>
    </w:p>
    <w:p w14:paraId="425BDB4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在施工中动用明火（如进行电气焊作业）或高处作业等必须实行《动火证》审批制度和安全防护措施，现场（含生活区）的消防设备、器材按有关规定配置，对易燃易爆的危险品运输、储存、保管要符合安全规定要求。</w:t>
      </w:r>
    </w:p>
    <w:p w14:paraId="3C928F9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督促施工人员做好下班后清理检查工作，对作业区域存在的危险因素（如管道沟、槽，管道井及高低压线路、变电、配电设施）要采取防护措施，设置防护围栏，设置警示标识（含晚间设置警示灯）。要严加防范、重点监控。在管道井下或密闭容器作业应严守操作规程并注意通风、照明和保持通讯联络，并有两个以上人员作业，以防因缺氧造成的事故。</w:t>
      </w:r>
    </w:p>
    <w:p w14:paraId="2A6002E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6、实施挖土作业和拆除工程中发现管道、电缆及其它埋设物应及时报告，不得擅自处理。</w:t>
      </w:r>
    </w:p>
    <w:p w14:paraId="0D3DBE1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7、按规范要求及现场实际情况布置现场消防通道、消防栓、灭火器、消防水龙带、消防专职安全员。</w:t>
      </w:r>
    </w:p>
    <w:p w14:paraId="37B6F51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8、禁止将火种带入施工现场，禁止将烟卷带入施工区域。</w:t>
      </w:r>
    </w:p>
    <w:p w14:paraId="7C423E1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五、乙方应按规定要求制定劳保技术措施，保证操作人员劳保用品和用工规范要求。</w:t>
      </w:r>
    </w:p>
    <w:p w14:paraId="5CE1965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六、乙方应按施工现场安全文明和环保、环卫的有关规定设置宿舍、食堂、饮用水及其他卫生设施。对施工现场的环境（如现场废水、尘雾、噪声、振动、坠落物等）进行有效地控制，为防止职业危害提供良好的作业环境。</w:t>
      </w:r>
    </w:p>
    <w:p w14:paraId="7426F78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七、关心职工及外地施工队伍的生活，及时了解思想动态，最大可能满足他们的合理要求，帮助他们克服工作、生活上的困难，确保其思想稳定生产安全。</w:t>
      </w:r>
    </w:p>
    <w:p w14:paraId="0AE3E72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八、保证责任区内符合安全、环保、环卫要求，做到：不起尘无遗洒、进出车辆保洁，路面有人清扫，落实门前三包。</w:t>
      </w:r>
    </w:p>
    <w:p w14:paraId="0A60A2E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九、甲方有权对乙方施工全过程的安全进行监督，对各种不安全因素、隐患有权提出整改意见。对甲方提出的不安全问题及隐患乙方应立即整改，对当时难以解决的问题应采取临时可靠措施加以控制，对经指出不予整改的或乙方失职失误造成的事故案件的，甲方有权按违约给予承包人相应处罚。</w:t>
      </w:r>
    </w:p>
    <w:p w14:paraId="306189F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十、施工安全生产责任书由发包人、承包人在工程开工前共同签署，作为施工合同附件，其有效期限至保修期满。</w:t>
      </w:r>
    </w:p>
    <w:p w14:paraId="451161D4">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769B8C7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（以下无正文）</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4"/>
        <w:gridCol w:w="4814"/>
      </w:tblGrid>
      <w:tr w14:paraId="0C249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14" w:type="dxa"/>
            <w:noWrap w:val="0"/>
            <w:vAlign w:val="top"/>
          </w:tcPr>
          <w:p w14:paraId="466D2C79">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发包人（公章）：</w:t>
            </w:r>
          </w:p>
        </w:tc>
        <w:tc>
          <w:tcPr>
            <w:tcW w:w="4814" w:type="dxa"/>
            <w:noWrap w:val="0"/>
            <w:vAlign w:val="top"/>
          </w:tcPr>
          <w:p w14:paraId="581DB10F">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承包人（公章）：</w:t>
            </w:r>
          </w:p>
        </w:tc>
      </w:tr>
      <w:tr w14:paraId="29570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4" w:type="dxa"/>
            <w:noWrap w:val="0"/>
            <w:vAlign w:val="top"/>
          </w:tcPr>
          <w:p w14:paraId="32FA17DC">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法定代表人（签字）：</w:t>
            </w:r>
          </w:p>
        </w:tc>
        <w:tc>
          <w:tcPr>
            <w:tcW w:w="4814" w:type="dxa"/>
            <w:noWrap w:val="0"/>
            <w:vAlign w:val="top"/>
          </w:tcPr>
          <w:p w14:paraId="41B17F9D">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法定代表人（签字）：</w:t>
            </w:r>
          </w:p>
        </w:tc>
      </w:tr>
      <w:tr w14:paraId="33406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4" w:type="dxa"/>
            <w:noWrap w:val="0"/>
            <w:vAlign w:val="top"/>
          </w:tcPr>
          <w:p w14:paraId="302B7D16">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或委托代理人（签字）：</w:t>
            </w:r>
          </w:p>
        </w:tc>
        <w:tc>
          <w:tcPr>
            <w:tcW w:w="4814" w:type="dxa"/>
            <w:noWrap w:val="0"/>
            <w:vAlign w:val="top"/>
          </w:tcPr>
          <w:p w14:paraId="19A440C8">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或委托代理人（签字）：</w:t>
            </w:r>
          </w:p>
        </w:tc>
      </w:tr>
      <w:tr w14:paraId="2A8A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4" w:type="dxa"/>
            <w:noWrap w:val="0"/>
            <w:vAlign w:val="top"/>
          </w:tcPr>
          <w:p w14:paraId="661CA268">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签订日期：</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   月   日</w:t>
            </w:r>
          </w:p>
        </w:tc>
        <w:tc>
          <w:tcPr>
            <w:tcW w:w="4814" w:type="dxa"/>
            <w:noWrap w:val="0"/>
            <w:vAlign w:val="top"/>
          </w:tcPr>
          <w:p w14:paraId="49D4A6E3">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签订日期：</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   月   日</w:t>
            </w:r>
          </w:p>
        </w:tc>
      </w:tr>
    </w:tbl>
    <w:p w14:paraId="4F5992D5">
      <w:pPr>
        <w:spacing w:line="360" w:lineRule="auto"/>
        <w:ind w:firstLine="420" w:firstLineChars="200"/>
        <w:jc w:val="right"/>
        <w:rPr>
          <w:rFonts w:ascii="宋体" w:hAnsi="宋体"/>
          <w:color w:val="000000" w:themeColor="text1"/>
          <w:szCs w:val="21"/>
          <w:highlight w:val="none"/>
          <w14:textFill>
            <w14:solidFill>
              <w14:schemeClr w14:val="tx1"/>
            </w14:solidFill>
          </w14:textFill>
        </w:rPr>
      </w:pPr>
    </w:p>
    <w:p w14:paraId="0D72FC2E">
      <w:pPr>
        <w:spacing w:line="360" w:lineRule="auto"/>
        <w:ind w:firstLine="420" w:firstLineChars="200"/>
        <w:rPr>
          <w:rFonts w:ascii="宋体" w:hAnsi="宋体"/>
          <w:color w:val="000000" w:themeColor="text1"/>
          <w:szCs w:val="2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64FAA011">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04AB6C28">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3CD2902">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9D13205">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34DB5740">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3B432E64">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09228D0F">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1B10ED2D">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035B2151">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78F85B5">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0104C49F">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033E4343">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4190CC96">
      <w:pPr>
        <w:keepNext/>
        <w:keepLines/>
        <w:spacing w:before="340" w:after="330" w:line="578" w:lineRule="auto"/>
        <w:jc w:val="center"/>
        <w:outlineLvl w:val="0"/>
        <w:rPr>
          <w:rFonts w:ascii="Calibri" w:hAnsi="Calibri"/>
          <w:b/>
          <w:bCs/>
          <w:color w:val="000000" w:themeColor="text1"/>
          <w:kern w:val="44"/>
          <w:sz w:val="44"/>
          <w:szCs w:val="44"/>
          <w:highlight w:val="none"/>
          <w14:textFill>
            <w14:solidFill>
              <w14:schemeClr w14:val="tx1"/>
            </w14:solidFill>
          </w14:textFill>
        </w:rPr>
      </w:pPr>
      <w:bookmarkStart w:id="732" w:name="_Toc15392"/>
      <w:bookmarkStart w:id="733" w:name="_Toc217642382"/>
      <w:r>
        <w:rPr>
          <w:rFonts w:hint="eastAsia" w:ascii="Calibri" w:hAnsi="Calibri"/>
          <w:b/>
          <w:bCs/>
          <w:color w:val="000000" w:themeColor="text1"/>
          <w:kern w:val="44"/>
          <w:sz w:val="44"/>
          <w:szCs w:val="44"/>
          <w:highlight w:val="none"/>
          <w14:textFill>
            <w14:solidFill>
              <w14:schemeClr w14:val="tx1"/>
            </w14:solidFill>
          </w14:textFill>
        </w:rPr>
        <w:t>第七</w:t>
      </w:r>
      <w:r>
        <w:rPr>
          <w:rFonts w:hint="eastAsia" w:ascii="宋体" w:hAnsi="宋体"/>
          <w:b/>
          <w:bCs/>
          <w:color w:val="000000" w:themeColor="text1"/>
          <w:spacing w:val="120"/>
          <w:kern w:val="44"/>
          <w:sz w:val="44"/>
          <w:szCs w:val="44"/>
          <w:highlight w:val="none"/>
          <w14:textFill>
            <w14:solidFill>
              <w14:schemeClr w14:val="tx1"/>
            </w14:solidFill>
          </w14:textFill>
        </w:rPr>
        <w:t>章</w:t>
      </w:r>
      <w:r>
        <w:rPr>
          <w:rFonts w:hint="eastAsia" w:ascii="Calibri" w:hAnsi="Calibri"/>
          <w:b/>
          <w:bCs/>
          <w:color w:val="000000" w:themeColor="text1"/>
          <w:kern w:val="44"/>
          <w:sz w:val="44"/>
          <w:szCs w:val="44"/>
          <w:highlight w:val="none"/>
          <w14:textFill>
            <w14:solidFill>
              <w14:schemeClr w14:val="tx1"/>
            </w14:solidFill>
          </w14:textFill>
        </w:rPr>
        <w:t>质疑、投诉材料格式</w:t>
      </w:r>
      <w:bookmarkEnd w:id="732"/>
      <w:bookmarkEnd w:id="733"/>
    </w:p>
    <w:p w14:paraId="42746528">
      <w:pPr>
        <w:rPr>
          <w:color w:val="000000" w:themeColor="text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5AEA82F6">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质疑函（格式）</w:t>
      </w:r>
    </w:p>
    <w:p w14:paraId="569AA2C4">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一、质疑供应商基本信息：</w:t>
      </w:r>
    </w:p>
    <w:p w14:paraId="1C37EE0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质疑供应商：</w:t>
      </w:r>
      <w:r>
        <w:rPr>
          <w:color w:val="000000" w:themeColor="text1"/>
          <w:szCs w:val="21"/>
          <w:highlight w:val="none"/>
          <w14:textFill>
            <w14:solidFill>
              <w14:schemeClr w14:val="tx1"/>
            </w14:solidFill>
          </w14:textFill>
        </w:rPr>
        <w:t>____________________________________________________________________________</w:t>
      </w:r>
    </w:p>
    <w:p w14:paraId="030115D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r>
        <w:rPr>
          <w:color w:val="000000" w:themeColor="text1"/>
          <w:szCs w:val="21"/>
          <w:highlight w:val="none"/>
          <w14:textFill>
            <w14:solidFill>
              <w14:schemeClr w14:val="tx1"/>
            </w14:solidFill>
          </w14:textFill>
        </w:rPr>
        <w:t>______________________________________</w:t>
      </w:r>
      <w:r>
        <w:rPr>
          <w:rFonts w:hint="eastAsia" w:ascii="宋体" w:hAnsi="宋体"/>
          <w:color w:val="000000" w:themeColor="text1"/>
          <w:szCs w:val="21"/>
          <w:highlight w:val="none"/>
          <w14:textFill>
            <w14:solidFill>
              <w14:schemeClr w14:val="tx1"/>
            </w14:solidFill>
          </w14:textFill>
        </w:rPr>
        <w:t>邮编：</w:t>
      </w:r>
      <w:r>
        <w:rPr>
          <w:color w:val="000000" w:themeColor="text1"/>
          <w:szCs w:val="21"/>
          <w:highlight w:val="none"/>
          <w14:textFill>
            <w14:solidFill>
              <w14:schemeClr w14:val="tx1"/>
            </w14:solidFill>
          </w14:textFill>
        </w:rPr>
        <w:t>_______________________________________</w:t>
      </w:r>
    </w:p>
    <w:p w14:paraId="20370A3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联系人：</w:t>
      </w:r>
      <w:r>
        <w:rPr>
          <w:color w:val="000000" w:themeColor="text1"/>
          <w:szCs w:val="21"/>
          <w:highlight w:val="none"/>
          <w14:textFill>
            <w14:solidFill>
              <w14:schemeClr w14:val="tx1"/>
            </w14:solidFill>
          </w14:textFill>
        </w:rPr>
        <w:t>____________________________________</w:t>
      </w:r>
      <w:r>
        <w:rPr>
          <w:rFonts w:hint="eastAsia" w:ascii="宋体" w:hAnsi="宋体"/>
          <w:color w:val="000000" w:themeColor="text1"/>
          <w:szCs w:val="21"/>
          <w:highlight w:val="none"/>
          <w14:textFill>
            <w14:solidFill>
              <w14:schemeClr w14:val="tx1"/>
            </w14:solidFill>
          </w14:textFill>
        </w:rPr>
        <w:t>联系电话：</w:t>
      </w:r>
      <w:r>
        <w:rPr>
          <w:color w:val="000000" w:themeColor="text1"/>
          <w:szCs w:val="21"/>
          <w:highlight w:val="none"/>
          <w14:textFill>
            <w14:solidFill>
              <w14:schemeClr w14:val="tx1"/>
            </w14:solidFill>
          </w14:textFill>
        </w:rPr>
        <w:t>__________________________________</w:t>
      </w:r>
    </w:p>
    <w:p w14:paraId="5458E52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授权代表：</w:t>
      </w:r>
      <w:r>
        <w:rPr>
          <w:color w:val="000000" w:themeColor="text1"/>
          <w:szCs w:val="21"/>
          <w:highlight w:val="none"/>
          <w14:textFill>
            <w14:solidFill>
              <w14:schemeClr w14:val="tx1"/>
            </w14:solidFill>
          </w14:textFill>
        </w:rPr>
        <w:t>______________________________________________________________________________</w:t>
      </w:r>
    </w:p>
    <w:p w14:paraId="570DDBC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r>
        <w:rPr>
          <w:color w:val="000000" w:themeColor="text1"/>
          <w:szCs w:val="21"/>
          <w:highlight w:val="none"/>
          <w14:textFill>
            <w14:solidFill>
              <w14:schemeClr w14:val="tx1"/>
            </w14:solidFill>
          </w14:textFill>
        </w:rPr>
        <w:t>______________________________________________________________________________</w:t>
      </w:r>
    </w:p>
    <w:p w14:paraId="010B978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r>
        <w:rPr>
          <w:color w:val="000000" w:themeColor="text1"/>
          <w:szCs w:val="21"/>
          <w:highlight w:val="none"/>
          <w14:textFill>
            <w14:solidFill>
              <w14:schemeClr w14:val="tx1"/>
            </w14:solidFill>
          </w14:textFill>
        </w:rPr>
        <w:t>______________________________________</w:t>
      </w:r>
      <w:r>
        <w:rPr>
          <w:rFonts w:hint="eastAsia" w:ascii="宋体" w:hAnsi="宋体"/>
          <w:color w:val="000000" w:themeColor="text1"/>
          <w:szCs w:val="21"/>
          <w:highlight w:val="none"/>
          <w14:textFill>
            <w14:solidFill>
              <w14:schemeClr w14:val="tx1"/>
            </w14:solidFill>
          </w14:textFill>
        </w:rPr>
        <w:t>邮编：</w:t>
      </w:r>
      <w:r>
        <w:rPr>
          <w:color w:val="000000" w:themeColor="text1"/>
          <w:szCs w:val="21"/>
          <w:highlight w:val="none"/>
          <w14:textFill>
            <w14:solidFill>
              <w14:schemeClr w14:val="tx1"/>
            </w14:solidFill>
          </w14:textFill>
        </w:rPr>
        <w:t>______________________________________</w:t>
      </w:r>
    </w:p>
    <w:p w14:paraId="6F573C54">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二、质疑项目基本情况：</w:t>
      </w:r>
    </w:p>
    <w:p w14:paraId="6D6518A5">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质疑项目的名称：</w:t>
      </w:r>
    </w:p>
    <w:p w14:paraId="2A7E699D">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质疑项目的编号：</w:t>
      </w:r>
    </w:p>
    <w:p w14:paraId="67825382">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采购人名称：</w:t>
      </w:r>
    </w:p>
    <w:p w14:paraId="1345F7A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质疑事项：</w:t>
      </w:r>
    </w:p>
    <w:p w14:paraId="5348673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□采购文件，采购文件获取日期：</w:t>
      </w:r>
      <w:r>
        <w:rPr>
          <w:color w:val="000000" w:themeColor="text1"/>
          <w:szCs w:val="21"/>
          <w:highlight w:val="none"/>
          <w14:textFill>
            <w14:solidFill>
              <w14:schemeClr w14:val="tx1"/>
            </w14:solidFill>
          </w14:textFill>
        </w:rPr>
        <w:t>__________________________________________________________</w:t>
      </w:r>
    </w:p>
    <w:p w14:paraId="0B39307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□采购过程</w:t>
      </w:r>
    </w:p>
    <w:p w14:paraId="6FCED43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□成交结果</w:t>
      </w:r>
    </w:p>
    <w:p w14:paraId="3A0BECC4">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三、质疑事项具体内容</w:t>
      </w:r>
    </w:p>
    <w:p w14:paraId="52EE183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质疑事项1：</w:t>
      </w:r>
      <w:r>
        <w:rPr>
          <w:color w:val="000000" w:themeColor="text1"/>
          <w:szCs w:val="21"/>
          <w:highlight w:val="none"/>
          <w14:textFill>
            <w14:solidFill>
              <w14:schemeClr w14:val="tx1"/>
            </w14:solidFill>
          </w14:textFill>
        </w:rPr>
        <w:t>____________________________________________________________________________</w:t>
      </w:r>
    </w:p>
    <w:p w14:paraId="19EBD3B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事实依据：</w:t>
      </w:r>
      <w:r>
        <w:rPr>
          <w:color w:val="000000" w:themeColor="text1"/>
          <w:szCs w:val="21"/>
          <w:highlight w:val="none"/>
          <w14:textFill>
            <w14:solidFill>
              <w14:schemeClr w14:val="tx1"/>
            </w14:solidFill>
          </w14:textFill>
        </w:rPr>
        <w:t>______________________________________________________________________________</w:t>
      </w:r>
    </w:p>
    <w:p w14:paraId="0805BDF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法律依据：</w:t>
      </w:r>
      <w:r>
        <w:rPr>
          <w:color w:val="000000" w:themeColor="text1"/>
          <w:szCs w:val="21"/>
          <w:highlight w:val="none"/>
          <w14:textFill>
            <w14:solidFill>
              <w14:schemeClr w14:val="tx1"/>
            </w14:solidFill>
          </w14:textFill>
        </w:rPr>
        <w:t>______________________________________________________________________________</w:t>
      </w:r>
    </w:p>
    <w:p w14:paraId="76AF6C0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质疑事项2：</w:t>
      </w:r>
      <w:r>
        <w:rPr>
          <w:color w:val="000000" w:themeColor="text1"/>
          <w:szCs w:val="21"/>
          <w:highlight w:val="none"/>
          <w14:textFill>
            <w14:solidFill>
              <w14:schemeClr w14:val="tx1"/>
            </w14:solidFill>
          </w14:textFill>
        </w:rPr>
        <w:t>____________________________________________________________________________</w:t>
      </w:r>
    </w:p>
    <w:p w14:paraId="3A006F2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p w14:paraId="4B54D154">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四、与质疑事项相关的质疑请求：</w:t>
      </w:r>
    </w:p>
    <w:p w14:paraId="40D8541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请求：</w:t>
      </w:r>
      <w:r>
        <w:rPr>
          <w:color w:val="000000" w:themeColor="text1"/>
          <w:szCs w:val="21"/>
          <w:highlight w:val="none"/>
          <w14:textFill>
            <w14:solidFill>
              <w14:schemeClr w14:val="tx1"/>
            </w14:solidFill>
          </w14:textFill>
        </w:rPr>
        <w:t>__________________________________________________________________________________</w:t>
      </w:r>
    </w:p>
    <w:p w14:paraId="5DD4585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签字（签章）：</w:t>
      </w:r>
      <w:r>
        <w:rPr>
          <w:color w:val="000000" w:themeColor="text1"/>
          <w:szCs w:val="21"/>
          <w:highlight w:val="none"/>
          <w14:textFill>
            <w14:solidFill>
              <w14:schemeClr w14:val="tx1"/>
            </w14:solidFill>
          </w14:textFill>
        </w:rPr>
        <w:t>____________________________________</w:t>
      </w:r>
      <w:r>
        <w:rPr>
          <w:rFonts w:hint="eastAsia" w:ascii="宋体" w:hAnsi="宋体"/>
          <w:color w:val="000000" w:themeColor="text1"/>
          <w:szCs w:val="21"/>
          <w:highlight w:val="none"/>
          <w14:textFill>
            <w14:solidFill>
              <w14:schemeClr w14:val="tx1"/>
            </w14:solidFill>
          </w14:textFill>
        </w:rPr>
        <w:t>公章：</w:t>
      </w:r>
      <w:r>
        <w:rPr>
          <w:color w:val="000000" w:themeColor="text1"/>
          <w:szCs w:val="21"/>
          <w:highlight w:val="none"/>
          <w14:textFill>
            <w14:solidFill>
              <w14:schemeClr w14:val="tx1"/>
            </w14:solidFill>
          </w14:textFill>
        </w:rPr>
        <w:t>___________________________________</w:t>
      </w:r>
    </w:p>
    <w:p w14:paraId="798A38C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p>
    <w:p w14:paraId="567D7D2C">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说明：</w:t>
      </w:r>
    </w:p>
    <w:p w14:paraId="6A88D050">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1.供应商提出质疑时，应提交质疑函和必要的证明材料。</w:t>
      </w:r>
    </w:p>
    <w:p w14:paraId="05557EFB">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42EEFDA">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3.质疑函的质疑事项应具体、明确，并有必要的事实依据和法律依据。</w:t>
      </w:r>
    </w:p>
    <w:p w14:paraId="5EC720F7">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4.质疑函的质疑请求应与质疑事项相关。</w:t>
      </w:r>
    </w:p>
    <w:p w14:paraId="0F238EB6">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5.质疑供应商为法人或者其他组织的，质疑函应由法定代表人、主要负责人，或者其授权代表签字或者盖章，并加盖公章。</w:t>
      </w:r>
    </w:p>
    <w:p w14:paraId="62A37102">
      <w:pPr>
        <w:spacing w:line="360" w:lineRule="auto"/>
        <w:ind w:firstLine="422" w:firstLineChars="200"/>
        <w:rPr>
          <w:rFonts w:ascii="宋体" w:hAnsi="宋体"/>
          <w:b/>
          <w:color w:val="000000" w:themeColor="text1"/>
          <w:szCs w:val="21"/>
          <w:highlight w:val="none"/>
          <w14:textFill>
            <w14:solidFill>
              <w14:schemeClr w14:val="tx1"/>
            </w14:solidFill>
          </w14:textFill>
        </w:rPr>
        <w:sectPr>
          <w:pgSz w:w="11906" w:h="16838"/>
          <w:pgMar w:top="1134" w:right="1134" w:bottom="1134" w:left="1134" w:header="851" w:footer="680" w:gutter="0"/>
          <w:cols w:space="720" w:num="1"/>
          <w:docGrid w:type="lines" w:linePitch="312" w:charSpace="0"/>
        </w:sectPr>
      </w:pPr>
    </w:p>
    <w:p w14:paraId="2E85B29C">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投诉书（格式）</w:t>
      </w:r>
    </w:p>
    <w:p w14:paraId="734D8116">
      <w:pPr>
        <w:spacing w:line="360" w:lineRule="auto"/>
        <w:ind w:firstLine="422" w:firstLineChars="200"/>
        <w:jc w:val="left"/>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一、投诉相关主体基本情况：</w:t>
      </w:r>
    </w:p>
    <w:p w14:paraId="1D5A7C32">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w:t>
      </w:r>
      <w:r>
        <w:rPr>
          <w:color w:val="000000" w:themeColor="text1"/>
          <w:szCs w:val="21"/>
          <w:highlight w:val="none"/>
          <w14:textFill>
            <w14:solidFill>
              <w14:schemeClr w14:val="tx1"/>
            </w14:solidFill>
          </w14:textFill>
        </w:rPr>
        <w:t>______________________________________________________________</w:t>
      </w:r>
    </w:p>
    <w:p w14:paraId="10B2F109">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r>
        <w:rPr>
          <w:color w:val="000000" w:themeColor="text1"/>
          <w:szCs w:val="21"/>
          <w:highlight w:val="none"/>
          <w14:textFill>
            <w14:solidFill>
              <w14:schemeClr w14:val="tx1"/>
            </w14:solidFill>
          </w14:textFill>
        </w:rPr>
        <w:t>________________________________</w:t>
      </w:r>
      <w:r>
        <w:rPr>
          <w:rFonts w:hint="eastAsia" w:ascii="宋体" w:hAnsi="宋体"/>
          <w:color w:val="000000" w:themeColor="text1"/>
          <w:szCs w:val="21"/>
          <w:highlight w:val="none"/>
          <w14:textFill>
            <w14:solidFill>
              <w14:schemeClr w14:val="tx1"/>
            </w14:solidFill>
          </w14:textFill>
        </w:rPr>
        <w:t>邮编：</w:t>
      </w:r>
      <w:r>
        <w:rPr>
          <w:color w:val="000000" w:themeColor="text1"/>
          <w:szCs w:val="21"/>
          <w:highlight w:val="none"/>
          <w14:textFill>
            <w14:solidFill>
              <w14:schemeClr w14:val="tx1"/>
            </w14:solidFill>
          </w14:textFill>
        </w:rPr>
        <w:t>______________________________</w:t>
      </w:r>
    </w:p>
    <w:p w14:paraId="4586CEF1">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法定代表人/主要负责人：</w:t>
      </w:r>
      <w:r>
        <w:rPr>
          <w:color w:val="000000" w:themeColor="text1"/>
          <w:szCs w:val="21"/>
          <w:highlight w:val="none"/>
          <w14:textFill>
            <w14:solidFill>
              <w14:schemeClr w14:val="tx1"/>
            </w14:solidFill>
          </w14:textFill>
        </w:rPr>
        <w:t>_______________________________________________</w:t>
      </w:r>
    </w:p>
    <w:p w14:paraId="7A50C1AB">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r>
        <w:rPr>
          <w:color w:val="000000" w:themeColor="text1"/>
          <w:szCs w:val="21"/>
          <w:highlight w:val="none"/>
          <w14:textFill>
            <w14:solidFill>
              <w14:schemeClr w14:val="tx1"/>
            </w14:solidFill>
          </w14:textFill>
        </w:rPr>
        <w:t>_____________________________________________________________________</w:t>
      </w:r>
    </w:p>
    <w:p w14:paraId="4C417957">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授权代表：</w:t>
      </w:r>
      <w:r>
        <w:rPr>
          <w:color w:val="000000" w:themeColor="text1"/>
          <w:szCs w:val="21"/>
          <w:highlight w:val="none"/>
          <w14:textFill>
            <w14:solidFill>
              <w14:schemeClr w14:val="tx1"/>
            </w14:solidFill>
          </w14:textFill>
        </w:rPr>
        <w:t>_______________________</w:t>
      </w:r>
      <w:r>
        <w:rPr>
          <w:rFonts w:hint="eastAsia" w:ascii="宋体" w:hAnsi="宋体"/>
          <w:color w:val="000000" w:themeColor="text1"/>
          <w:szCs w:val="21"/>
          <w:highlight w:val="none"/>
          <w14:textFill>
            <w14:solidFill>
              <w14:schemeClr w14:val="tx1"/>
            </w14:solidFill>
          </w14:textFill>
        </w:rPr>
        <w:t>联系电话：</w:t>
      </w:r>
      <w:r>
        <w:rPr>
          <w:color w:val="000000" w:themeColor="text1"/>
          <w:szCs w:val="21"/>
          <w:highlight w:val="none"/>
          <w14:textFill>
            <w14:solidFill>
              <w14:schemeClr w14:val="tx1"/>
            </w14:solidFill>
          </w14:textFill>
        </w:rPr>
        <w:t>__________________________________</w:t>
      </w:r>
    </w:p>
    <w:p w14:paraId="547921C1">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r>
        <w:rPr>
          <w:color w:val="000000" w:themeColor="text1"/>
          <w:szCs w:val="21"/>
          <w:highlight w:val="none"/>
          <w14:textFill>
            <w14:solidFill>
              <w14:schemeClr w14:val="tx1"/>
            </w14:solidFill>
          </w14:textFill>
        </w:rPr>
        <w:t>________________________________________________________________________</w:t>
      </w:r>
    </w:p>
    <w:p w14:paraId="634BF4B7">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邮编：</w:t>
      </w:r>
      <w:r>
        <w:rPr>
          <w:color w:val="000000" w:themeColor="text1"/>
          <w:szCs w:val="21"/>
          <w:highlight w:val="none"/>
          <w14:textFill>
            <w14:solidFill>
              <w14:schemeClr w14:val="tx1"/>
            </w14:solidFill>
          </w14:textFill>
        </w:rPr>
        <w:t>________________________________________________________________________</w:t>
      </w:r>
    </w:p>
    <w:p w14:paraId="74D21ACC">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被投诉人1：</w:t>
      </w:r>
      <w:r>
        <w:rPr>
          <w:color w:val="000000" w:themeColor="text1"/>
          <w:szCs w:val="21"/>
          <w:highlight w:val="none"/>
          <w14:textFill>
            <w14:solidFill>
              <w14:schemeClr w14:val="tx1"/>
            </w14:solidFill>
          </w14:textFill>
        </w:rPr>
        <w:t>____________________________________________________________</w:t>
      </w:r>
    </w:p>
    <w:p w14:paraId="01B386D2">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r>
        <w:rPr>
          <w:color w:val="000000" w:themeColor="text1"/>
          <w:szCs w:val="21"/>
          <w:highlight w:val="none"/>
          <w14:textFill>
            <w14:solidFill>
              <w14:schemeClr w14:val="tx1"/>
            </w14:solidFill>
          </w14:textFill>
        </w:rPr>
        <w:t>___________________________________________________________________</w:t>
      </w:r>
    </w:p>
    <w:p w14:paraId="461CEDBF">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邮编：</w:t>
      </w:r>
      <w:r>
        <w:rPr>
          <w:color w:val="000000" w:themeColor="text1"/>
          <w:szCs w:val="21"/>
          <w:highlight w:val="none"/>
          <w14:textFill>
            <w14:solidFill>
              <w14:schemeClr w14:val="tx1"/>
            </w14:solidFill>
          </w14:textFill>
        </w:rPr>
        <w:t>______________________________________________________________________</w:t>
      </w:r>
    </w:p>
    <w:p w14:paraId="2D3DA1DE">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联系人：</w:t>
      </w:r>
      <w:r>
        <w:rPr>
          <w:color w:val="000000" w:themeColor="text1"/>
          <w:szCs w:val="21"/>
          <w:highlight w:val="none"/>
          <w14:textFill>
            <w14:solidFill>
              <w14:schemeClr w14:val="tx1"/>
            </w14:solidFill>
          </w14:textFill>
        </w:rPr>
        <w:t>__________________________</w:t>
      </w:r>
      <w:r>
        <w:rPr>
          <w:rFonts w:hint="eastAsia" w:ascii="宋体" w:hAnsi="宋体"/>
          <w:color w:val="000000" w:themeColor="text1"/>
          <w:szCs w:val="21"/>
          <w:highlight w:val="none"/>
          <w14:textFill>
            <w14:solidFill>
              <w14:schemeClr w14:val="tx1"/>
            </w14:solidFill>
          </w14:textFill>
        </w:rPr>
        <w:t>联系电话：</w:t>
      </w:r>
      <w:r>
        <w:rPr>
          <w:color w:val="000000" w:themeColor="text1"/>
          <w:szCs w:val="21"/>
          <w:highlight w:val="none"/>
          <w14:textFill>
            <w14:solidFill>
              <w14:schemeClr w14:val="tx1"/>
            </w14:solidFill>
          </w14:textFill>
        </w:rPr>
        <w:t>_____________________________</w:t>
      </w:r>
    </w:p>
    <w:p w14:paraId="1DD85429">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被投诉人2：</w:t>
      </w:r>
      <w:r>
        <w:rPr>
          <w:color w:val="000000" w:themeColor="text1"/>
          <w:szCs w:val="21"/>
          <w:highlight w:val="none"/>
          <w14:textFill>
            <w14:solidFill>
              <w14:schemeClr w14:val="tx1"/>
            </w14:solidFill>
          </w14:textFill>
        </w:rPr>
        <w:t>_________________________________________________</w:t>
      </w:r>
    </w:p>
    <w:p w14:paraId="76760341">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p w14:paraId="77002AFA">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相关供应商：</w:t>
      </w:r>
      <w:r>
        <w:rPr>
          <w:color w:val="000000" w:themeColor="text1"/>
          <w:szCs w:val="21"/>
          <w:highlight w:val="none"/>
          <w14:textFill>
            <w14:solidFill>
              <w14:schemeClr w14:val="tx1"/>
            </w14:solidFill>
          </w14:textFill>
        </w:rPr>
        <w:t>______________________________________________________</w:t>
      </w:r>
    </w:p>
    <w:p w14:paraId="6697574B">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r>
        <w:rPr>
          <w:color w:val="000000" w:themeColor="text1"/>
          <w:szCs w:val="21"/>
          <w:highlight w:val="none"/>
          <w14:textFill>
            <w14:solidFill>
              <w14:schemeClr w14:val="tx1"/>
            </w14:solidFill>
          </w14:textFill>
        </w:rPr>
        <w:t>_____________________________</w:t>
      </w:r>
      <w:r>
        <w:rPr>
          <w:rFonts w:hint="eastAsia" w:ascii="宋体" w:hAnsi="宋体"/>
          <w:color w:val="000000" w:themeColor="text1"/>
          <w:szCs w:val="21"/>
          <w:highlight w:val="none"/>
          <w14:textFill>
            <w14:solidFill>
              <w14:schemeClr w14:val="tx1"/>
            </w14:solidFill>
          </w14:textFill>
        </w:rPr>
        <w:t>邮编：</w:t>
      </w:r>
      <w:r>
        <w:rPr>
          <w:color w:val="000000" w:themeColor="text1"/>
          <w:szCs w:val="21"/>
          <w:highlight w:val="none"/>
          <w14:textFill>
            <w14:solidFill>
              <w14:schemeClr w14:val="tx1"/>
            </w14:solidFill>
          </w14:textFill>
        </w:rPr>
        <w:t>______________________________</w:t>
      </w:r>
    </w:p>
    <w:p w14:paraId="6C4CE2C6">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联系人：</w:t>
      </w:r>
      <w:r>
        <w:rPr>
          <w:color w:val="000000" w:themeColor="text1"/>
          <w:szCs w:val="21"/>
          <w:highlight w:val="none"/>
          <w14:textFill>
            <w14:solidFill>
              <w14:schemeClr w14:val="tx1"/>
            </w14:solidFill>
          </w14:textFill>
        </w:rPr>
        <w:t>____________________________</w:t>
      </w:r>
      <w:r>
        <w:rPr>
          <w:rFonts w:hint="eastAsia" w:ascii="宋体" w:hAnsi="宋体"/>
          <w:color w:val="000000" w:themeColor="text1"/>
          <w:szCs w:val="21"/>
          <w:highlight w:val="none"/>
          <w14:textFill>
            <w14:solidFill>
              <w14:schemeClr w14:val="tx1"/>
            </w14:solidFill>
          </w14:textFill>
        </w:rPr>
        <w:t>联系电话：</w:t>
      </w:r>
      <w:r>
        <w:rPr>
          <w:color w:val="000000" w:themeColor="text1"/>
          <w:szCs w:val="21"/>
          <w:highlight w:val="none"/>
          <w14:textFill>
            <w14:solidFill>
              <w14:schemeClr w14:val="tx1"/>
            </w14:solidFill>
          </w14:textFill>
        </w:rPr>
        <w:t>_____________________________</w:t>
      </w:r>
    </w:p>
    <w:p w14:paraId="2F6AB896">
      <w:pPr>
        <w:spacing w:line="360" w:lineRule="auto"/>
        <w:ind w:firstLine="422" w:firstLineChars="200"/>
        <w:jc w:val="left"/>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二、投诉项目基本情况：</w:t>
      </w:r>
    </w:p>
    <w:p w14:paraId="25A78E38">
      <w:pPr>
        <w:spacing w:line="360" w:lineRule="auto"/>
        <w:ind w:firstLine="420" w:firstLineChars="200"/>
        <w:jc w:val="lef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采购项目的名称：</w:t>
      </w:r>
    </w:p>
    <w:p w14:paraId="300218BE">
      <w:pPr>
        <w:spacing w:line="360" w:lineRule="auto"/>
        <w:ind w:firstLine="420" w:firstLineChars="200"/>
        <w:jc w:val="lef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采购项目的编号：</w:t>
      </w:r>
    </w:p>
    <w:p w14:paraId="592D2FAD">
      <w:pPr>
        <w:spacing w:line="360" w:lineRule="auto"/>
        <w:ind w:firstLine="420" w:firstLineChars="200"/>
        <w:jc w:val="lef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采购人名称：</w:t>
      </w:r>
    </w:p>
    <w:p w14:paraId="60580FC5">
      <w:pPr>
        <w:spacing w:line="360" w:lineRule="auto"/>
        <w:ind w:firstLine="420" w:firstLineChars="200"/>
        <w:jc w:val="lef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代理机构名称：</w:t>
      </w:r>
    </w:p>
    <w:p w14:paraId="6DB3518B">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招标文件公告：</w:t>
      </w:r>
      <w:r>
        <w:rPr>
          <w:rFonts w:hint="eastAsia" w:ascii="宋体" w:hAnsi="宋体"/>
          <w:color w:val="000000" w:themeColor="text1"/>
          <w:szCs w:val="21"/>
          <w:highlight w:val="none"/>
          <w:u w:val="single"/>
          <w14:textFill>
            <w14:solidFill>
              <w14:schemeClr w14:val="tx1"/>
            </w14:solidFill>
          </w14:textFill>
        </w:rPr>
        <w:t>是/否</w:t>
      </w:r>
      <w:r>
        <w:rPr>
          <w:rFonts w:hint="eastAsia" w:ascii="宋体" w:hAnsi="宋体"/>
          <w:color w:val="000000" w:themeColor="text1"/>
          <w:szCs w:val="21"/>
          <w:highlight w:val="none"/>
          <w14:textFill>
            <w14:solidFill>
              <w14:schemeClr w14:val="tx1"/>
            </w14:solidFill>
          </w14:textFill>
        </w:rPr>
        <w:t>公告期限：</w:t>
      </w:r>
      <w:r>
        <w:rPr>
          <w:color w:val="000000" w:themeColor="text1"/>
          <w:szCs w:val="21"/>
          <w:highlight w:val="none"/>
          <w14:textFill>
            <w14:solidFill>
              <w14:schemeClr w14:val="tx1"/>
            </w14:solidFill>
          </w14:textFill>
        </w:rPr>
        <w:t>__________________________________________________________</w:t>
      </w:r>
    </w:p>
    <w:p w14:paraId="277BDEF6">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采购结果公告：是/否公告期限：</w:t>
      </w:r>
      <w:r>
        <w:rPr>
          <w:color w:val="000000" w:themeColor="text1"/>
          <w:szCs w:val="21"/>
          <w:highlight w:val="none"/>
          <w14:textFill>
            <w14:solidFill>
              <w14:schemeClr w14:val="tx1"/>
            </w14:solidFill>
          </w14:textFill>
        </w:rPr>
        <w:t>__________________________________________________________</w:t>
      </w:r>
    </w:p>
    <w:p w14:paraId="294F314F">
      <w:pPr>
        <w:spacing w:line="360" w:lineRule="auto"/>
        <w:ind w:firstLine="422" w:firstLineChars="200"/>
        <w:jc w:val="left"/>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三、质疑基本情况</w:t>
      </w:r>
    </w:p>
    <w:p w14:paraId="44923866">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投诉人于</w:t>
      </w:r>
      <w:r>
        <w:rPr>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日，向</w:t>
      </w:r>
      <w:r>
        <w:rPr>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提出质疑，质疑事项为：</w:t>
      </w:r>
      <w:r>
        <w:rPr>
          <w:color w:val="000000" w:themeColor="text1"/>
          <w:szCs w:val="21"/>
          <w:highlight w:val="none"/>
          <w14:textFill>
            <w14:solidFill>
              <w14:schemeClr w14:val="tx1"/>
            </w14:solidFill>
          </w14:textFill>
        </w:rPr>
        <w:t>________________</w:t>
      </w:r>
    </w:p>
    <w:p w14:paraId="64D496E0">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采购人/代理机构</w:t>
      </w:r>
      <w:r>
        <w:rPr>
          <w:rFonts w:hint="eastAsia" w:ascii="宋体" w:hAnsi="宋体"/>
          <w:color w:val="000000" w:themeColor="text1"/>
          <w:szCs w:val="21"/>
          <w:highlight w:val="none"/>
          <w14:textFill>
            <w14:solidFill>
              <w14:schemeClr w14:val="tx1"/>
            </w14:solidFill>
          </w14:textFill>
        </w:rPr>
        <w:t>于</w:t>
      </w:r>
      <w:r>
        <w:rPr>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年</w:t>
      </w:r>
      <w:r>
        <w:rPr>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月</w:t>
      </w:r>
      <w:r>
        <w:rPr>
          <w:color w:val="000000" w:themeColor="text1"/>
          <w:szCs w:val="21"/>
          <w:highlight w:val="none"/>
          <w14:textFill>
            <w14:solidFill>
              <w14:schemeClr w14:val="tx1"/>
            </w14:solidFill>
          </w14:textFill>
        </w:rPr>
        <w:t>______</w:t>
      </w:r>
      <w:r>
        <w:rPr>
          <w:rFonts w:hint="eastAsia" w:ascii="宋体" w:hAnsi="宋体"/>
          <w:color w:val="000000" w:themeColor="text1"/>
          <w:szCs w:val="21"/>
          <w:highlight w:val="none"/>
          <w14:textFill>
            <w14:solidFill>
              <w14:schemeClr w14:val="tx1"/>
            </w14:solidFill>
          </w14:textFill>
        </w:rPr>
        <w:t>日，就质疑事项作出了答复/没有在法定期限内作出答复。</w:t>
      </w:r>
    </w:p>
    <w:p w14:paraId="6DEC0268">
      <w:pPr>
        <w:spacing w:line="360" w:lineRule="auto"/>
        <w:ind w:firstLine="422" w:firstLineChars="200"/>
        <w:jc w:val="left"/>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四、投诉事项具体内容</w:t>
      </w:r>
    </w:p>
    <w:p w14:paraId="22B0FEDF">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投诉事项1：</w:t>
      </w:r>
      <w:r>
        <w:rPr>
          <w:color w:val="000000" w:themeColor="text1"/>
          <w:szCs w:val="21"/>
          <w:highlight w:val="none"/>
          <w14:textFill>
            <w14:solidFill>
              <w14:schemeClr w14:val="tx1"/>
            </w14:solidFill>
          </w14:textFill>
        </w:rPr>
        <w:t>___________________________________________________</w:t>
      </w:r>
    </w:p>
    <w:p w14:paraId="3BE22A0E">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事实依据：</w:t>
      </w:r>
      <w:r>
        <w:rPr>
          <w:color w:val="000000" w:themeColor="text1"/>
          <w:szCs w:val="21"/>
          <w:highlight w:val="none"/>
          <w14:textFill>
            <w14:solidFill>
              <w14:schemeClr w14:val="tx1"/>
            </w14:solidFill>
          </w14:textFill>
        </w:rPr>
        <w:t>_____________________________________________________</w:t>
      </w:r>
    </w:p>
    <w:p w14:paraId="0F3E19BD">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法律依据：</w:t>
      </w:r>
      <w:r>
        <w:rPr>
          <w:color w:val="000000" w:themeColor="text1"/>
          <w:szCs w:val="21"/>
          <w:highlight w:val="none"/>
          <w14:textFill>
            <w14:solidFill>
              <w14:schemeClr w14:val="tx1"/>
            </w14:solidFill>
          </w14:textFill>
        </w:rPr>
        <w:t>_________________________________________________</w:t>
      </w:r>
    </w:p>
    <w:p w14:paraId="148E34F3">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投诉事项2：</w:t>
      </w:r>
      <w:r>
        <w:rPr>
          <w:color w:val="000000" w:themeColor="text1"/>
          <w:szCs w:val="21"/>
          <w:highlight w:val="none"/>
          <w14:textFill>
            <w14:solidFill>
              <w14:schemeClr w14:val="tx1"/>
            </w14:solidFill>
          </w14:textFill>
        </w:rPr>
        <w:t>____________________________________________________</w:t>
      </w:r>
    </w:p>
    <w:p w14:paraId="1B13AF29">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p w14:paraId="21B2FF20">
      <w:pPr>
        <w:spacing w:line="360" w:lineRule="auto"/>
        <w:ind w:firstLine="422" w:firstLineChars="200"/>
        <w:jc w:val="left"/>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五、与投诉事项相关的投诉请求：</w:t>
      </w:r>
    </w:p>
    <w:p w14:paraId="49053C3A">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请求：</w:t>
      </w:r>
      <w:r>
        <w:rPr>
          <w:color w:val="000000" w:themeColor="text1"/>
          <w:szCs w:val="21"/>
          <w:highlight w:val="none"/>
          <w14:textFill>
            <w14:solidFill>
              <w14:schemeClr w14:val="tx1"/>
            </w14:solidFill>
          </w14:textFill>
        </w:rPr>
        <w:t>__________________________________________________________________</w:t>
      </w:r>
    </w:p>
    <w:p w14:paraId="505F775E">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p>
    <w:p w14:paraId="4D4991B8">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签字（签章）：</w:t>
      </w:r>
      <w:r>
        <w:rPr>
          <w:color w:val="000000" w:themeColor="text1"/>
          <w:szCs w:val="21"/>
          <w:highlight w:val="none"/>
          <w14:textFill>
            <w14:solidFill>
              <w14:schemeClr w14:val="tx1"/>
            </w14:solidFill>
          </w14:textFill>
        </w:rPr>
        <w:t>__________________________</w:t>
      </w:r>
      <w:r>
        <w:rPr>
          <w:rFonts w:hint="eastAsia" w:ascii="宋体" w:hAnsi="宋体"/>
          <w:color w:val="000000" w:themeColor="text1"/>
          <w:szCs w:val="21"/>
          <w:highlight w:val="none"/>
          <w14:textFill>
            <w14:solidFill>
              <w14:schemeClr w14:val="tx1"/>
            </w14:solidFill>
          </w14:textFill>
        </w:rPr>
        <w:t>公章：</w:t>
      </w:r>
      <w:r>
        <w:rPr>
          <w:color w:val="000000" w:themeColor="text1"/>
          <w:szCs w:val="21"/>
          <w:highlight w:val="none"/>
          <w14:textFill>
            <w14:solidFill>
              <w14:schemeClr w14:val="tx1"/>
            </w14:solidFill>
          </w14:textFill>
        </w:rPr>
        <w:t>_______________________</w:t>
      </w:r>
    </w:p>
    <w:p w14:paraId="59FB06C4">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p>
    <w:p w14:paraId="2E97DEA5">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p>
    <w:p w14:paraId="15A1E4BA">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p>
    <w:p w14:paraId="2D4C867C">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p>
    <w:p w14:paraId="52AE2CCD">
      <w:pPr>
        <w:spacing w:line="360" w:lineRule="auto"/>
        <w:ind w:firstLine="422" w:firstLineChars="200"/>
        <w:jc w:val="left"/>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说明：</w:t>
      </w:r>
    </w:p>
    <w:p w14:paraId="05FCCE3B">
      <w:pPr>
        <w:spacing w:line="360" w:lineRule="auto"/>
        <w:ind w:firstLine="422" w:firstLineChars="200"/>
        <w:jc w:val="left"/>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1.投诉人提起投诉时，应当提交投诉书和必要的证明材料，并按照被投诉人和与投诉事项有关的供应商数量提供投诉书副本。</w:t>
      </w:r>
    </w:p>
    <w:p w14:paraId="0C42ADDC">
      <w:pPr>
        <w:spacing w:line="360" w:lineRule="auto"/>
        <w:ind w:firstLine="422" w:firstLineChars="200"/>
        <w:jc w:val="left"/>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85B78BE">
      <w:pPr>
        <w:spacing w:line="360" w:lineRule="auto"/>
        <w:ind w:firstLine="422" w:firstLineChars="200"/>
        <w:jc w:val="left"/>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3.投诉书应简要列明质疑事项，质疑函、质疑答复等作为附件材料提供。</w:t>
      </w:r>
    </w:p>
    <w:p w14:paraId="43596AEC">
      <w:pPr>
        <w:spacing w:line="360" w:lineRule="auto"/>
        <w:ind w:firstLine="422" w:firstLineChars="200"/>
        <w:jc w:val="left"/>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4.投诉书的投诉事项应具体、明确，并有必要的事实依据和法律依据。</w:t>
      </w:r>
    </w:p>
    <w:p w14:paraId="4CE2BE1D">
      <w:pPr>
        <w:spacing w:line="360" w:lineRule="auto"/>
        <w:ind w:firstLine="422" w:firstLineChars="200"/>
        <w:jc w:val="left"/>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5.投诉书的投诉请求应与投诉事项相关。</w:t>
      </w:r>
    </w:p>
    <w:p w14:paraId="7A1944AC">
      <w:pPr>
        <w:spacing w:line="360" w:lineRule="auto"/>
        <w:ind w:firstLine="422" w:firstLineChars="200"/>
        <w:jc w:val="left"/>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6.投诉人为法人或者其他组织的，投诉书应由法定代表人、主要负责人，或者其授权代表签字或者盖章，并加盖公章。</w:t>
      </w:r>
    </w:p>
    <w:p w14:paraId="1CAB9CEF">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p>
    <w:p w14:paraId="676596A5">
      <w:pPr>
        <w:jc w:val="left"/>
        <w:rPr>
          <w:rFonts w:hint="eastAsia"/>
          <w:color w:val="000000" w:themeColor="text1"/>
          <w:highlight w:val="none"/>
          <w14:textFill>
            <w14:solidFill>
              <w14:schemeClr w14:val="tx1"/>
            </w14:solidFill>
          </w14:textFill>
        </w:rPr>
      </w:pPr>
    </w:p>
    <w:sectPr>
      <w:footerReference r:id="rId8" w:type="first"/>
      <w:headerReference r:id="rId6" w:type="default"/>
      <w:footerReference r:id="rId7"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86FA3A7-30FA-4D89-8DB8-6D1B4E0BCD75}"/>
  </w:font>
  <w:font w:name="黑体">
    <w:panose1 w:val="02010609060101010101"/>
    <w:charset w:val="86"/>
    <w:family w:val="auto"/>
    <w:pitch w:val="default"/>
    <w:sig w:usb0="800002BF" w:usb1="38CF7CFA" w:usb2="00000016" w:usb3="00000000" w:csb0="00040001" w:csb1="00000000"/>
    <w:embedRegular r:id="rId2" w:fontKey="{7F1B244C-0916-4799-8CC3-9008B9DC4C10}"/>
  </w:font>
  <w:font w:name="Courier New">
    <w:panose1 w:val="02070309020205020404"/>
    <w:charset w:val="01"/>
    <w:family w:val="modern"/>
    <w:pitch w:val="default"/>
    <w:sig w:usb0="E0002EFF" w:usb1="C0007843" w:usb2="00000009" w:usb3="00000000" w:csb0="400001FF" w:csb1="FFFF0000"/>
    <w:embedRegular r:id="rId3" w:fontKey="{41DCF7D6-8894-482A-878B-9EB735B8657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DF5D80DA-57D2-4B84-AB6F-29C73A5F2E23}"/>
  </w:font>
  <w:font w:name="Cambria">
    <w:panose1 w:val="02040503050406030204"/>
    <w:charset w:val="00"/>
    <w:family w:val="roman"/>
    <w:pitch w:val="default"/>
    <w:sig w:usb0="E00006FF" w:usb1="420024FF" w:usb2="02000000" w:usb3="00000000" w:csb0="2000019F" w:csb1="00000000"/>
    <w:embedRegular r:id="rId5" w:fontKey="{ED83CD3E-E5FB-4ADA-9B45-E2F3E0004812}"/>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embedRegular r:id="rId6" w:fontKey="{952B334E-79AF-47A4-8E15-0A57A1AB089E}"/>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ystem">
    <w:altName w:val="宋体"/>
    <w:panose1 w:val="00000000000000000000"/>
    <w:charset w:val="86"/>
    <w:family w:val="auto"/>
    <w:pitch w:val="default"/>
    <w:sig w:usb0="00000000" w:usb1="00000000" w:usb2="00000010" w:usb3="00000000" w:csb0="00040000" w:csb1="00000000"/>
  </w:font>
  <w:font w:name="华文新魏">
    <w:panose1 w:val="02010800040101010101"/>
    <w:charset w:val="86"/>
    <w:family w:val="auto"/>
    <w:pitch w:val="default"/>
    <w:sig w:usb0="00000001" w:usb1="080F0000" w:usb2="00000000" w:usb3="00000000" w:csb0="00040000" w:csb1="00000000"/>
    <w:embedRegular r:id="rId7" w:fontKey="{1EBCD326-94DB-498C-A966-9A7AB8DA9A39}"/>
  </w:font>
  <w:font w:name="方正小标宋简体">
    <w:panose1 w:val="02000000000000000000"/>
    <w:charset w:val="86"/>
    <w:family w:val="script"/>
    <w:pitch w:val="default"/>
    <w:sig w:usb0="00000001" w:usb1="08000000" w:usb2="00000000" w:usb3="00000000" w:csb0="00040000" w:csb1="00000000"/>
    <w:embedRegular r:id="rId8" w:fontKey="{0AFDDF0F-37A6-478A-B9CB-774FC19504EA}"/>
  </w:font>
  <w:font w:name="Wingdings 2">
    <w:panose1 w:val="05020102010507070707"/>
    <w:charset w:val="02"/>
    <w:family w:val="roman"/>
    <w:pitch w:val="default"/>
    <w:sig w:usb0="00000000" w:usb1="00000000" w:usb2="00000000" w:usb3="00000000" w:csb0="80000000" w:csb1="00000000"/>
    <w:embedRegular r:id="rId9" w:fontKey="{40F95E78-8B9A-4911-8643-75DDA1B372B7}"/>
  </w:font>
  <w:font w:name="Helvetica">
    <w:altName w:val="Arial"/>
    <w:panose1 w:val="020B0604020202020204"/>
    <w:charset w:val="00"/>
    <w:family w:val="swiss"/>
    <w:pitch w:val="default"/>
    <w:sig w:usb0="00000000" w:usb1="00000000" w:usb2="00000009" w:usb3="00000000" w:csb0="000001FF" w:csb1="00000000"/>
    <w:embedRegular r:id="rId10" w:fontKey="{C82324DF-3402-439E-8850-ED26A291326F}"/>
  </w:font>
  <w:font w:name="Calibri Light">
    <w:panose1 w:val="020F0302020204030204"/>
    <w:charset w:val="00"/>
    <w:family w:val="swiss"/>
    <w:pitch w:val="default"/>
    <w:sig w:usb0="E4002EFF" w:usb1="C000247B" w:usb2="00000009" w:usb3="00000000" w:csb0="200001FF" w:csb1="00000000"/>
    <w:embedRegular r:id="rId11" w:fontKey="{2DCE3DDC-0C60-40BF-BF6D-134B39396C6A}"/>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28882">
    <w:pPr>
      <w:pStyle w:val="2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245C32">
                          <w:pPr>
                            <w:pStyle w:val="2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nvTfyQEAAJoDAAAOAAAAAAAAAAEAIAAAAB4BAABkcnMvZTJvRG9j&#10;LnhtbFBLBQYAAAAABgAGAFkBAABZBQAAAAA=&#10;">
              <v:fill on="f" focussize="0,0"/>
              <v:stroke on="f"/>
              <v:imagedata o:title=""/>
              <o:lock v:ext="edit" aspectratio="f"/>
              <v:textbox inset="0mm,0mm,0mm,0mm" style="mso-fit-shape-to-text:t;">
                <w:txbxContent>
                  <w:p w14:paraId="4B245C32">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9A1A7">
    <w:pPr>
      <w:pStyle w:val="25"/>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8BD6E7">
                          <w:pPr>
                            <w:pStyle w:val="25"/>
                          </w:pPr>
                          <w:r>
                            <w:fldChar w:fldCharType="begin"/>
                          </w:r>
                          <w:r>
                            <w:instrText xml:space="preserve"> PAGE  \* MERGEFORMAT </w:instrText>
                          </w:r>
                          <w:r>
                            <w:fldChar w:fldCharType="separate"/>
                          </w:r>
                          <w:r>
                            <w:t>9</w:t>
                          </w:r>
                          <w:r>
                            <w:fldChar w:fldCharType="end"/>
                          </w:r>
                        </w:p>
                      </w:txbxContent>
                    </wps:txbx>
                    <wps:bodyPr wrap="none" lIns="0" tIns="0" rIns="0" bIns="0" upright="0">
                      <a:spAutoFit/>
                    </wps:bodyPr>
                  </wps:wsp>
                </a:graphicData>
              </a:graphic>
            </wp:anchor>
          </w:drawing>
        </mc:Choice>
        <mc:Fallback>
          <w:pict>
            <v:shape id="文本框 2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I53lzjIAQAAmgMAAA4AAAAAAAAAAQAgAAAAHgEAAGRycy9lMm9Eb2Mu&#10;eG1sUEsFBgAAAAAGAAYAWQEAAFgFAAAAAA==&#10;">
              <v:fill on="f" focussize="0,0"/>
              <v:stroke on="f"/>
              <v:imagedata o:title=""/>
              <o:lock v:ext="edit" aspectratio="f"/>
              <v:textbox inset="0mm,0mm,0mm,0mm" style="mso-fit-shape-to-text:t;">
                <w:txbxContent>
                  <w:p w14:paraId="268BD6E7">
                    <w:pPr>
                      <w:pStyle w:val="25"/>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E7B16">
    <w:pPr>
      <w:pStyle w:val="25"/>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30E27C">
                          <w:pPr>
                            <w:pStyle w:val="25"/>
                          </w:pPr>
                          <w:r>
                            <w:fldChar w:fldCharType="begin"/>
                          </w:r>
                          <w:r>
                            <w:instrText xml:space="preserve"> PAGE  \* MERGEFORMAT </w:instrText>
                          </w:r>
                          <w:r>
                            <w:fldChar w:fldCharType="separate"/>
                          </w:r>
                          <w:r>
                            <w:t>192</w:t>
                          </w:r>
                          <w:r>
                            <w:fldChar w:fldCharType="end"/>
                          </w:r>
                        </w:p>
                      </w:txbxContent>
                    </wps:txbx>
                    <wps:bodyPr wrap="none" lIns="0" tIns="0" rIns="0" bIns="0" upright="0">
                      <a:spAutoFit/>
                    </wps:bodyPr>
                  </wps:wsp>
                </a:graphicData>
              </a:graphic>
            </wp:anchor>
          </w:drawing>
        </mc:Choice>
        <mc:Fallback>
          <w:pict>
            <v:shape id="文本框 2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8m1O8kBAACaAwAADgAAAGRycy9lMm9Eb2MueG1srVPNjtMwEL4j8Q6W&#10;79TZg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DeUOG5x4OefP86//px/fyfL&#10;11mfPkCNabcBE9Pw3g+4NbMf0JlpDyra/EVCBOOo7umirhwSEfnRarlaVRgSGJsviM/un4cI6YP0&#10;lmSjoRHHV1Tlx0+QxtQ5JVdz/kYbU0Zo3H8OxMwelnsfe8xWGnbDRGjn2xPy6XHyDXW46JSYjw6F&#10;zUsyG3E2drNxCFHvu7JFuR6Ed4eETZTecoURdiqMIyvspvXKO/HvvWTd/1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TybU7yQEAAJoDAAAOAAAAAAAAAAEAIAAAAB4BAABkcnMvZTJvRG9j&#10;LnhtbFBLBQYAAAAABgAGAFkBAABZBQAAAAA=&#10;">
              <v:fill on="f" focussize="0,0"/>
              <v:stroke on="f"/>
              <v:imagedata o:title=""/>
              <o:lock v:ext="edit" aspectratio="f"/>
              <v:textbox inset="0mm,0mm,0mm,0mm" style="mso-fit-shape-to-text:t;">
                <w:txbxContent>
                  <w:p w14:paraId="2030E27C">
                    <w:pPr>
                      <w:pStyle w:val="25"/>
                    </w:pPr>
                    <w:r>
                      <w:fldChar w:fldCharType="begin"/>
                    </w:r>
                    <w:r>
                      <w:instrText xml:space="preserve"> PAGE  \* MERGEFORMAT </w:instrText>
                    </w:r>
                    <w:r>
                      <w:fldChar w:fldCharType="separate"/>
                    </w:r>
                    <w:r>
                      <w:t>192</w:t>
                    </w:r>
                    <w:r>
                      <w:fldChar w:fldCharType="end"/>
                    </w:r>
                  </w:p>
                </w:txbxContent>
              </v:textbox>
            </v:shape>
          </w:pict>
        </mc:Fallback>
      </mc:AlternateContent>
    </w:r>
  </w:p>
  <w:p w14:paraId="5359513E">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03C57">
    <w:pPr>
      <w:pStyle w:val="2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0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EC9753">
                          <w:pPr>
                            <w:pStyle w:val="25"/>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文本框 409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Dy+eXzAEAAJwDAAAOAAAAAAAAAAEAIAAAAB4BAABkcnMvZTJv&#10;RG9jLnhtbFBLBQYAAAAABgAGAFkBAABcBQAAAAA=&#10;">
              <v:fill on="f" focussize="0,0"/>
              <v:stroke on="f"/>
              <v:imagedata o:title=""/>
              <o:lock v:ext="edit" aspectratio="f"/>
              <v:textbox inset="0mm,0mm,0mm,0mm" style="mso-fit-shape-to-text:t;">
                <w:txbxContent>
                  <w:p w14:paraId="0EEC9753">
                    <w:pPr>
                      <w:pStyle w:val="25"/>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90E0E">
    <w:pPr>
      <w:pStyle w:val="26"/>
      <w:tabs>
        <w:tab w:val="center" w:pos="0"/>
        <w:tab w:val="clear" w:pos="4153"/>
      </w:tabs>
      <w:rPr>
        <w:rFonts w:hint="eastAsia"/>
        <w:color w:val="000000"/>
        <w:highlight w:val="none"/>
      </w:rPr>
    </w:pPr>
    <w:r>
      <w:rPr>
        <w:rFonts w:hint="eastAsia"/>
        <w:color w:val="000000"/>
        <w:highlight w:val="none"/>
      </w:rPr>
      <w:t>南宁市政府采购竞争性谈判采购文件（项目编号：NNZC2026-J2-990641-GXJT）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FB3C5">
    <w:pPr>
      <w:pStyle w:val="2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B780FC"/>
    <w:multiLevelType w:val="singleLevel"/>
    <w:tmpl w:val="9EB780FC"/>
    <w:lvl w:ilvl="0" w:tentative="0">
      <w:start w:val="1"/>
      <w:numFmt w:val="decimal"/>
      <w:suff w:val="nothing"/>
      <w:lvlText w:val="（%1）"/>
      <w:lvlJc w:val="left"/>
    </w:lvl>
  </w:abstractNum>
  <w:abstractNum w:abstractNumId="1">
    <w:nsid w:val="C5CCCD78"/>
    <w:multiLevelType w:val="singleLevel"/>
    <w:tmpl w:val="C5CCCD78"/>
    <w:lvl w:ilvl="0" w:tentative="0">
      <w:start w:val="1"/>
      <w:numFmt w:val="decimal"/>
      <w:suff w:val="nothing"/>
      <w:lvlText w:val="%1、"/>
      <w:lvlJc w:val="left"/>
    </w:lvl>
  </w:abstractNum>
  <w:abstractNum w:abstractNumId="2">
    <w:nsid w:val="7ACEFA37"/>
    <w:multiLevelType w:val="singleLevel"/>
    <w:tmpl w:val="7ACEFA37"/>
    <w:lvl w:ilvl="0" w:tentative="0">
      <w:start w:val="1"/>
      <w:numFmt w:val="bullet"/>
      <w:pStyle w:val="13"/>
      <w:lvlText w:val=""/>
      <w:lvlJc w:val="left"/>
      <w:pPr>
        <w:tabs>
          <w:tab w:val="left" w:pos="1620"/>
        </w:tabs>
        <w:ind w:left="1620"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hOGI2ODk1OTk4MTBlMWJlYWY5NjljMjRjNjQ3YWEifQ=="/>
  </w:docVars>
  <w:rsids>
    <w:rsidRoot w:val="00172A27"/>
    <w:rsid w:val="00000672"/>
    <w:rsid w:val="00001013"/>
    <w:rsid w:val="00001799"/>
    <w:rsid w:val="00001AF2"/>
    <w:rsid w:val="00001ECA"/>
    <w:rsid w:val="00001FEC"/>
    <w:rsid w:val="00002D29"/>
    <w:rsid w:val="00003B93"/>
    <w:rsid w:val="0000474D"/>
    <w:rsid w:val="0000581D"/>
    <w:rsid w:val="00005FDF"/>
    <w:rsid w:val="000070B3"/>
    <w:rsid w:val="000076B8"/>
    <w:rsid w:val="0001024A"/>
    <w:rsid w:val="0001047A"/>
    <w:rsid w:val="000109DC"/>
    <w:rsid w:val="00010D39"/>
    <w:rsid w:val="0001172C"/>
    <w:rsid w:val="00011BC9"/>
    <w:rsid w:val="00012854"/>
    <w:rsid w:val="00012B5F"/>
    <w:rsid w:val="00012EA6"/>
    <w:rsid w:val="00013359"/>
    <w:rsid w:val="000139CF"/>
    <w:rsid w:val="00013AA4"/>
    <w:rsid w:val="00013DFE"/>
    <w:rsid w:val="000141EA"/>
    <w:rsid w:val="000146A2"/>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2CD2"/>
    <w:rsid w:val="00024463"/>
    <w:rsid w:val="00024D24"/>
    <w:rsid w:val="00025461"/>
    <w:rsid w:val="00025636"/>
    <w:rsid w:val="00025E36"/>
    <w:rsid w:val="00026855"/>
    <w:rsid w:val="00026886"/>
    <w:rsid w:val="00026958"/>
    <w:rsid w:val="00026CF4"/>
    <w:rsid w:val="0002785D"/>
    <w:rsid w:val="00030448"/>
    <w:rsid w:val="00032090"/>
    <w:rsid w:val="000329E0"/>
    <w:rsid w:val="00032DB3"/>
    <w:rsid w:val="00034B50"/>
    <w:rsid w:val="000352E9"/>
    <w:rsid w:val="00035494"/>
    <w:rsid w:val="00036125"/>
    <w:rsid w:val="00036588"/>
    <w:rsid w:val="00036A07"/>
    <w:rsid w:val="0003780B"/>
    <w:rsid w:val="00040571"/>
    <w:rsid w:val="00040973"/>
    <w:rsid w:val="0004156E"/>
    <w:rsid w:val="00041713"/>
    <w:rsid w:val="0004179D"/>
    <w:rsid w:val="00044032"/>
    <w:rsid w:val="0004440C"/>
    <w:rsid w:val="000454F7"/>
    <w:rsid w:val="000467D2"/>
    <w:rsid w:val="00046B5E"/>
    <w:rsid w:val="000470CB"/>
    <w:rsid w:val="00047327"/>
    <w:rsid w:val="000509D9"/>
    <w:rsid w:val="000516E2"/>
    <w:rsid w:val="00051ACB"/>
    <w:rsid w:val="000533E7"/>
    <w:rsid w:val="00053E23"/>
    <w:rsid w:val="00055D41"/>
    <w:rsid w:val="00057CD6"/>
    <w:rsid w:val="00060DCE"/>
    <w:rsid w:val="000610E3"/>
    <w:rsid w:val="00061110"/>
    <w:rsid w:val="000614F3"/>
    <w:rsid w:val="000623B4"/>
    <w:rsid w:val="00062405"/>
    <w:rsid w:val="00062437"/>
    <w:rsid w:val="00062B6A"/>
    <w:rsid w:val="00062EFF"/>
    <w:rsid w:val="000634A7"/>
    <w:rsid w:val="00063B0B"/>
    <w:rsid w:val="00063F81"/>
    <w:rsid w:val="00064847"/>
    <w:rsid w:val="00065CA6"/>
    <w:rsid w:val="00065E08"/>
    <w:rsid w:val="000673E2"/>
    <w:rsid w:val="00067DC2"/>
    <w:rsid w:val="0007063F"/>
    <w:rsid w:val="000707FD"/>
    <w:rsid w:val="00070949"/>
    <w:rsid w:val="000711E4"/>
    <w:rsid w:val="000724D9"/>
    <w:rsid w:val="00072AED"/>
    <w:rsid w:val="00073F47"/>
    <w:rsid w:val="0007492F"/>
    <w:rsid w:val="00074ED8"/>
    <w:rsid w:val="00075B7E"/>
    <w:rsid w:val="00075F83"/>
    <w:rsid w:val="00077ACA"/>
    <w:rsid w:val="00077C70"/>
    <w:rsid w:val="00077D58"/>
    <w:rsid w:val="00080C55"/>
    <w:rsid w:val="000813B5"/>
    <w:rsid w:val="000817AC"/>
    <w:rsid w:val="00081BA3"/>
    <w:rsid w:val="00081D2E"/>
    <w:rsid w:val="00081F89"/>
    <w:rsid w:val="00082619"/>
    <w:rsid w:val="00082829"/>
    <w:rsid w:val="00082D02"/>
    <w:rsid w:val="00082D4B"/>
    <w:rsid w:val="00083871"/>
    <w:rsid w:val="00083B91"/>
    <w:rsid w:val="0008473C"/>
    <w:rsid w:val="00084A9A"/>
    <w:rsid w:val="0008520B"/>
    <w:rsid w:val="000860BD"/>
    <w:rsid w:val="0008676E"/>
    <w:rsid w:val="00086A89"/>
    <w:rsid w:val="000871B8"/>
    <w:rsid w:val="000916DA"/>
    <w:rsid w:val="00092442"/>
    <w:rsid w:val="000929EF"/>
    <w:rsid w:val="000933BE"/>
    <w:rsid w:val="00093C4E"/>
    <w:rsid w:val="00093CD4"/>
    <w:rsid w:val="00094334"/>
    <w:rsid w:val="00094AB2"/>
    <w:rsid w:val="0009560F"/>
    <w:rsid w:val="0009588E"/>
    <w:rsid w:val="000959EE"/>
    <w:rsid w:val="00097183"/>
    <w:rsid w:val="000972CB"/>
    <w:rsid w:val="00097608"/>
    <w:rsid w:val="000977BD"/>
    <w:rsid w:val="0009799E"/>
    <w:rsid w:val="00097E7D"/>
    <w:rsid w:val="000A0A90"/>
    <w:rsid w:val="000A13F3"/>
    <w:rsid w:val="000A23B1"/>
    <w:rsid w:val="000A2B0E"/>
    <w:rsid w:val="000A398F"/>
    <w:rsid w:val="000A3BB7"/>
    <w:rsid w:val="000A448C"/>
    <w:rsid w:val="000A5042"/>
    <w:rsid w:val="000A509C"/>
    <w:rsid w:val="000A54A7"/>
    <w:rsid w:val="000A6007"/>
    <w:rsid w:val="000A65A6"/>
    <w:rsid w:val="000A70E3"/>
    <w:rsid w:val="000A7275"/>
    <w:rsid w:val="000A7A12"/>
    <w:rsid w:val="000A7A72"/>
    <w:rsid w:val="000A7F9F"/>
    <w:rsid w:val="000B033A"/>
    <w:rsid w:val="000B1202"/>
    <w:rsid w:val="000B1801"/>
    <w:rsid w:val="000B1890"/>
    <w:rsid w:val="000B1D0C"/>
    <w:rsid w:val="000B2273"/>
    <w:rsid w:val="000B2387"/>
    <w:rsid w:val="000B2585"/>
    <w:rsid w:val="000B2BC6"/>
    <w:rsid w:val="000B2D03"/>
    <w:rsid w:val="000B3815"/>
    <w:rsid w:val="000B3C7B"/>
    <w:rsid w:val="000B4321"/>
    <w:rsid w:val="000B6A6B"/>
    <w:rsid w:val="000B6C95"/>
    <w:rsid w:val="000B6D16"/>
    <w:rsid w:val="000B72DE"/>
    <w:rsid w:val="000B79FC"/>
    <w:rsid w:val="000C02B1"/>
    <w:rsid w:val="000C11DA"/>
    <w:rsid w:val="000C1679"/>
    <w:rsid w:val="000C1EE3"/>
    <w:rsid w:val="000C306F"/>
    <w:rsid w:val="000C3709"/>
    <w:rsid w:val="000C3AE7"/>
    <w:rsid w:val="000C3CC9"/>
    <w:rsid w:val="000C6A52"/>
    <w:rsid w:val="000C6DE4"/>
    <w:rsid w:val="000C7202"/>
    <w:rsid w:val="000D026A"/>
    <w:rsid w:val="000D0A89"/>
    <w:rsid w:val="000D1181"/>
    <w:rsid w:val="000D1389"/>
    <w:rsid w:val="000D1798"/>
    <w:rsid w:val="000D2626"/>
    <w:rsid w:val="000D291C"/>
    <w:rsid w:val="000D31A7"/>
    <w:rsid w:val="000D3FB6"/>
    <w:rsid w:val="000D411D"/>
    <w:rsid w:val="000D4589"/>
    <w:rsid w:val="000D4809"/>
    <w:rsid w:val="000D73DD"/>
    <w:rsid w:val="000D7EF3"/>
    <w:rsid w:val="000E1C51"/>
    <w:rsid w:val="000E24C5"/>
    <w:rsid w:val="000E28AB"/>
    <w:rsid w:val="000E2E3E"/>
    <w:rsid w:val="000E3583"/>
    <w:rsid w:val="000E3AF0"/>
    <w:rsid w:val="000E4E04"/>
    <w:rsid w:val="000E5D71"/>
    <w:rsid w:val="000E693B"/>
    <w:rsid w:val="000E6EC9"/>
    <w:rsid w:val="000E70B4"/>
    <w:rsid w:val="000E7B62"/>
    <w:rsid w:val="000F0E1E"/>
    <w:rsid w:val="000F1A1B"/>
    <w:rsid w:val="000F1E8E"/>
    <w:rsid w:val="000F2A95"/>
    <w:rsid w:val="000F3281"/>
    <w:rsid w:val="000F32FD"/>
    <w:rsid w:val="000F3733"/>
    <w:rsid w:val="000F579D"/>
    <w:rsid w:val="000F5AC9"/>
    <w:rsid w:val="000F5F8B"/>
    <w:rsid w:val="000F6153"/>
    <w:rsid w:val="000F64AA"/>
    <w:rsid w:val="000F745F"/>
    <w:rsid w:val="000F7AF4"/>
    <w:rsid w:val="000F7C33"/>
    <w:rsid w:val="000F7F0C"/>
    <w:rsid w:val="001004D6"/>
    <w:rsid w:val="00102676"/>
    <w:rsid w:val="00103646"/>
    <w:rsid w:val="00103918"/>
    <w:rsid w:val="001039B2"/>
    <w:rsid w:val="00104897"/>
    <w:rsid w:val="00104EDE"/>
    <w:rsid w:val="00105CDA"/>
    <w:rsid w:val="00106495"/>
    <w:rsid w:val="00106BEE"/>
    <w:rsid w:val="00107C74"/>
    <w:rsid w:val="0011091C"/>
    <w:rsid w:val="00111266"/>
    <w:rsid w:val="001112EB"/>
    <w:rsid w:val="00112768"/>
    <w:rsid w:val="00112F16"/>
    <w:rsid w:val="00113678"/>
    <w:rsid w:val="00113C3E"/>
    <w:rsid w:val="00115A21"/>
    <w:rsid w:val="00115DF3"/>
    <w:rsid w:val="00115E11"/>
    <w:rsid w:val="00115EEE"/>
    <w:rsid w:val="00115F56"/>
    <w:rsid w:val="0011679B"/>
    <w:rsid w:val="00116CA9"/>
    <w:rsid w:val="00116F38"/>
    <w:rsid w:val="001170A4"/>
    <w:rsid w:val="00117AE7"/>
    <w:rsid w:val="00117CBD"/>
    <w:rsid w:val="0012006A"/>
    <w:rsid w:val="00120308"/>
    <w:rsid w:val="00121979"/>
    <w:rsid w:val="00122064"/>
    <w:rsid w:val="00122C12"/>
    <w:rsid w:val="00123A31"/>
    <w:rsid w:val="00124341"/>
    <w:rsid w:val="00124492"/>
    <w:rsid w:val="00124B12"/>
    <w:rsid w:val="001250A0"/>
    <w:rsid w:val="001263B8"/>
    <w:rsid w:val="00127113"/>
    <w:rsid w:val="0012763E"/>
    <w:rsid w:val="00130217"/>
    <w:rsid w:val="00130783"/>
    <w:rsid w:val="0013098A"/>
    <w:rsid w:val="00130A47"/>
    <w:rsid w:val="00130CB0"/>
    <w:rsid w:val="00130D7C"/>
    <w:rsid w:val="001313DA"/>
    <w:rsid w:val="00131A6A"/>
    <w:rsid w:val="00132B47"/>
    <w:rsid w:val="001337F8"/>
    <w:rsid w:val="001348B4"/>
    <w:rsid w:val="001351CB"/>
    <w:rsid w:val="00135530"/>
    <w:rsid w:val="00135947"/>
    <w:rsid w:val="001359A2"/>
    <w:rsid w:val="00135F92"/>
    <w:rsid w:val="00136020"/>
    <w:rsid w:val="00136445"/>
    <w:rsid w:val="001372F1"/>
    <w:rsid w:val="00140132"/>
    <w:rsid w:val="001402AF"/>
    <w:rsid w:val="00141281"/>
    <w:rsid w:val="0014178A"/>
    <w:rsid w:val="00141C9C"/>
    <w:rsid w:val="0014277F"/>
    <w:rsid w:val="001434BE"/>
    <w:rsid w:val="00144050"/>
    <w:rsid w:val="0014479F"/>
    <w:rsid w:val="001447A9"/>
    <w:rsid w:val="001452B4"/>
    <w:rsid w:val="00145320"/>
    <w:rsid w:val="001476D3"/>
    <w:rsid w:val="001509CF"/>
    <w:rsid w:val="00150D1D"/>
    <w:rsid w:val="001525AA"/>
    <w:rsid w:val="00152A87"/>
    <w:rsid w:val="00153BB5"/>
    <w:rsid w:val="00154518"/>
    <w:rsid w:val="001546D8"/>
    <w:rsid w:val="00156359"/>
    <w:rsid w:val="001568F3"/>
    <w:rsid w:val="00156DD6"/>
    <w:rsid w:val="0016086E"/>
    <w:rsid w:val="00160D0C"/>
    <w:rsid w:val="00161172"/>
    <w:rsid w:val="00161330"/>
    <w:rsid w:val="00161998"/>
    <w:rsid w:val="00161E65"/>
    <w:rsid w:val="00162597"/>
    <w:rsid w:val="0016289F"/>
    <w:rsid w:val="001629AF"/>
    <w:rsid w:val="001629FD"/>
    <w:rsid w:val="0016428A"/>
    <w:rsid w:val="001647C9"/>
    <w:rsid w:val="00164B34"/>
    <w:rsid w:val="00165627"/>
    <w:rsid w:val="00165929"/>
    <w:rsid w:val="001661A3"/>
    <w:rsid w:val="00167226"/>
    <w:rsid w:val="0016782B"/>
    <w:rsid w:val="0016784D"/>
    <w:rsid w:val="00167894"/>
    <w:rsid w:val="0017147D"/>
    <w:rsid w:val="00172CA8"/>
    <w:rsid w:val="00173256"/>
    <w:rsid w:val="001732A7"/>
    <w:rsid w:val="00173B0E"/>
    <w:rsid w:val="00173E03"/>
    <w:rsid w:val="00174182"/>
    <w:rsid w:val="0017512C"/>
    <w:rsid w:val="0017586A"/>
    <w:rsid w:val="00175BA6"/>
    <w:rsid w:val="00176CA7"/>
    <w:rsid w:val="00176F8E"/>
    <w:rsid w:val="001771F3"/>
    <w:rsid w:val="00177278"/>
    <w:rsid w:val="001778C5"/>
    <w:rsid w:val="00177E56"/>
    <w:rsid w:val="00177F0A"/>
    <w:rsid w:val="00180DA0"/>
    <w:rsid w:val="00181297"/>
    <w:rsid w:val="00181EAD"/>
    <w:rsid w:val="001824B2"/>
    <w:rsid w:val="00182862"/>
    <w:rsid w:val="00183C16"/>
    <w:rsid w:val="00183E7A"/>
    <w:rsid w:val="00184F57"/>
    <w:rsid w:val="00185544"/>
    <w:rsid w:val="00185617"/>
    <w:rsid w:val="00186FE1"/>
    <w:rsid w:val="00187A14"/>
    <w:rsid w:val="00190E07"/>
    <w:rsid w:val="0019171E"/>
    <w:rsid w:val="00192368"/>
    <w:rsid w:val="001923A0"/>
    <w:rsid w:val="001928B1"/>
    <w:rsid w:val="00193537"/>
    <w:rsid w:val="00193846"/>
    <w:rsid w:val="00195424"/>
    <w:rsid w:val="001955FF"/>
    <w:rsid w:val="00195D11"/>
    <w:rsid w:val="001975B5"/>
    <w:rsid w:val="00197EDD"/>
    <w:rsid w:val="001A02B3"/>
    <w:rsid w:val="001A04BB"/>
    <w:rsid w:val="001A08C5"/>
    <w:rsid w:val="001A08D0"/>
    <w:rsid w:val="001A1B39"/>
    <w:rsid w:val="001A2120"/>
    <w:rsid w:val="001A28C6"/>
    <w:rsid w:val="001A2E69"/>
    <w:rsid w:val="001A3440"/>
    <w:rsid w:val="001A3C34"/>
    <w:rsid w:val="001A3EDE"/>
    <w:rsid w:val="001A4222"/>
    <w:rsid w:val="001A50EA"/>
    <w:rsid w:val="001A5576"/>
    <w:rsid w:val="001A5E24"/>
    <w:rsid w:val="001A6B27"/>
    <w:rsid w:val="001A6D8B"/>
    <w:rsid w:val="001A6DAA"/>
    <w:rsid w:val="001A743A"/>
    <w:rsid w:val="001A7717"/>
    <w:rsid w:val="001A793A"/>
    <w:rsid w:val="001A7F46"/>
    <w:rsid w:val="001B0EA2"/>
    <w:rsid w:val="001B125A"/>
    <w:rsid w:val="001B1DA0"/>
    <w:rsid w:val="001B1EBA"/>
    <w:rsid w:val="001B2142"/>
    <w:rsid w:val="001B2F2B"/>
    <w:rsid w:val="001B327A"/>
    <w:rsid w:val="001B35DE"/>
    <w:rsid w:val="001B3A13"/>
    <w:rsid w:val="001B3F5C"/>
    <w:rsid w:val="001B4067"/>
    <w:rsid w:val="001B5752"/>
    <w:rsid w:val="001B59FF"/>
    <w:rsid w:val="001B5E60"/>
    <w:rsid w:val="001B63C6"/>
    <w:rsid w:val="001B6512"/>
    <w:rsid w:val="001B65D7"/>
    <w:rsid w:val="001B6752"/>
    <w:rsid w:val="001B6768"/>
    <w:rsid w:val="001B6D5A"/>
    <w:rsid w:val="001B6F1F"/>
    <w:rsid w:val="001B7ECC"/>
    <w:rsid w:val="001C025B"/>
    <w:rsid w:val="001C115F"/>
    <w:rsid w:val="001C1EAB"/>
    <w:rsid w:val="001C25A7"/>
    <w:rsid w:val="001C2E56"/>
    <w:rsid w:val="001C318C"/>
    <w:rsid w:val="001C35C4"/>
    <w:rsid w:val="001C35E1"/>
    <w:rsid w:val="001C4287"/>
    <w:rsid w:val="001C433C"/>
    <w:rsid w:val="001C4479"/>
    <w:rsid w:val="001C5190"/>
    <w:rsid w:val="001C6081"/>
    <w:rsid w:val="001C7B48"/>
    <w:rsid w:val="001D040C"/>
    <w:rsid w:val="001D0CFB"/>
    <w:rsid w:val="001D1A0D"/>
    <w:rsid w:val="001D343C"/>
    <w:rsid w:val="001D34F5"/>
    <w:rsid w:val="001D549C"/>
    <w:rsid w:val="001D56FC"/>
    <w:rsid w:val="001D58A1"/>
    <w:rsid w:val="001D58C2"/>
    <w:rsid w:val="001D5A8A"/>
    <w:rsid w:val="001D61CA"/>
    <w:rsid w:val="001D6E87"/>
    <w:rsid w:val="001D735E"/>
    <w:rsid w:val="001D73C8"/>
    <w:rsid w:val="001D7524"/>
    <w:rsid w:val="001D7BC6"/>
    <w:rsid w:val="001E129E"/>
    <w:rsid w:val="001E175C"/>
    <w:rsid w:val="001E1B0E"/>
    <w:rsid w:val="001E1F0B"/>
    <w:rsid w:val="001E39BE"/>
    <w:rsid w:val="001E3B63"/>
    <w:rsid w:val="001E54B2"/>
    <w:rsid w:val="001E5A94"/>
    <w:rsid w:val="001E5F6F"/>
    <w:rsid w:val="001E68B8"/>
    <w:rsid w:val="001E6D60"/>
    <w:rsid w:val="001F2001"/>
    <w:rsid w:val="001F2A2E"/>
    <w:rsid w:val="001F3356"/>
    <w:rsid w:val="001F3C63"/>
    <w:rsid w:val="001F3E5F"/>
    <w:rsid w:val="001F4460"/>
    <w:rsid w:val="001F5262"/>
    <w:rsid w:val="001F711A"/>
    <w:rsid w:val="001F75B0"/>
    <w:rsid w:val="00200CE5"/>
    <w:rsid w:val="00200F7C"/>
    <w:rsid w:val="002014DB"/>
    <w:rsid w:val="0020150B"/>
    <w:rsid w:val="00201E12"/>
    <w:rsid w:val="00202B13"/>
    <w:rsid w:val="002032DA"/>
    <w:rsid w:val="002033B5"/>
    <w:rsid w:val="0020382C"/>
    <w:rsid w:val="0020437A"/>
    <w:rsid w:val="0020454C"/>
    <w:rsid w:val="00204740"/>
    <w:rsid w:val="00204B8D"/>
    <w:rsid w:val="00205129"/>
    <w:rsid w:val="0020521F"/>
    <w:rsid w:val="0020532C"/>
    <w:rsid w:val="002114C7"/>
    <w:rsid w:val="0021302C"/>
    <w:rsid w:val="00213B1C"/>
    <w:rsid w:val="00214202"/>
    <w:rsid w:val="002148E3"/>
    <w:rsid w:val="00215524"/>
    <w:rsid w:val="0021552D"/>
    <w:rsid w:val="002156AE"/>
    <w:rsid w:val="00215E99"/>
    <w:rsid w:val="0022054D"/>
    <w:rsid w:val="00221807"/>
    <w:rsid w:val="002231B3"/>
    <w:rsid w:val="00223DDB"/>
    <w:rsid w:val="00223FA4"/>
    <w:rsid w:val="00223FB0"/>
    <w:rsid w:val="00224067"/>
    <w:rsid w:val="0022421C"/>
    <w:rsid w:val="00224E83"/>
    <w:rsid w:val="00225664"/>
    <w:rsid w:val="00226083"/>
    <w:rsid w:val="0022663D"/>
    <w:rsid w:val="00227F2D"/>
    <w:rsid w:val="00230179"/>
    <w:rsid w:val="00231851"/>
    <w:rsid w:val="002319FB"/>
    <w:rsid w:val="00231B89"/>
    <w:rsid w:val="00231F11"/>
    <w:rsid w:val="00231F5E"/>
    <w:rsid w:val="0023307C"/>
    <w:rsid w:val="002339A6"/>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19D"/>
    <w:rsid w:val="00244AE8"/>
    <w:rsid w:val="00244DC9"/>
    <w:rsid w:val="00245587"/>
    <w:rsid w:val="00245F2B"/>
    <w:rsid w:val="0024642A"/>
    <w:rsid w:val="002464B9"/>
    <w:rsid w:val="00247F3A"/>
    <w:rsid w:val="00250122"/>
    <w:rsid w:val="00250755"/>
    <w:rsid w:val="00251043"/>
    <w:rsid w:val="0025152F"/>
    <w:rsid w:val="00251C4A"/>
    <w:rsid w:val="00252464"/>
    <w:rsid w:val="0025271C"/>
    <w:rsid w:val="0025288A"/>
    <w:rsid w:val="002529E4"/>
    <w:rsid w:val="00252C36"/>
    <w:rsid w:val="00252F91"/>
    <w:rsid w:val="002533CD"/>
    <w:rsid w:val="002535EA"/>
    <w:rsid w:val="00253805"/>
    <w:rsid w:val="00254EAB"/>
    <w:rsid w:val="002557AF"/>
    <w:rsid w:val="0025589C"/>
    <w:rsid w:val="00255B62"/>
    <w:rsid w:val="002566B1"/>
    <w:rsid w:val="002575E3"/>
    <w:rsid w:val="00257A74"/>
    <w:rsid w:val="002603C1"/>
    <w:rsid w:val="002609A1"/>
    <w:rsid w:val="002612B1"/>
    <w:rsid w:val="002641A3"/>
    <w:rsid w:val="00266165"/>
    <w:rsid w:val="002662FE"/>
    <w:rsid w:val="00266F2C"/>
    <w:rsid w:val="00267094"/>
    <w:rsid w:val="00270D48"/>
    <w:rsid w:val="0027125E"/>
    <w:rsid w:val="00271767"/>
    <w:rsid w:val="00272271"/>
    <w:rsid w:val="00272293"/>
    <w:rsid w:val="002723C8"/>
    <w:rsid w:val="002725C1"/>
    <w:rsid w:val="002726AA"/>
    <w:rsid w:val="00273C2A"/>
    <w:rsid w:val="00273CBE"/>
    <w:rsid w:val="002746B1"/>
    <w:rsid w:val="00274BAD"/>
    <w:rsid w:val="00274BF3"/>
    <w:rsid w:val="00276034"/>
    <w:rsid w:val="002775E4"/>
    <w:rsid w:val="002825D9"/>
    <w:rsid w:val="00282D56"/>
    <w:rsid w:val="002835B0"/>
    <w:rsid w:val="002836F1"/>
    <w:rsid w:val="00283C74"/>
    <w:rsid w:val="0028407E"/>
    <w:rsid w:val="0028410F"/>
    <w:rsid w:val="00284572"/>
    <w:rsid w:val="00285221"/>
    <w:rsid w:val="00285671"/>
    <w:rsid w:val="00286D1D"/>
    <w:rsid w:val="00286FB5"/>
    <w:rsid w:val="0028751A"/>
    <w:rsid w:val="00287763"/>
    <w:rsid w:val="00290606"/>
    <w:rsid w:val="002909B2"/>
    <w:rsid w:val="00291D6D"/>
    <w:rsid w:val="00291FF1"/>
    <w:rsid w:val="002925C2"/>
    <w:rsid w:val="00292AA2"/>
    <w:rsid w:val="00292BF7"/>
    <w:rsid w:val="00293361"/>
    <w:rsid w:val="002952B1"/>
    <w:rsid w:val="00295D11"/>
    <w:rsid w:val="00295ED6"/>
    <w:rsid w:val="00296FB6"/>
    <w:rsid w:val="002A0001"/>
    <w:rsid w:val="002A0BD9"/>
    <w:rsid w:val="002A0C3A"/>
    <w:rsid w:val="002A1130"/>
    <w:rsid w:val="002A1880"/>
    <w:rsid w:val="002A23B7"/>
    <w:rsid w:val="002A3A57"/>
    <w:rsid w:val="002A4B4F"/>
    <w:rsid w:val="002A4B77"/>
    <w:rsid w:val="002A57A8"/>
    <w:rsid w:val="002A6DEF"/>
    <w:rsid w:val="002A6E42"/>
    <w:rsid w:val="002A770B"/>
    <w:rsid w:val="002B013E"/>
    <w:rsid w:val="002B017B"/>
    <w:rsid w:val="002B058D"/>
    <w:rsid w:val="002B0C16"/>
    <w:rsid w:val="002B23E1"/>
    <w:rsid w:val="002B25A9"/>
    <w:rsid w:val="002B2AC5"/>
    <w:rsid w:val="002B3528"/>
    <w:rsid w:val="002B3539"/>
    <w:rsid w:val="002B35F4"/>
    <w:rsid w:val="002B4532"/>
    <w:rsid w:val="002B4C4E"/>
    <w:rsid w:val="002B5042"/>
    <w:rsid w:val="002B69CC"/>
    <w:rsid w:val="002B6D71"/>
    <w:rsid w:val="002B79D9"/>
    <w:rsid w:val="002C04A8"/>
    <w:rsid w:val="002C0C1C"/>
    <w:rsid w:val="002C2E89"/>
    <w:rsid w:val="002C333D"/>
    <w:rsid w:val="002C54C2"/>
    <w:rsid w:val="002C5D34"/>
    <w:rsid w:val="002C60BB"/>
    <w:rsid w:val="002C661A"/>
    <w:rsid w:val="002C72D5"/>
    <w:rsid w:val="002D0D6F"/>
    <w:rsid w:val="002D25FC"/>
    <w:rsid w:val="002D4AC6"/>
    <w:rsid w:val="002D5BF5"/>
    <w:rsid w:val="002D5E95"/>
    <w:rsid w:val="002D5EE8"/>
    <w:rsid w:val="002D7150"/>
    <w:rsid w:val="002D728E"/>
    <w:rsid w:val="002D7360"/>
    <w:rsid w:val="002D751D"/>
    <w:rsid w:val="002D7648"/>
    <w:rsid w:val="002E034F"/>
    <w:rsid w:val="002E109C"/>
    <w:rsid w:val="002E193E"/>
    <w:rsid w:val="002E1A94"/>
    <w:rsid w:val="002E1D55"/>
    <w:rsid w:val="002E1F3E"/>
    <w:rsid w:val="002E26C4"/>
    <w:rsid w:val="002E2A8C"/>
    <w:rsid w:val="002E30A5"/>
    <w:rsid w:val="002E3588"/>
    <w:rsid w:val="002E47E4"/>
    <w:rsid w:val="002E4BF9"/>
    <w:rsid w:val="002E4D61"/>
    <w:rsid w:val="002E5FED"/>
    <w:rsid w:val="002E68A7"/>
    <w:rsid w:val="002E6E6C"/>
    <w:rsid w:val="002E7911"/>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0B44"/>
    <w:rsid w:val="00301ADC"/>
    <w:rsid w:val="00301EC6"/>
    <w:rsid w:val="00302EFC"/>
    <w:rsid w:val="00303243"/>
    <w:rsid w:val="00303BCC"/>
    <w:rsid w:val="00303D4A"/>
    <w:rsid w:val="00303F2B"/>
    <w:rsid w:val="00303F8D"/>
    <w:rsid w:val="003054A9"/>
    <w:rsid w:val="0030572D"/>
    <w:rsid w:val="0030586A"/>
    <w:rsid w:val="0030622D"/>
    <w:rsid w:val="00306811"/>
    <w:rsid w:val="00306F32"/>
    <w:rsid w:val="003074C5"/>
    <w:rsid w:val="00307A3C"/>
    <w:rsid w:val="00307FA4"/>
    <w:rsid w:val="00310290"/>
    <w:rsid w:val="0031083D"/>
    <w:rsid w:val="00310CC1"/>
    <w:rsid w:val="0031160F"/>
    <w:rsid w:val="003123EB"/>
    <w:rsid w:val="00312504"/>
    <w:rsid w:val="00312679"/>
    <w:rsid w:val="00313026"/>
    <w:rsid w:val="003132CA"/>
    <w:rsid w:val="00313521"/>
    <w:rsid w:val="00313913"/>
    <w:rsid w:val="0031421F"/>
    <w:rsid w:val="00314AC3"/>
    <w:rsid w:val="00314B31"/>
    <w:rsid w:val="00315A65"/>
    <w:rsid w:val="003165D7"/>
    <w:rsid w:val="00317B8D"/>
    <w:rsid w:val="00317BA7"/>
    <w:rsid w:val="00317D70"/>
    <w:rsid w:val="00320BE2"/>
    <w:rsid w:val="00321886"/>
    <w:rsid w:val="00322157"/>
    <w:rsid w:val="00323694"/>
    <w:rsid w:val="00323BE7"/>
    <w:rsid w:val="00324C3A"/>
    <w:rsid w:val="00324D63"/>
    <w:rsid w:val="00324EC2"/>
    <w:rsid w:val="003255AF"/>
    <w:rsid w:val="003256EB"/>
    <w:rsid w:val="003259DB"/>
    <w:rsid w:val="00327321"/>
    <w:rsid w:val="003314D9"/>
    <w:rsid w:val="00331653"/>
    <w:rsid w:val="0033194F"/>
    <w:rsid w:val="00331A48"/>
    <w:rsid w:val="00331BCC"/>
    <w:rsid w:val="00331D56"/>
    <w:rsid w:val="003330C7"/>
    <w:rsid w:val="003330C9"/>
    <w:rsid w:val="003333F1"/>
    <w:rsid w:val="0033364C"/>
    <w:rsid w:val="00334415"/>
    <w:rsid w:val="0033526C"/>
    <w:rsid w:val="00335EA1"/>
    <w:rsid w:val="0033691E"/>
    <w:rsid w:val="00336A6A"/>
    <w:rsid w:val="00336CCB"/>
    <w:rsid w:val="00336DA0"/>
    <w:rsid w:val="003411D1"/>
    <w:rsid w:val="003416BA"/>
    <w:rsid w:val="00342148"/>
    <w:rsid w:val="00342F99"/>
    <w:rsid w:val="003452AA"/>
    <w:rsid w:val="0034575A"/>
    <w:rsid w:val="00345F57"/>
    <w:rsid w:val="00346E7F"/>
    <w:rsid w:val="00350458"/>
    <w:rsid w:val="00350E6C"/>
    <w:rsid w:val="003518A6"/>
    <w:rsid w:val="00351C04"/>
    <w:rsid w:val="00351E7F"/>
    <w:rsid w:val="00351FCB"/>
    <w:rsid w:val="00352526"/>
    <w:rsid w:val="003525A7"/>
    <w:rsid w:val="00352953"/>
    <w:rsid w:val="00354062"/>
    <w:rsid w:val="0035459E"/>
    <w:rsid w:val="00354A03"/>
    <w:rsid w:val="00355C0D"/>
    <w:rsid w:val="003566A9"/>
    <w:rsid w:val="00356988"/>
    <w:rsid w:val="003569D3"/>
    <w:rsid w:val="00356CE9"/>
    <w:rsid w:val="003570BB"/>
    <w:rsid w:val="00357128"/>
    <w:rsid w:val="0035755E"/>
    <w:rsid w:val="00357A80"/>
    <w:rsid w:val="00361441"/>
    <w:rsid w:val="00361457"/>
    <w:rsid w:val="00361B8B"/>
    <w:rsid w:val="00363AED"/>
    <w:rsid w:val="00363F39"/>
    <w:rsid w:val="0036445C"/>
    <w:rsid w:val="00364627"/>
    <w:rsid w:val="00364AB0"/>
    <w:rsid w:val="00364D71"/>
    <w:rsid w:val="0036609D"/>
    <w:rsid w:val="003667B0"/>
    <w:rsid w:val="003667DD"/>
    <w:rsid w:val="00366B48"/>
    <w:rsid w:val="003672E7"/>
    <w:rsid w:val="0036730B"/>
    <w:rsid w:val="00367764"/>
    <w:rsid w:val="00370316"/>
    <w:rsid w:val="00370DC7"/>
    <w:rsid w:val="00371CBD"/>
    <w:rsid w:val="00371F20"/>
    <w:rsid w:val="00372009"/>
    <w:rsid w:val="003721E3"/>
    <w:rsid w:val="00372B98"/>
    <w:rsid w:val="003737B7"/>
    <w:rsid w:val="003740CC"/>
    <w:rsid w:val="003745F4"/>
    <w:rsid w:val="00374E79"/>
    <w:rsid w:val="0037529A"/>
    <w:rsid w:val="00375388"/>
    <w:rsid w:val="00375FB9"/>
    <w:rsid w:val="00376170"/>
    <w:rsid w:val="00376851"/>
    <w:rsid w:val="00376FA2"/>
    <w:rsid w:val="00377896"/>
    <w:rsid w:val="00377A3B"/>
    <w:rsid w:val="00377E3C"/>
    <w:rsid w:val="00380BBE"/>
    <w:rsid w:val="00381D70"/>
    <w:rsid w:val="0038235E"/>
    <w:rsid w:val="003829D0"/>
    <w:rsid w:val="0038326A"/>
    <w:rsid w:val="0038444F"/>
    <w:rsid w:val="00385398"/>
    <w:rsid w:val="003861F0"/>
    <w:rsid w:val="00386DA1"/>
    <w:rsid w:val="00387051"/>
    <w:rsid w:val="00387ECF"/>
    <w:rsid w:val="0039021B"/>
    <w:rsid w:val="00390429"/>
    <w:rsid w:val="003906A0"/>
    <w:rsid w:val="00390C8F"/>
    <w:rsid w:val="0039366C"/>
    <w:rsid w:val="00393EC8"/>
    <w:rsid w:val="003950F5"/>
    <w:rsid w:val="0039538F"/>
    <w:rsid w:val="00395E42"/>
    <w:rsid w:val="00396409"/>
    <w:rsid w:val="00396A2D"/>
    <w:rsid w:val="00396FC3"/>
    <w:rsid w:val="003A1034"/>
    <w:rsid w:val="003A1584"/>
    <w:rsid w:val="003A1A94"/>
    <w:rsid w:val="003A204E"/>
    <w:rsid w:val="003A2D25"/>
    <w:rsid w:val="003A52DA"/>
    <w:rsid w:val="003A5728"/>
    <w:rsid w:val="003A60E7"/>
    <w:rsid w:val="003A7092"/>
    <w:rsid w:val="003A72A1"/>
    <w:rsid w:val="003A7611"/>
    <w:rsid w:val="003A7D1F"/>
    <w:rsid w:val="003B0502"/>
    <w:rsid w:val="003B0B6A"/>
    <w:rsid w:val="003B2253"/>
    <w:rsid w:val="003B22F7"/>
    <w:rsid w:val="003B27A8"/>
    <w:rsid w:val="003B29CF"/>
    <w:rsid w:val="003B3A90"/>
    <w:rsid w:val="003B3E4E"/>
    <w:rsid w:val="003B5300"/>
    <w:rsid w:val="003B534F"/>
    <w:rsid w:val="003B77B8"/>
    <w:rsid w:val="003B78EC"/>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6A1E"/>
    <w:rsid w:val="003D7109"/>
    <w:rsid w:val="003D7CE8"/>
    <w:rsid w:val="003E0514"/>
    <w:rsid w:val="003E1032"/>
    <w:rsid w:val="003E12C2"/>
    <w:rsid w:val="003E137F"/>
    <w:rsid w:val="003E1904"/>
    <w:rsid w:val="003E1B85"/>
    <w:rsid w:val="003E285E"/>
    <w:rsid w:val="003E2BE6"/>
    <w:rsid w:val="003E301D"/>
    <w:rsid w:val="003E3124"/>
    <w:rsid w:val="003E3300"/>
    <w:rsid w:val="003E34F7"/>
    <w:rsid w:val="003E43D3"/>
    <w:rsid w:val="003E48E1"/>
    <w:rsid w:val="003E4A0A"/>
    <w:rsid w:val="003E5980"/>
    <w:rsid w:val="003E59BB"/>
    <w:rsid w:val="003E6225"/>
    <w:rsid w:val="003E65AC"/>
    <w:rsid w:val="003E66AE"/>
    <w:rsid w:val="003E72B9"/>
    <w:rsid w:val="003E788F"/>
    <w:rsid w:val="003E7ED4"/>
    <w:rsid w:val="003F0900"/>
    <w:rsid w:val="003F0E52"/>
    <w:rsid w:val="003F0F6B"/>
    <w:rsid w:val="003F1FC6"/>
    <w:rsid w:val="003F1FE3"/>
    <w:rsid w:val="003F2359"/>
    <w:rsid w:val="003F3865"/>
    <w:rsid w:val="003F3D55"/>
    <w:rsid w:val="003F44E2"/>
    <w:rsid w:val="003F4632"/>
    <w:rsid w:val="003F47BA"/>
    <w:rsid w:val="003F4FE6"/>
    <w:rsid w:val="003F5638"/>
    <w:rsid w:val="003F6617"/>
    <w:rsid w:val="004021F9"/>
    <w:rsid w:val="00402332"/>
    <w:rsid w:val="004025C2"/>
    <w:rsid w:val="00403195"/>
    <w:rsid w:val="004033A9"/>
    <w:rsid w:val="00403680"/>
    <w:rsid w:val="00403E55"/>
    <w:rsid w:val="0040407C"/>
    <w:rsid w:val="0040416C"/>
    <w:rsid w:val="00404681"/>
    <w:rsid w:val="00405AC1"/>
    <w:rsid w:val="00406923"/>
    <w:rsid w:val="00407001"/>
    <w:rsid w:val="0040763D"/>
    <w:rsid w:val="00407BC7"/>
    <w:rsid w:val="00410D17"/>
    <w:rsid w:val="0041132B"/>
    <w:rsid w:val="004120B2"/>
    <w:rsid w:val="00413442"/>
    <w:rsid w:val="00413821"/>
    <w:rsid w:val="00413BA5"/>
    <w:rsid w:val="004141A3"/>
    <w:rsid w:val="00414909"/>
    <w:rsid w:val="0041582F"/>
    <w:rsid w:val="00416112"/>
    <w:rsid w:val="004163F6"/>
    <w:rsid w:val="00417AE0"/>
    <w:rsid w:val="00417BAA"/>
    <w:rsid w:val="00417BF9"/>
    <w:rsid w:val="0042042B"/>
    <w:rsid w:val="00420B45"/>
    <w:rsid w:val="00420D7A"/>
    <w:rsid w:val="00421257"/>
    <w:rsid w:val="00422193"/>
    <w:rsid w:val="004223DE"/>
    <w:rsid w:val="00422A10"/>
    <w:rsid w:val="004249C0"/>
    <w:rsid w:val="00424D17"/>
    <w:rsid w:val="00424D9D"/>
    <w:rsid w:val="00425DFD"/>
    <w:rsid w:val="004263A3"/>
    <w:rsid w:val="004269E7"/>
    <w:rsid w:val="00427253"/>
    <w:rsid w:val="00427713"/>
    <w:rsid w:val="00427CCC"/>
    <w:rsid w:val="0043013A"/>
    <w:rsid w:val="00430421"/>
    <w:rsid w:val="0043049B"/>
    <w:rsid w:val="00430A36"/>
    <w:rsid w:val="00430B4F"/>
    <w:rsid w:val="00431084"/>
    <w:rsid w:val="004310D7"/>
    <w:rsid w:val="004313D9"/>
    <w:rsid w:val="004317A6"/>
    <w:rsid w:val="004322D6"/>
    <w:rsid w:val="00432589"/>
    <w:rsid w:val="00432A94"/>
    <w:rsid w:val="00432C95"/>
    <w:rsid w:val="004331F5"/>
    <w:rsid w:val="00433827"/>
    <w:rsid w:val="00433A40"/>
    <w:rsid w:val="00434B70"/>
    <w:rsid w:val="004351A0"/>
    <w:rsid w:val="004360C8"/>
    <w:rsid w:val="00436FA4"/>
    <w:rsid w:val="004371D5"/>
    <w:rsid w:val="00437DE9"/>
    <w:rsid w:val="0044006B"/>
    <w:rsid w:val="0044033F"/>
    <w:rsid w:val="00440630"/>
    <w:rsid w:val="00441F0F"/>
    <w:rsid w:val="00442965"/>
    <w:rsid w:val="00444157"/>
    <w:rsid w:val="0044417C"/>
    <w:rsid w:val="004442E5"/>
    <w:rsid w:val="00444DB3"/>
    <w:rsid w:val="00444F09"/>
    <w:rsid w:val="00445617"/>
    <w:rsid w:val="0044573F"/>
    <w:rsid w:val="00445A2F"/>
    <w:rsid w:val="0044684E"/>
    <w:rsid w:val="00446F22"/>
    <w:rsid w:val="00447A24"/>
    <w:rsid w:val="0045019F"/>
    <w:rsid w:val="004503A4"/>
    <w:rsid w:val="00450555"/>
    <w:rsid w:val="004506FA"/>
    <w:rsid w:val="00450A9F"/>
    <w:rsid w:val="00450DC6"/>
    <w:rsid w:val="004516A5"/>
    <w:rsid w:val="00451E9C"/>
    <w:rsid w:val="0045280F"/>
    <w:rsid w:val="00452C81"/>
    <w:rsid w:val="0045345B"/>
    <w:rsid w:val="004535AE"/>
    <w:rsid w:val="0045444D"/>
    <w:rsid w:val="0045463A"/>
    <w:rsid w:val="00454AC9"/>
    <w:rsid w:val="00455050"/>
    <w:rsid w:val="004554A3"/>
    <w:rsid w:val="00455A6E"/>
    <w:rsid w:val="00455EAD"/>
    <w:rsid w:val="004578EB"/>
    <w:rsid w:val="004604D5"/>
    <w:rsid w:val="00460697"/>
    <w:rsid w:val="0046117B"/>
    <w:rsid w:val="00462727"/>
    <w:rsid w:val="0046441D"/>
    <w:rsid w:val="00464AB7"/>
    <w:rsid w:val="00465DE5"/>
    <w:rsid w:val="00467EF8"/>
    <w:rsid w:val="004705ED"/>
    <w:rsid w:val="00471C56"/>
    <w:rsid w:val="00471FC4"/>
    <w:rsid w:val="00472429"/>
    <w:rsid w:val="004725E5"/>
    <w:rsid w:val="00472751"/>
    <w:rsid w:val="00473128"/>
    <w:rsid w:val="004741DC"/>
    <w:rsid w:val="00475078"/>
    <w:rsid w:val="00475767"/>
    <w:rsid w:val="004765FB"/>
    <w:rsid w:val="004779A0"/>
    <w:rsid w:val="004808E3"/>
    <w:rsid w:val="00481016"/>
    <w:rsid w:val="0048204C"/>
    <w:rsid w:val="004821BB"/>
    <w:rsid w:val="004826FE"/>
    <w:rsid w:val="004827D5"/>
    <w:rsid w:val="00482AF2"/>
    <w:rsid w:val="004830C9"/>
    <w:rsid w:val="00483347"/>
    <w:rsid w:val="00483E2E"/>
    <w:rsid w:val="00483E89"/>
    <w:rsid w:val="00484B69"/>
    <w:rsid w:val="00484D4F"/>
    <w:rsid w:val="00485406"/>
    <w:rsid w:val="0048590F"/>
    <w:rsid w:val="00486D60"/>
    <w:rsid w:val="00491FA1"/>
    <w:rsid w:val="00492A25"/>
    <w:rsid w:val="004938A3"/>
    <w:rsid w:val="0049558B"/>
    <w:rsid w:val="00496350"/>
    <w:rsid w:val="0049797C"/>
    <w:rsid w:val="00497B25"/>
    <w:rsid w:val="004A0404"/>
    <w:rsid w:val="004A0943"/>
    <w:rsid w:val="004A1405"/>
    <w:rsid w:val="004A1FC6"/>
    <w:rsid w:val="004A2E5F"/>
    <w:rsid w:val="004A38C2"/>
    <w:rsid w:val="004A3C03"/>
    <w:rsid w:val="004A3DB7"/>
    <w:rsid w:val="004A5088"/>
    <w:rsid w:val="004A5255"/>
    <w:rsid w:val="004A6CB0"/>
    <w:rsid w:val="004A70FF"/>
    <w:rsid w:val="004A76D5"/>
    <w:rsid w:val="004A7EDE"/>
    <w:rsid w:val="004B081B"/>
    <w:rsid w:val="004B0D93"/>
    <w:rsid w:val="004B1FA4"/>
    <w:rsid w:val="004B29AC"/>
    <w:rsid w:val="004B35DF"/>
    <w:rsid w:val="004B3627"/>
    <w:rsid w:val="004B4922"/>
    <w:rsid w:val="004B57DF"/>
    <w:rsid w:val="004B5976"/>
    <w:rsid w:val="004B681F"/>
    <w:rsid w:val="004B722E"/>
    <w:rsid w:val="004B72E8"/>
    <w:rsid w:val="004C01A5"/>
    <w:rsid w:val="004C0412"/>
    <w:rsid w:val="004C065B"/>
    <w:rsid w:val="004C0802"/>
    <w:rsid w:val="004C1142"/>
    <w:rsid w:val="004C1956"/>
    <w:rsid w:val="004C2138"/>
    <w:rsid w:val="004C2E27"/>
    <w:rsid w:val="004C3940"/>
    <w:rsid w:val="004C440C"/>
    <w:rsid w:val="004C51FD"/>
    <w:rsid w:val="004C65A8"/>
    <w:rsid w:val="004C6689"/>
    <w:rsid w:val="004D139A"/>
    <w:rsid w:val="004D14DC"/>
    <w:rsid w:val="004D17C6"/>
    <w:rsid w:val="004D2858"/>
    <w:rsid w:val="004D2E49"/>
    <w:rsid w:val="004D35BA"/>
    <w:rsid w:val="004D38E5"/>
    <w:rsid w:val="004D3C5A"/>
    <w:rsid w:val="004D449A"/>
    <w:rsid w:val="004D4701"/>
    <w:rsid w:val="004D47C7"/>
    <w:rsid w:val="004D48FB"/>
    <w:rsid w:val="004D4F35"/>
    <w:rsid w:val="004D5D45"/>
    <w:rsid w:val="004D618D"/>
    <w:rsid w:val="004D62A9"/>
    <w:rsid w:val="004D6EA4"/>
    <w:rsid w:val="004D6FC3"/>
    <w:rsid w:val="004D7476"/>
    <w:rsid w:val="004D7716"/>
    <w:rsid w:val="004E0306"/>
    <w:rsid w:val="004E0572"/>
    <w:rsid w:val="004E06D5"/>
    <w:rsid w:val="004E0706"/>
    <w:rsid w:val="004E1641"/>
    <w:rsid w:val="004E1818"/>
    <w:rsid w:val="004E1990"/>
    <w:rsid w:val="004E25A8"/>
    <w:rsid w:val="004E3930"/>
    <w:rsid w:val="004E3ED9"/>
    <w:rsid w:val="004E5866"/>
    <w:rsid w:val="004E6097"/>
    <w:rsid w:val="004E61EF"/>
    <w:rsid w:val="004E63C6"/>
    <w:rsid w:val="004E6846"/>
    <w:rsid w:val="004E6ABA"/>
    <w:rsid w:val="004E76A7"/>
    <w:rsid w:val="004E7B03"/>
    <w:rsid w:val="004F0064"/>
    <w:rsid w:val="004F06AC"/>
    <w:rsid w:val="004F0A13"/>
    <w:rsid w:val="004F1D2A"/>
    <w:rsid w:val="004F243F"/>
    <w:rsid w:val="004F252C"/>
    <w:rsid w:val="004F36A3"/>
    <w:rsid w:val="004F3E0C"/>
    <w:rsid w:val="004F4308"/>
    <w:rsid w:val="004F63EF"/>
    <w:rsid w:val="004F7160"/>
    <w:rsid w:val="00500258"/>
    <w:rsid w:val="00500B2D"/>
    <w:rsid w:val="00501A99"/>
    <w:rsid w:val="00502B73"/>
    <w:rsid w:val="00503180"/>
    <w:rsid w:val="005038A4"/>
    <w:rsid w:val="005041FC"/>
    <w:rsid w:val="00505450"/>
    <w:rsid w:val="005055C4"/>
    <w:rsid w:val="00506A97"/>
    <w:rsid w:val="005100B7"/>
    <w:rsid w:val="005113C9"/>
    <w:rsid w:val="0051170D"/>
    <w:rsid w:val="00511781"/>
    <w:rsid w:val="00512050"/>
    <w:rsid w:val="00512055"/>
    <w:rsid w:val="0051280C"/>
    <w:rsid w:val="00512842"/>
    <w:rsid w:val="005128BE"/>
    <w:rsid w:val="0051356F"/>
    <w:rsid w:val="00513E7C"/>
    <w:rsid w:val="005140BB"/>
    <w:rsid w:val="00514D10"/>
    <w:rsid w:val="00514FBE"/>
    <w:rsid w:val="00514FD9"/>
    <w:rsid w:val="0051550A"/>
    <w:rsid w:val="0051608F"/>
    <w:rsid w:val="005171C6"/>
    <w:rsid w:val="0051748C"/>
    <w:rsid w:val="00520EF8"/>
    <w:rsid w:val="005210F7"/>
    <w:rsid w:val="00521753"/>
    <w:rsid w:val="0052239D"/>
    <w:rsid w:val="005224EE"/>
    <w:rsid w:val="00522879"/>
    <w:rsid w:val="00522888"/>
    <w:rsid w:val="00523BB1"/>
    <w:rsid w:val="00524839"/>
    <w:rsid w:val="0052570E"/>
    <w:rsid w:val="005260CD"/>
    <w:rsid w:val="00526265"/>
    <w:rsid w:val="0052655D"/>
    <w:rsid w:val="005265E0"/>
    <w:rsid w:val="00526BC3"/>
    <w:rsid w:val="00531761"/>
    <w:rsid w:val="00531820"/>
    <w:rsid w:val="00531914"/>
    <w:rsid w:val="0053248F"/>
    <w:rsid w:val="0053332A"/>
    <w:rsid w:val="0053358A"/>
    <w:rsid w:val="00534668"/>
    <w:rsid w:val="00534DDD"/>
    <w:rsid w:val="00535291"/>
    <w:rsid w:val="00535A94"/>
    <w:rsid w:val="00536C5F"/>
    <w:rsid w:val="005377FF"/>
    <w:rsid w:val="00537874"/>
    <w:rsid w:val="0053795F"/>
    <w:rsid w:val="00537D3D"/>
    <w:rsid w:val="00540511"/>
    <w:rsid w:val="00540578"/>
    <w:rsid w:val="00540808"/>
    <w:rsid w:val="0054080E"/>
    <w:rsid w:val="00540EA1"/>
    <w:rsid w:val="00541573"/>
    <w:rsid w:val="00542DFB"/>
    <w:rsid w:val="0054358E"/>
    <w:rsid w:val="00543AF4"/>
    <w:rsid w:val="00544191"/>
    <w:rsid w:val="0054440C"/>
    <w:rsid w:val="005448EC"/>
    <w:rsid w:val="00544B77"/>
    <w:rsid w:val="00544C0A"/>
    <w:rsid w:val="00544F39"/>
    <w:rsid w:val="00546F90"/>
    <w:rsid w:val="00547EFB"/>
    <w:rsid w:val="00551B83"/>
    <w:rsid w:val="005522F2"/>
    <w:rsid w:val="005531DF"/>
    <w:rsid w:val="00553874"/>
    <w:rsid w:val="00554577"/>
    <w:rsid w:val="00554AD8"/>
    <w:rsid w:val="00554B7C"/>
    <w:rsid w:val="00554F78"/>
    <w:rsid w:val="005551D7"/>
    <w:rsid w:val="00555DA1"/>
    <w:rsid w:val="00556BF7"/>
    <w:rsid w:val="005574B4"/>
    <w:rsid w:val="00557F60"/>
    <w:rsid w:val="00561730"/>
    <w:rsid w:val="00561B97"/>
    <w:rsid w:val="00562149"/>
    <w:rsid w:val="005678D5"/>
    <w:rsid w:val="00567B5D"/>
    <w:rsid w:val="00570757"/>
    <w:rsid w:val="00573116"/>
    <w:rsid w:val="0057354E"/>
    <w:rsid w:val="00573733"/>
    <w:rsid w:val="00573D73"/>
    <w:rsid w:val="00573E3F"/>
    <w:rsid w:val="00573F8B"/>
    <w:rsid w:val="00574554"/>
    <w:rsid w:val="00574E06"/>
    <w:rsid w:val="005751BB"/>
    <w:rsid w:val="00575343"/>
    <w:rsid w:val="005756EC"/>
    <w:rsid w:val="00575862"/>
    <w:rsid w:val="00576089"/>
    <w:rsid w:val="00576358"/>
    <w:rsid w:val="005764B1"/>
    <w:rsid w:val="00576852"/>
    <w:rsid w:val="00576D06"/>
    <w:rsid w:val="005772DD"/>
    <w:rsid w:val="0057741F"/>
    <w:rsid w:val="005779E4"/>
    <w:rsid w:val="00580EC7"/>
    <w:rsid w:val="00581132"/>
    <w:rsid w:val="0058289C"/>
    <w:rsid w:val="005834C4"/>
    <w:rsid w:val="005836C7"/>
    <w:rsid w:val="0058408E"/>
    <w:rsid w:val="00585374"/>
    <w:rsid w:val="005854CA"/>
    <w:rsid w:val="00585FAB"/>
    <w:rsid w:val="00586F6E"/>
    <w:rsid w:val="00590B77"/>
    <w:rsid w:val="00590D9A"/>
    <w:rsid w:val="005913A3"/>
    <w:rsid w:val="005940D4"/>
    <w:rsid w:val="00594A7B"/>
    <w:rsid w:val="0059580E"/>
    <w:rsid w:val="00595D90"/>
    <w:rsid w:val="00596A6F"/>
    <w:rsid w:val="00596FCE"/>
    <w:rsid w:val="0059718C"/>
    <w:rsid w:val="005A11BC"/>
    <w:rsid w:val="005A1525"/>
    <w:rsid w:val="005A1C70"/>
    <w:rsid w:val="005A1E17"/>
    <w:rsid w:val="005A252B"/>
    <w:rsid w:val="005A29F4"/>
    <w:rsid w:val="005A2A8F"/>
    <w:rsid w:val="005A3204"/>
    <w:rsid w:val="005A3341"/>
    <w:rsid w:val="005A3C3D"/>
    <w:rsid w:val="005A455A"/>
    <w:rsid w:val="005A46EC"/>
    <w:rsid w:val="005A5EAE"/>
    <w:rsid w:val="005A60B9"/>
    <w:rsid w:val="005A6407"/>
    <w:rsid w:val="005A726C"/>
    <w:rsid w:val="005B07EC"/>
    <w:rsid w:val="005B279F"/>
    <w:rsid w:val="005B2B11"/>
    <w:rsid w:val="005B32A4"/>
    <w:rsid w:val="005B3371"/>
    <w:rsid w:val="005B338D"/>
    <w:rsid w:val="005B36D7"/>
    <w:rsid w:val="005B3BAF"/>
    <w:rsid w:val="005B4DA3"/>
    <w:rsid w:val="005B5280"/>
    <w:rsid w:val="005B5BEA"/>
    <w:rsid w:val="005B5BEE"/>
    <w:rsid w:val="005B77D2"/>
    <w:rsid w:val="005C019B"/>
    <w:rsid w:val="005C08D0"/>
    <w:rsid w:val="005C1AED"/>
    <w:rsid w:val="005C203C"/>
    <w:rsid w:val="005C2187"/>
    <w:rsid w:val="005C30C7"/>
    <w:rsid w:val="005C30F5"/>
    <w:rsid w:val="005C51A5"/>
    <w:rsid w:val="005C557A"/>
    <w:rsid w:val="005C566F"/>
    <w:rsid w:val="005C5C47"/>
    <w:rsid w:val="005C61DD"/>
    <w:rsid w:val="005C6438"/>
    <w:rsid w:val="005C6A03"/>
    <w:rsid w:val="005C6B8B"/>
    <w:rsid w:val="005C727F"/>
    <w:rsid w:val="005D02E3"/>
    <w:rsid w:val="005D1F34"/>
    <w:rsid w:val="005D22D4"/>
    <w:rsid w:val="005D2C1F"/>
    <w:rsid w:val="005D2DE8"/>
    <w:rsid w:val="005D34B2"/>
    <w:rsid w:val="005D3B54"/>
    <w:rsid w:val="005D40CD"/>
    <w:rsid w:val="005D63ED"/>
    <w:rsid w:val="005D6B59"/>
    <w:rsid w:val="005D7120"/>
    <w:rsid w:val="005D7812"/>
    <w:rsid w:val="005D784B"/>
    <w:rsid w:val="005E03E4"/>
    <w:rsid w:val="005E0454"/>
    <w:rsid w:val="005E05F6"/>
    <w:rsid w:val="005E1455"/>
    <w:rsid w:val="005E2442"/>
    <w:rsid w:val="005E2916"/>
    <w:rsid w:val="005E3111"/>
    <w:rsid w:val="005E3F85"/>
    <w:rsid w:val="005E49E1"/>
    <w:rsid w:val="005E4A5F"/>
    <w:rsid w:val="005E57B0"/>
    <w:rsid w:val="005E5B01"/>
    <w:rsid w:val="005E6A3E"/>
    <w:rsid w:val="005E6D3B"/>
    <w:rsid w:val="005F009E"/>
    <w:rsid w:val="005F0DF1"/>
    <w:rsid w:val="005F1516"/>
    <w:rsid w:val="005F229E"/>
    <w:rsid w:val="005F2564"/>
    <w:rsid w:val="005F2B7E"/>
    <w:rsid w:val="005F36AD"/>
    <w:rsid w:val="005F3822"/>
    <w:rsid w:val="005F4635"/>
    <w:rsid w:val="005F4900"/>
    <w:rsid w:val="005F4E52"/>
    <w:rsid w:val="005F5A29"/>
    <w:rsid w:val="005F6D58"/>
    <w:rsid w:val="005F7383"/>
    <w:rsid w:val="0060058E"/>
    <w:rsid w:val="00601C8F"/>
    <w:rsid w:val="00601F77"/>
    <w:rsid w:val="00602A3C"/>
    <w:rsid w:val="006033B9"/>
    <w:rsid w:val="00603EFD"/>
    <w:rsid w:val="0060475B"/>
    <w:rsid w:val="00604BED"/>
    <w:rsid w:val="00604FB6"/>
    <w:rsid w:val="00605387"/>
    <w:rsid w:val="00606302"/>
    <w:rsid w:val="00606791"/>
    <w:rsid w:val="006076FD"/>
    <w:rsid w:val="006112E0"/>
    <w:rsid w:val="0061143F"/>
    <w:rsid w:val="006114D8"/>
    <w:rsid w:val="00613553"/>
    <w:rsid w:val="00613601"/>
    <w:rsid w:val="00613791"/>
    <w:rsid w:val="006150D6"/>
    <w:rsid w:val="00615245"/>
    <w:rsid w:val="0061590D"/>
    <w:rsid w:val="00616015"/>
    <w:rsid w:val="0061641E"/>
    <w:rsid w:val="00617EEE"/>
    <w:rsid w:val="00620A1F"/>
    <w:rsid w:val="00621561"/>
    <w:rsid w:val="0062169D"/>
    <w:rsid w:val="0062181E"/>
    <w:rsid w:val="0062183C"/>
    <w:rsid w:val="0062211B"/>
    <w:rsid w:val="00622AB2"/>
    <w:rsid w:val="00622BB7"/>
    <w:rsid w:val="00622C1E"/>
    <w:rsid w:val="00623389"/>
    <w:rsid w:val="00623DAA"/>
    <w:rsid w:val="00623FAF"/>
    <w:rsid w:val="006265C4"/>
    <w:rsid w:val="0062678A"/>
    <w:rsid w:val="006270AF"/>
    <w:rsid w:val="00627F64"/>
    <w:rsid w:val="00632D04"/>
    <w:rsid w:val="00634367"/>
    <w:rsid w:val="00635CE0"/>
    <w:rsid w:val="00640082"/>
    <w:rsid w:val="00640291"/>
    <w:rsid w:val="006408B6"/>
    <w:rsid w:val="00640EFE"/>
    <w:rsid w:val="00641D6D"/>
    <w:rsid w:val="00641FAC"/>
    <w:rsid w:val="00643664"/>
    <w:rsid w:val="00643CAA"/>
    <w:rsid w:val="006442B0"/>
    <w:rsid w:val="00644F16"/>
    <w:rsid w:val="006455EB"/>
    <w:rsid w:val="006456C2"/>
    <w:rsid w:val="00645A65"/>
    <w:rsid w:val="0064666E"/>
    <w:rsid w:val="00646785"/>
    <w:rsid w:val="006477F0"/>
    <w:rsid w:val="006478E4"/>
    <w:rsid w:val="0065171A"/>
    <w:rsid w:val="00652680"/>
    <w:rsid w:val="00653B9F"/>
    <w:rsid w:val="00653CDE"/>
    <w:rsid w:val="00654585"/>
    <w:rsid w:val="0065551D"/>
    <w:rsid w:val="00655AB6"/>
    <w:rsid w:val="00656281"/>
    <w:rsid w:val="0065636A"/>
    <w:rsid w:val="00656907"/>
    <w:rsid w:val="00657003"/>
    <w:rsid w:val="00660238"/>
    <w:rsid w:val="006602EF"/>
    <w:rsid w:val="00661277"/>
    <w:rsid w:val="006619E0"/>
    <w:rsid w:val="0066269A"/>
    <w:rsid w:val="00663FEA"/>
    <w:rsid w:val="00664803"/>
    <w:rsid w:val="006657C5"/>
    <w:rsid w:val="006661A4"/>
    <w:rsid w:val="00666AC0"/>
    <w:rsid w:val="006670E0"/>
    <w:rsid w:val="006671B8"/>
    <w:rsid w:val="00667275"/>
    <w:rsid w:val="00667532"/>
    <w:rsid w:val="0066783E"/>
    <w:rsid w:val="00667E53"/>
    <w:rsid w:val="0067039C"/>
    <w:rsid w:val="006711C4"/>
    <w:rsid w:val="006713AB"/>
    <w:rsid w:val="0067236E"/>
    <w:rsid w:val="00672CA5"/>
    <w:rsid w:val="006735EA"/>
    <w:rsid w:val="00673711"/>
    <w:rsid w:val="00673F82"/>
    <w:rsid w:val="00674F74"/>
    <w:rsid w:val="0067508F"/>
    <w:rsid w:val="00677576"/>
    <w:rsid w:val="0068051E"/>
    <w:rsid w:val="00680B9D"/>
    <w:rsid w:val="00681165"/>
    <w:rsid w:val="00681F13"/>
    <w:rsid w:val="0068231C"/>
    <w:rsid w:val="00682344"/>
    <w:rsid w:val="00682B23"/>
    <w:rsid w:val="00682D72"/>
    <w:rsid w:val="00682F28"/>
    <w:rsid w:val="00683515"/>
    <w:rsid w:val="006836E9"/>
    <w:rsid w:val="00684842"/>
    <w:rsid w:val="006859AA"/>
    <w:rsid w:val="00685BD6"/>
    <w:rsid w:val="006869F7"/>
    <w:rsid w:val="00687116"/>
    <w:rsid w:val="006878A6"/>
    <w:rsid w:val="00687D5F"/>
    <w:rsid w:val="00690437"/>
    <w:rsid w:val="00690DC3"/>
    <w:rsid w:val="00690E65"/>
    <w:rsid w:val="00690FEC"/>
    <w:rsid w:val="006911B7"/>
    <w:rsid w:val="00691387"/>
    <w:rsid w:val="0069188E"/>
    <w:rsid w:val="00691974"/>
    <w:rsid w:val="00692BF6"/>
    <w:rsid w:val="00692CE6"/>
    <w:rsid w:val="00692EF5"/>
    <w:rsid w:val="00693186"/>
    <w:rsid w:val="00693381"/>
    <w:rsid w:val="00693B6C"/>
    <w:rsid w:val="006942AE"/>
    <w:rsid w:val="00694E7D"/>
    <w:rsid w:val="00695421"/>
    <w:rsid w:val="00697BD3"/>
    <w:rsid w:val="00697DFA"/>
    <w:rsid w:val="006A056D"/>
    <w:rsid w:val="006A1135"/>
    <w:rsid w:val="006A15AD"/>
    <w:rsid w:val="006A16D5"/>
    <w:rsid w:val="006A1772"/>
    <w:rsid w:val="006A1780"/>
    <w:rsid w:val="006A21DD"/>
    <w:rsid w:val="006A26C6"/>
    <w:rsid w:val="006A3302"/>
    <w:rsid w:val="006A3AE7"/>
    <w:rsid w:val="006A3B28"/>
    <w:rsid w:val="006A4FEE"/>
    <w:rsid w:val="006A703E"/>
    <w:rsid w:val="006A7BE3"/>
    <w:rsid w:val="006A7D32"/>
    <w:rsid w:val="006B01D1"/>
    <w:rsid w:val="006B0DF4"/>
    <w:rsid w:val="006B0E2B"/>
    <w:rsid w:val="006B16EA"/>
    <w:rsid w:val="006B1780"/>
    <w:rsid w:val="006B224E"/>
    <w:rsid w:val="006B376E"/>
    <w:rsid w:val="006B4589"/>
    <w:rsid w:val="006B4F23"/>
    <w:rsid w:val="006B610E"/>
    <w:rsid w:val="006B63BE"/>
    <w:rsid w:val="006B6805"/>
    <w:rsid w:val="006B6DE0"/>
    <w:rsid w:val="006C16C3"/>
    <w:rsid w:val="006C2187"/>
    <w:rsid w:val="006C32F4"/>
    <w:rsid w:val="006C3C54"/>
    <w:rsid w:val="006C4B6B"/>
    <w:rsid w:val="006C4F9F"/>
    <w:rsid w:val="006C71A2"/>
    <w:rsid w:val="006C73EC"/>
    <w:rsid w:val="006D0C1D"/>
    <w:rsid w:val="006D16BE"/>
    <w:rsid w:val="006D2B20"/>
    <w:rsid w:val="006D2E9D"/>
    <w:rsid w:val="006D4A4E"/>
    <w:rsid w:val="006D4C42"/>
    <w:rsid w:val="006D5389"/>
    <w:rsid w:val="006D5809"/>
    <w:rsid w:val="006D607E"/>
    <w:rsid w:val="006D6E12"/>
    <w:rsid w:val="006D70CB"/>
    <w:rsid w:val="006D715C"/>
    <w:rsid w:val="006D7363"/>
    <w:rsid w:val="006D774E"/>
    <w:rsid w:val="006E0754"/>
    <w:rsid w:val="006E1A9C"/>
    <w:rsid w:val="006E2668"/>
    <w:rsid w:val="006E2D39"/>
    <w:rsid w:val="006E32B0"/>
    <w:rsid w:val="006E348E"/>
    <w:rsid w:val="006E396A"/>
    <w:rsid w:val="006E3D63"/>
    <w:rsid w:val="006E57DD"/>
    <w:rsid w:val="006E58BF"/>
    <w:rsid w:val="006E5DD8"/>
    <w:rsid w:val="006E5EA1"/>
    <w:rsid w:val="006E6DEE"/>
    <w:rsid w:val="006E7D4B"/>
    <w:rsid w:val="006F0760"/>
    <w:rsid w:val="006F0C80"/>
    <w:rsid w:val="006F11E2"/>
    <w:rsid w:val="006F2574"/>
    <w:rsid w:val="006F3221"/>
    <w:rsid w:val="006F3231"/>
    <w:rsid w:val="006F3DE3"/>
    <w:rsid w:val="006F4787"/>
    <w:rsid w:val="006F61D8"/>
    <w:rsid w:val="006F62B7"/>
    <w:rsid w:val="006F70BC"/>
    <w:rsid w:val="006F7E7C"/>
    <w:rsid w:val="0070174E"/>
    <w:rsid w:val="007018DB"/>
    <w:rsid w:val="00701DE6"/>
    <w:rsid w:val="00702740"/>
    <w:rsid w:val="0070381B"/>
    <w:rsid w:val="00705554"/>
    <w:rsid w:val="00705593"/>
    <w:rsid w:val="00705896"/>
    <w:rsid w:val="007062D2"/>
    <w:rsid w:val="0070796C"/>
    <w:rsid w:val="007109BB"/>
    <w:rsid w:val="00710EBF"/>
    <w:rsid w:val="007110B8"/>
    <w:rsid w:val="0071209F"/>
    <w:rsid w:val="007125A2"/>
    <w:rsid w:val="00712BAE"/>
    <w:rsid w:val="00713591"/>
    <w:rsid w:val="00713DD9"/>
    <w:rsid w:val="00713F79"/>
    <w:rsid w:val="007148A8"/>
    <w:rsid w:val="0071569F"/>
    <w:rsid w:val="00716AC8"/>
    <w:rsid w:val="00716E54"/>
    <w:rsid w:val="00717421"/>
    <w:rsid w:val="0072005B"/>
    <w:rsid w:val="0072033C"/>
    <w:rsid w:val="00720B1B"/>
    <w:rsid w:val="00720B9C"/>
    <w:rsid w:val="00721062"/>
    <w:rsid w:val="00721E5D"/>
    <w:rsid w:val="007229D4"/>
    <w:rsid w:val="007230F8"/>
    <w:rsid w:val="007233F4"/>
    <w:rsid w:val="00723B2E"/>
    <w:rsid w:val="00724044"/>
    <w:rsid w:val="007248D3"/>
    <w:rsid w:val="00724DF8"/>
    <w:rsid w:val="00725137"/>
    <w:rsid w:val="00725378"/>
    <w:rsid w:val="00727A43"/>
    <w:rsid w:val="00727F2A"/>
    <w:rsid w:val="00727F39"/>
    <w:rsid w:val="00727FF2"/>
    <w:rsid w:val="00730550"/>
    <w:rsid w:val="00730C2A"/>
    <w:rsid w:val="00731434"/>
    <w:rsid w:val="00731E59"/>
    <w:rsid w:val="007323E0"/>
    <w:rsid w:val="00732911"/>
    <w:rsid w:val="00733721"/>
    <w:rsid w:val="00733BF9"/>
    <w:rsid w:val="00733DE2"/>
    <w:rsid w:val="00734B6C"/>
    <w:rsid w:val="007352EA"/>
    <w:rsid w:val="00735842"/>
    <w:rsid w:val="0073619A"/>
    <w:rsid w:val="0073792F"/>
    <w:rsid w:val="00740C81"/>
    <w:rsid w:val="00740DA6"/>
    <w:rsid w:val="00741B4B"/>
    <w:rsid w:val="00741D1E"/>
    <w:rsid w:val="00741DD6"/>
    <w:rsid w:val="00741EE2"/>
    <w:rsid w:val="0074207F"/>
    <w:rsid w:val="00742367"/>
    <w:rsid w:val="00742EAA"/>
    <w:rsid w:val="00743360"/>
    <w:rsid w:val="0074371E"/>
    <w:rsid w:val="00743818"/>
    <w:rsid w:val="00743857"/>
    <w:rsid w:val="007441FB"/>
    <w:rsid w:val="00744517"/>
    <w:rsid w:val="0074522A"/>
    <w:rsid w:val="00746896"/>
    <w:rsid w:val="00747295"/>
    <w:rsid w:val="00747829"/>
    <w:rsid w:val="00747DE2"/>
    <w:rsid w:val="007504BF"/>
    <w:rsid w:val="007506CD"/>
    <w:rsid w:val="00751276"/>
    <w:rsid w:val="0075267F"/>
    <w:rsid w:val="007526EC"/>
    <w:rsid w:val="00753C48"/>
    <w:rsid w:val="00754250"/>
    <w:rsid w:val="00754FE4"/>
    <w:rsid w:val="0075508F"/>
    <w:rsid w:val="00755216"/>
    <w:rsid w:val="00756236"/>
    <w:rsid w:val="00756271"/>
    <w:rsid w:val="00756348"/>
    <w:rsid w:val="00756521"/>
    <w:rsid w:val="00756AB7"/>
    <w:rsid w:val="00757E5C"/>
    <w:rsid w:val="0076106D"/>
    <w:rsid w:val="007623FB"/>
    <w:rsid w:val="00762517"/>
    <w:rsid w:val="00763240"/>
    <w:rsid w:val="0076376A"/>
    <w:rsid w:val="00763FF9"/>
    <w:rsid w:val="007648AD"/>
    <w:rsid w:val="00764C5E"/>
    <w:rsid w:val="0076504E"/>
    <w:rsid w:val="00767BFD"/>
    <w:rsid w:val="00767EA0"/>
    <w:rsid w:val="0077056B"/>
    <w:rsid w:val="0077068F"/>
    <w:rsid w:val="00771EDF"/>
    <w:rsid w:val="0077290B"/>
    <w:rsid w:val="00772A90"/>
    <w:rsid w:val="00772F8D"/>
    <w:rsid w:val="00773602"/>
    <w:rsid w:val="00773916"/>
    <w:rsid w:val="00773E18"/>
    <w:rsid w:val="0077408D"/>
    <w:rsid w:val="00774270"/>
    <w:rsid w:val="007743F6"/>
    <w:rsid w:val="00775679"/>
    <w:rsid w:val="0077574F"/>
    <w:rsid w:val="00775823"/>
    <w:rsid w:val="007777CC"/>
    <w:rsid w:val="00777B32"/>
    <w:rsid w:val="0078051E"/>
    <w:rsid w:val="00781087"/>
    <w:rsid w:val="00781089"/>
    <w:rsid w:val="00781210"/>
    <w:rsid w:val="00781425"/>
    <w:rsid w:val="0078313A"/>
    <w:rsid w:val="007838F3"/>
    <w:rsid w:val="00783C84"/>
    <w:rsid w:val="007856FE"/>
    <w:rsid w:val="00785F46"/>
    <w:rsid w:val="007865F4"/>
    <w:rsid w:val="00786D5C"/>
    <w:rsid w:val="00786E96"/>
    <w:rsid w:val="0078798A"/>
    <w:rsid w:val="00787DFF"/>
    <w:rsid w:val="00787F93"/>
    <w:rsid w:val="00791E6D"/>
    <w:rsid w:val="00791EB5"/>
    <w:rsid w:val="00791FF2"/>
    <w:rsid w:val="00793696"/>
    <w:rsid w:val="007955DA"/>
    <w:rsid w:val="007958E0"/>
    <w:rsid w:val="00796F65"/>
    <w:rsid w:val="007970C7"/>
    <w:rsid w:val="007A008B"/>
    <w:rsid w:val="007A0D83"/>
    <w:rsid w:val="007A11C2"/>
    <w:rsid w:val="007A18BB"/>
    <w:rsid w:val="007A27DD"/>
    <w:rsid w:val="007A41BF"/>
    <w:rsid w:val="007A43F1"/>
    <w:rsid w:val="007A490A"/>
    <w:rsid w:val="007A7B95"/>
    <w:rsid w:val="007B0297"/>
    <w:rsid w:val="007B02FA"/>
    <w:rsid w:val="007B0F53"/>
    <w:rsid w:val="007B21AE"/>
    <w:rsid w:val="007B2254"/>
    <w:rsid w:val="007B2570"/>
    <w:rsid w:val="007B3113"/>
    <w:rsid w:val="007B3304"/>
    <w:rsid w:val="007B4CD7"/>
    <w:rsid w:val="007B5992"/>
    <w:rsid w:val="007B5CDC"/>
    <w:rsid w:val="007B7490"/>
    <w:rsid w:val="007C0525"/>
    <w:rsid w:val="007C13F7"/>
    <w:rsid w:val="007C218D"/>
    <w:rsid w:val="007C2D28"/>
    <w:rsid w:val="007C3E22"/>
    <w:rsid w:val="007C49EE"/>
    <w:rsid w:val="007C5B90"/>
    <w:rsid w:val="007C6218"/>
    <w:rsid w:val="007C6377"/>
    <w:rsid w:val="007C6484"/>
    <w:rsid w:val="007C6622"/>
    <w:rsid w:val="007C67C6"/>
    <w:rsid w:val="007C706A"/>
    <w:rsid w:val="007C78BE"/>
    <w:rsid w:val="007C7E59"/>
    <w:rsid w:val="007D0476"/>
    <w:rsid w:val="007D0B91"/>
    <w:rsid w:val="007D1452"/>
    <w:rsid w:val="007D3DCB"/>
    <w:rsid w:val="007D460C"/>
    <w:rsid w:val="007D4996"/>
    <w:rsid w:val="007D4AD3"/>
    <w:rsid w:val="007D4D2F"/>
    <w:rsid w:val="007D5D19"/>
    <w:rsid w:val="007D5FDC"/>
    <w:rsid w:val="007D6176"/>
    <w:rsid w:val="007D6D68"/>
    <w:rsid w:val="007E0EE2"/>
    <w:rsid w:val="007E284D"/>
    <w:rsid w:val="007E32DA"/>
    <w:rsid w:val="007E3AE3"/>
    <w:rsid w:val="007E4388"/>
    <w:rsid w:val="007E489F"/>
    <w:rsid w:val="007E4998"/>
    <w:rsid w:val="007E4A9C"/>
    <w:rsid w:val="007E52D7"/>
    <w:rsid w:val="007E6914"/>
    <w:rsid w:val="007E7B11"/>
    <w:rsid w:val="007E7F78"/>
    <w:rsid w:val="007F0179"/>
    <w:rsid w:val="007F07A0"/>
    <w:rsid w:val="007F18C4"/>
    <w:rsid w:val="007F19A7"/>
    <w:rsid w:val="007F2C13"/>
    <w:rsid w:val="007F2CEC"/>
    <w:rsid w:val="007F3435"/>
    <w:rsid w:val="007F42CE"/>
    <w:rsid w:val="007F5084"/>
    <w:rsid w:val="007F55DE"/>
    <w:rsid w:val="007F564B"/>
    <w:rsid w:val="007F762D"/>
    <w:rsid w:val="007F78F0"/>
    <w:rsid w:val="007F78FF"/>
    <w:rsid w:val="008001C5"/>
    <w:rsid w:val="00800F6C"/>
    <w:rsid w:val="00801065"/>
    <w:rsid w:val="00802C0B"/>
    <w:rsid w:val="00804393"/>
    <w:rsid w:val="008051FC"/>
    <w:rsid w:val="008055A9"/>
    <w:rsid w:val="008056C4"/>
    <w:rsid w:val="008057FD"/>
    <w:rsid w:val="00805D8B"/>
    <w:rsid w:val="0080773A"/>
    <w:rsid w:val="008100DE"/>
    <w:rsid w:val="00810BB6"/>
    <w:rsid w:val="00810E8E"/>
    <w:rsid w:val="00812314"/>
    <w:rsid w:val="00812C44"/>
    <w:rsid w:val="008135E1"/>
    <w:rsid w:val="00813779"/>
    <w:rsid w:val="00813E26"/>
    <w:rsid w:val="0081481D"/>
    <w:rsid w:val="00814BE8"/>
    <w:rsid w:val="00814F6E"/>
    <w:rsid w:val="00815363"/>
    <w:rsid w:val="00815522"/>
    <w:rsid w:val="00815B84"/>
    <w:rsid w:val="00816BE9"/>
    <w:rsid w:val="00817693"/>
    <w:rsid w:val="0082027C"/>
    <w:rsid w:val="0082097E"/>
    <w:rsid w:val="00822518"/>
    <w:rsid w:val="008226F5"/>
    <w:rsid w:val="00823FC6"/>
    <w:rsid w:val="00824306"/>
    <w:rsid w:val="00825C74"/>
    <w:rsid w:val="00825CFA"/>
    <w:rsid w:val="00826AB9"/>
    <w:rsid w:val="00826E0E"/>
    <w:rsid w:val="0082711B"/>
    <w:rsid w:val="00827D11"/>
    <w:rsid w:val="00827E0F"/>
    <w:rsid w:val="00827F6E"/>
    <w:rsid w:val="0083050D"/>
    <w:rsid w:val="00831758"/>
    <w:rsid w:val="008317D9"/>
    <w:rsid w:val="00831996"/>
    <w:rsid w:val="0083279F"/>
    <w:rsid w:val="008334DB"/>
    <w:rsid w:val="00833A1A"/>
    <w:rsid w:val="00833B7F"/>
    <w:rsid w:val="00833E8E"/>
    <w:rsid w:val="00833F5D"/>
    <w:rsid w:val="00834906"/>
    <w:rsid w:val="00834D58"/>
    <w:rsid w:val="00836075"/>
    <w:rsid w:val="00836417"/>
    <w:rsid w:val="00836A3E"/>
    <w:rsid w:val="00837526"/>
    <w:rsid w:val="00837CE8"/>
    <w:rsid w:val="008407A7"/>
    <w:rsid w:val="00841177"/>
    <w:rsid w:val="0084322B"/>
    <w:rsid w:val="00843F81"/>
    <w:rsid w:val="00844087"/>
    <w:rsid w:val="00844526"/>
    <w:rsid w:val="008448F1"/>
    <w:rsid w:val="0084519E"/>
    <w:rsid w:val="00845CAE"/>
    <w:rsid w:val="00846370"/>
    <w:rsid w:val="00846E82"/>
    <w:rsid w:val="008477E7"/>
    <w:rsid w:val="00847C2B"/>
    <w:rsid w:val="00850272"/>
    <w:rsid w:val="008506B9"/>
    <w:rsid w:val="0085110C"/>
    <w:rsid w:val="00851822"/>
    <w:rsid w:val="008532BF"/>
    <w:rsid w:val="008539B2"/>
    <w:rsid w:val="00853BF4"/>
    <w:rsid w:val="00854294"/>
    <w:rsid w:val="00854AF5"/>
    <w:rsid w:val="0085572E"/>
    <w:rsid w:val="00857104"/>
    <w:rsid w:val="008571F1"/>
    <w:rsid w:val="0085788B"/>
    <w:rsid w:val="00857A9E"/>
    <w:rsid w:val="00857DE2"/>
    <w:rsid w:val="00862476"/>
    <w:rsid w:val="00863A8E"/>
    <w:rsid w:val="00863E60"/>
    <w:rsid w:val="0086407F"/>
    <w:rsid w:val="008645E3"/>
    <w:rsid w:val="00864E79"/>
    <w:rsid w:val="0086661F"/>
    <w:rsid w:val="00866A0D"/>
    <w:rsid w:val="00866DB5"/>
    <w:rsid w:val="0086701D"/>
    <w:rsid w:val="0086702B"/>
    <w:rsid w:val="008672E2"/>
    <w:rsid w:val="0086784E"/>
    <w:rsid w:val="00867ECE"/>
    <w:rsid w:val="0087121C"/>
    <w:rsid w:val="00871FD2"/>
    <w:rsid w:val="00872084"/>
    <w:rsid w:val="00872827"/>
    <w:rsid w:val="00872A32"/>
    <w:rsid w:val="00874911"/>
    <w:rsid w:val="008749EE"/>
    <w:rsid w:val="00875178"/>
    <w:rsid w:val="008754E4"/>
    <w:rsid w:val="00876EAE"/>
    <w:rsid w:val="00880106"/>
    <w:rsid w:val="0088057A"/>
    <w:rsid w:val="00880F95"/>
    <w:rsid w:val="0088173F"/>
    <w:rsid w:val="00882278"/>
    <w:rsid w:val="00882B44"/>
    <w:rsid w:val="008838AD"/>
    <w:rsid w:val="00885515"/>
    <w:rsid w:val="008864B3"/>
    <w:rsid w:val="008865E5"/>
    <w:rsid w:val="008871B0"/>
    <w:rsid w:val="008873D7"/>
    <w:rsid w:val="00887E46"/>
    <w:rsid w:val="00890B57"/>
    <w:rsid w:val="008915EA"/>
    <w:rsid w:val="008916BA"/>
    <w:rsid w:val="008918AA"/>
    <w:rsid w:val="0089217C"/>
    <w:rsid w:val="00892790"/>
    <w:rsid w:val="00893671"/>
    <w:rsid w:val="00893DB4"/>
    <w:rsid w:val="00895838"/>
    <w:rsid w:val="00895A1E"/>
    <w:rsid w:val="00895A72"/>
    <w:rsid w:val="00895CDF"/>
    <w:rsid w:val="00896679"/>
    <w:rsid w:val="00896D8C"/>
    <w:rsid w:val="008A0836"/>
    <w:rsid w:val="008A0FC9"/>
    <w:rsid w:val="008A17D6"/>
    <w:rsid w:val="008A1956"/>
    <w:rsid w:val="008A1A7C"/>
    <w:rsid w:val="008A2CE2"/>
    <w:rsid w:val="008A392F"/>
    <w:rsid w:val="008A40D3"/>
    <w:rsid w:val="008A469C"/>
    <w:rsid w:val="008A51D1"/>
    <w:rsid w:val="008A5DCE"/>
    <w:rsid w:val="008A6AB1"/>
    <w:rsid w:val="008A75D3"/>
    <w:rsid w:val="008A7DED"/>
    <w:rsid w:val="008A7F8E"/>
    <w:rsid w:val="008B05DD"/>
    <w:rsid w:val="008B07B8"/>
    <w:rsid w:val="008B0F41"/>
    <w:rsid w:val="008B17E8"/>
    <w:rsid w:val="008B2487"/>
    <w:rsid w:val="008B2E08"/>
    <w:rsid w:val="008B2E7C"/>
    <w:rsid w:val="008B399A"/>
    <w:rsid w:val="008B45F0"/>
    <w:rsid w:val="008B4A70"/>
    <w:rsid w:val="008B502F"/>
    <w:rsid w:val="008B5614"/>
    <w:rsid w:val="008B6B09"/>
    <w:rsid w:val="008B6DFC"/>
    <w:rsid w:val="008B7227"/>
    <w:rsid w:val="008B72D4"/>
    <w:rsid w:val="008B79B0"/>
    <w:rsid w:val="008C02FB"/>
    <w:rsid w:val="008C04E0"/>
    <w:rsid w:val="008C191C"/>
    <w:rsid w:val="008C1A90"/>
    <w:rsid w:val="008C1DA4"/>
    <w:rsid w:val="008C29B0"/>
    <w:rsid w:val="008C2CD5"/>
    <w:rsid w:val="008C3618"/>
    <w:rsid w:val="008C39E7"/>
    <w:rsid w:val="008C43AD"/>
    <w:rsid w:val="008C5F42"/>
    <w:rsid w:val="008C6118"/>
    <w:rsid w:val="008C6341"/>
    <w:rsid w:val="008C731F"/>
    <w:rsid w:val="008C73F3"/>
    <w:rsid w:val="008C74D9"/>
    <w:rsid w:val="008D0ED8"/>
    <w:rsid w:val="008D25A8"/>
    <w:rsid w:val="008D3B2D"/>
    <w:rsid w:val="008D58D9"/>
    <w:rsid w:val="008D5AD4"/>
    <w:rsid w:val="008D695E"/>
    <w:rsid w:val="008D6DD5"/>
    <w:rsid w:val="008D6E59"/>
    <w:rsid w:val="008D7155"/>
    <w:rsid w:val="008D76E0"/>
    <w:rsid w:val="008D7F47"/>
    <w:rsid w:val="008E0B29"/>
    <w:rsid w:val="008E0FE3"/>
    <w:rsid w:val="008E141A"/>
    <w:rsid w:val="008E1A44"/>
    <w:rsid w:val="008E1BD8"/>
    <w:rsid w:val="008E209F"/>
    <w:rsid w:val="008E28E6"/>
    <w:rsid w:val="008E3232"/>
    <w:rsid w:val="008E3674"/>
    <w:rsid w:val="008E3B07"/>
    <w:rsid w:val="008E3B6C"/>
    <w:rsid w:val="008E3DE7"/>
    <w:rsid w:val="008E562C"/>
    <w:rsid w:val="008E6540"/>
    <w:rsid w:val="008E77D4"/>
    <w:rsid w:val="008E7ADD"/>
    <w:rsid w:val="008F091F"/>
    <w:rsid w:val="008F17B2"/>
    <w:rsid w:val="008F22B3"/>
    <w:rsid w:val="008F2FD9"/>
    <w:rsid w:val="008F357B"/>
    <w:rsid w:val="008F44CA"/>
    <w:rsid w:val="008F49D3"/>
    <w:rsid w:val="008F5DFC"/>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2"/>
    <w:rsid w:val="00907037"/>
    <w:rsid w:val="0091112C"/>
    <w:rsid w:val="0091160A"/>
    <w:rsid w:val="0091201D"/>
    <w:rsid w:val="00912572"/>
    <w:rsid w:val="00912D99"/>
    <w:rsid w:val="00912E04"/>
    <w:rsid w:val="00913258"/>
    <w:rsid w:val="00913851"/>
    <w:rsid w:val="00913A96"/>
    <w:rsid w:val="00913BB0"/>
    <w:rsid w:val="00914286"/>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6112"/>
    <w:rsid w:val="0092625F"/>
    <w:rsid w:val="00926B28"/>
    <w:rsid w:val="00926D9C"/>
    <w:rsid w:val="00927028"/>
    <w:rsid w:val="00927763"/>
    <w:rsid w:val="00927A2D"/>
    <w:rsid w:val="00927B37"/>
    <w:rsid w:val="00927BFA"/>
    <w:rsid w:val="00930EC8"/>
    <w:rsid w:val="009321B1"/>
    <w:rsid w:val="00932DB3"/>
    <w:rsid w:val="00932ED7"/>
    <w:rsid w:val="009332FF"/>
    <w:rsid w:val="00933D67"/>
    <w:rsid w:val="0093422D"/>
    <w:rsid w:val="009345D0"/>
    <w:rsid w:val="0093483B"/>
    <w:rsid w:val="00934CF9"/>
    <w:rsid w:val="00934DD7"/>
    <w:rsid w:val="00936019"/>
    <w:rsid w:val="009369A9"/>
    <w:rsid w:val="00936CF7"/>
    <w:rsid w:val="00936E24"/>
    <w:rsid w:val="00937783"/>
    <w:rsid w:val="00937EAD"/>
    <w:rsid w:val="00937F28"/>
    <w:rsid w:val="00940FCE"/>
    <w:rsid w:val="00940FE1"/>
    <w:rsid w:val="00942306"/>
    <w:rsid w:val="00942384"/>
    <w:rsid w:val="009424B8"/>
    <w:rsid w:val="00942FF7"/>
    <w:rsid w:val="00944668"/>
    <w:rsid w:val="00944D8B"/>
    <w:rsid w:val="00944DC6"/>
    <w:rsid w:val="009458B0"/>
    <w:rsid w:val="00945B52"/>
    <w:rsid w:val="00945B7A"/>
    <w:rsid w:val="00945F05"/>
    <w:rsid w:val="00946348"/>
    <w:rsid w:val="009463E5"/>
    <w:rsid w:val="00946594"/>
    <w:rsid w:val="00947797"/>
    <w:rsid w:val="009478A2"/>
    <w:rsid w:val="00952630"/>
    <w:rsid w:val="009529F2"/>
    <w:rsid w:val="00953808"/>
    <w:rsid w:val="009539A6"/>
    <w:rsid w:val="00954032"/>
    <w:rsid w:val="00954314"/>
    <w:rsid w:val="00954537"/>
    <w:rsid w:val="0095472D"/>
    <w:rsid w:val="00954C53"/>
    <w:rsid w:val="00955098"/>
    <w:rsid w:val="00955FBB"/>
    <w:rsid w:val="0095694B"/>
    <w:rsid w:val="00956AB9"/>
    <w:rsid w:val="00956BD5"/>
    <w:rsid w:val="00956D84"/>
    <w:rsid w:val="009577B5"/>
    <w:rsid w:val="009608E6"/>
    <w:rsid w:val="00960F57"/>
    <w:rsid w:val="00961C90"/>
    <w:rsid w:val="00962AD6"/>
    <w:rsid w:val="00962E03"/>
    <w:rsid w:val="00964AB5"/>
    <w:rsid w:val="00964AEC"/>
    <w:rsid w:val="00964CCF"/>
    <w:rsid w:val="00965443"/>
    <w:rsid w:val="00965954"/>
    <w:rsid w:val="00965A21"/>
    <w:rsid w:val="00965E55"/>
    <w:rsid w:val="0096608E"/>
    <w:rsid w:val="00966522"/>
    <w:rsid w:val="009668D1"/>
    <w:rsid w:val="00966C33"/>
    <w:rsid w:val="0096783E"/>
    <w:rsid w:val="00970F18"/>
    <w:rsid w:val="00971CF1"/>
    <w:rsid w:val="00971F5D"/>
    <w:rsid w:val="009721E9"/>
    <w:rsid w:val="0097324A"/>
    <w:rsid w:val="00973772"/>
    <w:rsid w:val="0097560A"/>
    <w:rsid w:val="00975E1E"/>
    <w:rsid w:val="00975E70"/>
    <w:rsid w:val="009761DE"/>
    <w:rsid w:val="009766FA"/>
    <w:rsid w:val="00976E1C"/>
    <w:rsid w:val="0097789E"/>
    <w:rsid w:val="00977CD6"/>
    <w:rsid w:val="0098048B"/>
    <w:rsid w:val="00980DF9"/>
    <w:rsid w:val="0098243D"/>
    <w:rsid w:val="00982C75"/>
    <w:rsid w:val="00982D26"/>
    <w:rsid w:val="00983B6E"/>
    <w:rsid w:val="00983FE5"/>
    <w:rsid w:val="009849E9"/>
    <w:rsid w:val="00985523"/>
    <w:rsid w:val="009859E4"/>
    <w:rsid w:val="00986BF1"/>
    <w:rsid w:val="00987812"/>
    <w:rsid w:val="00990225"/>
    <w:rsid w:val="009922CA"/>
    <w:rsid w:val="00992A13"/>
    <w:rsid w:val="00992B2E"/>
    <w:rsid w:val="00992C78"/>
    <w:rsid w:val="00994AAD"/>
    <w:rsid w:val="00994D70"/>
    <w:rsid w:val="00994DE1"/>
    <w:rsid w:val="00995150"/>
    <w:rsid w:val="00995D67"/>
    <w:rsid w:val="009A013B"/>
    <w:rsid w:val="009A02F4"/>
    <w:rsid w:val="009A06BF"/>
    <w:rsid w:val="009A09B0"/>
    <w:rsid w:val="009A0D17"/>
    <w:rsid w:val="009A2494"/>
    <w:rsid w:val="009A32B1"/>
    <w:rsid w:val="009A33A3"/>
    <w:rsid w:val="009A34F5"/>
    <w:rsid w:val="009A36F2"/>
    <w:rsid w:val="009A4047"/>
    <w:rsid w:val="009A40C3"/>
    <w:rsid w:val="009A40D5"/>
    <w:rsid w:val="009A57D0"/>
    <w:rsid w:val="009A6058"/>
    <w:rsid w:val="009A6559"/>
    <w:rsid w:val="009A68FC"/>
    <w:rsid w:val="009A6CE4"/>
    <w:rsid w:val="009A7514"/>
    <w:rsid w:val="009A7981"/>
    <w:rsid w:val="009A7E7A"/>
    <w:rsid w:val="009B1584"/>
    <w:rsid w:val="009B18F0"/>
    <w:rsid w:val="009B1F4C"/>
    <w:rsid w:val="009B1F76"/>
    <w:rsid w:val="009B2471"/>
    <w:rsid w:val="009B314F"/>
    <w:rsid w:val="009B3A4D"/>
    <w:rsid w:val="009B3B10"/>
    <w:rsid w:val="009B419F"/>
    <w:rsid w:val="009B439C"/>
    <w:rsid w:val="009B46BC"/>
    <w:rsid w:val="009B49A1"/>
    <w:rsid w:val="009B4A6C"/>
    <w:rsid w:val="009B4DA8"/>
    <w:rsid w:val="009B4F4F"/>
    <w:rsid w:val="009B519A"/>
    <w:rsid w:val="009B620C"/>
    <w:rsid w:val="009B6753"/>
    <w:rsid w:val="009B676C"/>
    <w:rsid w:val="009B6A26"/>
    <w:rsid w:val="009C079D"/>
    <w:rsid w:val="009C0D70"/>
    <w:rsid w:val="009C13D1"/>
    <w:rsid w:val="009C2913"/>
    <w:rsid w:val="009C2BD4"/>
    <w:rsid w:val="009C5AFE"/>
    <w:rsid w:val="009C6606"/>
    <w:rsid w:val="009C6CE5"/>
    <w:rsid w:val="009C6D50"/>
    <w:rsid w:val="009C7547"/>
    <w:rsid w:val="009D05EC"/>
    <w:rsid w:val="009D0C13"/>
    <w:rsid w:val="009D18D4"/>
    <w:rsid w:val="009D1DC6"/>
    <w:rsid w:val="009D2358"/>
    <w:rsid w:val="009D2D34"/>
    <w:rsid w:val="009D2F60"/>
    <w:rsid w:val="009D3A2E"/>
    <w:rsid w:val="009D4140"/>
    <w:rsid w:val="009D5ADE"/>
    <w:rsid w:val="009D5BAC"/>
    <w:rsid w:val="009D5C56"/>
    <w:rsid w:val="009D6265"/>
    <w:rsid w:val="009D64BD"/>
    <w:rsid w:val="009D6CB1"/>
    <w:rsid w:val="009D7509"/>
    <w:rsid w:val="009E0286"/>
    <w:rsid w:val="009E153F"/>
    <w:rsid w:val="009E1B7D"/>
    <w:rsid w:val="009E2C57"/>
    <w:rsid w:val="009E322A"/>
    <w:rsid w:val="009E334B"/>
    <w:rsid w:val="009E368C"/>
    <w:rsid w:val="009E373A"/>
    <w:rsid w:val="009E393E"/>
    <w:rsid w:val="009E4030"/>
    <w:rsid w:val="009E444E"/>
    <w:rsid w:val="009E4968"/>
    <w:rsid w:val="009E4A14"/>
    <w:rsid w:val="009E5B14"/>
    <w:rsid w:val="009E663C"/>
    <w:rsid w:val="009E684A"/>
    <w:rsid w:val="009E6990"/>
    <w:rsid w:val="009E6BB1"/>
    <w:rsid w:val="009E6E14"/>
    <w:rsid w:val="009E6FAF"/>
    <w:rsid w:val="009E794A"/>
    <w:rsid w:val="009E7C14"/>
    <w:rsid w:val="009F0494"/>
    <w:rsid w:val="009F0CD9"/>
    <w:rsid w:val="009F13BE"/>
    <w:rsid w:val="009F172C"/>
    <w:rsid w:val="009F1A79"/>
    <w:rsid w:val="009F1F57"/>
    <w:rsid w:val="009F2DDD"/>
    <w:rsid w:val="009F3447"/>
    <w:rsid w:val="009F59A3"/>
    <w:rsid w:val="009F65F4"/>
    <w:rsid w:val="009F676B"/>
    <w:rsid w:val="009F6D2D"/>
    <w:rsid w:val="009F6D54"/>
    <w:rsid w:val="009F7CBA"/>
    <w:rsid w:val="00A0010C"/>
    <w:rsid w:val="00A004DF"/>
    <w:rsid w:val="00A00FD5"/>
    <w:rsid w:val="00A012C0"/>
    <w:rsid w:val="00A019A8"/>
    <w:rsid w:val="00A01B03"/>
    <w:rsid w:val="00A01B89"/>
    <w:rsid w:val="00A02AA6"/>
    <w:rsid w:val="00A02C66"/>
    <w:rsid w:val="00A02C84"/>
    <w:rsid w:val="00A0464C"/>
    <w:rsid w:val="00A050BB"/>
    <w:rsid w:val="00A054E0"/>
    <w:rsid w:val="00A05D91"/>
    <w:rsid w:val="00A0740B"/>
    <w:rsid w:val="00A07ED3"/>
    <w:rsid w:val="00A10C1D"/>
    <w:rsid w:val="00A10CA8"/>
    <w:rsid w:val="00A11042"/>
    <w:rsid w:val="00A12438"/>
    <w:rsid w:val="00A12579"/>
    <w:rsid w:val="00A133D8"/>
    <w:rsid w:val="00A15655"/>
    <w:rsid w:val="00A160B0"/>
    <w:rsid w:val="00A1740C"/>
    <w:rsid w:val="00A20069"/>
    <w:rsid w:val="00A20341"/>
    <w:rsid w:val="00A22330"/>
    <w:rsid w:val="00A2244D"/>
    <w:rsid w:val="00A2253D"/>
    <w:rsid w:val="00A225F4"/>
    <w:rsid w:val="00A2267F"/>
    <w:rsid w:val="00A22CDB"/>
    <w:rsid w:val="00A23BA2"/>
    <w:rsid w:val="00A247B8"/>
    <w:rsid w:val="00A2495A"/>
    <w:rsid w:val="00A24C7A"/>
    <w:rsid w:val="00A24D8F"/>
    <w:rsid w:val="00A25B8B"/>
    <w:rsid w:val="00A25C5D"/>
    <w:rsid w:val="00A25DD5"/>
    <w:rsid w:val="00A2689F"/>
    <w:rsid w:val="00A26C1A"/>
    <w:rsid w:val="00A26D30"/>
    <w:rsid w:val="00A26ECA"/>
    <w:rsid w:val="00A27461"/>
    <w:rsid w:val="00A27D67"/>
    <w:rsid w:val="00A30ABC"/>
    <w:rsid w:val="00A32213"/>
    <w:rsid w:val="00A32415"/>
    <w:rsid w:val="00A33B74"/>
    <w:rsid w:val="00A3467F"/>
    <w:rsid w:val="00A34B4C"/>
    <w:rsid w:val="00A35030"/>
    <w:rsid w:val="00A3551A"/>
    <w:rsid w:val="00A3597F"/>
    <w:rsid w:val="00A35A85"/>
    <w:rsid w:val="00A36370"/>
    <w:rsid w:val="00A366A0"/>
    <w:rsid w:val="00A37209"/>
    <w:rsid w:val="00A37584"/>
    <w:rsid w:val="00A376E8"/>
    <w:rsid w:val="00A37F8E"/>
    <w:rsid w:val="00A41537"/>
    <w:rsid w:val="00A41737"/>
    <w:rsid w:val="00A42B8F"/>
    <w:rsid w:val="00A42D8E"/>
    <w:rsid w:val="00A43254"/>
    <w:rsid w:val="00A43896"/>
    <w:rsid w:val="00A43A26"/>
    <w:rsid w:val="00A447A0"/>
    <w:rsid w:val="00A44B39"/>
    <w:rsid w:val="00A459F5"/>
    <w:rsid w:val="00A45FC0"/>
    <w:rsid w:val="00A46B74"/>
    <w:rsid w:val="00A47748"/>
    <w:rsid w:val="00A47B3A"/>
    <w:rsid w:val="00A47ECC"/>
    <w:rsid w:val="00A50171"/>
    <w:rsid w:val="00A504FA"/>
    <w:rsid w:val="00A5102E"/>
    <w:rsid w:val="00A5132E"/>
    <w:rsid w:val="00A51357"/>
    <w:rsid w:val="00A51375"/>
    <w:rsid w:val="00A51533"/>
    <w:rsid w:val="00A51DD9"/>
    <w:rsid w:val="00A52100"/>
    <w:rsid w:val="00A52ED4"/>
    <w:rsid w:val="00A531D4"/>
    <w:rsid w:val="00A5403A"/>
    <w:rsid w:val="00A54572"/>
    <w:rsid w:val="00A55F4D"/>
    <w:rsid w:val="00A575B8"/>
    <w:rsid w:val="00A60E68"/>
    <w:rsid w:val="00A613E3"/>
    <w:rsid w:val="00A61C60"/>
    <w:rsid w:val="00A61ECB"/>
    <w:rsid w:val="00A62B3C"/>
    <w:rsid w:val="00A637EC"/>
    <w:rsid w:val="00A6410C"/>
    <w:rsid w:val="00A644DC"/>
    <w:rsid w:val="00A647B1"/>
    <w:rsid w:val="00A64DEF"/>
    <w:rsid w:val="00A654D2"/>
    <w:rsid w:val="00A665DF"/>
    <w:rsid w:val="00A671E0"/>
    <w:rsid w:val="00A67FCC"/>
    <w:rsid w:val="00A7064F"/>
    <w:rsid w:val="00A70AA5"/>
    <w:rsid w:val="00A70C03"/>
    <w:rsid w:val="00A71014"/>
    <w:rsid w:val="00A71256"/>
    <w:rsid w:val="00A7217B"/>
    <w:rsid w:val="00A73861"/>
    <w:rsid w:val="00A739A6"/>
    <w:rsid w:val="00A73C9E"/>
    <w:rsid w:val="00A740ED"/>
    <w:rsid w:val="00A74C29"/>
    <w:rsid w:val="00A74C62"/>
    <w:rsid w:val="00A759AA"/>
    <w:rsid w:val="00A75DF5"/>
    <w:rsid w:val="00A75EF9"/>
    <w:rsid w:val="00A76770"/>
    <w:rsid w:val="00A76CB7"/>
    <w:rsid w:val="00A770A5"/>
    <w:rsid w:val="00A8311C"/>
    <w:rsid w:val="00A835D0"/>
    <w:rsid w:val="00A84937"/>
    <w:rsid w:val="00A84C5F"/>
    <w:rsid w:val="00A857A7"/>
    <w:rsid w:val="00A85930"/>
    <w:rsid w:val="00A863F7"/>
    <w:rsid w:val="00A86604"/>
    <w:rsid w:val="00A86F08"/>
    <w:rsid w:val="00A87519"/>
    <w:rsid w:val="00A92040"/>
    <w:rsid w:val="00A9246D"/>
    <w:rsid w:val="00A92842"/>
    <w:rsid w:val="00A92CCA"/>
    <w:rsid w:val="00A93BD0"/>
    <w:rsid w:val="00A93CC2"/>
    <w:rsid w:val="00A974CC"/>
    <w:rsid w:val="00A977FC"/>
    <w:rsid w:val="00AA2001"/>
    <w:rsid w:val="00AA2B5C"/>
    <w:rsid w:val="00AA32D2"/>
    <w:rsid w:val="00AA4016"/>
    <w:rsid w:val="00AA43DF"/>
    <w:rsid w:val="00AA4C1F"/>
    <w:rsid w:val="00AA5328"/>
    <w:rsid w:val="00AA5393"/>
    <w:rsid w:val="00AA63D4"/>
    <w:rsid w:val="00AA796E"/>
    <w:rsid w:val="00AB03FD"/>
    <w:rsid w:val="00AB075D"/>
    <w:rsid w:val="00AB2000"/>
    <w:rsid w:val="00AB2C62"/>
    <w:rsid w:val="00AB38CB"/>
    <w:rsid w:val="00AB3BEC"/>
    <w:rsid w:val="00AB44E4"/>
    <w:rsid w:val="00AB4AEB"/>
    <w:rsid w:val="00AB4E5F"/>
    <w:rsid w:val="00AB5352"/>
    <w:rsid w:val="00AB56AE"/>
    <w:rsid w:val="00AB5B8F"/>
    <w:rsid w:val="00AB62D5"/>
    <w:rsid w:val="00AB65B5"/>
    <w:rsid w:val="00AB6DCD"/>
    <w:rsid w:val="00AB6EE0"/>
    <w:rsid w:val="00AB775A"/>
    <w:rsid w:val="00AB7871"/>
    <w:rsid w:val="00AC17A2"/>
    <w:rsid w:val="00AC1EB8"/>
    <w:rsid w:val="00AC40A1"/>
    <w:rsid w:val="00AC40B7"/>
    <w:rsid w:val="00AC531F"/>
    <w:rsid w:val="00AC5B36"/>
    <w:rsid w:val="00AC6377"/>
    <w:rsid w:val="00AC66A4"/>
    <w:rsid w:val="00AC6A4E"/>
    <w:rsid w:val="00AC6CB1"/>
    <w:rsid w:val="00AC7473"/>
    <w:rsid w:val="00AC7D6D"/>
    <w:rsid w:val="00AD0091"/>
    <w:rsid w:val="00AD23EF"/>
    <w:rsid w:val="00AD2662"/>
    <w:rsid w:val="00AD307B"/>
    <w:rsid w:val="00AD4014"/>
    <w:rsid w:val="00AD40DA"/>
    <w:rsid w:val="00AD41B3"/>
    <w:rsid w:val="00AD5721"/>
    <w:rsid w:val="00AD69F0"/>
    <w:rsid w:val="00AD7127"/>
    <w:rsid w:val="00AD730C"/>
    <w:rsid w:val="00AD77EA"/>
    <w:rsid w:val="00AE01F0"/>
    <w:rsid w:val="00AE123A"/>
    <w:rsid w:val="00AE1539"/>
    <w:rsid w:val="00AE28A7"/>
    <w:rsid w:val="00AE2A98"/>
    <w:rsid w:val="00AE2CF2"/>
    <w:rsid w:val="00AE3012"/>
    <w:rsid w:val="00AE33A6"/>
    <w:rsid w:val="00AE3729"/>
    <w:rsid w:val="00AE4138"/>
    <w:rsid w:val="00AE4CCE"/>
    <w:rsid w:val="00AE5C67"/>
    <w:rsid w:val="00AE5C6A"/>
    <w:rsid w:val="00AE6317"/>
    <w:rsid w:val="00AE7280"/>
    <w:rsid w:val="00AF033A"/>
    <w:rsid w:val="00AF0696"/>
    <w:rsid w:val="00AF1699"/>
    <w:rsid w:val="00AF1FD3"/>
    <w:rsid w:val="00AF2910"/>
    <w:rsid w:val="00AF34B8"/>
    <w:rsid w:val="00AF3896"/>
    <w:rsid w:val="00AF3FC2"/>
    <w:rsid w:val="00AF7BF5"/>
    <w:rsid w:val="00B0098A"/>
    <w:rsid w:val="00B00A5F"/>
    <w:rsid w:val="00B00F89"/>
    <w:rsid w:val="00B029B8"/>
    <w:rsid w:val="00B02F60"/>
    <w:rsid w:val="00B032B8"/>
    <w:rsid w:val="00B03766"/>
    <w:rsid w:val="00B04721"/>
    <w:rsid w:val="00B04B15"/>
    <w:rsid w:val="00B04B46"/>
    <w:rsid w:val="00B0534D"/>
    <w:rsid w:val="00B05685"/>
    <w:rsid w:val="00B05F9F"/>
    <w:rsid w:val="00B06368"/>
    <w:rsid w:val="00B068DA"/>
    <w:rsid w:val="00B06A00"/>
    <w:rsid w:val="00B06FC6"/>
    <w:rsid w:val="00B074C9"/>
    <w:rsid w:val="00B07D9D"/>
    <w:rsid w:val="00B10952"/>
    <w:rsid w:val="00B11714"/>
    <w:rsid w:val="00B11AE5"/>
    <w:rsid w:val="00B12FE6"/>
    <w:rsid w:val="00B1303F"/>
    <w:rsid w:val="00B1364A"/>
    <w:rsid w:val="00B13761"/>
    <w:rsid w:val="00B13859"/>
    <w:rsid w:val="00B13EC9"/>
    <w:rsid w:val="00B13FE2"/>
    <w:rsid w:val="00B14319"/>
    <w:rsid w:val="00B14A06"/>
    <w:rsid w:val="00B1581D"/>
    <w:rsid w:val="00B158E1"/>
    <w:rsid w:val="00B16209"/>
    <w:rsid w:val="00B16715"/>
    <w:rsid w:val="00B1768E"/>
    <w:rsid w:val="00B17910"/>
    <w:rsid w:val="00B20F18"/>
    <w:rsid w:val="00B21516"/>
    <w:rsid w:val="00B21669"/>
    <w:rsid w:val="00B21A37"/>
    <w:rsid w:val="00B21D23"/>
    <w:rsid w:val="00B21F62"/>
    <w:rsid w:val="00B22CE0"/>
    <w:rsid w:val="00B23738"/>
    <w:rsid w:val="00B23BEF"/>
    <w:rsid w:val="00B247BB"/>
    <w:rsid w:val="00B2504A"/>
    <w:rsid w:val="00B25EE6"/>
    <w:rsid w:val="00B266DF"/>
    <w:rsid w:val="00B27AB4"/>
    <w:rsid w:val="00B3115A"/>
    <w:rsid w:val="00B31825"/>
    <w:rsid w:val="00B31A5C"/>
    <w:rsid w:val="00B32964"/>
    <w:rsid w:val="00B33B06"/>
    <w:rsid w:val="00B33C19"/>
    <w:rsid w:val="00B35A15"/>
    <w:rsid w:val="00B35B45"/>
    <w:rsid w:val="00B36A99"/>
    <w:rsid w:val="00B37AAF"/>
    <w:rsid w:val="00B37C9B"/>
    <w:rsid w:val="00B42264"/>
    <w:rsid w:val="00B42489"/>
    <w:rsid w:val="00B434B2"/>
    <w:rsid w:val="00B43AF0"/>
    <w:rsid w:val="00B43D45"/>
    <w:rsid w:val="00B45B3F"/>
    <w:rsid w:val="00B465DF"/>
    <w:rsid w:val="00B468F2"/>
    <w:rsid w:val="00B46918"/>
    <w:rsid w:val="00B469DE"/>
    <w:rsid w:val="00B47286"/>
    <w:rsid w:val="00B47C39"/>
    <w:rsid w:val="00B50234"/>
    <w:rsid w:val="00B50F44"/>
    <w:rsid w:val="00B51751"/>
    <w:rsid w:val="00B51BAB"/>
    <w:rsid w:val="00B51BF4"/>
    <w:rsid w:val="00B525BE"/>
    <w:rsid w:val="00B52C68"/>
    <w:rsid w:val="00B5372B"/>
    <w:rsid w:val="00B542FE"/>
    <w:rsid w:val="00B55758"/>
    <w:rsid w:val="00B55975"/>
    <w:rsid w:val="00B55A1B"/>
    <w:rsid w:val="00B561DB"/>
    <w:rsid w:val="00B56DF9"/>
    <w:rsid w:val="00B600BD"/>
    <w:rsid w:val="00B60D9F"/>
    <w:rsid w:val="00B61274"/>
    <w:rsid w:val="00B61DCE"/>
    <w:rsid w:val="00B62188"/>
    <w:rsid w:val="00B6255D"/>
    <w:rsid w:val="00B62F79"/>
    <w:rsid w:val="00B62F82"/>
    <w:rsid w:val="00B6306A"/>
    <w:rsid w:val="00B635E3"/>
    <w:rsid w:val="00B65011"/>
    <w:rsid w:val="00B65381"/>
    <w:rsid w:val="00B662FF"/>
    <w:rsid w:val="00B66679"/>
    <w:rsid w:val="00B67136"/>
    <w:rsid w:val="00B70145"/>
    <w:rsid w:val="00B706DB"/>
    <w:rsid w:val="00B70B2B"/>
    <w:rsid w:val="00B71A92"/>
    <w:rsid w:val="00B71E32"/>
    <w:rsid w:val="00B721D8"/>
    <w:rsid w:val="00B730CA"/>
    <w:rsid w:val="00B73599"/>
    <w:rsid w:val="00B747C5"/>
    <w:rsid w:val="00B74F2F"/>
    <w:rsid w:val="00B753ED"/>
    <w:rsid w:val="00B769BC"/>
    <w:rsid w:val="00B77349"/>
    <w:rsid w:val="00B7761E"/>
    <w:rsid w:val="00B7778D"/>
    <w:rsid w:val="00B80A3D"/>
    <w:rsid w:val="00B80AEF"/>
    <w:rsid w:val="00B80B04"/>
    <w:rsid w:val="00B80FA9"/>
    <w:rsid w:val="00B8127B"/>
    <w:rsid w:val="00B81779"/>
    <w:rsid w:val="00B817C1"/>
    <w:rsid w:val="00B819E5"/>
    <w:rsid w:val="00B821E4"/>
    <w:rsid w:val="00B823E0"/>
    <w:rsid w:val="00B8260D"/>
    <w:rsid w:val="00B82B78"/>
    <w:rsid w:val="00B839BD"/>
    <w:rsid w:val="00B845B4"/>
    <w:rsid w:val="00B84662"/>
    <w:rsid w:val="00B84C74"/>
    <w:rsid w:val="00B85191"/>
    <w:rsid w:val="00B858A1"/>
    <w:rsid w:val="00B85FEC"/>
    <w:rsid w:val="00B864A3"/>
    <w:rsid w:val="00B8667D"/>
    <w:rsid w:val="00B8673A"/>
    <w:rsid w:val="00B86C2A"/>
    <w:rsid w:val="00B878BE"/>
    <w:rsid w:val="00B87CE8"/>
    <w:rsid w:val="00B902A5"/>
    <w:rsid w:val="00B90420"/>
    <w:rsid w:val="00B90848"/>
    <w:rsid w:val="00B91146"/>
    <w:rsid w:val="00B913E4"/>
    <w:rsid w:val="00B91DB9"/>
    <w:rsid w:val="00B91FF3"/>
    <w:rsid w:val="00B93B29"/>
    <w:rsid w:val="00B93EFE"/>
    <w:rsid w:val="00B944B9"/>
    <w:rsid w:val="00B94956"/>
    <w:rsid w:val="00B94C7F"/>
    <w:rsid w:val="00B94E93"/>
    <w:rsid w:val="00B95484"/>
    <w:rsid w:val="00B956B5"/>
    <w:rsid w:val="00B9594B"/>
    <w:rsid w:val="00B96DF2"/>
    <w:rsid w:val="00B96E18"/>
    <w:rsid w:val="00B96F5A"/>
    <w:rsid w:val="00BA0B39"/>
    <w:rsid w:val="00BA0CB2"/>
    <w:rsid w:val="00BA0E26"/>
    <w:rsid w:val="00BA138B"/>
    <w:rsid w:val="00BA13F3"/>
    <w:rsid w:val="00BA305B"/>
    <w:rsid w:val="00BA31BF"/>
    <w:rsid w:val="00BA3FC7"/>
    <w:rsid w:val="00BA478B"/>
    <w:rsid w:val="00BA4868"/>
    <w:rsid w:val="00BA5224"/>
    <w:rsid w:val="00BA575E"/>
    <w:rsid w:val="00BA76B7"/>
    <w:rsid w:val="00BA7BAB"/>
    <w:rsid w:val="00BA7E3B"/>
    <w:rsid w:val="00BB078D"/>
    <w:rsid w:val="00BB079C"/>
    <w:rsid w:val="00BB0D7A"/>
    <w:rsid w:val="00BB0FE7"/>
    <w:rsid w:val="00BB10E1"/>
    <w:rsid w:val="00BB2471"/>
    <w:rsid w:val="00BB3035"/>
    <w:rsid w:val="00BB39C1"/>
    <w:rsid w:val="00BB3DF5"/>
    <w:rsid w:val="00BB5D16"/>
    <w:rsid w:val="00BB6180"/>
    <w:rsid w:val="00BB69E6"/>
    <w:rsid w:val="00BB7BE5"/>
    <w:rsid w:val="00BC08BD"/>
    <w:rsid w:val="00BC0ECD"/>
    <w:rsid w:val="00BC11E8"/>
    <w:rsid w:val="00BC1B7A"/>
    <w:rsid w:val="00BC2C17"/>
    <w:rsid w:val="00BC3ACD"/>
    <w:rsid w:val="00BC3B20"/>
    <w:rsid w:val="00BC3EE4"/>
    <w:rsid w:val="00BC588C"/>
    <w:rsid w:val="00BC6372"/>
    <w:rsid w:val="00BC6E73"/>
    <w:rsid w:val="00BC74D3"/>
    <w:rsid w:val="00BC7A0F"/>
    <w:rsid w:val="00BD0014"/>
    <w:rsid w:val="00BD01D8"/>
    <w:rsid w:val="00BD0AE6"/>
    <w:rsid w:val="00BD123C"/>
    <w:rsid w:val="00BD191B"/>
    <w:rsid w:val="00BD255F"/>
    <w:rsid w:val="00BD2895"/>
    <w:rsid w:val="00BD4236"/>
    <w:rsid w:val="00BD483B"/>
    <w:rsid w:val="00BD5CD4"/>
    <w:rsid w:val="00BD65D9"/>
    <w:rsid w:val="00BD6DF3"/>
    <w:rsid w:val="00BD6E09"/>
    <w:rsid w:val="00BD6EF9"/>
    <w:rsid w:val="00BD7616"/>
    <w:rsid w:val="00BE0ACB"/>
    <w:rsid w:val="00BE2260"/>
    <w:rsid w:val="00BE3917"/>
    <w:rsid w:val="00BE46B6"/>
    <w:rsid w:val="00BE50FD"/>
    <w:rsid w:val="00BE51CA"/>
    <w:rsid w:val="00BE537F"/>
    <w:rsid w:val="00BE5D77"/>
    <w:rsid w:val="00BE6D47"/>
    <w:rsid w:val="00BE7032"/>
    <w:rsid w:val="00BE7330"/>
    <w:rsid w:val="00BE7A96"/>
    <w:rsid w:val="00BF01C5"/>
    <w:rsid w:val="00BF061A"/>
    <w:rsid w:val="00BF066A"/>
    <w:rsid w:val="00BF14CC"/>
    <w:rsid w:val="00BF1821"/>
    <w:rsid w:val="00BF245A"/>
    <w:rsid w:val="00BF4342"/>
    <w:rsid w:val="00BF4704"/>
    <w:rsid w:val="00BF4968"/>
    <w:rsid w:val="00BF4FFC"/>
    <w:rsid w:val="00BF5050"/>
    <w:rsid w:val="00BF50D1"/>
    <w:rsid w:val="00BF5422"/>
    <w:rsid w:val="00BF593D"/>
    <w:rsid w:val="00BF59B1"/>
    <w:rsid w:val="00BF6A78"/>
    <w:rsid w:val="00BF7182"/>
    <w:rsid w:val="00BF7672"/>
    <w:rsid w:val="00BF7695"/>
    <w:rsid w:val="00BF79B4"/>
    <w:rsid w:val="00BF7C61"/>
    <w:rsid w:val="00C0079C"/>
    <w:rsid w:val="00C01427"/>
    <w:rsid w:val="00C014C7"/>
    <w:rsid w:val="00C0213E"/>
    <w:rsid w:val="00C04512"/>
    <w:rsid w:val="00C047AB"/>
    <w:rsid w:val="00C05833"/>
    <w:rsid w:val="00C058AF"/>
    <w:rsid w:val="00C075B6"/>
    <w:rsid w:val="00C124C1"/>
    <w:rsid w:val="00C128AE"/>
    <w:rsid w:val="00C12BA8"/>
    <w:rsid w:val="00C12C7D"/>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3C01"/>
    <w:rsid w:val="00C240C1"/>
    <w:rsid w:val="00C2421F"/>
    <w:rsid w:val="00C24322"/>
    <w:rsid w:val="00C248F4"/>
    <w:rsid w:val="00C24AED"/>
    <w:rsid w:val="00C250D0"/>
    <w:rsid w:val="00C25297"/>
    <w:rsid w:val="00C252AC"/>
    <w:rsid w:val="00C25C0F"/>
    <w:rsid w:val="00C26567"/>
    <w:rsid w:val="00C26923"/>
    <w:rsid w:val="00C27159"/>
    <w:rsid w:val="00C27214"/>
    <w:rsid w:val="00C27597"/>
    <w:rsid w:val="00C27E5E"/>
    <w:rsid w:val="00C30382"/>
    <w:rsid w:val="00C30772"/>
    <w:rsid w:val="00C30D6F"/>
    <w:rsid w:val="00C31063"/>
    <w:rsid w:val="00C31B7E"/>
    <w:rsid w:val="00C31D0A"/>
    <w:rsid w:val="00C322D1"/>
    <w:rsid w:val="00C3242A"/>
    <w:rsid w:val="00C33201"/>
    <w:rsid w:val="00C33A39"/>
    <w:rsid w:val="00C33B57"/>
    <w:rsid w:val="00C34619"/>
    <w:rsid w:val="00C34BCD"/>
    <w:rsid w:val="00C35312"/>
    <w:rsid w:val="00C35D01"/>
    <w:rsid w:val="00C360B3"/>
    <w:rsid w:val="00C37027"/>
    <w:rsid w:val="00C37403"/>
    <w:rsid w:val="00C37653"/>
    <w:rsid w:val="00C37B19"/>
    <w:rsid w:val="00C413CB"/>
    <w:rsid w:val="00C42752"/>
    <w:rsid w:val="00C42973"/>
    <w:rsid w:val="00C445E8"/>
    <w:rsid w:val="00C44C69"/>
    <w:rsid w:val="00C453BB"/>
    <w:rsid w:val="00C4712A"/>
    <w:rsid w:val="00C50169"/>
    <w:rsid w:val="00C5034F"/>
    <w:rsid w:val="00C503EA"/>
    <w:rsid w:val="00C50830"/>
    <w:rsid w:val="00C52479"/>
    <w:rsid w:val="00C5266E"/>
    <w:rsid w:val="00C52C59"/>
    <w:rsid w:val="00C5349E"/>
    <w:rsid w:val="00C539FF"/>
    <w:rsid w:val="00C544BD"/>
    <w:rsid w:val="00C54D3D"/>
    <w:rsid w:val="00C55A30"/>
    <w:rsid w:val="00C56384"/>
    <w:rsid w:val="00C56B4D"/>
    <w:rsid w:val="00C570FE"/>
    <w:rsid w:val="00C60F8C"/>
    <w:rsid w:val="00C61794"/>
    <w:rsid w:val="00C62420"/>
    <w:rsid w:val="00C628F6"/>
    <w:rsid w:val="00C62A48"/>
    <w:rsid w:val="00C62AC4"/>
    <w:rsid w:val="00C62B59"/>
    <w:rsid w:val="00C62F96"/>
    <w:rsid w:val="00C631E1"/>
    <w:rsid w:val="00C638D8"/>
    <w:rsid w:val="00C63AE7"/>
    <w:rsid w:val="00C63D26"/>
    <w:rsid w:val="00C6540A"/>
    <w:rsid w:val="00C668A1"/>
    <w:rsid w:val="00C66DEC"/>
    <w:rsid w:val="00C67223"/>
    <w:rsid w:val="00C67BA5"/>
    <w:rsid w:val="00C707B8"/>
    <w:rsid w:val="00C70A27"/>
    <w:rsid w:val="00C712AC"/>
    <w:rsid w:val="00C71A9E"/>
    <w:rsid w:val="00C71C15"/>
    <w:rsid w:val="00C71F3D"/>
    <w:rsid w:val="00C72F53"/>
    <w:rsid w:val="00C7313D"/>
    <w:rsid w:val="00C73A64"/>
    <w:rsid w:val="00C74035"/>
    <w:rsid w:val="00C748EA"/>
    <w:rsid w:val="00C77818"/>
    <w:rsid w:val="00C77B2C"/>
    <w:rsid w:val="00C8063F"/>
    <w:rsid w:val="00C81282"/>
    <w:rsid w:val="00C82667"/>
    <w:rsid w:val="00C827B4"/>
    <w:rsid w:val="00C82A8F"/>
    <w:rsid w:val="00C83214"/>
    <w:rsid w:val="00C8329F"/>
    <w:rsid w:val="00C84F8A"/>
    <w:rsid w:val="00C85603"/>
    <w:rsid w:val="00C85BA4"/>
    <w:rsid w:val="00C8618F"/>
    <w:rsid w:val="00C8625D"/>
    <w:rsid w:val="00C8753A"/>
    <w:rsid w:val="00C90372"/>
    <w:rsid w:val="00C9041F"/>
    <w:rsid w:val="00C904DE"/>
    <w:rsid w:val="00C9166B"/>
    <w:rsid w:val="00C91A45"/>
    <w:rsid w:val="00C91FB4"/>
    <w:rsid w:val="00C92150"/>
    <w:rsid w:val="00C92328"/>
    <w:rsid w:val="00C924BD"/>
    <w:rsid w:val="00C92D42"/>
    <w:rsid w:val="00C92DDB"/>
    <w:rsid w:val="00C938C2"/>
    <w:rsid w:val="00C93F8A"/>
    <w:rsid w:val="00C94EA1"/>
    <w:rsid w:val="00C9511B"/>
    <w:rsid w:val="00C95745"/>
    <w:rsid w:val="00C95902"/>
    <w:rsid w:val="00C95B69"/>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0901"/>
    <w:rsid w:val="00CB19D7"/>
    <w:rsid w:val="00CB19FE"/>
    <w:rsid w:val="00CB1C3F"/>
    <w:rsid w:val="00CB21F6"/>
    <w:rsid w:val="00CB2364"/>
    <w:rsid w:val="00CB304C"/>
    <w:rsid w:val="00CB3933"/>
    <w:rsid w:val="00CB53E8"/>
    <w:rsid w:val="00CB594A"/>
    <w:rsid w:val="00CB5CB2"/>
    <w:rsid w:val="00CB6979"/>
    <w:rsid w:val="00CB6E7D"/>
    <w:rsid w:val="00CB7DDE"/>
    <w:rsid w:val="00CC07A6"/>
    <w:rsid w:val="00CC0A3D"/>
    <w:rsid w:val="00CC0E22"/>
    <w:rsid w:val="00CC1585"/>
    <w:rsid w:val="00CC2A5F"/>
    <w:rsid w:val="00CC3C53"/>
    <w:rsid w:val="00CC3D24"/>
    <w:rsid w:val="00CC3F91"/>
    <w:rsid w:val="00CC4ACD"/>
    <w:rsid w:val="00CC4B0A"/>
    <w:rsid w:val="00CC544A"/>
    <w:rsid w:val="00CC57EA"/>
    <w:rsid w:val="00CC5954"/>
    <w:rsid w:val="00CC629B"/>
    <w:rsid w:val="00CC6C4E"/>
    <w:rsid w:val="00CD009D"/>
    <w:rsid w:val="00CD05A2"/>
    <w:rsid w:val="00CD111C"/>
    <w:rsid w:val="00CD29D4"/>
    <w:rsid w:val="00CD2B5C"/>
    <w:rsid w:val="00CD2FF3"/>
    <w:rsid w:val="00CD3323"/>
    <w:rsid w:val="00CD38F5"/>
    <w:rsid w:val="00CD391D"/>
    <w:rsid w:val="00CD437E"/>
    <w:rsid w:val="00CD44A0"/>
    <w:rsid w:val="00CD5DAD"/>
    <w:rsid w:val="00CD6811"/>
    <w:rsid w:val="00CD72C5"/>
    <w:rsid w:val="00CD7944"/>
    <w:rsid w:val="00CD79A7"/>
    <w:rsid w:val="00CE0789"/>
    <w:rsid w:val="00CE0E8D"/>
    <w:rsid w:val="00CE1A03"/>
    <w:rsid w:val="00CE2346"/>
    <w:rsid w:val="00CE25B2"/>
    <w:rsid w:val="00CE32BE"/>
    <w:rsid w:val="00CE3529"/>
    <w:rsid w:val="00CE35A0"/>
    <w:rsid w:val="00CE35C8"/>
    <w:rsid w:val="00CE3962"/>
    <w:rsid w:val="00CE4908"/>
    <w:rsid w:val="00CE4D1A"/>
    <w:rsid w:val="00CE4E8A"/>
    <w:rsid w:val="00CE5105"/>
    <w:rsid w:val="00CE56BD"/>
    <w:rsid w:val="00CE5EC0"/>
    <w:rsid w:val="00CE6F9F"/>
    <w:rsid w:val="00CE781A"/>
    <w:rsid w:val="00CE7B08"/>
    <w:rsid w:val="00CE7D52"/>
    <w:rsid w:val="00CF03CF"/>
    <w:rsid w:val="00CF0967"/>
    <w:rsid w:val="00CF097B"/>
    <w:rsid w:val="00CF1D74"/>
    <w:rsid w:val="00CF1F7D"/>
    <w:rsid w:val="00CF2646"/>
    <w:rsid w:val="00CF2BE1"/>
    <w:rsid w:val="00CF2BE2"/>
    <w:rsid w:val="00CF3DEB"/>
    <w:rsid w:val="00CF55F9"/>
    <w:rsid w:val="00CF7074"/>
    <w:rsid w:val="00CF7495"/>
    <w:rsid w:val="00D0033D"/>
    <w:rsid w:val="00D01CF9"/>
    <w:rsid w:val="00D0334D"/>
    <w:rsid w:val="00D0374D"/>
    <w:rsid w:val="00D03A2D"/>
    <w:rsid w:val="00D05FF4"/>
    <w:rsid w:val="00D06C08"/>
    <w:rsid w:val="00D06D7B"/>
    <w:rsid w:val="00D06DA5"/>
    <w:rsid w:val="00D06F2D"/>
    <w:rsid w:val="00D07191"/>
    <w:rsid w:val="00D07F1D"/>
    <w:rsid w:val="00D10558"/>
    <w:rsid w:val="00D106EB"/>
    <w:rsid w:val="00D1088D"/>
    <w:rsid w:val="00D114EB"/>
    <w:rsid w:val="00D11D4D"/>
    <w:rsid w:val="00D126DC"/>
    <w:rsid w:val="00D129E1"/>
    <w:rsid w:val="00D12B03"/>
    <w:rsid w:val="00D131EB"/>
    <w:rsid w:val="00D13481"/>
    <w:rsid w:val="00D13CEB"/>
    <w:rsid w:val="00D13E70"/>
    <w:rsid w:val="00D1541C"/>
    <w:rsid w:val="00D15FCD"/>
    <w:rsid w:val="00D16C58"/>
    <w:rsid w:val="00D17019"/>
    <w:rsid w:val="00D17FC8"/>
    <w:rsid w:val="00D20B44"/>
    <w:rsid w:val="00D21168"/>
    <w:rsid w:val="00D23038"/>
    <w:rsid w:val="00D23195"/>
    <w:rsid w:val="00D2438C"/>
    <w:rsid w:val="00D24693"/>
    <w:rsid w:val="00D25671"/>
    <w:rsid w:val="00D2585A"/>
    <w:rsid w:val="00D259B0"/>
    <w:rsid w:val="00D25B66"/>
    <w:rsid w:val="00D26C3F"/>
    <w:rsid w:val="00D27185"/>
    <w:rsid w:val="00D309E1"/>
    <w:rsid w:val="00D30CC9"/>
    <w:rsid w:val="00D30EF8"/>
    <w:rsid w:val="00D32518"/>
    <w:rsid w:val="00D3262A"/>
    <w:rsid w:val="00D33488"/>
    <w:rsid w:val="00D33AB3"/>
    <w:rsid w:val="00D33F24"/>
    <w:rsid w:val="00D34160"/>
    <w:rsid w:val="00D34521"/>
    <w:rsid w:val="00D346B8"/>
    <w:rsid w:val="00D34DCA"/>
    <w:rsid w:val="00D35AC8"/>
    <w:rsid w:val="00D36F87"/>
    <w:rsid w:val="00D37D49"/>
    <w:rsid w:val="00D37E4E"/>
    <w:rsid w:val="00D40DEF"/>
    <w:rsid w:val="00D41034"/>
    <w:rsid w:val="00D417D8"/>
    <w:rsid w:val="00D41F78"/>
    <w:rsid w:val="00D421F0"/>
    <w:rsid w:val="00D42E6C"/>
    <w:rsid w:val="00D4351C"/>
    <w:rsid w:val="00D43B80"/>
    <w:rsid w:val="00D44988"/>
    <w:rsid w:val="00D45B4C"/>
    <w:rsid w:val="00D45BA4"/>
    <w:rsid w:val="00D465D0"/>
    <w:rsid w:val="00D471AF"/>
    <w:rsid w:val="00D4724F"/>
    <w:rsid w:val="00D47F28"/>
    <w:rsid w:val="00D50519"/>
    <w:rsid w:val="00D51601"/>
    <w:rsid w:val="00D51B14"/>
    <w:rsid w:val="00D51ECB"/>
    <w:rsid w:val="00D522B9"/>
    <w:rsid w:val="00D5264C"/>
    <w:rsid w:val="00D52BBC"/>
    <w:rsid w:val="00D537FE"/>
    <w:rsid w:val="00D53CC9"/>
    <w:rsid w:val="00D54497"/>
    <w:rsid w:val="00D54A6A"/>
    <w:rsid w:val="00D54B8F"/>
    <w:rsid w:val="00D55951"/>
    <w:rsid w:val="00D559F0"/>
    <w:rsid w:val="00D56E0D"/>
    <w:rsid w:val="00D57EB6"/>
    <w:rsid w:val="00D608C0"/>
    <w:rsid w:val="00D60905"/>
    <w:rsid w:val="00D60D6D"/>
    <w:rsid w:val="00D6128C"/>
    <w:rsid w:val="00D63E1A"/>
    <w:rsid w:val="00D649A9"/>
    <w:rsid w:val="00D66ABB"/>
    <w:rsid w:val="00D66CE1"/>
    <w:rsid w:val="00D66D8B"/>
    <w:rsid w:val="00D70849"/>
    <w:rsid w:val="00D70859"/>
    <w:rsid w:val="00D72297"/>
    <w:rsid w:val="00D72560"/>
    <w:rsid w:val="00D72A1C"/>
    <w:rsid w:val="00D7308F"/>
    <w:rsid w:val="00D7313E"/>
    <w:rsid w:val="00D73580"/>
    <w:rsid w:val="00D73802"/>
    <w:rsid w:val="00D73C2C"/>
    <w:rsid w:val="00D73D52"/>
    <w:rsid w:val="00D745E7"/>
    <w:rsid w:val="00D774ED"/>
    <w:rsid w:val="00D777C3"/>
    <w:rsid w:val="00D7797C"/>
    <w:rsid w:val="00D77C44"/>
    <w:rsid w:val="00D77F88"/>
    <w:rsid w:val="00D815BD"/>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782"/>
    <w:rsid w:val="00D86D47"/>
    <w:rsid w:val="00D870FD"/>
    <w:rsid w:val="00D8710C"/>
    <w:rsid w:val="00D8712F"/>
    <w:rsid w:val="00D87148"/>
    <w:rsid w:val="00D873C6"/>
    <w:rsid w:val="00D9074A"/>
    <w:rsid w:val="00D9099E"/>
    <w:rsid w:val="00D918DD"/>
    <w:rsid w:val="00D9193A"/>
    <w:rsid w:val="00D923B2"/>
    <w:rsid w:val="00D92463"/>
    <w:rsid w:val="00D93E64"/>
    <w:rsid w:val="00D93F64"/>
    <w:rsid w:val="00D94CA4"/>
    <w:rsid w:val="00D95E99"/>
    <w:rsid w:val="00D965D5"/>
    <w:rsid w:val="00D97DA2"/>
    <w:rsid w:val="00DA1A3A"/>
    <w:rsid w:val="00DA2351"/>
    <w:rsid w:val="00DA249E"/>
    <w:rsid w:val="00DA2D3D"/>
    <w:rsid w:val="00DA4C30"/>
    <w:rsid w:val="00DA5106"/>
    <w:rsid w:val="00DA5F70"/>
    <w:rsid w:val="00DA7CDD"/>
    <w:rsid w:val="00DB145E"/>
    <w:rsid w:val="00DB1A94"/>
    <w:rsid w:val="00DB1D52"/>
    <w:rsid w:val="00DB1E2B"/>
    <w:rsid w:val="00DB1F62"/>
    <w:rsid w:val="00DB21E7"/>
    <w:rsid w:val="00DB2E03"/>
    <w:rsid w:val="00DB3742"/>
    <w:rsid w:val="00DB3E9B"/>
    <w:rsid w:val="00DB3F4B"/>
    <w:rsid w:val="00DB4B7C"/>
    <w:rsid w:val="00DB5375"/>
    <w:rsid w:val="00DB67C1"/>
    <w:rsid w:val="00DB6C0B"/>
    <w:rsid w:val="00DB70F4"/>
    <w:rsid w:val="00DB748A"/>
    <w:rsid w:val="00DC07BB"/>
    <w:rsid w:val="00DC1056"/>
    <w:rsid w:val="00DC1442"/>
    <w:rsid w:val="00DC21CE"/>
    <w:rsid w:val="00DC21D8"/>
    <w:rsid w:val="00DC282A"/>
    <w:rsid w:val="00DC34DC"/>
    <w:rsid w:val="00DC3780"/>
    <w:rsid w:val="00DC3ADA"/>
    <w:rsid w:val="00DC3CC6"/>
    <w:rsid w:val="00DC3F55"/>
    <w:rsid w:val="00DC4782"/>
    <w:rsid w:val="00DC4791"/>
    <w:rsid w:val="00DC514A"/>
    <w:rsid w:val="00DC67B1"/>
    <w:rsid w:val="00DC7002"/>
    <w:rsid w:val="00DC7FBC"/>
    <w:rsid w:val="00DD0019"/>
    <w:rsid w:val="00DD132B"/>
    <w:rsid w:val="00DD1725"/>
    <w:rsid w:val="00DD2159"/>
    <w:rsid w:val="00DD218B"/>
    <w:rsid w:val="00DD2A18"/>
    <w:rsid w:val="00DD2EE5"/>
    <w:rsid w:val="00DD3044"/>
    <w:rsid w:val="00DD3985"/>
    <w:rsid w:val="00DD47B9"/>
    <w:rsid w:val="00DD61E8"/>
    <w:rsid w:val="00DD62C0"/>
    <w:rsid w:val="00DD64DE"/>
    <w:rsid w:val="00DD7859"/>
    <w:rsid w:val="00DD7B41"/>
    <w:rsid w:val="00DE051D"/>
    <w:rsid w:val="00DE0784"/>
    <w:rsid w:val="00DE085A"/>
    <w:rsid w:val="00DE0A1D"/>
    <w:rsid w:val="00DE1137"/>
    <w:rsid w:val="00DE1514"/>
    <w:rsid w:val="00DE15B2"/>
    <w:rsid w:val="00DE1A9A"/>
    <w:rsid w:val="00DE1C61"/>
    <w:rsid w:val="00DE3D2C"/>
    <w:rsid w:val="00DE5E82"/>
    <w:rsid w:val="00DE5F9B"/>
    <w:rsid w:val="00DE5FA6"/>
    <w:rsid w:val="00DE660A"/>
    <w:rsid w:val="00DE6792"/>
    <w:rsid w:val="00DE6AA1"/>
    <w:rsid w:val="00DE7AAB"/>
    <w:rsid w:val="00DE7EF7"/>
    <w:rsid w:val="00DE7F8A"/>
    <w:rsid w:val="00DF015B"/>
    <w:rsid w:val="00DF02EC"/>
    <w:rsid w:val="00DF10FC"/>
    <w:rsid w:val="00DF1185"/>
    <w:rsid w:val="00DF1299"/>
    <w:rsid w:val="00DF1A70"/>
    <w:rsid w:val="00DF1E5F"/>
    <w:rsid w:val="00DF23A8"/>
    <w:rsid w:val="00DF2F27"/>
    <w:rsid w:val="00DF3436"/>
    <w:rsid w:val="00DF36B6"/>
    <w:rsid w:val="00DF4296"/>
    <w:rsid w:val="00DF53F0"/>
    <w:rsid w:val="00DF5F38"/>
    <w:rsid w:val="00DF637F"/>
    <w:rsid w:val="00DF6608"/>
    <w:rsid w:val="00DF6CCC"/>
    <w:rsid w:val="00DF6D0C"/>
    <w:rsid w:val="00DF6F64"/>
    <w:rsid w:val="00DF721E"/>
    <w:rsid w:val="00DF7361"/>
    <w:rsid w:val="00DF7B8A"/>
    <w:rsid w:val="00DF7C87"/>
    <w:rsid w:val="00E00102"/>
    <w:rsid w:val="00E009B0"/>
    <w:rsid w:val="00E00A12"/>
    <w:rsid w:val="00E00C49"/>
    <w:rsid w:val="00E00E9A"/>
    <w:rsid w:val="00E0125A"/>
    <w:rsid w:val="00E01C9C"/>
    <w:rsid w:val="00E0219D"/>
    <w:rsid w:val="00E043F7"/>
    <w:rsid w:val="00E04B0C"/>
    <w:rsid w:val="00E04C0F"/>
    <w:rsid w:val="00E0570B"/>
    <w:rsid w:val="00E060BE"/>
    <w:rsid w:val="00E064FD"/>
    <w:rsid w:val="00E10913"/>
    <w:rsid w:val="00E10B87"/>
    <w:rsid w:val="00E121CE"/>
    <w:rsid w:val="00E122B0"/>
    <w:rsid w:val="00E138CF"/>
    <w:rsid w:val="00E1478B"/>
    <w:rsid w:val="00E14FAC"/>
    <w:rsid w:val="00E15007"/>
    <w:rsid w:val="00E15CEF"/>
    <w:rsid w:val="00E16277"/>
    <w:rsid w:val="00E1681F"/>
    <w:rsid w:val="00E16BDE"/>
    <w:rsid w:val="00E16EB8"/>
    <w:rsid w:val="00E16EC7"/>
    <w:rsid w:val="00E219CE"/>
    <w:rsid w:val="00E2321B"/>
    <w:rsid w:val="00E24071"/>
    <w:rsid w:val="00E24542"/>
    <w:rsid w:val="00E24EBC"/>
    <w:rsid w:val="00E2522C"/>
    <w:rsid w:val="00E2552F"/>
    <w:rsid w:val="00E2599B"/>
    <w:rsid w:val="00E2710C"/>
    <w:rsid w:val="00E27428"/>
    <w:rsid w:val="00E27E8C"/>
    <w:rsid w:val="00E305B4"/>
    <w:rsid w:val="00E31AFA"/>
    <w:rsid w:val="00E31CB7"/>
    <w:rsid w:val="00E324EE"/>
    <w:rsid w:val="00E34DB1"/>
    <w:rsid w:val="00E35931"/>
    <w:rsid w:val="00E359FF"/>
    <w:rsid w:val="00E36938"/>
    <w:rsid w:val="00E4000E"/>
    <w:rsid w:val="00E402C5"/>
    <w:rsid w:val="00E402F4"/>
    <w:rsid w:val="00E405F1"/>
    <w:rsid w:val="00E40992"/>
    <w:rsid w:val="00E417DB"/>
    <w:rsid w:val="00E4277A"/>
    <w:rsid w:val="00E43054"/>
    <w:rsid w:val="00E43606"/>
    <w:rsid w:val="00E43655"/>
    <w:rsid w:val="00E44440"/>
    <w:rsid w:val="00E46013"/>
    <w:rsid w:val="00E47099"/>
    <w:rsid w:val="00E47284"/>
    <w:rsid w:val="00E4730A"/>
    <w:rsid w:val="00E477C3"/>
    <w:rsid w:val="00E477FC"/>
    <w:rsid w:val="00E479F3"/>
    <w:rsid w:val="00E51E16"/>
    <w:rsid w:val="00E530D0"/>
    <w:rsid w:val="00E53730"/>
    <w:rsid w:val="00E5438D"/>
    <w:rsid w:val="00E54511"/>
    <w:rsid w:val="00E54ADC"/>
    <w:rsid w:val="00E54E50"/>
    <w:rsid w:val="00E55288"/>
    <w:rsid w:val="00E55332"/>
    <w:rsid w:val="00E57577"/>
    <w:rsid w:val="00E57643"/>
    <w:rsid w:val="00E61838"/>
    <w:rsid w:val="00E62043"/>
    <w:rsid w:val="00E62138"/>
    <w:rsid w:val="00E626B9"/>
    <w:rsid w:val="00E627C9"/>
    <w:rsid w:val="00E630F3"/>
    <w:rsid w:val="00E6332F"/>
    <w:rsid w:val="00E637C9"/>
    <w:rsid w:val="00E63898"/>
    <w:rsid w:val="00E6402D"/>
    <w:rsid w:val="00E642A4"/>
    <w:rsid w:val="00E658BE"/>
    <w:rsid w:val="00E6680A"/>
    <w:rsid w:val="00E66F0D"/>
    <w:rsid w:val="00E67529"/>
    <w:rsid w:val="00E70615"/>
    <w:rsid w:val="00E7161E"/>
    <w:rsid w:val="00E7207B"/>
    <w:rsid w:val="00E728EB"/>
    <w:rsid w:val="00E7347A"/>
    <w:rsid w:val="00E73562"/>
    <w:rsid w:val="00E75A47"/>
    <w:rsid w:val="00E75BB6"/>
    <w:rsid w:val="00E75D8C"/>
    <w:rsid w:val="00E777F2"/>
    <w:rsid w:val="00E802C9"/>
    <w:rsid w:val="00E80BFB"/>
    <w:rsid w:val="00E80F0A"/>
    <w:rsid w:val="00E815D4"/>
    <w:rsid w:val="00E8291B"/>
    <w:rsid w:val="00E82E70"/>
    <w:rsid w:val="00E82EA8"/>
    <w:rsid w:val="00E82F92"/>
    <w:rsid w:val="00E8395F"/>
    <w:rsid w:val="00E8410F"/>
    <w:rsid w:val="00E849D7"/>
    <w:rsid w:val="00E85E41"/>
    <w:rsid w:val="00E85EA1"/>
    <w:rsid w:val="00E86703"/>
    <w:rsid w:val="00E91039"/>
    <w:rsid w:val="00E91044"/>
    <w:rsid w:val="00E910D3"/>
    <w:rsid w:val="00E92154"/>
    <w:rsid w:val="00E923CF"/>
    <w:rsid w:val="00E93685"/>
    <w:rsid w:val="00E93B65"/>
    <w:rsid w:val="00E93C8C"/>
    <w:rsid w:val="00E95111"/>
    <w:rsid w:val="00E954F4"/>
    <w:rsid w:val="00E95E1F"/>
    <w:rsid w:val="00E95FDF"/>
    <w:rsid w:val="00E978A8"/>
    <w:rsid w:val="00EA042B"/>
    <w:rsid w:val="00EA1086"/>
    <w:rsid w:val="00EA14C8"/>
    <w:rsid w:val="00EA2110"/>
    <w:rsid w:val="00EA283A"/>
    <w:rsid w:val="00EA2C8D"/>
    <w:rsid w:val="00EA2C90"/>
    <w:rsid w:val="00EA2E07"/>
    <w:rsid w:val="00EA383B"/>
    <w:rsid w:val="00EA48F3"/>
    <w:rsid w:val="00EA511B"/>
    <w:rsid w:val="00EA60BF"/>
    <w:rsid w:val="00EA6318"/>
    <w:rsid w:val="00EA6F6A"/>
    <w:rsid w:val="00EA7365"/>
    <w:rsid w:val="00EA763F"/>
    <w:rsid w:val="00EA77E9"/>
    <w:rsid w:val="00EB0227"/>
    <w:rsid w:val="00EB05D0"/>
    <w:rsid w:val="00EB1151"/>
    <w:rsid w:val="00EB120B"/>
    <w:rsid w:val="00EB1377"/>
    <w:rsid w:val="00EB1D49"/>
    <w:rsid w:val="00EB234C"/>
    <w:rsid w:val="00EB23D9"/>
    <w:rsid w:val="00EB26F3"/>
    <w:rsid w:val="00EB2D71"/>
    <w:rsid w:val="00EB39A0"/>
    <w:rsid w:val="00EB4507"/>
    <w:rsid w:val="00EB559F"/>
    <w:rsid w:val="00EB566C"/>
    <w:rsid w:val="00EB5F3D"/>
    <w:rsid w:val="00EB6D01"/>
    <w:rsid w:val="00EC0E96"/>
    <w:rsid w:val="00EC0F4E"/>
    <w:rsid w:val="00EC1CEB"/>
    <w:rsid w:val="00EC1DC0"/>
    <w:rsid w:val="00EC1DC2"/>
    <w:rsid w:val="00EC1F37"/>
    <w:rsid w:val="00EC21EC"/>
    <w:rsid w:val="00EC24B8"/>
    <w:rsid w:val="00EC268C"/>
    <w:rsid w:val="00EC2C2B"/>
    <w:rsid w:val="00EC3753"/>
    <w:rsid w:val="00EC4E71"/>
    <w:rsid w:val="00EC5F1C"/>
    <w:rsid w:val="00EC63AF"/>
    <w:rsid w:val="00EC6B05"/>
    <w:rsid w:val="00ED0365"/>
    <w:rsid w:val="00ED0865"/>
    <w:rsid w:val="00ED0DC7"/>
    <w:rsid w:val="00ED1C60"/>
    <w:rsid w:val="00ED2084"/>
    <w:rsid w:val="00ED2EB9"/>
    <w:rsid w:val="00ED3722"/>
    <w:rsid w:val="00ED3A31"/>
    <w:rsid w:val="00ED4469"/>
    <w:rsid w:val="00ED48B4"/>
    <w:rsid w:val="00ED5424"/>
    <w:rsid w:val="00ED5F23"/>
    <w:rsid w:val="00ED6DC0"/>
    <w:rsid w:val="00ED7A7A"/>
    <w:rsid w:val="00ED7F22"/>
    <w:rsid w:val="00EE0327"/>
    <w:rsid w:val="00EE038C"/>
    <w:rsid w:val="00EE1227"/>
    <w:rsid w:val="00EE2243"/>
    <w:rsid w:val="00EE28C5"/>
    <w:rsid w:val="00EE2F09"/>
    <w:rsid w:val="00EE2F13"/>
    <w:rsid w:val="00EE3654"/>
    <w:rsid w:val="00EE46C0"/>
    <w:rsid w:val="00EE47C5"/>
    <w:rsid w:val="00EE490C"/>
    <w:rsid w:val="00EE4E57"/>
    <w:rsid w:val="00EE508F"/>
    <w:rsid w:val="00EE5738"/>
    <w:rsid w:val="00EE58BD"/>
    <w:rsid w:val="00EE5B9D"/>
    <w:rsid w:val="00EE5E59"/>
    <w:rsid w:val="00EE6549"/>
    <w:rsid w:val="00EE73D0"/>
    <w:rsid w:val="00EE7814"/>
    <w:rsid w:val="00EE7CB0"/>
    <w:rsid w:val="00EF08A8"/>
    <w:rsid w:val="00EF12B7"/>
    <w:rsid w:val="00EF167B"/>
    <w:rsid w:val="00EF1985"/>
    <w:rsid w:val="00EF40E0"/>
    <w:rsid w:val="00EF41A8"/>
    <w:rsid w:val="00EF44FB"/>
    <w:rsid w:val="00EF4895"/>
    <w:rsid w:val="00EF5122"/>
    <w:rsid w:val="00EF5554"/>
    <w:rsid w:val="00EF5AD8"/>
    <w:rsid w:val="00EF6B90"/>
    <w:rsid w:val="00EF7807"/>
    <w:rsid w:val="00EF79F7"/>
    <w:rsid w:val="00F006C0"/>
    <w:rsid w:val="00F0125F"/>
    <w:rsid w:val="00F019AA"/>
    <w:rsid w:val="00F0267E"/>
    <w:rsid w:val="00F02686"/>
    <w:rsid w:val="00F028B7"/>
    <w:rsid w:val="00F030C0"/>
    <w:rsid w:val="00F03291"/>
    <w:rsid w:val="00F037F5"/>
    <w:rsid w:val="00F038C1"/>
    <w:rsid w:val="00F0459B"/>
    <w:rsid w:val="00F04E15"/>
    <w:rsid w:val="00F05DF3"/>
    <w:rsid w:val="00F069EA"/>
    <w:rsid w:val="00F070E5"/>
    <w:rsid w:val="00F07DDE"/>
    <w:rsid w:val="00F11675"/>
    <w:rsid w:val="00F11677"/>
    <w:rsid w:val="00F12557"/>
    <w:rsid w:val="00F1257D"/>
    <w:rsid w:val="00F12D7E"/>
    <w:rsid w:val="00F13599"/>
    <w:rsid w:val="00F13B28"/>
    <w:rsid w:val="00F13DB6"/>
    <w:rsid w:val="00F1450F"/>
    <w:rsid w:val="00F14E01"/>
    <w:rsid w:val="00F156A0"/>
    <w:rsid w:val="00F15730"/>
    <w:rsid w:val="00F15A18"/>
    <w:rsid w:val="00F164B0"/>
    <w:rsid w:val="00F16EB7"/>
    <w:rsid w:val="00F176A6"/>
    <w:rsid w:val="00F202C2"/>
    <w:rsid w:val="00F212F6"/>
    <w:rsid w:val="00F22756"/>
    <w:rsid w:val="00F22AA3"/>
    <w:rsid w:val="00F23248"/>
    <w:rsid w:val="00F23890"/>
    <w:rsid w:val="00F2504D"/>
    <w:rsid w:val="00F25695"/>
    <w:rsid w:val="00F2637F"/>
    <w:rsid w:val="00F268F7"/>
    <w:rsid w:val="00F27AA3"/>
    <w:rsid w:val="00F30B83"/>
    <w:rsid w:val="00F30BDB"/>
    <w:rsid w:val="00F30C0B"/>
    <w:rsid w:val="00F30CF8"/>
    <w:rsid w:val="00F31EDF"/>
    <w:rsid w:val="00F32071"/>
    <w:rsid w:val="00F32CDE"/>
    <w:rsid w:val="00F32D4C"/>
    <w:rsid w:val="00F3327E"/>
    <w:rsid w:val="00F338C3"/>
    <w:rsid w:val="00F34B14"/>
    <w:rsid w:val="00F34F58"/>
    <w:rsid w:val="00F35634"/>
    <w:rsid w:val="00F35D17"/>
    <w:rsid w:val="00F35DA7"/>
    <w:rsid w:val="00F36868"/>
    <w:rsid w:val="00F36A6A"/>
    <w:rsid w:val="00F40101"/>
    <w:rsid w:val="00F404F7"/>
    <w:rsid w:val="00F40CCA"/>
    <w:rsid w:val="00F40D2B"/>
    <w:rsid w:val="00F41069"/>
    <w:rsid w:val="00F42D97"/>
    <w:rsid w:val="00F436B2"/>
    <w:rsid w:val="00F43813"/>
    <w:rsid w:val="00F43FEE"/>
    <w:rsid w:val="00F45306"/>
    <w:rsid w:val="00F45A72"/>
    <w:rsid w:val="00F46723"/>
    <w:rsid w:val="00F46EDD"/>
    <w:rsid w:val="00F4706D"/>
    <w:rsid w:val="00F476E1"/>
    <w:rsid w:val="00F47D1D"/>
    <w:rsid w:val="00F47F29"/>
    <w:rsid w:val="00F50016"/>
    <w:rsid w:val="00F5118A"/>
    <w:rsid w:val="00F519B0"/>
    <w:rsid w:val="00F51A21"/>
    <w:rsid w:val="00F52614"/>
    <w:rsid w:val="00F5276E"/>
    <w:rsid w:val="00F52E9F"/>
    <w:rsid w:val="00F53304"/>
    <w:rsid w:val="00F539EA"/>
    <w:rsid w:val="00F53B81"/>
    <w:rsid w:val="00F53BAB"/>
    <w:rsid w:val="00F540FE"/>
    <w:rsid w:val="00F556FF"/>
    <w:rsid w:val="00F55D12"/>
    <w:rsid w:val="00F56827"/>
    <w:rsid w:val="00F5687F"/>
    <w:rsid w:val="00F56D3F"/>
    <w:rsid w:val="00F5748B"/>
    <w:rsid w:val="00F575C7"/>
    <w:rsid w:val="00F57FD0"/>
    <w:rsid w:val="00F60305"/>
    <w:rsid w:val="00F61B12"/>
    <w:rsid w:val="00F63264"/>
    <w:rsid w:val="00F634E4"/>
    <w:rsid w:val="00F6379E"/>
    <w:rsid w:val="00F64047"/>
    <w:rsid w:val="00F65171"/>
    <w:rsid w:val="00F654CA"/>
    <w:rsid w:val="00F655B9"/>
    <w:rsid w:val="00F6560D"/>
    <w:rsid w:val="00F67844"/>
    <w:rsid w:val="00F70799"/>
    <w:rsid w:val="00F70A8B"/>
    <w:rsid w:val="00F70B8D"/>
    <w:rsid w:val="00F70D74"/>
    <w:rsid w:val="00F71936"/>
    <w:rsid w:val="00F724FB"/>
    <w:rsid w:val="00F726B8"/>
    <w:rsid w:val="00F727BB"/>
    <w:rsid w:val="00F72A26"/>
    <w:rsid w:val="00F733C3"/>
    <w:rsid w:val="00F746A1"/>
    <w:rsid w:val="00F746A6"/>
    <w:rsid w:val="00F74820"/>
    <w:rsid w:val="00F756DD"/>
    <w:rsid w:val="00F77F4E"/>
    <w:rsid w:val="00F80047"/>
    <w:rsid w:val="00F800C7"/>
    <w:rsid w:val="00F80CA4"/>
    <w:rsid w:val="00F8104D"/>
    <w:rsid w:val="00F81158"/>
    <w:rsid w:val="00F81587"/>
    <w:rsid w:val="00F8288F"/>
    <w:rsid w:val="00F84033"/>
    <w:rsid w:val="00F840DC"/>
    <w:rsid w:val="00F84802"/>
    <w:rsid w:val="00F85B72"/>
    <w:rsid w:val="00F86540"/>
    <w:rsid w:val="00F865CE"/>
    <w:rsid w:val="00F87468"/>
    <w:rsid w:val="00F8766F"/>
    <w:rsid w:val="00F90BB3"/>
    <w:rsid w:val="00F91082"/>
    <w:rsid w:val="00F9116D"/>
    <w:rsid w:val="00F915E4"/>
    <w:rsid w:val="00F91A9A"/>
    <w:rsid w:val="00F91C67"/>
    <w:rsid w:val="00F9203B"/>
    <w:rsid w:val="00F92D6F"/>
    <w:rsid w:val="00F93251"/>
    <w:rsid w:val="00F93ABB"/>
    <w:rsid w:val="00F9406A"/>
    <w:rsid w:val="00F94D79"/>
    <w:rsid w:val="00F9658C"/>
    <w:rsid w:val="00F97A7F"/>
    <w:rsid w:val="00FA0889"/>
    <w:rsid w:val="00FA16E7"/>
    <w:rsid w:val="00FA31C7"/>
    <w:rsid w:val="00FA32CC"/>
    <w:rsid w:val="00FA3E5C"/>
    <w:rsid w:val="00FA472D"/>
    <w:rsid w:val="00FB0CBF"/>
    <w:rsid w:val="00FB18F6"/>
    <w:rsid w:val="00FB23E5"/>
    <w:rsid w:val="00FB2660"/>
    <w:rsid w:val="00FB2A52"/>
    <w:rsid w:val="00FB2FC2"/>
    <w:rsid w:val="00FB31E8"/>
    <w:rsid w:val="00FB3414"/>
    <w:rsid w:val="00FB3F92"/>
    <w:rsid w:val="00FB42B5"/>
    <w:rsid w:val="00FB52C7"/>
    <w:rsid w:val="00FB57DC"/>
    <w:rsid w:val="00FB5E31"/>
    <w:rsid w:val="00FB6E19"/>
    <w:rsid w:val="00FB71F6"/>
    <w:rsid w:val="00FC002E"/>
    <w:rsid w:val="00FC0AF8"/>
    <w:rsid w:val="00FC1483"/>
    <w:rsid w:val="00FC1C47"/>
    <w:rsid w:val="00FC1CEC"/>
    <w:rsid w:val="00FC28DB"/>
    <w:rsid w:val="00FC3102"/>
    <w:rsid w:val="00FC39ED"/>
    <w:rsid w:val="00FC4419"/>
    <w:rsid w:val="00FC47E2"/>
    <w:rsid w:val="00FC4AA5"/>
    <w:rsid w:val="00FC4B88"/>
    <w:rsid w:val="00FC4BB8"/>
    <w:rsid w:val="00FC5148"/>
    <w:rsid w:val="00FC5EF3"/>
    <w:rsid w:val="00FC5F9B"/>
    <w:rsid w:val="00FC6524"/>
    <w:rsid w:val="00FC7534"/>
    <w:rsid w:val="00FC75AC"/>
    <w:rsid w:val="00FD01BF"/>
    <w:rsid w:val="00FD022A"/>
    <w:rsid w:val="00FD0525"/>
    <w:rsid w:val="00FD0AB7"/>
    <w:rsid w:val="00FD297D"/>
    <w:rsid w:val="00FD2D13"/>
    <w:rsid w:val="00FD374D"/>
    <w:rsid w:val="00FD517B"/>
    <w:rsid w:val="00FD5C86"/>
    <w:rsid w:val="00FD6071"/>
    <w:rsid w:val="00FD633B"/>
    <w:rsid w:val="00FE0779"/>
    <w:rsid w:val="00FE0794"/>
    <w:rsid w:val="00FE0FE9"/>
    <w:rsid w:val="00FE1041"/>
    <w:rsid w:val="00FE24CB"/>
    <w:rsid w:val="00FE2C8F"/>
    <w:rsid w:val="00FE323F"/>
    <w:rsid w:val="00FE3473"/>
    <w:rsid w:val="00FE4049"/>
    <w:rsid w:val="00FE4794"/>
    <w:rsid w:val="00FE480F"/>
    <w:rsid w:val="00FE4998"/>
    <w:rsid w:val="00FE57DE"/>
    <w:rsid w:val="00FE7A68"/>
    <w:rsid w:val="00FF0231"/>
    <w:rsid w:val="00FF0AE8"/>
    <w:rsid w:val="00FF1C9B"/>
    <w:rsid w:val="00FF1D49"/>
    <w:rsid w:val="00FF1DC5"/>
    <w:rsid w:val="00FF203B"/>
    <w:rsid w:val="00FF2562"/>
    <w:rsid w:val="00FF3A41"/>
    <w:rsid w:val="00FF3C49"/>
    <w:rsid w:val="00FF3E5B"/>
    <w:rsid w:val="00FF57E4"/>
    <w:rsid w:val="00FF72B5"/>
    <w:rsid w:val="00FF78E5"/>
    <w:rsid w:val="01317F69"/>
    <w:rsid w:val="0132783D"/>
    <w:rsid w:val="013D6E04"/>
    <w:rsid w:val="013F2668"/>
    <w:rsid w:val="0147778C"/>
    <w:rsid w:val="01583748"/>
    <w:rsid w:val="017B5688"/>
    <w:rsid w:val="01883901"/>
    <w:rsid w:val="019B486D"/>
    <w:rsid w:val="019C6584"/>
    <w:rsid w:val="01AF3D99"/>
    <w:rsid w:val="01C012ED"/>
    <w:rsid w:val="01CC1A40"/>
    <w:rsid w:val="01E21A57"/>
    <w:rsid w:val="01E44FDB"/>
    <w:rsid w:val="01FD42EF"/>
    <w:rsid w:val="01FD609D"/>
    <w:rsid w:val="0213766F"/>
    <w:rsid w:val="021C508D"/>
    <w:rsid w:val="02231588"/>
    <w:rsid w:val="02277662"/>
    <w:rsid w:val="024B505A"/>
    <w:rsid w:val="02511F9D"/>
    <w:rsid w:val="02533F0F"/>
    <w:rsid w:val="025C1016"/>
    <w:rsid w:val="028F34D0"/>
    <w:rsid w:val="029A25D9"/>
    <w:rsid w:val="029C37DA"/>
    <w:rsid w:val="02AF7A07"/>
    <w:rsid w:val="02BD6788"/>
    <w:rsid w:val="02D80AB1"/>
    <w:rsid w:val="03126A7A"/>
    <w:rsid w:val="032C4E8C"/>
    <w:rsid w:val="033F6241"/>
    <w:rsid w:val="034F0B7A"/>
    <w:rsid w:val="035D7D63"/>
    <w:rsid w:val="037F4FB1"/>
    <w:rsid w:val="03846E28"/>
    <w:rsid w:val="038D07E8"/>
    <w:rsid w:val="039667A9"/>
    <w:rsid w:val="03A314B8"/>
    <w:rsid w:val="03D82B98"/>
    <w:rsid w:val="03D90444"/>
    <w:rsid w:val="03E94B2B"/>
    <w:rsid w:val="03EF73F3"/>
    <w:rsid w:val="03F83E8B"/>
    <w:rsid w:val="04025BED"/>
    <w:rsid w:val="04045DDC"/>
    <w:rsid w:val="040B7EDD"/>
    <w:rsid w:val="0442423B"/>
    <w:rsid w:val="044B5AB1"/>
    <w:rsid w:val="046643CE"/>
    <w:rsid w:val="048E122E"/>
    <w:rsid w:val="049802FF"/>
    <w:rsid w:val="049F37E8"/>
    <w:rsid w:val="04AB3B8E"/>
    <w:rsid w:val="04D17316"/>
    <w:rsid w:val="04FF212C"/>
    <w:rsid w:val="051B106F"/>
    <w:rsid w:val="052A53FB"/>
    <w:rsid w:val="052D4EEB"/>
    <w:rsid w:val="0531630E"/>
    <w:rsid w:val="05377B18"/>
    <w:rsid w:val="053C512E"/>
    <w:rsid w:val="05431ACA"/>
    <w:rsid w:val="05465FAD"/>
    <w:rsid w:val="05503BA6"/>
    <w:rsid w:val="05557F9E"/>
    <w:rsid w:val="05665D07"/>
    <w:rsid w:val="057A53C0"/>
    <w:rsid w:val="058326BE"/>
    <w:rsid w:val="058F0F24"/>
    <w:rsid w:val="05942874"/>
    <w:rsid w:val="0596252E"/>
    <w:rsid w:val="05976809"/>
    <w:rsid w:val="05980631"/>
    <w:rsid w:val="05A056BD"/>
    <w:rsid w:val="05A52CD4"/>
    <w:rsid w:val="05A96FBC"/>
    <w:rsid w:val="05AC36BF"/>
    <w:rsid w:val="05B20F4D"/>
    <w:rsid w:val="05BB69AF"/>
    <w:rsid w:val="05C426DE"/>
    <w:rsid w:val="05C56868"/>
    <w:rsid w:val="05E355AA"/>
    <w:rsid w:val="05F23F3F"/>
    <w:rsid w:val="06135E8F"/>
    <w:rsid w:val="06293881"/>
    <w:rsid w:val="062B26BA"/>
    <w:rsid w:val="062E4A77"/>
    <w:rsid w:val="063B53E6"/>
    <w:rsid w:val="063C038A"/>
    <w:rsid w:val="0667328F"/>
    <w:rsid w:val="06C07699"/>
    <w:rsid w:val="06D52B3A"/>
    <w:rsid w:val="06EC66E0"/>
    <w:rsid w:val="06EE55BA"/>
    <w:rsid w:val="06F21D38"/>
    <w:rsid w:val="070666BE"/>
    <w:rsid w:val="07520C39"/>
    <w:rsid w:val="077010BF"/>
    <w:rsid w:val="078B7CA7"/>
    <w:rsid w:val="07AA45D1"/>
    <w:rsid w:val="07B72767"/>
    <w:rsid w:val="07C03DF5"/>
    <w:rsid w:val="07ED44BE"/>
    <w:rsid w:val="07F43A9E"/>
    <w:rsid w:val="07FD6DF7"/>
    <w:rsid w:val="080050CA"/>
    <w:rsid w:val="080747BF"/>
    <w:rsid w:val="08077E72"/>
    <w:rsid w:val="0837398B"/>
    <w:rsid w:val="08493DEA"/>
    <w:rsid w:val="087717A3"/>
    <w:rsid w:val="087E2252"/>
    <w:rsid w:val="08882DD0"/>
    <w:rsid w:val="088A61B1"/>
    <w:rsid w:val="089111E3"/>
    <w:rsid w:val="08A90D2D"/>
    <w:rsid w:val="08F04266"/>
    <w:rsid w:val="08FC0E5C"/>
    <w:rsid w:val="09150170"/>
    <w:rsid w:val="09320D22"/>
    <w:rsid w:val="09812048"/>
    <w:rsid w:val="098D3641"/>
    <w:rsid w:val="09CC2AAC"/>
    <w:rsid w:val="09D26E76"/>
    <w:rsid w:val="09E23771"/>
    <w:rsid w:val="09FB7366"/>
    <w:rsid w:val="0A075D0B"/>
    <w:rsid w:val="0A227626"/>
    <w:rsid w:val="0A3F7A85"/>
    <w:rsid w:val="0A4C7BC2"/>
    <w:rsid w:val="0A4D7496"/>
    <w:rsid w:val="0A59408D"/>
    <w:rsid w:val="0A634F0B"/>
    <w:rsid w:val="0A652D3E"/>
    <w:rsid w:val="0A764C3F"/>
    <w:rsid w:val="0A870BFA"/>
    <w:rsid w:val="0AA23C86"/>
    <w:rsid w:val="0AAB0D8C"/>
    <w:rsid w:val="0AC43BFC"/>
    <w:rsid w:val="0ACF625E"/>
    <w:rsid w:val="0AE3781D"/>
    <w:rsid w:val="0AFA761E"/>
    <w:rsid w:val="0B1A381C"/>
    <w:rsid w:val="0B1F52D6"/>
    <w:rsid w:val="0B21316C"/>
    <w:rsid w:val="0B326F2A"/>
    <w:rsid w:val="0B3B060A"/>
    <w:rsid w:val="0B444D3D"/>
    <w:rsid w:val="0B57681E"/>
    <w:rsid w:val="0B61253D"/>
    <w:rsid w:val="0B7F3FC7"/>
    <w:rsid w:val="0B8B334B"/>
    <w:rsid w:val="0BA92DF2"/>
    <w:rsid w:val="0BB04180"/>
    <w:rsid w:val="0BB579E9"/>
    <w:rsid w:val="0BC55E7E"/>
    <w:rsid w:val="0BDA3681"/>
    <w:rsid w:val="0BE20DB9"/>
    <w:rsid w:val="0BE41F04"/>
    <w:rsid w:val="0C006EB6"/>
    <w:rsid w:val="0C182FEF"/>
    <w:rsid w:val="0C1E2888"/>
    <w:rsid w:val="0C580AA0"/>
    <w:rsid w:val="0C5B0590"/>
    <w:rsid w:val="0C767178"/>
    <w:rsid w:val="0C811679"/>
    <w:rsid w:val="0C8573BB"/>
    <w:rsid w:val="0C873133"/>
    <w:rsid w:val="0C92213C"/>
    <w:rsid w:val="0CA9031A"/>
    <w:rsid w:val="0CB16402"/>
    <w:rsid w:val="0CD619C5"/>
    <w:rsid w:val="0CDD6C87"/>
    <w:rsid w:val="0CEA6E5C"/>
    <w:rsid w:val="0CFA3905"/>
    <w:rsid w:val="0D211B6B"/>
    <w:rsid w:val="0D35035E"/>
    <w:rsid w:val="0D52480F"/>
    <w:rsid w:val="0D5A43A4"/>
    <w:rsid w:val="0D7D53C0"/>
    <w:rsid w:val="0D84032B"/>
    <w:rsid w:val="0D841421"/>
    <w:rsid w:val="0D8B611B"/>
    <w:rsid w:val="0D990ADB"/>
    <w:rsid w:val="0DAC282E"/>
    <w:rsid w:val="0DCC6095"/>
    <w:rsid w:val="0DD9409B"/>
    <w:rsid w:val="0DDA1988"/>
    <w:rsid w:val="0DDB445C"/>
    <w:rsid w:val="0DF00E78"/>
    <w:rsid w:val="0DFA5B87"/>
    <w:rsid w:val="0E0A5DCA"/>
    <w:rsid w:val="0E236E8B"/>
    <w:rsid w:val="0E60157C"/>
    <w:rsid w:val="0E960F7B"/>
    <w:rsid w:val="0E986DE4"/>
    <w:rsid w:val="0EA753E8"/>
    <w:rsid w:val="0ECA0A0A"/>
    <w:rsid w:val="0ECC12D1"/>
    <w:rsid w:val="0EE8383B"/>
    <w:rsid w:val="0F000F7B"/>
    <w:rsid w:val="0F205179"/>
    <w:rsid w:val="0F24110D"/>
    <w:rsid w:val="0F274759"/>
    <w:rsid w:val="0F2A74C4"/>
    <w:rsid w:val="0F40581B"/>
    <w:rsid w:val="0F470958"/>
    <w:rsid w:val="0F59068B"/>
    <w:rsid w:val="0F754761"/>
    <w:rsid w:val="0F7B6853"/>
    <w:rsid w:val="0F7F374B"/>
    <w:rsid w:val="0F8904E1"/>
    <w:rsid w:val="0F9D2C6D"/>
    <w:rsid w:val="0FC91CB4"/>
    <w:rsid w:val="0FDA5C70"/>
    <w:rsid w:val="0FDF38FC"/>
    <w:rsid w:val="0FFD54BA"/>
    <w:rsid w:val="10074C30"/>
    <w:rsid w:val="101271B8"/>
    <w:rsid w:val="102C5272"/>
    <w:rsid w:val="10301A7D"/>
    <w:rsid w:val="1054157E"/>
    <w:rsid w:val="105A46BB"/>
    <w:rsid w:val="10703EDE"/>
    <w:rsid w:val="10A27F31"/>
    <w:rsid w:val="10C06C14"/>
    <w:rsid w:val="10E64121"/>
    <w:rsid w:val="10E8040C"/>
    <w:rsid w:val="10FC5772"/>
    <w:rsid w:val="11074842"/>
    <w:rsid w:val="11247592"/>
    <w:rsid w:val="112A0A0B"/>
    <w:rsid w:val="11301FEB"/>
    <w:rsid w:val="11382C4E"/>
    <w:rsid w:val="11472E91"/>
    <w:rsid w:val="114F590B"/>
    <w:rsid w:val="11641C95"/>
    <w:rsid w:val="116972AB"/>
    <w:rsid w:val="116E48C1"/>
    <w:rsid w:val="118714DF"/>
    <w:rsid w:val="11927058"/>
    <w:rsid w:val="119B31DD"/>
    <w:rsid w:val="11CF305B"/>
    <w:rsid w:val="11DD4F3E"/>
    <w:rsid w:val="11F24E55"/>
    <w:rsid w:val="12274A70"/>
    <w:rsid w:val="12277E78"/>
    <w:rsid w:val="122B630F"/>
    <w:rsid w:val="123641CA"/>
    <w:rsid w:val="12445622"/>
    <w:rsid w:val="124473D0"/>
    <w:rsid w:val="12502219"/>
    <w:rsid w:val="125F11D4"/>
    <w:rsid w:val="12823D4A"/>
    <w:rsid w:val="128679E9"/>
    <w:rsid w:val="12B24C82"/>
    <w:rsid w:val="12B46304"/>
    <w:rsid w:val="12B823AF"/>
    <w:rsid w:val="12C14EC5"/>
    <w:rsid w:val="12F4704F"/>
    <w:rsid w:val="13143247"/>
    <w:rsid w:val="131D659F"/>
    <w:rsid w:val="13206C24"/>
    <w:rsid w:val="132C1DAD"/>
    <w:rsid w:val="13335F61"/>
    <w:rsid w:val="133B3544"/>
    <w:rsid w:val="134578A4"/>
    <w:rsid w:val="13482EF0"/>
    <w:rsid w:val="134F427F"/>
    <w:rsid w:val="13561AB1"/>
    <w:rsid w:val="136234C0"/>
    <w:rsid w:val="139A199E"/>
    <w:rsid w:val="13A85855"/>
    <w:rsid w:val="13AF4F03"/>
    <w:rsid w:val="13CE7899"/>
    <w:rsid w:val="14025795"/>
    <w:rsid w:val="14414227"/>
    <w:rsid w:val="14592CC2"/>
    <w:rsid w:val="1461070D"/>
    <w:rsid w:val="146467B4"/>
    <w:rsid w:val="146975C2"/>
    <w:rsid w:val="146E56F3"/>
    <w:rsid w:val="14700951"/>
    <w:rsid w:val="14736E66"/>
    <w:rsid w:val="14776E23"/>
    <w:rsid w:val="147A17CF"/>
    <w:rsid w:val="147F458F"/>
    <w:rsid w:val="14902DA1"/>
    <w:rsid w:val="14997EA7"/>
    <w:rsid w:val="14D958EC"/>
    <w:rsid w:val="14E8498B"/>
    <w:rsid w:val="14F54CB6"/>
    <w:rsid w:val="15144CD9"/>
    <w:rsid w:val="151B6B0E"/>
    <w:rsid w:val="152C00BC"/>
    <w:rsid w:val="1534169A"/>
    <w:rsid w:val="15531092"/>
    <w:rsid w:val="15584512"/>
    <w:rsid w:val="158E02EF"/>
    <w:rsid w:val="15993E1E"/>
    <w:rsid w:val="15B50D11"/>
    <w:rsid w:val="15C03E03"/>
    <w:rsid w:val="15CD58BD"/>
    <w:rsid w:val="15D05B4B"/>
    <w:rsid w:val="15F5110D"/>
    <w:rsid w:val="15FA253E"/>
    <w:rsid w:val="16094BB9"/>
    <w:rsid w:val="162A25EB"/>
    <w:rsid w:val="162B0FD3"/>
    <w:rsid w:val="162F5177"/>
    <w:rsid w:val="163B0AEA"/>
    <w:rsid w:val="163F4A7E"/>
    <w:rsid w:val="16552048"/>
    <w:rsid w:val="166149F5"/>
    <w:rsid w:val="16753FFC"/>
    <w:rsid w:val="16970417"/>
    <w:rsid w:val="1698756F"/>
    <w:rsid w:val="16B26FFE"/>
    <w:rsid w:val="16B305C2"/>
    <w:rsid w:val="16FD2A55"/>
    <w:rsid w:val="17067C1A"/>
    <w:rsid w:val="170D7DC6"/>
    <w:rsid w:val="171B2DF6"/>
    <w:rsid w:val="171C6B6E"/>
    <w:rsid w:val="172449EB"/>
    <w:rsid w:val="173278FF"/>
    <w:rsid w:val="17366761"/>
    <w:rsid w:val="173C4B1A"/>
    <w:rsid w:val="173D7210"/>
    <w:rsid w:val="1766082A"/>
    <w:rsid w:val="177C01F0"/>
    <w:rsid w:val="17AD5A18"/>
    <w:rsid w:val="17B30F28"/>
    <w:rsid w:val="17B31280"/>
    <w:rsid w:val="17B427AD"/>
    <w:rsid w:val="17CC40F0"/>
    <w:rsid w:val="17CE6630"/>
    <w:rsid w:val="18033FB5"/>
    <w:rsid w:val="182F0FA4"/>
    <w:rsid w:val="18324C10"/>
    <w:rsid w:val="183A374F"/>
    <w:rsid w:val="183C533D"/>
    <w:rsid w:val="183F2B14"/>
    <w:rsid w:val="1864257A"/>
    <w:rsid w:val="18763DF5"/>
    <w:rsid w:val="188B5D59"/>
    <w:rsid w:val="18983392"/>
    <w:rsid w:val="18A052F9"/>
    <w:rsid w:val="18A8690B"/>
    <w:rsid w:val="18C752CA"/>
    <w:rsid w:val="18CB43A7"/>
    <w:rsid w:val="18CE7660"/>
    <w:rsid w:val="18D05E62"/>
    <w:rsid w:val="18D70957"/>
    <w:rsid w:val="18E13A13"/>
    <w:rsid w:val="18EB46AB"/>
    <w:rsid w:val="191056E3"/>
    <w:rsid w:val="191F1353"/>
    <w:rsid w:val="19553868"/>
    <w:rsid w:val="195C5947"/>
    <w:rsid w:val="1988673C"/>
    <w:rsid w:val="19BB29C7"/>
    <w:rsid w:val="1A15113B"/>
    <w:rsid w:val="1A2D5153"/>
    <w:rsid w:val="1A2E2E40"/>
    <w:rsid w:val="1A3366A8"/>
    <w:rsid w:val="1A710F7F"/>
    <w:rsid w:val="1A723F32"/>
    <w:rsid w:val="1A743C77"/>
    <w:rsid w:val="1A976C37"/>
    <w:rsid w:val="1AE87493"/>
    <w:rsid w:val="1AEA32EC"/>
    <w:rsid w:val="1AEE4DCF"/>
    <w:rsid w:val="1AF943FE"/>
    <w:rsid w:val="1AFA0F74"/>
    <w:rsid w:val="1AFF0AFE"/>
    <w:rsid w:val="1B035D36"/>
    <w:rsid w:val="1B067919"/>
    <w:rsid w:val="1B0C022A"/>
    <w:rsid w:val="1B157B5C"/>
    <w:rsid w:val="1B257E86"/>
    <w:rsid w:val="1B284965"/>
    <w:rsid w:val="1B4E306E"/>
    <w:rsid w:val="1B4F19F8"/>
    <w:rsid w:val="1B811858"/>
    <w:rsid w:val="1B842A08"/>
    <w:rsid w:val="1B970EB9"/>
    <w:rsid w:val="1B97106A"/>
    <w:rsid w:val="1B975FA9"/>
    <w:rsid w:val="1BA333BA"/>
    <w:rsid w:val="1BA37263"/>
    <w:rsid w:val="1BAF228E"/>
    <w:rsid w:val="1BB67591"/>
    <w:rsid w:val="1BBE01F3"/>
    <w:rsid w:val="1BC72B5D"/>
    <w:rsid w:val="1BCB46BE"/>
    <w:rsid w:val="1BD01140"/>
    <w:rsid w:val="1BEF2AA3"/>
    <w:rsid w:val="1C1147C7"/>
    <w:rsid w:val="1C1F660B"/>
    <w:rsid w:val="1C226F03"/>
    <w:rsid w:val="1C321FAB"/>
    <w:rsid w:val="1C685C4A"/>
    <w:rsid w:val="1C7C73CC"/>
    <w:rsid w:val="1C9D4B96"/>
    <w:rsid w:val="1CA714FD"/>
    <w:rsid w:val="1CB25FAA"/>
    <w:rsid w:val="1CB93C06"/>
    <w:rsid w:val="1CC21F65"/>
    <w:rsid w:val="1CC63836"/>
    <w:rsid w:val="1CFD409C"/>
    <w:rsid w:val="1D0B05FD"/>
    <w:rsid w:val="1D2B18B9"/>
    <w:rsid w:val="1D2D3CC2"/>
    <w:rsid w:val="1DB163C9"/>
    <w:rsid w:val="1DC615E1"/>
    <w:rsid w:val="1DCB4E4A"/>
    <w:rsid w:val="1DD43729"/>
    <w:rsid w:val="1DD608C3"/>
    <w:rsid w:val="1DDA1B4C"/>
    <w:rsid w:val="1DDC5253"/>
    <w:rsid w:val="1DE859FC"/>
    <w:rsid w:val="1DFE7842"/>
    <w:rsid w:val="1E162569"/>
    <w:rsid w:val="1E1640D6"/>
    <w:rsid w:val="1E1D38F7"/>
    <w:rsid w:val="1E29229C"/>
    <w:rsid w:val="1E360515"/>
    <w:rsid w:val="1E3D5D47"/>
    <w:rsid w:val="1E42335E"/>
    <w:rsid w:val="1E4A2212"/>
    <w:rsid w:val="1E676920"/>
    <w:rsid w:val="1E6A6411"/>
    <w:rsid w:val="1E816438"/>
    <w:rsid w:val="1E8E20FF"/>
    <w:rsid w:val="1E9226DB"/>
    <w:rsid w:val="1E93511D"/>
    <w:rsid w:val="1E9469DB"/>
    <w:rsid w:val="1EBD0C36"/>
    <w:rsid w:val="1ECC44FA"/>
    <w:rsid w:val="1ECF1CE9"/>
    <w:rsid w:val="1EFA1543"/>
    <w:rsid w:val="1EFD7285"/>
    <w:rsid w:val="1F063325"/>
    <w:rsid w:val="1F0D0AA3"/>
    <w:rsid w:val="1F153E0C"/>
    <w:rsid w:val="1F1C3BAF"/>
    <w:rsid w:val="1F2D41DD"/>
    <w:rsid w:val="1F3C5FFF"/>
    <w:rsid w:val="1F4B7FF0"/>
    <w:rsid w:val="1F4E41D9"/>
    <w:rsid w:val="1F540583"/>
    <w:rsid w:val="1F753E2D"/>
    <w:rsid w:val="1F936A59"/>
    <w:rsid w:val="1F9376D4"/>
    <w:rsid w:val="1F9E45C4"/>
    <w:rsid w:val="1FA455AA"/>
    <w:rsid w:val="1FA73EDE"/>
    <w:rsid w:val="1FBC5DF5"/>
    <w:rsid w:val="1FC96438"/>
    <w:rsid w:val="1FE8583F"/>
    <w:rsid w:val="1FF90588"/>
    <w:rsid w:val="200342DD"/>
    <w:rsid w:val="20120B0E"/>
    <w:rsid w:val="202B4E25"/>
    <w:rsid w:val="202D3345"/>
    <w:rsid w:val="20404975"/>
    <w:rsid w:val="20427645"/>
    <w:rsid w:val="20476229"/>
    <w:rsid w:val="20684BD2"/>
    <w:rsid w:val="20686980"/>
    <w:rsid w:val="206F5F60"/>
    <w:rsid w:val="208D63E6"/>
    <w:rsid w:val="20AC2D10"/>
    <w:rsid w:val="20C3623F"/>
    <w:rsid w:val="20E33285"/>
    <w:rsid w:val="20EB1975"/>
    <w:rsid w:val="20FA7F20"/>
    <w:rsid w:val="21041A9E"/>
    <w:rsid w:val="212925B3"/>
    <w:rsid w:val="2130749E"/>
    <w:rsid w:val="213C22E6"/>
    <w:rsid w:val="21781212"/>
    <w:rsid w:val="218D33AA"/>
    <w:rsid w:val="21A34113"/>
    <w:rsid w:val="21A41C3A"/>
    <w:rsid w:val="21B83F86"/>
    <w:rsid w:val="21CE32A3"/>
    <w:rsid w:val="21CE5A03"/>
    <w:rsid w:val="21CF3A3A"/>
    <w:rsid w:val="21D249F9"/>
    <w:rsid w:val="21D66209"/>
    <w:rsid w:val="221178A8"/>
    <w:rsid w:val="221213CF"/>
    <w:rsid w:val="222D4521"/>
    <w:rsid w:val="22327A92"/>
    <w:rsid w:val="223B07F0"/>
    <w:rsid w:val="22794E74"/>
    <w:rsid w:val="22813856"/>
    <w:rsid w:val="22910410"/>
    <w:rsid w:val="2297354C"/>
    <w:rsid w:val="229A0E0E"/>
    <w:rsid w:val="22A719E1"/>
    <w:rsid w:val="22B10AB2"/>
    <w:rsid w:val="22BD28C6"/>
    <w:rsid w:val="22BF090A"/>
    <w:rsid w:val="22C00CF5"/>
    <w:rsid w:val="22C73E32"/>
    <w:rsid w:val="22C97BAA"/>
    <w:rsid w:val="22DA1DB7"/>
    <w:rsid w:val="22ED1D41"/>
    <w:rsid w:val="22ED4272"/>
    <w:rsid w:val="22F761BF"/>
    <w:rsid w:val="22FE5FB9"/>
    <w:rsid w:val="23122038"/>
    <w:rsid w:val="231D53A2"/>
    <w:rsid w:val="23253EEE"/>
    <w:rsid w:val="233D2787"/>
    <w:rsid w:val="23567FB8"/>
    <w:rsid w:val="23616034"/>
    <w:rsid w:val="236D5383"/>
    <w:rsid w:val="23843AD1"/>
    <w:rsid w:val="23AB0F1B"/>
    <w:rsid w:val="23AC2413"/>
    <w:rsid w:val="23B7504C"/>
    <w:rsid w:val="23BB452F"/>
    <w:rsid w:val="23CE7442"/>
    <w:rsid w:val="23EA6470"/>
    <w:rsid w:val="23EB3467"/>
    <w:rsid w:val="23EE7523"/>
    <w:rsid w:val="24125580"/>
    <w:rsid w:val="2416214F"/>
    <w:rsid w:val="24182FA6"/>
    <w:rsid w:val="243472A5"/>
    <w:rsid w:val="2435126F"/>
    <w:rsid w:val="2435301D"/>
    <w:rsid w:val="24404E85"/>
    <w:rsid w:val="24521E21"/>
    <w:rsid w:val="24571307"/>
    <w:rsid w:val="2483647E"/>
    <w:rsid w:val="24A73F1B"/>
    <w:rsid w:val="24A85EE5"/>
    <w:rsid w:val="24AC060D"/>
    <w:rsid w:val="24B53551"/>
    <w:rsid w:val="24BB1774"/>
    <w:rsid w:val="24C06D8A"/>
    <w:rsid w:val="24C85C3F"/>
    <w:rsid w:val="24D942F0"/>
    <w:rsid w:val="24DD20F9"/>
    <w:rsid w:val="24E01904"/>
    <w:rsid w:val="24EE1B49"/>
    <w:rsid w:val="24F904EE"/>
    <w:rsid w:val="24FB7DC2"/>
    <w:rsid w:val="25110A2A"/>
    <w:rsid w:val="251F61A7"/>
    <w:rsid w:val="251F71AD"/>
    <w:rsid w:val="2525539A"/>
    <w:rsid w:val="252C5B01"/>
    <w:rsid w:val="25493888"/>
    <w:rsid w:val="256C0944"/>
    <w:rsid w:val="257A162F"/>
    <w:rsid w:val="25891160"/>
    <w:rsid w:val="25894A6B"/>
    <w:rsid w:val="25897AC4"/>
    <w:rsid w:val="259301EA"/>
    <w:rsid w:val="259D531E"/>
    <w:rsid w:val="25A246E2"/>
    <w:rsid w:val="25CE54D7"/>
    <w:rsid w:val="25D23219"/>
    <w:rsid w:val="25E62BA6"/>
    <w:rsid w:val="25E847EB"/>
    <w:rsid w:val="25F33EB6"/>
    <w:rsid w:val="25FF38E2"/>
    <w:rsid w:val="263F204B"/>
    <w:rsid w:val="26446DE3"/>
    <w:rsid w:val="264A18C2"/>
    <w:rsid w:val="266D5CD5"/>
    <w:rsid w:val="266F754C"/>
    <w:rsid w:val="26774D57"/>
    <w:rsid w:val="2679349F"/>
    <w:rsid w:val="26834513"/>
    <w:rsid w:val="268B786E"/>
    <w:rsid w:val="269669E7"/>
    <w:rsid w:val="26990FC4"/>
    <w:rsid w:val="26A10E3D"/>
    <w:rsid w:val="26CF59AB"/>
    <w:rsid w:val="26D7699F"/>
    <w:rsid w:val="26F23447"/>
    <w:rsid w:val="2718788B"/>
    <w:rsid w:val="27257379"/>
    <w:rsid w:val="273E043A"/>
    <w:rsid w:val="275A1718"/>
    <w:rsid w:val="2762237B"/>
    <w:rsid w:val="277A07C8"/>
    <w:rsid w:val="27B5694E"/>
    <w:rsid w:val="27B8228E"/>
    <w:rsid w:val="27DD5EA5"/>
    <w:rsid w:val="27E50111"/>
    <w:rsid w:val="27EE00B2"/>
    <w:rsid w:val="27F21BEE"/>
    <w:rsid w:val="27F356C9"/>
    <w:rsid w:val="28060F58"/>
    <w:rsid w:val="28143B0D"/>
    <w:rsid w:val="28237D5C"/>
    <w:rsid w:val="282B1959"/>
    <w:rsid w:val="284A47B4"/>
    <w:rsid w:val="2857776B"/>
    <w:rsid w:val="287E10DB"/>
    <w:rsid w:val="287F06FD"/>
    <w:rsid w:val="28805550"/>
    <w:rsid w:val="289B3D96"/>
    <w:rsid w:val="28AD7451"/>
    <w:rsid w:val="28C332ED"/>
    <w:rsid w:val="28DF17A9"/>
    <w:rsid w:val="28DF529E"/>
    <w:rsid w:val="28EA087A"/>
    <w:rsid w:val="29072BB9"/>
    <w:rsid w:val="290A3CE7"/>
    <w:rsid w:val="290C07F0"/>
    <w:rsid w:val="29141CB2"/>
    <w:rsid w:val="292A336C"/>
    <w:rsid w:val="2939535D"/>
    <w:rsid w:val="29503BAF"/>
    <w:rsid w:val="297820F1"/>
    <w:rsid w:val="297E2E8E"/>
    <w:rsid w:val="298A35A9"/>
    <w:rsid w:val="298D669F"/>
    <w:rsid w:val="29A24CB1"/>
    <w:rsid w:val="29BF1D06"/>
    <w:rsid w:val="29CA543F"/>
    <w:rsid w:val="29CC6F35"/>
    <w:rsid w:val="29E17ECF"/>
    <w:rsid w:val="29F319B0"/>
    <w:rsid w:val="29F84637"/>
    <w:rsid w:val="2A03139A"/>
    <w:rsid w:val="2A04596B"/>
    <w:rsid w:val="2A075044"/>
    <w:rsid w:val="2A222C34"/>
    <w:rsid w:val="2A2C1209"/>
    <w:rsid w:val="2A4E1835"/>
    <w:rsid w:val="2A533E09"/>
    <w:rsid w:val="2A7F6D51"/>
    <w:rsid w:val="2AB10EF8"/>
    <w:rsid w:val="2AB96756"/>
    <w:rsid w:val="2AEB2687"/>
    <w:rsid w:val="2AED4FDE"/>
    <w:rsid w:val="2AF46DEC"/>
    <w:rsid w:val="2AFE0F1E"/>
    <w:rsid w:val="2AFF12AE"/>
    <w:rsid w:val="2B1653BE"/>
    <w:rsid w:val="2B236DFF"/>
    <w:rsid w:val="2B326267"/>
    <w:rsid w:val="2B437FAC"/>
    <w:rsid w:val="2B457FE9"/>
    <w:rsid w:val="2B51698E"/>
    <w:rsid w:val="2B542EC7"/>
    <w:rsid w:val="2B54647E"/>
    <w:rsid w:val="2B5D530A"/>
    <w:rsid w:val="2B6C2119"/>
    <w:rsid w:val="2B724104"/>
    <w:rsid w:val="2B774624"/>
    <w:rsid w:val="2B797C93"/>
    <w:rsid w:val="2B942FC7"/>
    <w:rsid w:val="2B9D1BD3"/>
    <w:rsid w:val="2BB60258"/>
    <w:rsid w:val="2BCC5554"/>
    <w:rsid w:val="2BD92705"/>
    <w:rsid w:val="2BF44BFD"/>
    <w:rsid w:val="2BF973AC"/>
    <w:rsid w:val="2C000C9C"/>
    <w:rsid w:val="2C0D144B"/>
    <w:rsid w:val="2C1B0D4A"/>
    <w:rsid w:val="2C292FF6"/>
    <w:rsid w:val="2C3B5034"/>
    <w:rsid w:val="2C557A3C"/>
    <w:rsid w:val="2C680433"/>
    <w:rsid w:val="2C6E3570"/>
    <w:rsid w:val="2C743AB1"/>
    <w:rsid w:val="2C7843EE"/>
    <w:rsid w:val="2C7A72BE"/>
    <w:rsid w:val="2C86638D"/>
    <w:rsid w:val="2C9A7D75"/>
    <w:rsid w:val="2CB12D13"/>
    <w:rsid w:val="2CBF201D"/>
    <w:rsid w:val="2CC17412"/>
    <w:rsid w:val="2CC30941"/>
    <w:rsid w:val="2CD5539D"/>
    <w:rsid w:val="2CD77367"/>
    <w:rsid w:val="2CD93F26"/>
    <w:rsid w:val="2D100286"/>
    <w:rsid w:val="2D1A7254"/>
    <w:rsid w:val="2D2500D2"/>
    <w:rsid w:val="2D3447B9"/>
    <w:rsid w:val="2D3B5B48"/>
    <w:rsid w:val="2D6075F1"/>
    <w:rsid w:val="2D867D9E"/>
    <w:rsid w:val="2D961A5A"/>
    <w:rsid w:val="2DC31699"/>
    <w:rsid w:val="2DDD09AD"/>
    <w:rsid w:val="2DE163C7"/>
    <w:rsid w:val="2DE9627B"/>
    <w:rsid w:val="2DF829F8"/>
    <w:rsid w:val="2E0917A2"/>
    <w:rsid w:val="2E0F48DF"/>
    <w:rsid w:val="2E2A302D"/>
    <w:rsid w:val="2E5324F4"/>
    <w:rsid w:val="2E6D6B17"/>
    <w:rsid w:val="2E77363B"/>
    <w:rsid w:val="2E8539A0"/>
    <w:rsid w:val="2E855ECA"/>
    <w:rsid w:val="2E9372BE"/>
    <w:rsid w:val="2E970363"/>
    <w:rsid w:val="2E9976CE"/>
    <w:rsid w:val="2E9D44CC"/>
    <w:rsid w:val="2EA6107E"/>
    <w:rsid w:val="2EA94AA7"/>
    <w:rsid w:val="2EC5607C"/>
    <w:rsid w:val="2EC86C6A"/>
    <w:rsid w:val="2ED7364E"/>
    <w:rsid w:val="2EDD241B"/>
    <w:rsid w:val="2EDF2503"/>
    <w:rsid w:val="2EEA3A03"/>
    <w:rsid w:val="2EF20488"/>
    <w:rsid w:val="2EF835C5"/>
    <w:rsid w:val="2F401D3C"/>
    <w:rsid w:val="2F4E5813"/>
    <w:rsid w:val="2F5B24E1"/>
    <w:rsid w:val="2F636EC1"/>
    <w:rsid w:val="2F7B222C"/>
    <w:rsid w:val="2F8F217B"/>
    <w:rsid w:val="2F976672"/>
    <w:rsid w:val="2FA95C88"/>
    <w:rsid w:val="2FBC534E"/>
    <w:rsid w:val="2FBE69B9"/>
    <w:rsid w:val="2FD821E5"/>
    <w:rsid w:val="2FD858D0"/>
    <w:rsid w:val="2FDB53C0"/>
    <w:rsid w:val="2FE83639"/>
    <w:rsid w:val="2FEE21DF"/>
    <w:rsid w:val="300A7A53"/>
    <w:rsid w:val="302547E9"/>
    <w:rsid w:val="303348B4"/>
    <w:rsid w:val="3041370F"/>
    <w:rsid w:val="3042739F"/>
    <w:rsid w:val="30444D13"/>
    <w:rsid w:val="304714DB"/>
    <w:rsid w:val="305725F6"/>
    <w:rsid w:val="3059259D"/>
    <w:rsid w:val="306C6018"/>
    <w:rsid w:val="30711881"/>
    <w:rsid w:val="307750E9"/>
    <w:rsid w:val="308B6897"/>
    <w:rsid w:val="30B359F5"/>
    <w:rsid w:val="30C220DC"/>
    <w:rsid w:val="30CB0F91"/>
    <w:rsid w:val="30EB1633"/>
    <w:rsid w:val="30F1651D"/>
    <w:rsid w:val="30F32296"/>
    <w:rsid w:val="30FC114A"/>
    <w:rsid w:val="310224D9"/>
    <w:rsid w:val="310705C1"/>
    <w:rsid w:val="311B77D4"/>
    <w:rsid w:val="31221935"/>
    <w:rsid w:val="312468F3"/>
    <w:rsid w:val="312B50A3"/>
    <w:rsid w:val="31334014"/>
    <w:rsid w:val="31377E68"/>
    <w:rsid w:val="313E79B5"/>
    <w:rsid w:val="314B3E80"/>
    <w:rsid w:val="31621594"/>
    <w:rsid w:val="3163566D"/>
    <w:rsid w:val="31662A68"/>
    <w:rsid w:val="31741B25"/>
    <w:rsid w:val="3196159F"/>
    <w:rsid w:val="319A2DAE"/>
    <w:rsid w:val="31A15D7C"/>
    <w:rsid w:val="31B70254"/>
    <w:rsid w:val="31B732C3"/>
    <w:rsid w:val="31E657E3"/>
    <w:rsid w:val="32075FF9"/>
    <w:rsid w:val="32153D2A"/>
    <w:rsid w:val="322546D1"/>
    <w:rsid w:val="32262752"/>
    <w:rsid w:val="322C3CB1"/>
    <w:rsid w:val="323B5CA2"/>
    <w:rsid w:val="32453A27"/>
    <w:rsid w:val="3263064A"/>
    <w:rsid w:val="32867865"/>
    <w:rsid w:val="32997329"/>
    <w:rsid w:val="32A34B8A"/>
    <w:rsid w:val="32A43132"/>
    <w:rsid w:val="32AC0C06"/>
    <w:rsid w:val="32BD0DAD"/>
    <w:rsid w:val="32BD0E21"/>
    <w:rsid w:val="32BD13AF"/>
    <w:rsid w:val="32C0264B"/>
    <w:rsid w:val="32F95B01"/>
    <w:rsid w:val="330363C7"/>
    <w:rsid w:val="33095947"/>
    <w:rsid w:val="331C5AD4"/>
    <w:rsid w:val="33323549"/>
    <w:rsid w:val="33344EF5"/>
    <w:rsid w:val="334B5D46"/>
    <w:rsid w:val="335C05C6"/>
    <w:rsid w:val="33604B4D"/>
    <w:rsid w:val="336F28ED"/>
    <w:rsid w:val="33721394"/>
    <w:rsid w:val="337771AE"/>
    <w:rsid w:val="33857B1D"/>
    <w:rsid w:val="338C31D7"/>
    <w:rsid w:val="338D69D1"/>
    <w:rsid w:val="33925D96"/>
    <w:rsid w:val="33AF4B9A"/>
    <w:rsid w:val="33DB0B1F"/>
    <w:rsid w:val="33FD61F6"/>
    <w:rsid w:val="34123ED9"/>
    <w:rsid w:val="341C1B03"/>
    <w:rsid w:val="34383090"/>
    <w:rsid w:val="344057F2"/>
    <w:rsid w:val="34467A1D"/>
    <w:rsid w:val="3461446D"/>
    <w:rsid w:val="346516FC"/>
    <w:rsid w:val="347F5B7E"/>
    <w:rsid w:val="349024BB"/>
    <w:rsid w:val="3491429F"/>
    <w:rsid w:val="34951FE2"/>
    <w:rsid w:val="349873DC"/>
    <w:rsid w:val="34993108"/>
    <w:rsid w:val="34A56E66"/>
    <w:rsid w:val="34D0301A"/>
    <w:rsid w:val="34D311D1"/>
    <w:rsid w:val="34D67A0A"/>
    <w:rsid w:val="34E56399"/>
    <w:rsid w:val="34E940DB"/>
    <w:rsid w:val="34F21A02"/>
    <w:rsid w:val="34F36D08"/>
    <w:rsid w:val="34FF745B"/>
    <w:rsid w:val="3501608D"/>
    <w:rsid w:val="35114098"/>
    <w:rsid w:val="351D5B33"/>
    <w:rsid w:val="352944D8"/>
    <w:rsid w:val="352B3385"/>
    <w:rsid w:val="35301D0A"/>
    <w:rsid w:val="3537750C"/>
    <w:rsid w:val="3537798C"/>
    <w:rsid w:val="354726DB"/>
    <w:rsid w:val="3550141A"/>
    <w:rsid w:val="35542BE8"/>
    <w:rsid w:val="355F4167"/>
    <w:rsid w:val="35687F9C"/>
    <w:rsid w:val="356D7BD8"/>
    <w:rsid w:val="35717D1D"/>
    <w:rsid w:val="358362DE"/>
    <w:rsid w:val="358D0F66"/>
    <w:rsid w:val="359C651E"/>
    <w:rsid w:val="35A46254"/>
    <w:rsid w:val="35B30245"/>
    <w:rsid w:val="35B77D36"/>
    <w:rsid w:val="35C13FC9"/>
    <w:rsid w:val="35C67019"/>
    <w:rsid w:val="35DC2DC9"/>
    <w:rsid w:val="35E13004"/>
    <w:rsid w:val="35E57B94"/>
    <w:rsid w:val="35EB36EB"/>
    <w:rsid w:val="35EF74CF"/>
    <w:rsid w:val="35F965A0"/>
    <w:rsid w:val="35FC399A"/>
    <w:rsid w:val="36271B1E"/>
    <w:rsid w:val="363713B7"/>
    <w:rsid w:val="363A51A4"/>
    <w:rsid w:val="363E3FB3"/>
    <w:rsid w:val="364257B6"/>
    <w:rsid w:val="36455341"/>
    <w:rsid w:val="364C504E"/>
    <w:rsid w:val="3655578F"/>
    <w:rsid w:val="367539AF"/>
    <w:rsid w:val="36C3270A"/>
    <w:rsid w:val="36C3312F"/>
    <w:rsid w:val="36D6068F"/>
    <w:rsid w:val="36EB413B"/>
    <w:rsid w:val="36FC6348"/>
    <w:rsid w:val="36FE3321"/>
    <w:rsid w:val="36FE5932"/>
    <w:rsid w:val="37021484"/>
    <w:rsid w:val="37072C34"/>
    <w:rsid w:val="37225683"/>
    <w:rsid w:val="3727713D"/>
    <w:rsid w:val="373F6B96"/>
    <w:rsid w:val="375A4E1C"/>
    <w:rsid w:val="37686757"/>
    <w:rsid w:val="377C4D93"/>
    <w:rsid w:val="379A790F"/>
    <w:rsid w:val="37A4253C"/>
    <w:rsid w:val="37A95DA4"/>
    <w:rsid w:val="37A97B52"/>
    <w:rsid w:val="37BF0DEA"/>
    <w:rsid w:val="37D3661E"/>
    <w:rsid w:val="37DE77FC"/>
    <w:rsid w:val="37EA5061"/>
    <w:rsid w:val="37EA5922"/>
    <w:rsid w:val="38021BE3"/>
    <w:rsid w:val="38037262"/>
    <w:rsid w:val="38080D1C"/>
    <w:rsid w:val="381070D6"/>
    <w:rsid w:val="381C0324"/>
    <w:rsid w:val="382611A3"/>
    <w:rsid w:val="38276B93"/>
    <w:rsid w:val="382B2ED5"/>
    <w:rsid w:val="382C6D79"/>
    <w:rsid w:val="384F6116"/>
    <w:rsid w:val="38A071A7"/>
    <w:rsid w:val="38A7163F"/>
    <w:rsid w:val="38AA0B0C"/>
    <w:rsid w:val="38AC3431"/>
    <w:rsid w:val="38AC78FA"/>
    <w:rsid w:val="38E465C1"/>
    <w:rsid w:val="38F541B1"/>
    <w:rsid w:val="38FF3ECD"/>
    <w:rsid w:val="39184F8F"/>
    <w:rsid w:val="392F2E16"/>
    <w:rsid w:val="392F579D"/>
    <w:rsid w:val="39314FAA"/>
    <w:rsid w:val="394C5881"/>
    <w:rsid w:val="397D3044"/>
    <w:rsid w:val="399C2731"/>
    <w:rsid w:val="39A46823"/>
    <w:rsid w:val="39A87D7D"/>
    <w:rsid w:val="39CB4D8C"/>
    <w:rsid w:val="39D2513E"/>
    <w:rsid w:val="39D569DC"/>
    <w:rsid w:val="39DF3CFF"/>
    <w:rsid w:val="39E00529"/>
    <w:rsid w:val="39E6508D"/>
    <w:rsid w:val="3A0B64A7"/>
    <w:rsid w:val="3A4F1DB8"/>
    <w:rsid w:val="3A574DDA"/>
    <w:rsid w:val="3A7B57D6"/>
    <w:rsid w:val="3A830B2E"/>
    <w:rsid w:val="3A9E14C4"/>
    <w:rsid w:val="3AB72586"/>
    <w:rsid w:val="3ACF53E5"/>
    <w:rsid w:val="3AD3075A"/>
    <w:rsid w:val="3AE55345"/>
    <w:rsid w:val="3AE72E6B"/>
    <w:rsid w:val="3AEA4709"/>
    <w:rsid w:val="3AEF7F72"/>
    <w:rsid w:val="3AF01FF2"/>
    <w:rsid w:val="3AF74C02"/>
    <w:rsid w:val="3AFC0239"/>
    <w:rsid w:val="3AFD268F"/>
    <w:rsid w:val="3B146393"/>
    <w:rsid w:val="3B2973F2"/>
    <w:rsid w:val="3B325C2E"/>
    <w:rsid w:val="3B356793"/>
    <w:rsid w:val="3B605538"/>
    <w:rsid w:val="3B6F2E9D"/>
    <w:rsid w:val="3B82356F"/>
    <w:rsid w:val="3B8E1539"/>
    <w:rsid w:val="3B9052B1"/>
    <w:rsid w:val="3BB865B6"/>
    <w:rsid w:val="3BD11D17"/>
    <w:rsid w:val="3BDB5968"/>
    <w:rsid w:val="3BF76805"/>
    <w:rsid w:val="3C0059A5"/>
    <w:rsid w:val="3C014B22"/>
    <w:rsid w:val="3C0454EB"/>
    <w:rsid w:val="3C134E78"/>
    <w:rsid w:val="3C1557B6"/>
    <w:rsid w:val="3C1F03E3"/>
    <w:rsid w:val="3C3814A4"/>
    <w:rsid w:val="3C391CCB"/>
    <w:rsid w:val="3C4953F6"/>
    <w:rsid w:val="3C5F2ED5"/>
    <w:rsid w:val="3C6355CE"/>
    <w:rsid w:val="3C700C3E"/>
    <w:rsid w:val="3CA408E8"/>
    <w:rsid w:val="3CB44FCF"/>
    <w:rsid w:val="3CC316B6"/>
    <w:rsid w:val="3CF47AC1"/>
    <w:rsid w:val="3D162109"/>
    <w:rsid w:val="3D235CB1"/>
    <w:rsid w:val="3D266DEA"/>
    <w:rsid w:val="3D29776B"/>
    <w:rsid w:val="3D2B69D6"/>
    <w:rsid w:val="3D2F75E1"/>
    <w:rsid w:val="3D3C3A57"/>
    <w:rsid w:val="3D4E71D1"/>
    <w:rsid w:val="3D695DB9"/>
    <w:rsid w:val="3D871F22"/>
    <w:rsid w:val="3D9646D4"/>
    <w:rsid w:val="3D9A2417"/>
    <w:rsid w:val="3D9F17DB"/>
    <w:rsid w:val="3DA037A5"/>
    <w:rsid w:val="3DC94E70"/>
    <w:rsid w:val="3DE95971"/>
    <w:rsid w:val="3DEC7285"/>
    <w:rsid w:val="3DEE0539"/>
    <w:rsid w:val="3DF61949"/>
    <w:rsid w:val="3DF6345D"/>
    <w:rsid w:val="3E10092B"/>
    <w:rsid w:val="3E22647B"/>
    <w:rsid w:val="3E2B5515"/>
    <w:rsid w:val="3E391C30"/>
    <w:rsid w:val="3E44730C"/>
    <w:rsid w:val="3E4D4F28"/>
    <w:rsid w:val="3E584271"/>
    <w:rsid w:val="3E5F0886"/>
    <w:rsid w:val="3E8A248B"/>
    <w:rsid w:val="3E943212"/>
    <w:rsid w:val="3E9A7CDF"/>
    <w:rsid w:val="3EAB41B0"/>
    <w:rsid w:val="3EC958EF"/>
    <w:rsid w:val="3ED6747E"/>
    <w:rsid w:val="3EE13701"/>
    <w:rsid w:val="3EE14075"/>
    <w:rsid w:val="3EE31F5E"/>
    <w:rsid w:val="3EEF22EE"/>
    <w:rsid w:val="3EFE42B6"/>
    <w:rsid w:val="3F051B12"/>
    <w:rsid w:val="3F057D64"/>
    <w:rsid w:val="3F0B2608"/>
    <w:rsid w:val="3F10492E"/>
    <w:rsid w:val="3F19380F"/>
    <w:rsid w:val="3F1A4BB3"/>
    <w:rsid w:val="3F2B0EA9"/>
    <w:rsid w:val="3F3149A0"/>
    <w:rsid w:val="3F485EA2"/>
    <w:rsid w:val="3F4B6594"/>
    <w:rsid w:val="3F4F7CCB"/>
    <w:rsid w:val="3F5B7324"/>
    <w:rsid w:val="3F740A45"/>
    <w:rsid w:val="3F873C1F"/>
    <w:rsid w:val="3F9B4224"/>
    <w:rsid w:val="3F9F39AF"/>
    <w:rsid w:val="3FA4757D"/>
    <w:rsid w:val="3FC45529"/>
    <w:rsid w:val="3FD141FA"/>
    <w:rsid w:val="3FDF5EE6"/>
    <w:rsid w:val="3FE35C22"/>
    <w:rsid w:val="3FED3F25"/>
    <w:rsid w:val="400E0E9A"/>
    <w:rsid w:val="40185875"/>
    <w:rsid w:val="40192BA6"/>
    <w:rsid w:val="4021297B"/>
    <w:rsid w:val="402C61E7"/>
    <w:rsid w:val="40322DDA"/>
    <w:rsid w:val="403326AF"/>
    <w:rsid w:val="407F58F4"/>
    <w:rsid w:val="408178BE"/>
    <w:rsid w:val="40842F0A"/>
    <w:rsid w:val="409F5F96"/>
    <w:rsid w:val="40A238BC"/>
    <w:rsid w:val="40A35A86"/>
    <w:rsid w:val="40C854ED"/>
    <w:rsid w:val="40D45C40"/>
    <w:rsid w:val="412C2F5A"/>
    <w:rsid w:val="41344C0E"/>
    <w:rsid w:val="414255BB"/>
    <w:rsid w:val="414704BE"/>
    <w:rsid w:val="414E5EEA"/>
    <w:rsid w:val="41546D80"/>
    <w:rsid w:val="41766EA9"/>
    <w:rsid w:val="41807B75"/>
    <w:rsid w:val="418A57EC"/>
    <w:rsid w:val="418C02C8"/>
    <w:rsid w:val="419E070B"/>
    <w:rsid w:val="41A2189A"/>
    <w:rsid w:val="41B45A71"/>
    <w:rsid w:val="41CC6917"/>
    <w:rsid w:val="41EC6FB9"/>
    <w:rsid w:val="41F67E38"/>
    <w:rsid w:val="420267DC"/>
    <w:rsid w:val="42181B5C"/>
    <w:rsid w:val="4226071D"/>
    <w:rsid w:val="422D04DA"/>
    <w:rsid w:val="42332E3A"/>
    <w:rsid w:val="423931FE"/>
    <w:rsid w:val="423D0818"/>
    <w:rsid w:val="42440BA3"/>
    <w:rsid w:val="424C29FF"/>
    <w:rsid w:val="42550A18"/>
    <w:rsid w:val="4262727B"/>
    <w:rsid w:val="42656079"/>
    <w:rsid w:val="42674891"/>
    <w:rsid w:val="42707BEA"/>
    <w:rsid w:val="42711E70"/>
    <w:rsid w:val="42735074"/>
    <w:rsid w:val="429D496A"/>
    <w:rsid w:val="42A56493"/>
    <w:rsid w:val="42B75819"/>
    <w:rsid w:val="42CC769C"/>
    <w:rsid w:val="42D77C69"/>
    <w:rsid w:val="42DA32B5"/>
    <w:rsid w:val="42E50D33"/>
    <w:rsid w:val="42F473A1"/>
    <w:rsid w:val="42FF2DC7"/>
    <w:rsid w:val="431A1904"/>
    <w:rsid w:val="433738B9"/>
    <w:rsid w:val="43382E86"/>
    <w:rsid w:val="434B5F61"/>
    <w:rsid w:val="434D1CD9"/>
    <w:rsid w:val="43541936"/>
    <w:rsid w:val="43655275"/>
    <w:rsid w:val="436B0ABF"/>
    <w:rsid w:val="43706931"/>
    <w:rsid w:val="437574A5"/>
    <w:rsid w:val="43793CB7"/>
    <w:rsid w:val="437C436D"/>
    <w:rsid w:val="437F55F1"/>
    <w:rsid w:val="43920986"/>
    <w:rsid w:val="439711A6"/>
    <w:rsid w:val="43BE3CB3"/>
    <w:rsid w:val="43C35164"/>
    <w:rsid w:val="43C55858"/>
    <w:rsid w:val="43CF0940"/>
    <w:rsid w:val="43E3619A"/>
    <w:rsid w:val="43ED199F"/>
    <w:rsid w:val="43FE2FD4"/>
    <w:rsid w:val="440A643A"/>
    <w:rsid w:val="441E62C0"/>
    <w:rsid w:val="442B462A"/>
    <w:rsid w:val="442E5667"/>
    <w:rsid w:val="442F13DF"/>
    <w:rsid w:val="443609BF"/>
    <w:rsid w:val="44367F1E"/>
    <w:rsid w:val="443A2A81"/>
    <w:rsid w:val="443C4228"/>
    <w:rsid w:val="444C2687"/>
    <w:rsid w:val="44647B14"/>
    <w:rsid w:val="447514E8"/>
    <w:rsid w:val="4484797D"/>
    <w:rsid w:val="449F47B6"/>
    <w:rsid w:val="44A653E3"/>
    <w:rsid w:val="44B35ECB"/>
    <w:rsid w:val="44D70614"/>
    <w:rsid w:val="44D73F50"/>
    <w:rsid w:val="44E80D4D"/>
    <w:rsid w:val="44FA19ED"/>
    <w:rsid w:val="4505555E"/>
    <w:rsid w:val="450B1E4C"/>
    <w:rsid w:val="45294080"/>
    <w:rsid w:val="452B604A"/>
    <w:rsid w:val="45325D14"/>
    <w:rsid w:val="45343151"/>
    <w:rsid w:val="4541586E"/>
    <w:rsid w:val="45592BB7"/>
    <w:rsid w:val="455A36D4"/>
    <w:rsid w:val="45603F46"/>
    <w:rsid w:val="457479F1"/>
    <w:rsid w:val="45811C7C"/>
    <w:rsid w:val="45906116"/>
    <w:rsid w:val="45920734"/>
    <w:rsid w:val="459B5271"/>
    <w:rsid w:val="459D4D4A"/>
    <w:rsid w:val="45A408BC"/>
    <w:rsid w:val="45AB2CE7"/>
    <w:rsid w:val="45B4662D"/>
    <w:rsid w:val="45C37F69"/>
    <w:rsid w:val="45CD5372"/>
    <w:rsid w:val="45E0331F"/>
    <w:rsid w:val="45E9024F"/>
    <w:rsid w:val="45F34DBA"/>
    <w:rsid w:val="45F3537D"/>
    <w:rsid w:val="46001285"/>
    <w:rsid w:val="46040D75"/>
    <w:rsid w:val="461D79A4"/>
    <w:rsid w:val="46277145"/>
    <w:rsid w:val="4628284A"/>
    <w:rsid w:val="4642693A"/>
    <w:rsid w:val="46484442"/>
    <w:rsid w:val="46491E61"/>
    <w:rsid w:val="464B69A4"/>
    <w:rsid w:val="464F5D68"/>
    <w:rsid w:val="46690BD8"/>
    <w:rsid w:val="4669507C"/>
    <w:rsid w:val="46717179"/>
    <w:rsid w:val="46737941"/>
    <w:rsid w:val="468B3EFB"/>
    <w:rsid w:val="468C5D22"/>
    <w:rsid w:val="4690085B"/>
    <w:rsid w:val="469F0A9E"/>
    <w:rsid w:val="46AE6F33"/>
    <w:rsid w:val="46B81B60"/>
    <w:rsid w:val="46C44060"/>
    <w:rsid w:val="46CD3916"/>
    <w:rsid w:val="46F80F9C"/>
    <w:rsid w:val="46F82CC7"/>
    <w:rsid w:val="470A6193"/>
    <w:rsid w:val="47197142"/>
    <w:rsid w:val="47385210"/>
    <w:rsid w:val="473C3AED"/>
    <w:rsid w:val="47735FCE"/>
    <w:rsid w:val="47745C14"/>
    <w:rsid w:val="4780166F"/>
    <w:rsid w:val="47891345"/>
    <w:rsid w:val="479C6A6B"/>
    <w:rsid w:val="47A0687C"/>
    <w:rsid w:val="47C6205A"/>
    <w:rsid w:val="47DC4F5C"/>
    <w:rsid w:val="47EA66C2"/>
    <w:rsid w:val="47F60CAF"/>
    <w:rsid w:val="47F65B27"/>
    <w:rsid w:val="480D1A37"/>
    <w:rsid w:val="481C180D"/>
    <w:rsid w:val="482D3E87"/>
    <w:rsid w:val="4862318E"/>
    <w:rsid w:val="486A6E89"/>
    <w:rsid w:val="487A25AE"/>
    <w:rsid w:val="487D71A9"/>
    <w:rsid w:val="4880045B"/>
    <w:rsid w:val="488066AD"/>
    <w:rsid w:val="48813BEB"/>
    <w:rsid w:val="48B40671"/>
    <w:rsid w:val="48DA400F"/>
    <w:rsid w:val="48DB65B0"/>
    <w:rsid w:val="48EF3E5E"/>
    <w:rsid w:val="48F21359"/>
    <w:rsid w:val="48F52BF7"/>
    <w:rsid w:val="49066BB2"/>
    <w:rsid w:val="492E7EB7"/>
    <w:rsid w:val="4932796E"/>
    <w:rsid w:val="493354CD"/>
    <w:rsid w:val="497C6E74"/>
    <w:rsid w:val="49821137"/>
    <w:rsid w:val="499B5738"/>
    <w:rsid w:val="499F244D"/>
    <w:rsid w:val="49A07007"/>
    <w:rsid w:val="49A75C13"/>
    <w:rsid w:val="49B20AE8"/>
    <w:rsid w:val="49B77EAC"/>
    <w:rsid w:val="49C16F7D"/>
    <w:rsid w:val="49D62A28"/>
    <w:rsid w:val="49F66C27"/>
    <w:rsid w:val="49FC7FB5"/>
    <w:rsid w:val="4A134E3C"/>
    <w:rsid w:val="4A1D0657"/>
    <w:rsid w:val="4A224EA7"/>
    <w:rsid w:val="4A336AFF"/>
    <w:rsid w:val="4A3C6604"/>
    <w:rsid w:val="4A4060F4"/>
    <w:rsid w:val="4A5D6CA6"/>
    <w:rsid w:val="4A7B712C"/>
    <w:rsid w:val="4A8F4D99"/>
    <w:rsid w:val="4A914BA1"/>
    <w:rsid w:val="4A973F3F"/>
    <w:rsid w:val="4AB4564E"/>
    <w:rsid w:val="4AB83EDC"/>
    <w:rsid w:val="4AE627DB"/>
    <w:rsid w:val="4AEA6060"/>
    <w:rsid w:val="4AEC1DD8"/>
    <w:rsid w:val="4AEC5E25"/>
    <w:rsid w:val="4AF96BC7"/>
    <w:rsid w:val="4B0E59C0"/>
    <w:rsid w:val="4B180E1F"/>
    <w:rsid w:val="4B315A3D"/>
    <w:rsid w:val="4B3A2B43"/>
    <w:rsid w:val="4B5A416B"/>
    <w:rsid w:val="4B62209A"/>
    <w:rsid w:val="4B78366B"/>
    <w:rsid w:val="4B862A85"/>
    <w:rsid w:val="4B9D09A4"/>
    <w:rsid w:val="4BBE3774"/>
    <w:rsid w:val="4BC0583D"/>
    <w:rsid w:val="4BD765E4"/>
    <w:rsid w:val="4BEC00AA"/>
    <w:rsid w:val="4C107D48"/>
    <w:rsid w:val="4C1536E5"/>
    <w:rsid w:val="4C2555A1"/>
    <w:rsid w:val="4C2D6300"/>
    <w:rsid w:val="4C335D9C"/>
    <w:rsid w:val="4C3C28EB"/>
    <w:rsid w:val="4C416153"/>
    <w:rsid w:val="4C461F65"/>
    <w:rsid w:val="4C6D7CEF"/>
    <w:rsid w:val="4C742085"/>
    <w:rsid w:val="4C856040"/>
    <w:rsid w:val="4C957F08"/>
    <w:rsid w:val="4CAE62E5"/>
    <w:rsid w:val="4CB42DC9"/>
    <w:rsid w:val="4CB608EF"/>
    <w:rsid w:val="4CC052CA"/>
    <w:rsid w:val="4CD831FD"/>
    <w:rsid w:val="4CE55363"/>
    <w:rsid w:val="4CE603AA"/>
    <w:rsid w:val="4CEF36E2"/>
    <w:rsid w:val="4CEF4DC5"/>
    <w:rsid w:val="4D0E463C"/>
    <w:rsid w:val="4D0E52F0"/>
    <w:rsid w:val="4D1B0752"/>
    <w:rsid w:val="4D222163"/>
    <w:rsid w:val="4D297313"/>
    <w:rsid w:val="4D465B49"/>
    <w:rsid w:val="4D4E77C4"/>
    <w:rsid w:val="4D5C0323"/>
    <w:rsid w:val="4D5C5214"/>
    <w:rsid w:val="4D5F06EB"/>
    <w:rsid w:val="4D7658FB"/>
    <w:rsid w:val="4D8C044B"/>
    <w:rsid w:val="4DA05357"/>
    <w:rsid w:val="4DB2128B"/>
    <w:rsid w:val="4DBF36D4"/>
    <w:rsid w:val="4DD059E1"/>
    <w:rsid w:val="4DD3102D"/>
    <w:rsid w:val="4DE20824"/>
    <w:rsid w:val="4DE33966"/>
    <w:rsid w:val="4DE44FE8"/>
    <w:rsid w:val="4DF65033"/>
    <w:rsid w:val="4DF74D1B"/>
    <w:rsid w:val="4E191136"/>
    <w:rsid w:val="4E1A6C5C"/>
    <w:rsid w:val="4E2418EA"/>
    <w:rsid w:val="4E257655"/>
    <w:rsid w:val="4E26029E"/>
    <w:rsid w:val="4E33793F"/>
    <w:rsid w:val="4E426D79"/>
    <w:rsid w:val="4E8E7871"/>
    <w:rsid w:val="4EA74993"/>
    <w:rsid w:val="4EC156F9"/>
    <w:rsid w:val="4EEC1008"/>
    <w:rsid w:val="4EEE25C2"/>
    <w:rsid w:val="4EFF657E"/>
    <w:rsid w:val="4F1813ED"/>
    <w:rsid w:val="4F372380"/>
    <w:rsid w:val="4F372FFB"/>
    <w:rsid w:val="4F604B42"/>
    <w:rsid w:val="4F626B0C"/>
    <w:rsid w:val="4F66040F"/>
    <w:rsid w:val="4F8C1AE2"/>
    <w:rsid w:val="4F8C5937"/>
    <w:rsid w:val="4F90367A"/>
    <w:rsid w:val="4F980780"/>
    <w:rsid w:val="4F985262"/>
    <w:rsid w:val="4FA669F9"/>
    <w:rsid w:val="4FAD1CD2"/>
    <w:rsid w:val="4FBE20EE"/>
    <w:rsid w:val="4FD43C6B"/>
    <w:rsid w:val="4FFC486B"/>
    <w:rsid w:val="5005122B"/>
    <w:rsid w:val="500541B6"/>
    <w:rsid w:val="501778F7"/>
    <w:rsid w:val="5025116D"/>
    <w:rsid w:val="50373AF5"/>
    <w:rsid w:val="503E30D6"/>
    <w:rsid w:val="5060283B"/>
    <w:rsid w:val="506254EE"/>
    <w:rsid w:val="50685910"/>
    <w:rsid w:val="507B2BDD"/>
    <w:rsid w:val="507C1E50"/>
    <w:rsid w:val="50901457"/>
    <w:rsid w:val="50AF18DD"/>
    <w:rsid w:val="50B769E4"/>
    <w:rsid w:val="50B909AE"/>
    <w:rsid w:val="50C555A5"/>
    <w:rsid w:val="50D30D4C"/>
    <w:rsid w:val="50D90212"/>
    <w:rsid w:val="50E0418D"/>
    <w:rsid w:val="50E14F58"/>
    <w:rsid w:val="50F24B1B"/>
    <w:rsid w:val="51166470"/>
    <w:rsid w:val="512F0C70"/>
    <w:rsid w:val="513512FE"/>
    <w:rsid w:val="514B3CFC"/>
    <w:rsid w:val="51516E38"/>
    <w:rsid w:val="51621046"/>
    <w:rsid w:val="51782617"/>
    <w:rsid w:val="51786173"/>
    <w:rsid w:val="519B00B4"/>
    <w:rsid w:val="51A21442"/>
    <w:rsid w:val="51B01DB1"/>
    <w:rsid w:val="520619D1"/>
    <w:rsid w:val="520E48DE"/>
    <w:rsid w:val="522602C5"/>
    <w:rsid w:val="52304CA0"/>
    <w:rsid w:val="52395ECD"/>
    <w:rsid w:val="524A20ED"/>
    <w:rsid w:val="526B3F2A"/>
    <w:rsid w:val="527C6137"/>
    <w:rsid w:val="527F49A2"/>
    <w:rsid w:val="52A336C4"/>
    <w:rsid w:val="52AD3A33"/>
    <w:rsid w:val="52B94C95"/>
    <w:rsid w:val="52C10D75"/>
    <w:rsid w:val="52D3735A"/>
    <w:rsid w:val="52D7023E"/>
    <w:rsid w:val="52D7780F"/>
    <w:rsid w:val="52F45CCD"/>
    <w:rsid w:val="530724CB"/>
    <w:rsid w:val="530E74B7"/>
    <w:rsid w:val="531D5224"/>
    <w:rsid w:val="53596EAB"/>
    <w:rsid w:val="537139E2"/>
    <w:rsid w:val="53812DF4"/>
    <w:rsid w:val="538C4F0D"/>
    <w:rsid w:val="53B37937"/>
    <w:rsid w:val="53C06B5D"/>
    <w:rsid w:val="53C20B80"/>
    <w:rsid w:val="53C27FF8"/>
    <w:rsid w:val="53D63625"/>
    <w:rsid w:val="53ED7296"/>
    <w:rsid w:val="54067B76"/>
    <w:rsid w:val="540B7773"/>
    <w:rsid w:val="541D74A6"/>
    <w:rsid w:val="541F4FCC"/>
    <w:rsid w:val="544E285C"/>
    <w:rsid w:val="5458228C"/>
    <w:rsid w:val="545824E9"/>
    <w:rsid w:val="545D4309"/>
    <w:rsid w:val="548A0E8D"/>
    <w:rsid w:val="549A0AF6"/>
    <w:rsid w:val="549C1283"/>
    <w:rsid w:val="549E1A80"/>
    <w:rsid w:val="54B53840"/>
    <w:rsid w:val="54BD3848"/>
    <w:rsid w:val="54C658F4"/>
    <w:rsid w:val="54C94F38"/>
    <w:rsid w:val="54D32002"/>
    <w:rsid w:val="54D37E8A"/>
    <w:rsid w:val="54DA5F45"/>
    <w:rsid w:val="550C4BD7"/>
    <w:rsid w:val="550F3292"/>
    <w:rsid w:val="55164621"/>
    <w:rsid w:val="55170366"/>
    <w:rsid w:val="551F3199"/>
    <w:rsid w:val="55325B01"/>
    <w:rsid w:val="55366A71"/>
    <w:rsid w:val="55482300"/>
    <w:rsid w:val="554C1D56"/>
    <w:rsid w:val="554C46B6"/>
    <w:rsid w:val="55503025"/>
    <w:rsid w:val="55517A88"/>
    <w:rsid w:val="55572986"/>
    <w:rsid w:val="55651543"/>
    <w:rsid w:val="558C6F3C"/>
    <w:rsid w:val="558E065B"/>
    <w:rsid w:val="559B68D4"/>
    <w:rsid w:val="559C196E"/>
    <w:rsid w:val="55B16A87"/>
    <w:rsid w:val="55BA1450"/>
    <w:rsid w:val="55C062DD"/>
    <w:rsid w:val="55C60CFF"/>
    <w:rsid w:val="55D31987"/>
    <w:rsid w:val="55D969AC"/>
    <w:rsid w:val="55EE10FA"/>
    <w:rsid w:val="55F54A13"/>
    <w:rsid w:val="55FB7373"/>
    <w:rsid w:val="5630650B"/>
    <w:rsid w:val="56460BDE"/>
    <w:rsid w:val="565340FA"/>
    <w:rsid w:val="565E46E5"/>
    <w:rsid w:val="567F7FA4"/>
    <w:rsid w:val="56804699"/>
    <w:rsid w:val="56941CA1"/>
    <w:rsid w:val="56A83FAD"/>
    <w:rsid w:val="56B51C18"/>
    <w:rsid w:val="56B55151"/>
    <w:rsid w:val="56C1680E"/>
    <w:rsid w:val="56D95906"/>
    <w:rsid w:val="56DC71A4"/>
    <w:rsid w:val="56E11407"/>
    <w:rsid w:val="56E37518"/>
    <w:rsid w:val="5723343E"/>
    <w:rsid w:val="572528F9"/>
    <w:rsid w:val="573D7EAB"/>
    <w:rsid w:val="57536338"/>
    <w:rsid w:val="57626BBC"/>
    <w:rsid w:val="57687884"/>
    <w:rsid w:val="576D604E"/>
    <w:rsid w:val="57825F9E"/>
    <w:rsid w:val="578320CF"/>
    <w:rsid w:val="578409FD"/>
    <w:rsid w:val="57961A49"/>
    <w:rsid w:val="57B40121"/>
    <w:rsid w:val="57E26A3C"/>
    <w:rsid w:val="57E9601D"/>
    <w:rsid w:val="5806097D"/>
    <w:rsid w:val="5829221A"/>
    <w:rsid w:val="582E57DE"/>
    <w:rsid w:val="585C6E31"/>
    <w:rsid w:val="58887F08"/>
    <w:rsid w:val="58892C4B"/>
    <w:rsid w:val="58975095"/>
    <w:rsid w:val="58AB4243"/>
    <w:rsid w:val="58BC07AC"/>
    <w:rsid w:val="58D00F8B"/>
    <w:rsid w:val="58F5279F"/>
    <w:rsid w:val="591250FF"/>
    <w:rsid w:val="59146777"/>
    <w:rsid w:val="591E0F27"/>
    <w:rsid w:val="59370E68"/>
    <w:rsid w:val="59373B6B"/>
    <w:rsid w:val="596040BD"/>
    <w:rsid w:val="596D2336"/>
    <w:rsid w:val="59903300"/>
    <w:rsid w:val="599C473B"/>
    <w:rsid w:val="59AC55D4"/>
    <w:rsid w:val="59DE4FE1"/>
    <w:rsid w:val="59E22D24"/>
    <w:rsid w:val="59E5080C"/>
    <w:rsid w:val="5A023CF7"/>
    <w:rsid w:val="5A2F2CC8"/>
    <w:rsid w:val="5A3115B5"/>
    <w:rsid w:val="5A317807"/>
    <w:rsid w:val="5A427C66"/>
    <w:rsid w:val="5A646B5B"/>
    <w:rsid w:val="5A7C4F26"/>
    <w:rsid w:val="5A9023E4"/>
    <w:rsid w:val="5A907D36"/>
    <w:rsid w:val="5A9418A9"/>
    <w:rsid w:val="5A9658BC"/>
    <w:rsid w:val="5AA1673B"/>
    <w:rsid w:val="5AB32912"/>
    <w:rsid w:val="5AB346C0"/>
    <w:rsid w:val="5AC10964"/>
    <w:rsid w:val="5AC73CC7"/>
    <w:rsid w:val="5AD308BE"/>
    <w:rsid w:val="5AE23817"/>
    <w:rsid w:val="5AFE1DDF"/>
    <w:rsid w:val="5B1E5FDD"/>
    <w:rsid w:val="5B31352E"/>
    <w:rsid w:val="5B3A38B8"/>
    <w:rsid w:val="5B4B5B7E"/>
    <w:rsid w:val="5B6503CE"/>
    <w:rsid w:val="5B7E082A"/>
    <w:rsid w:val="5B8D6CBF"/>
    <w:rsid w:val="5BA26962"/>
    <w:rsid w:val="5BB46202"/>
    <w:rsid w:val="5BD85DD7"/>
    <w:rsid w:val="5BE34B31"/>
    <w:rsid w:val="5BFD222B"/>
    <w:rsid w:val="5BFE196B"/>
    <w:rsid w:val="5C00788F"/>
    <w:rsid w:val="5C073A30"/>
    <w:rsid w:val="5C10702D"/>
    <w:rsid w:val="5C152601"/>
    <w:rsid w:val="5C294C3A"/>
    <w:rsid w:val="5C3E162F"/>
    <w:rsid w:val="5C3F4D71"/>
    <w:rsid w:val="5C4E07B5"/>
    <w:rsid w:val="5C591F03"/>
    <w:rsid w:val="5C642116"/>
    <w:rsid w:val="5C675762"/>
    <w:rsid w:val="5C6808F9"/>
    <w:rsid w:val="5C6C2D78"/>
    <w:rsid w:val="5C7273C4"/>
    <w:rsid w:val="5C7B745F"/>
    <w:rsid w:val="5C8A1B2F"/>
    <w:rsid w:val="5C8A56DD"/>
    <w:rsid w:val="5CA61CC6"/>
    <w:rsid w:val="5CC36AF9"/>
    <w:rsid w:val="5CD163D5"/>
    <w:rsid w:val="5CE40B61"/>
    <w:rsid w:val="5CE60D7D"/>
    <w:rsid w:val="5CE77EAF"/>
    <w:rsid w:val="5CEE5662"/>
    <w:rsid w:val="5CF54B1C"/>
    <w:rsid w:val="5CF8460C"/>
    <w:rsid w:val="5D1443E0"/>
    <w:rsid w:val="5D1C02FB"/>
    <w:rsid w:val="5D1F603D"/>
    <w:rsid w:val="5D2673CB"/>
    <w:rsid w:val="5D535722"/>
    <w:rsid w:val="5D587943"/>
    <w:rsid w:val="5D914004"/>
    <w:rsid w:val="5DA33DE2"/>
    <w:rsid w:val="5DB04EE7"/>
    <w:rsid w:val="5DFE57A5"/>
    <w:rsid w:val="5E203E1A"/>
    <w:rsid w:val="5E2E29DB"/>
    <w:rsid w:val="5E366901"/>
    <w:rsid w:val="5E3D2C1E"/>
    <w:rsid w:val="5E4D0988"/>
    <w:rsid w:val="5E577307"/>
    <w:rsid w:val="5E781EA8"/>
    <w:rsid w:val="5E810B9A"/>
    <w:rsid w:val="5E9D190F"/>
    <w:rsid w:val="5EAE58CA"/>
    <w:rsid w:val="5EC85D58"/>
    <w:rsid w:val="5EC944B2"/>
    <w:rsid w:val="5ECC4297"/>
    <w:rsid w:val="5ED30E8D"/>
    <w:rsid w:val="5EF77271"/>
    <w:rsid w:val="5F165F83"/>
    <w:rsid w:val="5F473629"/>
    <w:rsid w:val="5F561B72"/>
    <w:rsid w:val="5F692687"/>
    <w:rsid w:val="5F7E34EF"/>
    <w:rsid w:val="5F8A1E93"/>
    <w:rsid w:val="5FA703FF"/>
    <w:rsid w:val="5FBE38EB"/>
    <w:rsid w:val="5FD749AD"/>
    <w:rsid w:val="5FED41D0"/>
    <w:rsid w:val="5FEF7F48"/>
    <w:rsid w:val="6011298E"/>
    <w:rsid w:val="60296951"/>
    <w:rsid w:val="6037369D"/>
    <w:rsid w:val="60471B32"/>
    <w:rsid w:val="605D3104"/>
    <w:rsid w:val="606007BB"/>
    <w:rsid w:val="606E0A68"/>
    <w:rsid w:val="60732927"/>
    <w:rsid w:val="60822B6A"/>
    <w:rsid w:val="60AC7F66"/>
    <w:rsid w:val="60D672B7"/>
    <w:rsid w:val="60EF54A6"/>
    <w:rsid w:val="60F715A3"/>
    <w:rsid w:val="610E08A2"/>
    <w:rsid w:val="61125049"/>
    <w:rsid w:val="61273712"/>
    <w:rsid w:val="616F7420"/>
    <w:rsid w:val="61840B64"/>
    <w:rsid w:val="618D4C48"/>
    <w:rsid w:val="61BF10D9"/>
    <w:rsid w:val="61BF1B9C"/>
    <w:rsid w:val="61D43FB8"/>
    <w:rsid w:val="61D70C94"/>
    <w:rsid w:val="61DA3D4C"/>
    <w:rsid w:val="61F513E7"/>
    <w:rsid w:val="621E68C3"/>
    <w:rsid w:val="62652FF0"/>
    <w:rsid w:val="62A3416C"/>
    <w:rsid w:val="62AC22DC"/>
    <w:rsid w:val="62CA6A4B"/>
    <w:rsid w:val="62E0626E"/>
    <w:rsid w:val="62E47E5F"/>
    <w:rsid w:val="62EA5C02"/>
    <w:rsid w:val="62EE43A8"/>
    <w:rsid w:val="630D552C"/>
    <w:rsid w:val="632572EE"/>
    <w:rsid w:val="6329551F"/>
    <w:rsid w:val="633F2F95"/>
    <w:rsid w:val="633F472C"/>
    <w:rsid w:val="635A7DCF"/>
    <w:rsid w:val="63655D8A"/>
    <w:rsid w:val="637833E8"/>
    <w:rsid w:val="63825D6B"/>
    <w:rsid w:val="638B3312"/>
    <w:rsid w:val="63B82D47"/>
    <w:rsid w:val="63C97218"/>
    <w:rsid w:val="63F7386F"/>
    <w:rsid w:val="64191A38"/>
    <w:rsid w:val="64302F5C"/>
    <w:rsid w:val="645760BC"/>
    <w:rsid w:val="64595196"/>
    <w:rsid w:val="64730270"/>
    <w:rsid w:val="64AC1500"/>
    <w:rsid w:val="64AE6293"/>
    <w:rsid w:val="64C354F3"/>
    <w:rsid w:val="64DB2183"/>
    <w:rsid w:val="64E45EF7"/>
    <w:rsid w:val="64EF013A"/>
    <w:rsid w:val="64F54CFE"/>
    <w:rsid w:val="64FE3736"/>
    <w:rsid w:val="650001C7"/>
    <w:rsid w:val="651D0662"/>
    <w:rsid w:val="65202952"/>
    <w:rsid w:val="65424FBE"/>
    <w:rsid w:val="656D2A7F"/>
    <w:rsid w:val="656F010B"/>
    <w:rsid w:val="658028FC"/>
    <w:rsid w:val="65874035"/>
    <w:rsid w:val="658904F7"/>
    <w:rsid w:val="658C6239"/>
    <w:rsid w:val="65907AD8"/>
    <w:rsid w:val="6593581A"/>
    <w:rsid w:val="65C16ECE"/>
    <w:rsid w:val="65CB31F0"/>
    <w:rsid w:val="65CE4045"/>
    <w:rsid w:val="65DD62CA"/>
    <w:rsid w:val="65E16585"/>
    <w:rsid w:val="65FA7647"/>
    <w:rsid w:val="660364FC"/>
    <w:rsid w:val="66287102"/>
    <w:rsid w:val="6635067F"/>
    <w:rsid w:val="6640190D"/>
    <w:rsid w:val="665B6338"/>
    <w:rsid w:val="666518A2"/>
    <w:rsid w:val="6691014E"/>
    <w:rsid w:val="66A03B3B"/>
    <w:rsid w:val="66B91E9C"/>
    <w:rsid w:val="66C87CCE"/>
    <w:rsid w:val="66CE5695"/>
    <w:rsid w:val="66E71979"/>
    <w:rsid w:val="66F4027A"/>
    <w:rsid w:val="6711428F"/>
    <w:rsid w:val="671B5AC7"/>
    <w:rsid w:val="67387175"/>
    <w:rsid w:val="673F17B5"/>
    <w:rsid w:val="6746090A"/>
    <w:rsid w:val="675D1C3B"/>
    <w:rsid w:val="676841BB"/>
    <w:rsid w:val="676C1E7F"/>
    <w:rsid w:val="676E3E49"/>
    <w:rsid w:val="677435B2"/>
    <w:rsid w:val="6784366C"/>
    <w:rsid w:val="678766D6"/>
    <w:rsid w:val="679401EB"/>
    <w:rsid w:val="67982C74"/>
    <w:rsid w:val="67A96C2F"/>
    <w:rsid w:val="67B02562"/>
    <w:rsid w:val="67B81568"/>
    <w:rsid w:val="67D235E1"/>
    <w:rsid w:val="67D53EC8"/>
    <w:rsid w:val="67E36C7A"/>
    <w:rsid w:val="67E73BFB"/>
    <w:rsid w:val="67EF75F1"/>
    <w:rsid w:val="67F81964"/>
    <w:rsid w:val="68010AE0"/>
    <w:rsid w:val="68064081"/>
    <w:rsid w:val="680E0114"/>
    <w:rsid w:val="68104062"/>
    <w:rsid w:val="6817628E"/>
    <w:rsid w:val="68295FC1"/>
    <w:rsid w:val="683D2C81"/>
    <w:rsid w:val="684D1CB0"/>
    <w:rsid w:val="685F7CE1"/>
    <w:rsid w:val="6864524C"/>
    <w:rsid w:val="6876459D"/>
    <w:rsid w:val="687F22D1"/>
    <w:rsid w:val="688235EB"/>
    <w:rsid w:val="68B406B1"/>
    <w:rsid w:val="68E27ED1"/>
    <w:rsid w:val="68FB795E"/>
    <w:rsid w:val="69124F16"/>
    <w:rsid w:val="6928331F"/>
    <w:rsid w:val="69401815"/>
    <w:rsid w:val="694803EC"/>
    <w:rsid w:val="694A5205"/>
    <w:rsid w:val="6953779A"/>
    <w:rsid w:val="696766EE"/>
    <w:rsid w:val="696B0EBC"/>
    <w:rsid w:val="696C260A"/>
    <w:rsid w:val="697119CE"/>
    <w:rsid w:val="69910F7C"/>
    <w:rsid w:val="69994F38"/>
    <w:rsid w:val="69B46862"/>
    <w:rsid w:val="69BD10B7"/>
    <w:rsid w:val="69CD5C14"/>
    <w:rsid w:val="69CF0D33"/>
    <w:rsid w:val="69DF6F0D"/>
    <w:rsid w:val="69E5416A"/>
    <w:rsid w:val="69F34E76"/>
    <w:rsid w:val="6A10568B"/>
    <w:rsid w:val="6A1B7B8C"/>
    <w:rsid w:val="6A1D1B56"/>
    <w:rsid w:val="6A242BA0"/>
    <w:rsid w:val="6A246A40"/>
    <w:rsid w:val="6A4763D7"/>
    <w:rsid w:val="6A4C5F97"/>
    <w:rsid w:val="6A694D9B"/>
    <w:rsid w:val="6A707ED8"/>
    <w:rsid w:val="6A71018C"/>
    <w:rsid w:val="6A7C1BB2"/>
    <w:rsid w:val="6A9A31A7"/>
    <w:rsid w:val="6AA55FBA"/>
    <w:rsid w:val="6AA67D9D"/>
    <w:rsid w:val="6ACA3A8C"/>
    <w:rsid w:val="6AEA5EDC"/>
    <w:rsid w:val="6AEB20A3"/>
    <w:rsid w:val="6B1C1E0E"/>
    <w:rsid w:val="6B1D005F"/>
    <w:rsid w:val="6B321631"/>
    <w:rsid w:val="6B347DF6"/>
    <w:rsid w:val="6B3709F5"/>
    <w:rsid w:val="6B4C2A94"/>
    <w:rsid w:val="6B721A2E"/>
    <w:rsid w:val="6B885033"/>
    <w:rsid w:val="6B8C6F93"/>
    <w:rsid w:val="6B9946B3"/>
    <w:rsid w:val="6BB32351"/>
    <w:rsid w:val="6BBA0325"/>
    <w:rsid w:val="6BC04E8F"/>
    <w:rsid w:val="6BE56ADB"/>
    <w:rsid w:val="6BF07522"/>
    <w:rsid w:val="6BF344AF"/>
    <w:rsid w:val="6BF70E10"/>
    <w:rsid w:val="6C1C6154"/>
    <w:rsid w:val="6C1F1BB5"/>
    <w:rsid w:val="6C270A6A"/>
    <w:rsid w:val="6C2C29A8"/>
    <w:rsid w:val="6C2E4764"/>
    <w:rsid w:val="6C2E5E47"/>
    <w:rsid w:val="6C30791F"/>
    <w:rsid w:val="6C404060"/>
    <w:rsid w:val="6C662189"/>
    <w:rsid w:val="6C6C4049"/>
    <w:rsid w:val="6C7007C7"/>
    <w:rsid w:val="6C726189"/>
    <w:rsid w:val="6CA9147F"/>
    <w:rsid w:val="6CB322FE"/>
    <w:rsid w:val="6CBB09AE"/>
    <w:rsid w:val="6CC1090D"/>
    <w:rsid w:val="6CC30793"/>
    <w:rsid w:val="6CDB2455"/>
    <w:rsid w:val="6CDF07A5"/>
    <w:rsid w:val="6CF50B68"/>
    <w:rsid w:val="6D1B7F6A"/>
    <w:rsid w:val="6D1C5666"/>
    <w:rsid w:val="6D284A9A"/>
    <w:rsid w:val="6D391C3B"/>
    <w:rsid w:val="6D4B0788"/>
    <w:rsid w:val="6D77157D"/>
    <w:rsid w:val="6D802BC4"/>
    <w:rsid w:val="6D867D31"/>
    <w:rsid w:val="6D910891"/>
    <w:rsid w:val="6DDA3A5E"/>
    <w:rsid w:val="6DE76850"/>
    <w:rsid w:val="6DEA1D4F"/>
    <w:rsid w:val="6DF80910"/>
    <w:rsid w:val="6E146DCC"/>
    <w:rsid w:val="6E333BF5"/>
    <w:rsid w:val="6E4C4B15"/>
    <w:rsid w:val="6E557EE3"/>
    <w:rsid w:val="6E712470"/>
    <w:rsid w:val="6E7D7067"/>
    <w:rsid w:val="6EA268A6"/>
    <w:rsid w:val="6EAB5982"/>
    <w:rsid w:val="6EE0526E"/>
    <w:rsid w:val="6EE40E94"/>
    <w:rsid w:val="6EF156D6"/>
    <w:rsid w:val="6EF46364"/>
    <w:rsid w:val="6F132310"/>
    <w:rsid w:val="6F3006C4"/>
    <w:rsid w:val="6F356AF3"/>
    <w:rsid w:val="6F424A33"/>
    <w:rsid w:val="6F5124AE"/>
    <w:rsid w:val="6F6251C2"/>
    <w:rsid w:val="6F657814"/>
    <w:rsid w:val="6F771D08"/>
    <w:rsid w:val="6F793917"/>
    <w:rsid w:val="6F853900"/>
    <w:rsid w:val="6F912FB5"/>
    <w:rsid w:val="6FA96B93"/>
    <w:rsid w:val="6FB20BD4"/>
    <w:rsid w:val="6FB650F7"/>
    <w:rsid w:val="6FBA59BE"/>
    <w:rsid w:val="6FBB39A3"/>
    <w:rsid w:val="6FC94148"/>
    <w:rsid w:val="6FE41AAA"/>
    <w:rsid w:val="700506C4"/>
    <w:rsid w:val="701D640C"/>
    <w:rsid w:val="70273209"/>
    <w:rsid w:val="70286019"/>
    <w:rsid w:val="70296B3E"/>
    <w:rsid w:val="70311EB7"/>
    <w:rsid w:val="70324462"/>
    <w:rsid w:val="70611204"/>
    <w:rsid w:val="706C1141"/>
    <w:rsid w:val="70877D29"/>
    <w:rsid w:val="709B37BE"/>
    <w:rsid w:val="709B37D5"/>
    <w:rsid w:val="70B66451"/>
    <w:rsid w:val="70BF5715"/>
    <w:rsid w:val="70E262E5"/>
    <w:rsid w:val="70E679DB"/>
    <w:rsid w:val="714D1C9C"/>
    <w:rsid w:val="71771B4C"/>
    <w:rsid w:val="717C7162"/>
    <w:rsid w:val="71935886"/>
    <w:rsid w:val="71B20DD6"/>
    <w:rsid w:val="71C31235"/>
    <w:rsid w:val="71CD1650"/>
    <w:rsid w:val="71DC5E53"/>
    <w:rsid w:val="71EF202A"/>
    <w:rsid w:val="71FD7852"/>
    <w:rsid w:val="71FE04BF"/>
    <w:rsid w:val="722A4E10"/>
    <w:rsid w:val="7238577F"/>
    <w:rsid w:val="727A15DA"/>
    <w:rsid w:val="72802C82"/>
    <w:rsid w:val="729F57FE"/>
    <w:rsid w:val="72A515F0"/>
    <w:rsid w:val="72BB51AF"/>
    <w:rsid w:val="72BD4C72"/>
    <w:rsid w:val="72F24348"/>
    <w:rsid w:val="72F71196"/>
    <w:rsid w:val="7315786E"/>
    <w:rsid w:val="73165394"/>
    <w:rsid w:val="73171838"/>
    <w:rsid w:val="73243F55"/>
    <w:rsid w:val="732F685F"/>
    <w:rsid w:val="73445350"/>
    <w:rsid w:val="734A070C"/>
    <w:rsid w:val="734E63BA"/>
    <w:rsid w:val="735A32CF"/>
    <w:rsid w:val="737558C5"/>
    <w:rsid w:val="738617F6"/>
    <w:rsid w:val="73A17354"/>
    <w:rsid w:val="73C53982"/>
    <w:rsid w:val="73DE2356"/>
    <w:rsid w:val="73EE246F"/>
    <w:rsid w:val="73EF1E6D"/>
    <w:rsid w:val="740878F6"/>
    <w:rsid w:val="741409B0"/>
    <w:rsid w:val="742C035F"/>
    <w:rsid w:val="74563CBA"/>
    <w:rsid w:val="745E6FF3"/>
    <w:rsid w:val="74640B29"/>
    <w:rsid w:val="746565D3"/>
    <w:rsid w:val="7475172F"/>
    <w:rsid w:val="749E4E58"/>
    <w:rsid w:val="74AA60C2"/>
    <w:rsid w:val="74BE5317"/>
    <w:rsid w:val="74C912F5"/>
    <w:rsid w:val="74D3353D"/>
    <w:rsid w:val="74DB0643"/>
    <w:rsid w:val="74E52E87"/>
    <w:rsid w:val="74E76E81"/>
    <w:rsid w:val="74EE15B4"/>
    <w:rsid w:val="74FA2C30"/>
    <w:rsid w:val="74FA4F6E"/>
    <w:rsid w:val="750B5D52"/>
    <w:rsid w:val="751C1388"/>
    <w:rsid w:val="7540621D"/>
    <w:rsid w:val="754C41C0"/>
    <w:rsid w:val="754D5C4B"/>
    <w:rsid w:val="75587EE6"/>
    <w:rsid w:val="755D0A29"/>
    <w:rsid w:val="756845CD"/>
    <w:rsid w:val="758756BF"/>
    <w:rsid w:val="75B325B9"/>
    <w:rsid w:val="75C33EB4"/>
    <w:rsid w:val="75DB37B9"/>
    <w:rsid w:val="75F643D7"/>
    <w:rsid w:val="76037E52"/>
    <w:rsid w:val="760475F8"/>
    <w:rsid w:val="76093D27"/>
    <w:rsid w:val="76102379"/>
    <w:rsid w:val="762B1157"/>
    <w:rsid w:val="7630420E"/>
    <w:rsid w:val="76326989"/>
    <w:rsid w:val="76781B57"/>
    <w:rsid w:val="767945B8"/>
    <w:rsid w:val="76842C31"/>
    <w:rsid w:val="769950D3"/>
    <w:rsid w:val="76A553AD"/>
    <w:rsid w:val="76C240A7"/>
    <w:rsid w:val="76E207D0"/>
    <w:rsid w:val="7703697B"/>
    <w:rsid w:val="773109EF"/>
    <w:rsid w:val="773C6424"/>
    <w:rsid w:val="773F59F0"/>
    <w:rsid w:val="775246B7"/>
    <w:rsid w:val="775D17E4"/>
    <w:rsid w:val="77634FE4"/>
    <w:rsid w:val="7782124A"/>
    <w:rsid w:val="77846D70"/>
    <w:rsid w:val="779C40BA"/>
    <w:rsid w:val="77A103E0"/>
    <w:rsid w:val="77A9139E"/>
    <w:rsid w:val="77A967D7"/>
    <w:rsid w:val="77D95911"/>
    <w:rsid w:val="77F00518"/>
    <w:rsid w:val="77F16CCC"/>
    <w:rsid w:val="77F9631D"/>
    <w:rsid w:val="7801430A"/>
    <w:rsid w:val="781613AD"/>
    <w:rsid w:val="781E69D1"/>
    <w:rsid w:val="782869EF"/>
    <w:rsid w:val="783B7D77"/>
    <w:rsid w:val="78422C86"/>
    <w:rsid w:val="78646830"/>
    <w:rsid w:val="787A3B2A"/>
    <w:rsid w:val="787D764B"/>
    <w:rsid w:val="787F1EE9"/>
    <w:rsid w:val="789B25C4"/>
    <w:rsid w:val="78BD0D42"/>
    <w:rsid w:val="78C55892"/>
    <w:rsid w:val="78C93541"/>
    <w:rsid w:val="78EC331D"/>
    <w:rsid w:val="78EC72C3"/>
    <w:rsid w:val="78EF13EB"/>
    <w:rsid w:val="78F16688"/>
    <w:rsid w:val="79024402"/>
    <w:rsid w:val="79054DAA"/>
    <w:rsid w:val="792B2454"/>
    <w:rsid w:val="794955FD"/>
    <w:rsid w:val="79531152"/>
    <w:rsid w:val="795C61F7"/>
    <w:rsid w:val="796230E1"/>
    <w:rsid w:val="79646E59"/>
    <w:rsid w:val="79752091"/>
    <w:rsid w:val="79773031"/>
    <w:rsid w:val="798951C1"/>
    <w:rsid w:val="798B70F3"/>
    <w:rsid w:val="799040F2"/>
    <w:rsid w:val="79942B72"/>
    <w:rsid w:val="79963FEE"/>
    <w:rsid w:val="799A6D1F"/>
    <w:rsid w:val="799E38A7"/>
    <w:rsid w:val="79A13C0A"/>
    <w:rsid w:val="79B0209F"/>
    <w:rsid w:val="79B25E17"/>
    <w:rsid w:val="79B7335B"/>
    <w:rsid w:val="79CC7CED"/>
    <w:rsid w:val="79DD6C0C"/>
    <w:rsid w:val="7A005252"/>
    <w:rsid w:val="7A1B556D"/>
    <w:rsid w:val="7A1C7D0B"/>
    <w:rsid w:val="7A263B6B"/>
    <w:rsid w:val="7A344A7E"/>
    <w:rsid w:val="7A386FD2"/>
    <w:rsid w:val="7A4226B2"/>
    <w:rsid w:val="7A480529"/>
    <w:rsid w:val="7A4C3D34"/>
    <w:rsid w:val="7A662608"/>
    <w:rsid w:val="7A7845D2"/>
    <w:rsid w:val="7A7A445B"/>
    <w:rsid w:val="7A8A6D94"/>
    <w:rsid w:val="7AB355C5"/>
    <w:rsid w:val="7AD66B5A"/>
    <w:rsid w:val="7AF46346"/>
    <w:rsid w:val="7AF661D7"/>
    <w:rsid w:val="7B027357"/>
    <w:rsid w:val="7B0A3A31"/>
    <w:rsid w:val="7B0F5EBF"/>
    <w:rsid w:val="7B130FB9"/>
    <w:rsid w:val="7B1B2520"/>
    <w:rsid w:val="7B1F6AF9"/>
    <w:rsid w:val="7B22521E"/>
    <w:rsid w:val="7B226FCC"/>
    <w:rsid w:val="7B243B8A"/>
    <w:rsid w:val="7B426505"/>
    <w:rsid w:val="7B443B72"/>
    <w:rsid w:val="7B4B5581"/>
    <w:rsid w:val="7B5A2AFC"/>
    <w:rsid w:val="7B66740B"/>
    <w:rsid w:val="7B7D4202"/>
    <w:rsid w:val="7B9A0644"/>
    <w:rsid w:val="7BBC4B89"/>
    <w:rsid w:val="7BBF0CBF"/>
    <w:rsid w:val="7BC00091"/>
    <w:rsid w:val="7BC4519B"/>
    <w:rsid w:val="7BC934B9"/>
    <w:rsid w:val="7BEA2E4B"/>
    <w:rsid w:val="7BF344C5"/>
    <w:rsid w:val="7BF64EDE"/>
    <w:rsid w:val="7C0564C4"/>
    <w:rsid w:val="7C115384"/>
    <w:rsid w:val="7C2154D6"/>
    <w:rsid w:val="7C2653DC"/>
    <w:rsid w:val="7C2D79D7"/>
    <w:rsid w:val="7C374CF9"/>
    <w:rsid w:val="7C400C1E"/>
    <w:rsid w:val="7C595752"/>
    <w:rsid w:val="7C5E5DE2"/>
    <w:rsid w:val="7C8A4013"/>
    <w:rsid w:val="7CA757A6"/>
    <w:rsid w:val="7CB9570E"/>
    <w:rsid w:val="7CC12815"/>
    <w:rsid w:val="7CC24D74"/>
    <w:rsid w:val="7CC61BD9"/>
    <w:rsid w:val="7CDC31AB"/>
    <w:rsid w:val="7CE34539"/>
    <w:rsid w:val="7CE50175"/>
    <w:rsid w:val="7CF90201"/>
    <w:rsid w:val="7D1000F9"/>
    <w:rsid w:val="7D2A2168"/>
    <w:rsid w:val="7D32101D"/>
    <w:rsid w:val="7D407BDD"/>
    <w:rsid w:val="7D423641"/>
    <w:rsid w:val="7D5D07C6"/>
    <w:rsid w:val="7D5D253D"/>
    <w:rsid w:val="7D6C452F"/>
    <w:rsid w:val="7D7710A5"/>
    <w:rsid w:val="7D883C22"/>
    <w:rsid w:val="7D8E3716"/>
    <w:rsid w:val="7DA33927"/>
    <w:rsid w:val="7DB52574"/>
    <w:rsid w:val="7DB67EA0"/>
    <w:rsid w:val="7DB90103"/>
    <w:rsid w:val="7DD11708"/>
    <w:rsid w:val="7DD6716A"/>
    <w:rsid w:val="7DDD367E"/>
    <w:rsid w:val="7DEC566F"/>
    <w:rsid w:val="7E0E55E6"/>
    <w:rsid w:val="7E19664B"/>
    <w:rsid w:val="7E430E88"/>
    <w:rsid w:val="7E7062A0"/>
    <w:rsid w:val="7E762F0A"/>
    <w:rsid w:val="7E7E6C0F"/>
    <w:rsid w:val="7E801456"/>
    <w:rsid w:val="7E8477D1"/>
    <w:rsid w:val="7E867872"/>
    <w:rsid w:val="7E8835EA"/>
    <w:rsid w:val="7E8E7BF8"/>
    <w:rsid w:val="7E977CD1"/>
    <w:rsid w:val="7EB57A7D"/>
    <w:rsid w:val="7EBD579E"/>
    <w:rsid w:val="7EC167BD"/>
    <w:rsid w:val="7EDB5991"/>
    <w:rsid w:val="7EF2130A"/>
    <w:rsid w:val="7F1D68E0"/>
    <w:rsid w:val="7F1E5CFC"/>
    <w:rsid w:val="7F2350C1"/>
    <w:rsid w:val="7F272D9E"/>
    <w:rsid w:val="7F33200F"/>
    <w:rsid w:val="7F3B240A"/>
    <w:rsid w:val="7F3F4AD1"/>
    <w:rsid w:val="7F4A252C"/>
    <w:rsid w:val="7F5D5059"/>
    <w:rsid w:val="7F60132B"/>
    <w:rsid w:val="7F6C2F0C"/>
    <w:rsid w:val="7F6C4CBA"/>
    <w:rsid w:val="7F983D01"/>
    <w:rsid w:val="7FB63FAA"/>
    <w:rsid w:val="7FB90956"/>
    <w:rsid w:val="7FCB7E45"/>
    <w:rsid w:val="7FE72592"/>
    <w:rsid w:val="7FF36FD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4"/>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61"/>
    <w:qFormat/>
    <w:uiPriority w:val="0"/>
    <w:pPr>
      <w:keepNext/>
      <w:keepLines/>
      <w:spacing w:before="260" w:after="260" w:line="416" w:lineRule="auto"/>
      <w:outlineLvl w:val="1"/>
    </w:pPr>
    <w:rPr>
      <w:rFonts w:ascii="Cambria" w:hAnsi="Cambria"/>
      <w:b/>
      <w:bCs/>
      <w:sz w:val="32"/>
      <w:szCs w:val="32"/>
    </w:rPr>
  </w:style>
  <w:style w:type="paragraph" w:styleId="5">
    <w:name w:val="heading 3"/>
    <w:basedOn w:val="1"/>
    <w:next w:val="1"/>
    <w:link w:val="46"/>
    <w:qFormat/>
    <w:uiPriority w:val="0"/>
    <w:pPr>
      <w:keepNext/>
      <w:keepLines/>
      <w:spacing w:before="260" w:after="260" w:line="416" w:lineRule="auto"/>
      <w:outlineLvl w:val="2"/>
    </w:pPr>
    <w:rPr>
      <w:b/>
      <w:bCs/>
      <w:sz w:val="32"/>
      <w:szCs w:val="32"/>
    </w:rPr>
  </w:style>
  <w:style w:type="paragraph" w:styleId="6">
    <w:name w:val="heading 4"/>
    <w:basedOn w:val="5"/>
    <w:next w:val="7"/>
    <w:qFormat/>
    <w:uiPriority w:val="0"/>
    <w:pPr>
      <w:spacing w:beforeAutospacing="1" w:afterAutospacing="1"/>
      <w:ind w:firstLine="0" w:firstLineChars="0"/>
      <w:jc w:val="left"/>
      <w:textAlignment w:val="auto"/>
      <w:outlineLvl w:val="3"/>
    </w:pPr>
    <w:rPr>
      <w:rFonts w:hint="eastAsia" w:ascii="Arial" w:hAnsi="Arial" w:eastAsia="黑体" w:cs="宋体"/>
      <w:lang w:bidi="ar"/>
    </w:rPr>
  </w:style>
  <w:style w:type="paragraph" w:styleId="7">
    <w:name w:val="heading 5"/>
    <w:basedOn w:val="6"/>
    <w:next w:val="8"/>
    <w:link w:val="47"/>
    <w:qFormat/>
    <w:uiPriority w:val="0"/>
    <w:pPr>
      <w:keepNext/>
      <w:keepLines/>
      <w:spacing w:before="280" w:after="290" w:line="376" w:lineRule="auto"/>
      <w:outlineLvl w:val="4"/>
    </w:pPr>
    <w:rPr>
      <w:b w:val="0"/>
      <w:bCs w:val="0"/>
      <w:sz w:val="28"/>
      <w:szCs w:val="28"/>
    </w:rPr>
  </w:style>
  <w:style w:type="paragraph" w:styleId="10">
    <w:name w:val="heading 8"/>
    <w:basedOn w:val="1"/>
    <w:next w:val="1"/>
    <w:link w:val="48"/>
    <w:qFormat/>
    <w:uiPriority w:val="0"/>
    <w:pPr>
      <w:keepNext/>
      <w:keepLines/>
      <w:spacing w:before="240" w:after="64" w:line="320" w:lineRule="auto"/>
      <w:outlineLvl w:val="7"/>
    </w:pPr>
    <w:rPr>
      <w:rFonts w:ascii="等线 Light" w:hAnsi="等线 Light" w:eastAsia="等线 Light"/>
      <w:sz w:val="24"/>
    </w:rPr>
  </w:style>
  <w:style w:type="paragraph" w:styleId="11">
    <w:name w:val="heading 9"/>
    <w:basedOn w:val="1"/>
    <w:next w:val="1"/>
    <w:link w:val="49"/>
    <w:qFormat/>
    <w:uiPriority w:val="0"/>
    <w:pPr>
      <w:keepNext/>
      <w:keepLines/>
      <w:spacing w:before="240" w:after="64" w:line="320" w:lineRule="auto"/>
      <w:outlineLvl w:val="8"/>
    </w:pPr>
    <w:rPr>
      <w:rFonts w:ascii="Cambria" w:hAnsi="Cambria"/>
      <w:szCs w:val="21"/>
    </w:rPr>
  </w:style>
  <w:style w:type="character" w:default="1" w:styleId="37">
    <w:name w:val="Default Paragraph Font"/>
    <w:semiHidden/>
    <w:qFormat/>
    <w:uiPriority w:val="0"/>
  </w:style>
  <w:style w:type="table" w:default="1" w:styleId="35">
    <w:name w:val="Normal Table"/>
    <w:semiHidden/>
    <w:qFormat/>
    <w:uiPriority w:val="0"/>
    <w:tblPr>
      <w:tblCellMar>
        <w:top w:w="0" w:type="dxa"/>
        <w:left w:w="108" w:type="dxa"/>
        <w:bottom w:w="0" w:type="dxa"/>
        <w:right w:w="108" w:type="dxa"/>
      </w:tblCellMar>
    </w:tblPr>
  </w:style>
  <w:style w:type="paragraph" w:styleId="2">
    <w:name w:val="Body Text"/>
    <w:basedOn w:val="1"/>
    <w:next w:val="1"/>
    <w:link w:val="43"/>
    <w:qFormat/>
    <w:uiPriority w:val="0"/>
    <w:pPr>
      <w:spacing w:after="120"/>
    </w:pPr>
  </w:style>
  <w:style w:type="paragraph" w:styleId="8">
    <w:name w:val="Normal Indent"/>
    <w:basedOn w:val="1"/>
    <w:next w:val="9"/>
    <w:qFormat/>
    <w:uiPriority w:val="0"/>
    <w:pPr>
      <w:ind w:firstLine="420"/>
    </w:pPr>
    <w:rPr>
      <w:szCs w:val="20"/>
    </w:rPr>
  </w:style>
  <w:style w:type="paragraph" w:customStyle="1" w:styleId="9">
    <w:name w:val="样式 标题 2 + 三号1"/>
    <w:next w:val="1"/>
    <w:qFormat/>
    <w:uiPriority w:val="0"/>
    <w:pPr>
      <w:keepNext/>
      <w:widowControl w:val="0"/>
      <w:adjustRightInd w:val="0"/>
      <w:spacing w:before="120" w:after="120" w:line="360" w:lineRule="auto"/>
      <w:textAlignment w:val="baseline"/>
      <w:outlineLvl w:val="1"/>
    </w:pPr>
    <w:rPr>
      <w:rFonts w:ascii="Times New Roman" w:hAnsi="Times New Roman" w:eastAsia="宋体" w:cs="宋体"/>
      <w:b/>
      <w:spacing w:val="4"/>
      <w:kern w:val="2"/>
      <w:sz w:val="28"/>
      <w:szCs w:val="28"/>
      <w:lang w:val="en-US" w:eastAsia="zh-CN" w:bidi="ar-SA"/>
    </w:rPr>
  </w:style>
  <w:style w:type="paragraph" w:styleId="12">
    <w:name w:val="List 3"/>
    <w:basedOn w:val="1"/>
    <w:qFormat/>
    <w:uiPriority w:val="0"/>
    <w:pPr>
      <w:spacing w:line="300" w:lineRule="exact"/>
      <w:ind w:firstLine="0" w:firstLineChars="0"/>
      <w:jc w:val="center"/>
    </w:pPr>
    <w:rPr>
      <w:rFonts w:ascii="Times New Roman" w:hAnsi="Times New Roman" w:eastAsia="仿宋_GB2312" w:cs="Times New Roman"/>
      <w:sz w:val="21"/>
      <w:szCs w:val="21"/>
    </w:rPr>
  </w:style>
  <w:style w:type="paragraph" w:styleId="13">
    <w:name w:val="List Bullet 4"/>
    <w:basedOn w:val="1"/>
    <w:qFormat/>
    <w:uiPriority w:val="0"/>
    <w:pPr>
      <w:numPr>
        <w:ilvl w:val="0"/>
        <w:numId w:val="1"/>
      </w:numPr>
    </w:pPr>
  </w:style>
  <w:style w:type="paragraph" w:styleId="14">
    <w:name w:val="index 8"/>
    <w:basedOn w:val="1"/>
    <w:next w:val="1"/>
    <w:unhideWhenUsed/>
    <w:qFormat/>
    <w:uiPriority w:val="99"/>
    <w:pPr>
      <w:tabs>
        <w:tab w:val="left" w:pos="540"/>
        <w:tab w:val="left" w:pos="900"/>
      </w:tabs>
      <w:adjustRightInd w:val="0"/>
      <w:spacing w:line="360" w:lineRule="auto"/>
      <w:jc w:val="center"/>
      <w:textAlignment w:val="baseline"/>
    </w:pPr>
    <w:rPr>
      <w:rFonts w:ascii="Times New Roman" w:hAnsi="宋体" w:eastAsia="仿宋_GB2312" w:cs="宋体"/>
      <w:color w:val="000000"/>
      <w:sz w:val="32"/>
      <w:szCs w:val="32"/>
    </w:rPr>
  </w:style>
  <w:style w:type="paragraph" w:styleId="15">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6">
    <w:name w:val="annotation text"/>
    <w:basedOn w:val="1"/>
    <w:link w:val="50"/>
    <w:qFormat/>
    <w:uiPriority w:val="0"/>
    <w:pPr>
      <w:jc w:val="left"/>
    </w:pPr>
  </w:style>
  <w:style w:type="paragraph" w:styleId="17">
    <w:name w:val="Body Text 3"/>
    <w:basedOn w:val="1"/>
    <w:link w:val="51"/>
    <w:qFormat/>
    <w:uiPriority w:val="0"/>
    <w:pPr>
      <w:spacing w:after="120"/>
    </w:pPr>
    <w:rPr>
      <w:sz w:val="16"/>
      <w:szCs w:val="16"/>
    </w:rPr>
  </w:style>
  <w:style w:type="paragraph" w:styleId="18">
    <w:name w:val="Body Text Indent"/>
    <w:basedOn w:val="1"/>
    <w:link w:val="52"/>
    <w:qFormat/>
    <w:uiPriority w:val="0"/>
    <w:pPr>
      <w:ind w:firstLine="830" w:firstLineChars="352"/>
    </w:pPr>
    <w:rPr>
      <w:rFonts w:ascii="仿宋_GB2312" w:eastAsia="仿宋_GB2312"/>
      <w:kern w:val="0"/>
      <w:sz w:val="32"/>
      <w:szCs w:val="20"/>
    </w:rPr>
  </w:style>
  <w:style w:type="paragraph" w:styleId="19">
    <w:name w:val="List 2"/>
    <w:basedOn w:val="1"/>
    <w:qFormat/>
    <w:uiPriority w:val="0"/>
    <w:pPr>
      <w:ind w:left="100" w:leftChars="200" w:hanging="200" w:hangingChars="200"/>
      <w:contextualSpacing/>
    </w:pPr>
  </w:style>
  <w:style w:type="paragraph" w:styleId="20">
    <w:name w:val="toc 3"/>
    <w:basedOn w:val="1"/>
    <w:next w:val="1"/>
    <w:qFormat/>
    <w:uiPriority w:val="39"/>
    <w:pPr>
      <w:ind w:left="840" w:leftChars="400"/>
    </w:pPr>
  </w:style>
  <w:style w:type="paragraph" w:styleId="21">
    <w:name w:val="Plain Text"/>
    <w:basedOn w:val="1"/>
    <w:next w:val="1"/>
    <w:link w:val="53"/>
    <w:qFormat/>
    <w:uiPriority w:val="0"/>
    <w:rPr>
      <w:rFonts w:ascii="宋体" w:hAnsi="Courier New"/>
      <w:kern w:val="0"/>
      <w:sz w:val="20"/>
      <w:szCs w:val="21"/>
    </w:rPr>
  </w:style>
  <w:style w:type="paragraph" w:styleId="22">
    <w:name w:val="Date"/>
    <w:basedOn w:val="1"/>
    <w:next w:val="1"/>
    <w:link w:val="54"/>
    <w:qFormat/>
    <w:uiPriority w:val="0"/>
    <w:pPr>
      <w:ind w:left="100" w:leftChars="2500"/>
    </w:pPr>
  </w:style>
  <w:style w:type="paragraph" w:styleId="23">
    <w:name w:val="Body Text Indent 2"/>
    <w:basedOn w:val="1"/>
    <w:qFormat/>
    <w:uiPriority w:val="0"/>
    <w:pPr>
      <w:spacing w:line="540" w:lineRule="auto"/>
      <w:ind w:left="1" w:firstLine="538" w:firstLineChars="168"/>
    </w:pPr>
    <w:rPr>
      <w:rFonts w:ascii="仿宋_GB2312" w:hAnsi="宋体" w:eastAsia="仿宋_GB2312" w:cs="Times New Roman"/>
      <w:sz w:val="32"/>
      <w:szCs w:val="20"/>
    </w:rPr>
  </w:style>
  <w:style w:type="paragraph" w:styleId="24">
    <w:name w:val="Balloon Text"/>
    <w:basedOn w:val="1"/>
    <w:link w:val="55"/>
    <w:qFormat/>
    <w:uiPriority w:val="0"/>
    <w:rPr>
      <w:sz w:val="18"/>
      <w:szCs w:val="18"/>
    </w:rPr>
  </w:style>
  <w:style w:type="paragraph" w:styleId="25">
    <w:name w:val="footer"/>
    <w:basedOn w:val="1"/>
    <w:next w:val="1"/>
    <w:link w:val="56"/>
    <w:qFormat/>
    <w:uiPriority w:val="0"/>
    <w:pPr>
      <w:tabs>
        <w:tab w:val="center" w:pos="4153"/>
        <w:tab w:val="right" w:pos="8306"/>
      </w:tabs>
      <w:snapToGrid w:val="0"/>
      <w:jc w:val="left"/>
    </w:pPr>
    <w:rPr>
      <w:kern w:val="0"/>
      <w:sz w:val="18"/>
      <w:szCs w:val="18"/>
    </w:rPr>
  </w:style>
  <w:style w:type="paragraph" w:styleId="26">
    <w:name w:val="header"/>
    <w:basedOn w:val="1"/>
    <w:link w:val="57"/>
    <w:qFormat/>
    <w:uiPriority w:val="0"/>
    <w:pPr>
      <w:pBdr>
        <w:bottom w:val="single" w:color="auto" w:sz="6" w:space="1"/>
      </w:pBdr>
      <w:tabs>
        <w:tab w:val="center" w:pos="4153"/>
        <w:tab w:val="right" w:pos="8306"/>
      </w:tabs>
      <w:snapToGrid w:val="0"/>
      <w:jc w:val="center"/>
    </w:pPr>
    <w:rPr>
      <w:kern w:val="0"/>
      <w:sz w:val="18"/>
      <w:szCs w:val="18"/>
    </w:rPr>
  </w:style>
  <w:style w:type="paragraph" w:styleId="27">
    <w:name w:val="toc 1"/>
    <w:basedOn w:val="1"/>
    <w:next w:val="1"/>
    <w:qFormat/>
    <w:uiPriority w:val="39"/>
  </w:style>
  <w:style w:type="paragraph" w:styleId="28">
    <w:name w:val="List"/>
    <w:basedOn w:val="1"/>
    <w:qFormat/>
    <w:uiPriority w:val="0"/>
    <w:pPr>
      <w:ind w:left="200" w:hanging="200" w:hangingChars="200"/>
      <w:contextualSpacing/>
    </w:pPr>
  </w:style>
  <w:style w:type="paragraph" w:styleId="29">
    <w:name w:val="Body Text Indent 3"/>
    <w:basedOn w:val="1"/>
    <w:qFormat/>
    <w:uiPriority w:val="0"/>
    <w:pPr>
      <w:spacing w:after="156" w:afterLines="50" w:afterAutospacing="0" w:line="300" w:lineRule="auto"/>
      <w:ind w:firstLine="600" w:firstLineChars="200"/>
    </w:pPr>
    <w:rPr>
      <w:rFonts w:ascii="宋体" w:hAnsi="宋体" w:eastAsia="宋体" w:cs="Times New Roman"/>
      <w:sz w:val="30"/>
      <w:szCs w:val="20"/>
    </w:rPr>
  </w:style>
  <w:style w:type="paragraph" w:styleId="30">
    <w:name w:val="toc 2"/>
    <w:basedOn w:val="1"/>
    <w:next w:val="1"/>
    <w:qFormat/>
    <w:uiPriority w:val="39"/>
    <w:pPr>
      <w:tabs>
        <w:tab w:val="right" w:leader="dot" w:pos="8296"/>
      </w:tabs>
      <w:ind w:left="420" w:leftChars="200"/>
    </w:pPr>
  </w:style>
  <w:style w:type="paragraph" w:styleId="31">
    <w:name w:val="Normal (Web)"/>
    <w:basedOn w:val="1"/>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32">
    <w:name w:val="Title"/>
    <w:basedOn w:val="1"/>
    <w:link w:val="58"/>
    <w:qFormat/>
    <w:uiPriority w:val="0"/>
    <w:pPr>
      <w:widowControl/>
      <w:overflowPunct w:val="0"/>
      <w:autoSpaceDE w:val="0"/>
      <w:autoSpaceDN w:val="0"/>
      <w:adjustRightInd w:val="0"/>
      <w:jc w:val="center"/>
      <w:textAlignment w:val="baseline"/>
    </w:pPr>
    <w:rPr>
      <w:rFonts w:ascii="Cambria" w:hAnsi="Cambria"/>
      <w:b/>
      <w:bCs/>
      <w:sz w:val="32"/>
      <w:szCs w:val="32"/>
    </w:rPr>
  </w:style>
  <w:style w:type="paragraph" w:styleId="33">
    <w:name w:val="annotation subject"/>
    <w:basedOn w:val="16"/>
    <w:next w:val="16"/>
    <w:link w:val="59"/>
    <w:qFormat/>
    <w:uiPriority w:val="0"/>
    <w:rPr>
      <w:b/>
      <w:bCs/>
    </w:rPr>
  </w:style>
  <w:style w:type="paragraph" w:styleId="34">
    <w:name w:val="Body Text First Indent 2"/>
    <w:basedOn w:val="18"/>
    <w:link w:val="60"/>
    <w:qFormat/>
    <w:uiPriority w:val="0"/>
    <w:pPr>
      <w:spacing w:after="120"/>
      <w:ind w:left="420" w:leftChars="200" w:firstLine="420" w:firstLineChars="200"/>
    </w:pPr>
    <w:rPr>
      <w:rFonts w:ascii="Times New Roman" w:eastAsia="宋体"/>
      <w:kern w:val="2"/>
      <w:sz w:val="21"/>
      <w:szCs w:val="24"/>
    </w:rPr>
  </w:style>
  <w:style w:type="table" w:styleId="36">
    <w:name w:val="Table Grid"/>
    <w:basedOn w:val="35"/>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
    <w:name w:val="endnote reference"/>
    <w:qFormat/>
    <w:uiPriority w:val="0"/>
    <w:rPr>
      <w:vertAlign w:val="superscript"/>
    </w:rPr>
  </w:style>
  <w:style w:type="character" w:styleId="39">
    <w:name w:val="page number"/>
    <w:qFormat/>
    <w:uiPriority w:val="0"/>
    <w:rPr>
      <w:rFonts w:ascii="Arial" w:hAnsi="Arial" w:eastAsia="黑体" w:cs="Arial"/>
      <w:snapToGrid w:val="0"/>
      <w:kern w:val="0"/>
      <w:szCs w:val="21"/>
    </w:rPr>
  </w:style>
  <w:style w:type="character" w:styleId="40">
    <w:name w:val="FollowedHyperlink"/>
    <w:qFormat/>
    <w:uiPriority w:val="0"/>
    <w:rPr>
      <w:color w:val="800080"/>
      <w:u w:val="single"/>
    </w:rPr>
  </w:style>
  <w:style w:type="character" w:styleId="41">
    <w:name w:val="Hyperlink"/>
    <w:basedOn w:val="37"/>
    <w:unhideWhenUsed/>
    <w:qFormat/>
    <w:uiPriority w:val="99"/>
    <w:rPr>
      <w:color w:val="0000FF"/>
      <w:u w:val="single"/>
    </w:rPr>
  </w:style>
  <w:style w:type="character" w:styleId="42">
    <w:name w:val="annotation reference"/>
    <w:qFormat/>
    <w:uiPriority w:val="0"/>
    <w:rPr>
      <w:sz w:val="21"/>
      <w:szCs w:val="21"/>
    </w:rPr>
  </w:style>
  <w:style w:type="character" w:customStyle="1" w:styleId="43">
    <w:name w:val="正文文本 字符1"/>
    <w:link w:val="2"/>
    <w:qFormat/>
    <w:uiPriority w:val="99"/>
    <w:rPr>
      <w:rFonts w:ascii="Times New Roman" w:hAnsi="Times New Roman"/>
      <w:kern w:val="2"/>
      <w:sz w:val="21"/>
      <w:szCs w:val="24"/>
    </w:rPr>
  </w:style>
  <w:style w:type="character" w:customStyle="1" w:styleId="44">
    <w:name w:val="标题 1 字符"/>
    <w:link w:val="3"/>
    <w:qFormat/>
    <w:uiPriority w:val="9"/>
    <w:rPr>
      <w:b/>
      <w:bCs/>
      <w:kern w:val="44"/>
      <w:sz w:val="44"/>
      <w:szCs w:val="44"/>
    </w:rPr>
  </w:style>
  <w:style w:type="character" w:customStyle="1" w:styleId="45">
    <w:name w:val="标题 2 Char1"/>
    <w:link w:val="4"/>
    <w:qFormat/>
    <w:uiPriority w:val="9"/>
    <w:rPr>
      <w:rFonts w:ascii="Cambria" w:hAnsi="Cambria"/>
      <w:b/>
      <w:bCs/>
      <w:kern w:val="2"/>
      <w:sz w:val="32"/>
      <w:szCs w:val="32"/>
    </w:rPr>
  </w:style>
  <w:style w:type="character" w:customStyle="1" w:styleId="46">
    <w:name w:val="标题 3 字符"/>
    <w:link w:val="5"/>
    <w:qFormat/>
    <w:uiPriority w:val="9"/>
    <w:rPr>
      <w:b/>
      <w:bCs/>
      <w:kern w:val="2"/>
      <w:sz w:val="32"/>
      <w:szCs w:val="32"/>
    </w:rPr>
  </w:style>
  <w:style w:type="character" w:customStyle="1" w:styleId="47">
    <w:name w:val="标题 5 字符"/>
    <w:link w:val="7"/>
    <w:qFormat/>
    <w:uiPriority w:val="9"/>
    <w:rPr>
      <w:rFonts w:ascii="Times New Roman" w:hAnsi="Times New Roman"/>
      <w:b/>
      <w:bCs/>
      <w:kern w:val="2"/>
      <w:sz w:val="28"/>
      <w:szCs w:val="28"/>
    </w:rPr>
  </w:style>
  <w:style w:type="character" w:customStyle="1" w:styleId="48">
    <w:name w:val="标题 8 字符"/>
    <w:link w:val="10"/>
    <w:qFormat/>
    <w:uiPriority w:val="9"/>
    <w:rPr>
      <w:rFonts w:ascii="等线 Light" w:hAnsi="等线 Light" w:eastAsia="等线 Light" w:cs="Times New Roman"/>
      <w:kern w:val="2"/>
      <w:sz w:val="24"/>
      <w:szCs w:val="24"/>
    </w:rPr>
  </w:style>
  <w:style w:type="character" w:customStyle="1" w:styleId="49">
    <w:name w:val="标题 9 字符"/>
    <w:link w:val="11"/>
    <w:qFormat/>
    <w:uiPriority w:val="9"/>
    <w:rPr>
      <w:rFonts w:ascii="Cambria" w:hAnsi="Cambria" w:eastAsia="宋体" w:cs="Times New Roman"/>
      <w:kern w:val="2"/>
      <w:sz w:val="21"/>
      <w:szCs w:val="21"/>
    </w:rPr>
  </w:style>
  <w:style w:type="character" w:customStyle="1" w:styleId="50">
    <w:name w:val="批注文字 字符2"/>
    <w:link w:val="16"/>
    <w:qFormat/>
    <w:uiPriority w:val="99"/>
    <w:rPr>
      <w:rFonts w:ascii="Times New Roman" w:hAnsi="Times New Roman"/>
      <w:kern w:val="2"/>
      <w:sz w:val="21"/>
      <w:szCs w:val="24"/>
    </w:rPr>
  </w:style>
  <w:style w:type="character" w:customStyle="1" w:styleId="51">
    <w:name w:val="正文文本 3 字符"/>
    <w:link w:val="17"/>
    <w:qFormat/>
    <w:uiPriority w:val="99"/>
    <w:rPr>
      <w:kern w:val="2"/>
      <w:sz w:val="16"/>
      <w:szCs w:val="16"/>
    </w:rPr>
  </w:style>
  <w:style w:type="character" w:customStyle="1" w:styleId="52">
    <w:name w:val="正文文本缩进 字符1"/>
    <w:link w:val="18"/>
    <w:qFormat/>
    <w:uiPriority w:val="99"/>
    <w:rPr>
      <w:rFonts w:ascii="仿宋_GB2312" w:hAnsi="Times New Roman" w:eastAsia="仿宋_GB2312" w:cs="Times New Roman"/>
      <w:sz w:val="32"/>
      <w:szCs w:val="20"/>
    </w:rPr>
  </w:style>
  <w:style w:type="character" w:customStyle="1" w:styleId="53">
    <w:name w:val="纯文本 字符3"/>
    <w:link w:val="21"/>
    <w:qFormat/>
    <w:uiPriority w:val="99"/>
    <w:rPr>
      <w:rFonts w:ascii="宋体" w:hAnsi="Courier New" w:eastAsia="宋体" w:cs="Courier New"/>
      <w:szCs w:val="21"/>
    </w:rPr>
  </w:style>
  <w:style w:type="character" w:customStyle="1" w:styleId="54">
    <w:name w:val="日期 字符"/>
    <w:link w:val="22"/>
    <w:qFormat/>
    <w:uiPriority w:val="99"/>
    <w:rPr>
      <w:rFonts w:ascii="Times New Roman" w:hAnsi="Times New Roman"/>
      <w:kern w:val="2"/>
      <w:sz w:val="21"/>
      <w:szCs w:val="24"/>
    </w:rPr>
  </w:style>
  <w:style w:type="character" w:customStyle="1" w:styleId="55">
    <w:name w:val="批注框文本 字符"/>
    <w:link w:val="24"/>
    <w:semiHidden/>
    <w:qFormat/>
    <w:uiPriority w:val="99"/>
    <w:rPr>
      <w:kern w:val="2"/>
      <w:sz w:val="18"/>
      <w:szCs w:val="18"/>
    </w:rPr>
  </w:style>
  <w:style w:type="character" w:customStyle="1" w:styleId="56">
    <w:name w:val="页脚 字符"/>
    <w:link w:val="25"/>
    <w:qFormat/>
    <w:uiPriority w:val="99"/>
    <w:rPr>
      <w:sz w:val="18"/>
      <w:szCs w:val="18"/>
    </w:rPr>
  </w:style>
  <w:style w:type="character" w:customStyle="1" w:styleId="57">
    <w:name w:val="页眉 字符"/>
    <w:link w:val="26"/>
    <w:qFormat/>
    <w:uiPriority w:val="99"/>
    <w:rPr>
      <w:sz w:val="18"/>
      <w:szCs w:val="18"/>
    </w:rPr>
  </w:style>
  <w:style w:type="character" w:customStyle="1" w:styleId="58">
    <w:name w:val="标题 字符"/>
    <w:link w:val="32"/>
    <w:qFormat/>
    <w:uiPriority w:val="10"/>
    <w:rPr>
      <w:rFonts w:ascii="Cambria" w:hAnsi="Cambria" w:cs="Times New Roman"/>
      <w:b/>
      <w:bCs/>
      <w:kern w:val="2"/>
      <w:sz w:val="32"/>
      <w:szCs w:val="32"/>
    </w:rPr>
  </w:style>
  <w:style w:type="character" w:customStyle="1" w:styleId="59">
    <w:name w:val="批注主题 字符"/>
    <w:link w:val="33"/>
    <w:qFormat/>
    <w:uiPriority w:val="99"/>
    <w:rPr>
      <w:rFonts w:ascii="Times New Roman" w:hAnsi="Times New Roman"/>
      <w:b/>
      <w:bCs/>
      <w:kern w:val="2"/>
      <w:sz w:val="21"/>
      <w:szCs w:val="24"/>
    </w:rPr>
  </w:style>
  <w:style w:type="character" w:customStyle="1" w:styleId="60">
    <w:name w:val="正文首行缩进 2 字符4"/>
    <w:link w:val="34"/>
    <w:qFormat/>
    <w:uiPriority w:val="99"/>
    <w:rPr>
      <w:kern w:val="2"/>
      <w:sz w:val="21"/>
      <w:szCs w:val="24"/>
    </w:rPr>
  </w:style>
  <w:style w:type="character" w:customStyle="1" w:styleId="61">
    <w:name w:val="标题 2 字符"/>
    <w:link w:val="4"/>
    <w:qFormat/>
    <w:uiPriority w:val="9"/>
    <w:rPr>
      <w:rFonts w:ascii="Cambria" w:hAnsi="Cambria" w:eastAsia="宋体" w:cs="Times New Roman"/>
      <w:b/>
      <w:bCs/>
      <w:kern w:val="2"/>
      <w:sz w:val="32"/>
      <w:szCs w:val="32"/>
    </w:rPr>
  </w:style>
  <w:style w:type="character" w:customStyle="1" w:styleId="62">
    <w:name w:val="标题 2 Char"/>
    <w:qFormat/>
    <w:uiPriority w:val="9"/>
    <w:rPr>
      <w:rFonts w:ascii="Cambria" w:hAnsi="Cambria" w:eastAsia="宋体" w:cs="Times New Roman"/>
      <w:b/>
      <w:bCs/>
      <w:kern w:val="2"/>
      <w:sz w:val="32"/>
      <w:szCs w:val="32"/>
    </w:rPr>
  </w:style>
  <w:style w:type="character" w:customStyle="1" w:styleId="63">
    <w:name w:val="标题 Char1"/>
    <w:qFormat/>
    <w:uiPriority w:val="0"/>
    <w:rPr>
      <w:rFonts w:ascii="Calibri" w:hAnsi="Calibri"/>
      <w:b/>
      <w:sz w:val="24"/>
      <w:lang w:val="en-GB"/>
    </w:rPr>
  </w:style>
  <w:style w:type="character" w:customStyle="1" w:styleId="64">
    <w:name w:val="标题 8 Char"/>
    <w:qFormat/>
    <w:uiPriority w:val="0"/>
    <w:rPr>
      <w:rFonts w:ascii="Arial" w:hAnsi="Arial" w:eastAsia="黑体"/>
      <w:kern w:val="2"/>
      <w:sz w:val="24"/>
      <w:szCs w:val="24"/>
    </w:rPr>
  </w:style>
  <w:style w:type="character" w:customStyle="1" w:styleId="6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6">
    <w:name w:val="正文文本 字符"/>
    <w:qFormat/>
    <w:uiPriority w:val="99"/>
    <w:rPr>
      <w:rFonts w:ascii="Times New Roman" w:hAnsi="Times New Roman"/>
      <w:kern w:val="2"/>
      <w:sz w:val="21"/>
      <w:szCs w:val="24"/>
    </w:rPr>
  </w:style>
  <w:style w:type="character" w:customStyle="1" w:styleId="67">
    <w:name w:val="纯文本 Char"/>
    <w:qFormat/>
    <w:uiPriority w:val="0"/>
    <w:rPr>
      <w:rFonts w:ascii="宋体" w:hAnsi="Courier New" w:eastAsia="宋体" w:cs="Courier New"/>
      <w:szCs w:val="21"/>
    </w:rPr>
  </w:style>
  <w:style w:type="character" w:customStyle="1" w:styleId="68">
    <w:name w:val="正文文本 Char"/>
    <w:qFormat/>
    <w:uiPriority w:val="0"/>
    <w:rPr>
      <w:rFonts w:ascii="Times New Roman" w:hAnsi="Times New Roman"/>
      <w:kern w:val="2"/>
      <w:sz w:val="21"/>
      <w:szCs w:val="24"/>
    </w:rPr>
  </w:style>
  <w:style w:type="character" w:customStyle="1" w:styleId="69">
    <w:name w:val="批注文字 字符1"/>
    <w:qFormat/>
    <w:uiPriority w:val="0"/>
    <w:rPr>
      <w:rFonts w:ascii="Times New Roman" w:hAnsi="Times New Roman"/>
      <w:kern w:val="2"/>
      <w:sz w:val="21"/>
      <w:szCs w:val="24"/>
    </w:rPr>
  </w:style>
  <w:style w:type="character" w:customStyle="1" w:styleId="70">
    <w:name w:val="批注文字 字符"/>
    <w:qFormat/>
    <w:uiPriority w:val="99"/>
    <w:rPr>
      <w:rFonts w:ascii="Times New Roman" w:hAnsi="Times New Roman"/>
      <w:kern w:val="2"/>
      <w:sz w:val="21"/>
      <w:szCs w:val="24"/>
    </w:rPr>
  </w:style>
  <w:style w:type="character" w:customStyle="1" w:styleId="71">
    <w:name w:val="未处理的提及"/>
    <w:unhideWhenUsed/>
    <w:qFormat/>
    <w:uiPriority w:val="99"/>
    <w:rPr>
      <w:color w:val="605E5C"/>
      <w:shd w:val="clear" w:color="auto" w:fill="E1DFDD"/>
    </w:rPr>
  </w:style>
  <w:style w:type="character" w:customStyle="1" w:styleId="72">
    <w:name w:val="apple-style-span"/>
    <w:qFormat/>
    <w:uiPriority w:val="0"/>
  </w:style>
  <w:style w:type="character" w:customStyle="1" w:styleId="73">
    <w:name w:val="纯文本 字符2"/>
    <w:qFormat/>
    <w:uiPriority w:val="0"/>
    <w:rPr>
      <w:rFonts w:ascii="宋体" w:hAnsi="Courier New" w:eastAsia="宋体" w:cs="Courier New"/>
      <w:szCs w:val="21"/>
    </w:rPr>
  </w:style>
  <w:style w:type="character" w:customStyle="1" w:styleId="74">
    <w:name w:val="textcontents"/>
    <w:qFormat/>
    <w:uiPriority w:val="0"/>
  </w:style>
  <w:style w:type="character" w:customStyle="1" w:styleId="75">
    <w:name w:val="纯文本 字符1"/>
    <w:qFormat/>
    <w:uiPriority w:val="0"/>
    <w:rPr>
      <w:rFonts w:ascii="宋体" w:hAnsi="Courier New"/>
    </w:rPr>
  </w:style>
  <w:style w:type="character" w:customStyle="1" w:styleId="76">
    <w:name w:val="批注文字 Char"/>
    <w:qFormat/>
    <w:uiPriority w:val="0"/>
    <w:rPr>
      <w:rFonts w:ascii="Times New Roman" w:hAnsi="Times New Roman"/>
      <w:kern w:val="2"/>
      <w:sz w:val="21"/>
      <w:szCs w:val="24"/>
    </w:rPr>
  </w:style>
  <w:style w:type="character" w:customStyle="1" w:styleId="77">
    <w:name w:val="标题 1 字符1"/>
    <w:qFormat/>
    <w:uiPriority w:val="0"/>
    <w:rPr>
      <w:b/>
      <w:bCs/>
      <w:kern w:val="44"/>
      <w:sz w:val="44"/>
      <w:szCs w:val="44"/>
    </w:rPr>
  </w:style>
  <w:style w:type="character" w:customStyle="1" w:styleId="78">
    <w:name w:val="纯文本 字符"/>
    <w:qFormat/>
    <w:uiPriority w:val="99"/>
    <w:rPr>
      <w:rFonts w:ascii="宋体" w:hAnsi="Courier New" w:eastAsia="宋体" w:cs="Courier New"/>
      <w:szCs w:val="21"/>
    </w:rPr>
  </w:style>
  <w:style w:type="paragraph" w:customStyle="1" w:styleId="79">
    <w:name w:val="Char Char Char Char"/>
    <w:basedOn w:val="1"/>
    <w:qFormat/>
    <w:uiPriority w:val="99"/>
    <w:pPr>
      <w:widowControl/>
      <w:spacing w:after="160" w:line="240" w:lineRule="exact"/>
      <w:jc w:val="left"/>
    </w:pPr>
  </w:style>
  <w:style w:type="paragraph" w:customStyle="1" w:styleId="80">
    <w:name w:val="默认段落字体 Para Char Char Char Char Char Char Char Char Char1 Char Char Char Char"/>
    <w:basedOn w:val="1"/>
    <w:qFormat/>
    <w:uiPriority w:val="99"/>
    <w:rPr>
      <w:rFonts w:ascii="Tahoma" w:hAnsi="Tahoma"/>
      <w:sz w:val="24"/>
      <w:szCs w:val="20"/>
    </w:rPr>
  </w:style>
  <w:style w:type="paragraph" w:customStyle="1" w:styleId="81">
    <w:name w:val="列出段落"/>
    <w:basedOn w:val="1"/>
    <w:qFormat/>
    <w:uiPriority w:val="1"/>
    <w:pPr>
      <w:ind w:firstLine="420" w:firstLineChars="200"/>
    </w:pPr>
  </w:style>
  <w:style w:type="paragraph" w:customStyle="1" w:styleId="82">
    <w:name w:val="TOC 标题"/>
    <w:basedOn w:val="3"/>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paragraph" w:customStyle="1" w:styleId="83">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customStyle="1" w:styleId="84">
    <w:name w:val="Table Paragraph"/>
    <w:basedOn w:val="1"/>
    <w:qFormat/>
    <w:uiPriority w:val="1"/>
    <w:pPr>
      <w:jc w:val="left"/>
    </w:pPr>
    <w:rPr>
      <w:rFonts w:ascii="Calibri" w:hAnsi="Calibri"/>
      <w:kern w:val="0"/>
      <w:sz w:val="22"/>
      <w:szCs w:val="22"/>
      <w:lang w:eastAsia="en-US"/>
    </w:rPr>
  </w:style>
  <w:style w:type="character" w:customStyle="1" w:styleId="85">
    <w:name w:val="正文文本缩进 字符"/>
    <w:qFormat/>
    <w:uiPriority w:val="99"/>
    <w:rPr>
      <w:rFonts w:ascii="仿宋_GB2312" w:hAnsi="Times New Roman" w:eastAsia="仿宋_GB2312" w:cs="Times New Roman"/>
      <w:sz w:val="32"/>
      <w:szCs w:val="20"/>
    </w:rPr>
  </w:style>
  <w:style w:type="character" w:customStyle="1" w:styleId="86">
    <w:name w:val="正文2 Char Char"/>
    <w:link w:val="87"/>
    <w:qFormat/>
    <w:uiPriority w:val="0"/>
    <w:rPr>
      <w:sz w:val="24"/>
    </w:rPr>
  </w:style>
  <w:style w:type="paragraph" w:customStyle="1" w:styleId="87">
    <w:name w:val="正文2"/>
    <w:basedOn w:val="1"/>
    <w:link w:val="86"/>
    <w:qFormat/>
    <w:uiPriority w:val="0"/>
    <w:pPr>
      <w:adjustRightInd w:val="0"/>
      <w:spacing w:before="156" w:line="360" w:lineRule="auto"/>
      <w:ind w:firstLine="510" w:firstLineChars="200"/>
    </w:pPr>
    <w:rPr>
      <w:kern w:val="0"/>
      <w:sz w:val="24"/>
      <w:szCs w:val="20"/>
    </w:rPr>
  </w:style>
  <w:style w:type="character" w:customStyle="1" w:styleId="88">
    <w:name w:val="纯文本 Char2"/>
    <w:qFormat/>
    <w:uiPriority w:val="0"/>
    <w:rPr>
      <w:rFonts w:ascii="宋体" w:hAnsi="Courier New" w:cs="Arial"/>
      <w:snapToGrid w:val="0"/>
      <w:szCs w:val="21"/>
    </w:rPr>
  </w:style>
  <w:style w:type="paragraph" w:customStyle="1" w:styleId="89">
    <w:name w:val="表格文字"/>
    <w:basedOn w:val="1"/>
    <w:qFormat/>
    <w:uiPriority w:val="99"/>
    <w:pPr>
      <w:adjustRightInd w:val="0"/>
      <w:spacing w:line="420" w:lineRule="atLeast"/>
      <w:jc w:val="left"/>
      <w:textAlignment w:val="baseline"/>
    </w:pPr>
    <w:rPr>
      <w:kern w:val="0"/>
    </w:rPr>
  </w:style>
  <w:style w:type="paragraph" w:customStyle="1" w:styleId="90">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91">
    <w:name w:val="正文缩进1"/>
    <w:basedOn w:val="1"/>
    <w:next w:val="18"/>
    <w:qFormat/>
    <w:uiPriority w:val="99"/>
    <w:pPr>
      <w:autoSpaceDE w:val="0"/>
      <w:autoSpaceDN w:val="0"/>
      <w:adjustRightInd w:val="0"/>
      <w:snapToGrid w:val="0"/>
      <w:spacing w:after="120" w:line="360" w:lineRule="auto"/>
      <w:ind w:left="420" w:leftChars="200" w:firstLine="480" w:firstLineChars="200"/>
    </w:pPr>
    <w:rPr>
      <w:sz w:val="24"/>
      <w:szCs w:val="21"/>
    </w:rPr>
  </w:style>
  <w:style w:type="character" w:customStyle="1" w:styleId="92">
    <w:name w:val="NormalCharacter"/>
    <w:qFormat/>
    <w:uiPriority w:val="0"/>
  </w:style>
  <w:style w:type="character" w:customStyle="1" w:styleId="93">
    <w:name w:val="页眉 Char"/>
    <w:qFormat/>
    <w:uiPriority w:val="99"/>
    <w:rPr>
      <w:lang w:eastAsia="zh-CN"/>
    </w:rPr>
  </w:style>
  <w:style w:type="character" w:customStyle="1" w:styleId="94">
    <w:name w:val="正文首行缩进 2 字符"/>
    <w:qFormat/>
    <w:uiPriority w:val="99"/>
    <w:rPr>
      <w:rFonts w:ascii="仿宋_GB2312" w:hAnsi="Times New Roman" w:eastAsia="仿宋_GB2312" w:cs="Times New Roman"/>
      <w:kern w:val="2"/>
      <w:sz w:val="21"/>
      <w:szCs w:val="24"/>
    </w:rPr>
  </w:style>
  <w:style w:type="character" w:customStyle="1" w:styleId="95">
    <w:name w:val="纯文本 Char1"/>
    <w:qFormat/>
    <w:uiPriority w:val="0"/>
    <w:rPr>
      <w:rFonts w:ascii="宋体" w:hAnsi="Courier New" w:eastAsia="宋体" w:cs="Times New Roman"/>
      <w:kern w:val="0"/>
      <w:sz w:val="20"/>
      <w:szCs w:val="21"/>
    </w:rPr>
  </w:style>
  <w:style w:type="paragraph" w:customStyle="1" w:styleId="96">
    <w:name w:val="_Style 93"/>
    <w:basedOn w:val="1"/>
    <w:next w:val="81"/>
    <w:qFormat/>
    <w:uiPriority w:val="99"/>
    <w:pPr>
      <w:ind w:firstLine="420" w:firstLineChars="200"/>
    </w:pPr>
  </w:style>
  <w:style w:type="character" w:customStyle="1" w:styleId="97">
    <w:name w:val="标题 1 Char"/>
    <w:qFormat/>
    <w:uiPriority w:val="9"/>
    <w:rPr>
      <w:b/>
      <w:bCs/>
      <w:kern w:val="44"/>
      <w:sz w:val="44"/>
      <w:szCs w:val="44"/>
    </w:rPr>
  </w:style>
  <w:style w:type="character" w:customStyle="1" w:styleId="98">
    <w:name w:val="标题 3 Char"/>
    <w:qFormat/>
    <w:uiPriority w:val="9"/>
    <w:rPr>
      <w:b/>
      <w:bCs/>
      <w:kern w:val="2"/>
      <w:sz w:val="32"/>
      <w:szCs w:val="32"/>
    </w:rPr>
  </w:style>
  <w:style w:type="character" w:customStyle="1" w:styleId="99">
    <w:name w:val="标题 5 Char"/>
    <w:qFormat/>
    <w:uiPriority w:val="9"/>
    <w:rPr>
      <w:b/>
      <w:bCs/>
      <w:kern w:val="2"/>
      <w:sz w:val="28"/>
      <w:szCs w:val="28"/>
    </w:rPr>
  </w:style>
  <w:style w:type="character" w:customStyle="1" w:styleId="100">
    <w:name w:val="标题 8 Char1"/>
    <w:qFormat/>
    <w:uiPriority w:val="9"/>
    <w:rPr>
      <w:rFonts w:ascii="等线 Light" w:hAnsi="等线 Light" w:eastAsia="等线 Light"/>
      <w:kern w:val="2"/>
      <w:sz w:val="24"/>
      <w:szCs w:val="24"/>
    </w:rPr>
  </w:style>
  <w:style w:type="character" w:customStyle="1" w:styleId="101">
    <w:name w:val="批注文字 Char1"/>
    <w:qFormat/>
    <w:uiPriority w:val="0"/>
    <w:rPr>
      <w:kern w:val="2"/>
      <w:sz w:val="21"/>
      <w:szCs w:val="24"/>
    </w:rPr>
  </w:style>
  <w:style w:type="character" w:customStyle="1" w:styleId="102">
    <w:name w:val="正文文本 3 Char"/>
    <w:qFormat/>
    <w:uiPriority w:val="99"/>
    <w:rPr>
      <w:kern w:val="2"/>
      <w:sz w:val="16"/>
      <w:szCs w:val="16"/>
    </w:rPr>
  </w:style>
  <w:style w:type="character" w:customStyle="1" w:styleId="103">
    <w:name w:val="正文文本 Char1"/>
    <w:qFormat/>
    <w:uiPriority w:val="0"/>
    <w:rPr>
      <w:kern w:val="2"/>
      <w:sz w:val="21"/>
      <w:szCs w:val="24"/>
    </w:rPr>
  </w:style>
  <w:style w:type="character" w:customStyle="1" w:styleId="104">
    <w:name w:val="正文文本缩进 Char"/>
    <w:qFormat/>
    <w:uiPriority w:val="0"/>
    <w:rPr>
      <w:rFonts w:ascii="仿宋_GB2312" w:eastAsia="仿宋_GB2312"/>
      <w:sz w:val="32"/>
    </w:rPr>
  </w:style>
  <w:style w:type="character" w:customStyle="1" w:styleId="105">
    <w:name w:val="日期 Char"/>
    <w:qFormat/>
    <w:uiPriority w:val="99"/>
    <w:rPr>
      <w:kern w:val="2"/>
      <w:sz w:val="21"/>
      <w:szCs w:val="24"/>
    </w:rPr>
  </w:style>
  <w:style w:type="character" w:customStyle="1" w:styleId="106">
    <w:name w:val="页脚 Char"/>
    <w:qFormat/>
    <w:uiPriority w:val="99"/>
    <w:rPr>
      <w:sz w:val="18"/>
      <w:szCs w:val="18"/>
    </w:rPr>
  </w:style>
  <w:style w:type="character" w:customStyle="1" w:styleId="107">
    <w:name w:val="批注主题 Char"/>
    <w:qFormat/>
    <w:uiPriority w:val="99"/>
    <w:rPr>
      <w:b/>
      <w:bCs/>
      <w:kern w:val="2"/>
      <w:sz w:val="21"/>
      <w:szCs w:val="24"/>
    </w:rPr>
  </w:style>
  <w:style w:type="paragraph" w:customStyle="1" w:styleId="108">
    <w:name w:val="_Style 106"/>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09">
    <w:name w:val="_Style 107"/>
    <w:basedOn w:val="1"/>
    <w:next w:val="1"/>
    <w:unhideWhenUsed/>
    <w:qFormat/>
    <w:uiPriority w:val="99"/>
    <w:pPr>
      <w:tabs>
        <w:tab w:val="right" w:leader="dot" w:pos="8296"/>
      </w:tabs>
      <w:ind w:left="420" w:leftChars="200"/>
    </w:pPr>
  </w:style>
  <w:style w:type="character" w:customStyle="1" w:styleId="110">
    <w:name w:val="正文首行缩进 2 字符1"/>
    <w:semiHidden/>
    <w:qFormat/>
    <w:uiPriority w:val="99"/>
    <w:rPr>
      <w:rFonts w:ascii="仿宋_GB2312" w:hAnsi="Times New Roman" w:eastAsia="仿宋_GB2312" w:cs="Times New Roman"/>
      <w:kern w:val="2"/>
      <w:sz w:val="21"/>
      <w:szCs w:val="24"/>
    </w:rPr>
  </w:style>
  <w:style w:type="character" w:customStyle="1" w:styleId="111">
    <w:name w:val="正文首行缩进 2 字符2"/>
    <w:semiHidden/>
    <w:qFormat/>
    <w:uiPriority w:val="99"/>
    <w:rPr>
      <w:rFonts w:ascii="仿宋_GB2312" w:hAnsi="Times New Roman" w:eastAsia="仿宋_GB2312" w:cs="Times New Roman"/>
      <w:kern w:val="2"/>
      <w:sz w:val="21"/>
      <w:szCs w:val="24"/>
    </w:rPr>
  </w:style>
  <w:style w:type="paragraph" w:customStyle="1" w:styleId="112">
    <w:name w:val="msonormal"/>
    <w:basedOn w:val="1"/>
    <w:qFormat/>
    <w:uiPriority w:val="99"/>
    <w:rPr>
      <w:rFonts w:ascii="Calibri" w:hAnsi="Calibri"/>
      <w:kern w:val="0"/>
      <w:sz w:val="24"/>
    </w:rPr>
  </w:style>
  <w:style w:type="character" w:customStyle="1" w:styleId="113">
    <w:name w:val="正文首行缩进 2 字符3"/>
    <w:semiHidden/>
    <w:qFormat/>
    <w:locked/>
    <w:uiPriority w:val="99"/>
    <w:rPr>
      <w:rFonts w:ascii="仿宋_GB2312" w:hAnsi="Times New Roman" w:eastAsia="仿宋_GB2312" w:cs="Times New Roman"/>
      <w:kern w:val="2"/>
      <w:sz w:val="21"/>
      <w:szCs w:val="24"/>
    </w:rPr>
  </w:style>
  <w:style w:type="character" w:customStyle="1" w:styleId="114">
    <w:name w:val="apple-converted-space"/>
    <w:qFormat/>
    <w:uiPriority w:val="0"/>
    <w:rPr>
      <w:rFonts w:ascii="Times New Roman" w:hAnsi="Times New Roman" w:eastAsia="宋体" w:cs="Times New Roman"/>
    </w:rPr>
  </w:style>
  <w:style w:type="character" w:customStyle="1" w:styleId="115">
    <w:name w:val="description"/>
    <w:qFormat/>
    <w:uiPriority w:val="0"/>
    <w:rPr>
      <w:rFonts w:ascii="Times New Roman" w:hAnsi="Times New Roman" w:eastAsia="宋体" w:cs="Times New Roman"/>
    </w:rPr>
  </w:style>
  <w:style w:type="paragraph" w:customStyle="1" w:styleId="116">
    <w:name w:val="font5"/>
    <w:basedOn w:val="1"/>
    <w:qFormat/>
    <w:uiPriority w:val="0"/>
    <w:pPr>
      <w:widowControl/>
      <w:spacing w:before="100" w:beforeLines="0" w:beforeAutospacing="1" w:after="100" w:afterLines="0" w:afterAutospacing="1"/>
      <w:jc w:val="left"/>
    </w:pPr>
    <w:rPr>
      <w:rFonts w:hint="eastAsia" w:ascii="宋体" w:hAnsi="宋体" w:eastAsia="宋体" w:cs="Times New Roman"/>
      <w:kern w:val="0"/>
      <w:sz w:val="18"/>
      <w:szCs w:val="20"/>
    </w:rPr>
  </w:style>
  <w:style w:type="paragraph" w:customStyle="1" w:styleId="117">
    <w:name w:val="xl34"/>
    <w:basedOn w:val="1"/>
    <w:qFormat/>
    <w:uiPriority w:val="0"/>
    <w:pPr>
      <w:widowControl/>
      <w:pBdr>
        <w:top w:val="single" w:color="auto" w:sz="8" w:space="0"/>
        <w:left w:val="single" w:color="auto" w:sz="4" w:space="0"/>
        <w:bottom w:val="single" w:color="auto" w:sz="4" w:space="0"/>
        <w:right w:val="single" w:color="auto" w:sz="8" w:space="0"/>
      </w:pBdr>
      <w:spacing w:before="100" w:beforeLines="0" w:beforeAutospacing="1" w:after="100" w:afterLines="0" w:afterAutospacing="1"/>
      <w:jc w:val="center"/>
      <w:textAlignment w:val="center"/>
    </w:pPr>
    <w:rPr>
      <w:rFonts w:ascii="宋体" w:hAnsi="宋体" w:eastAsia="宋体" w:cs="Times New Roman"/>
      <w:b/>
      <w:kern w:val="0"/>
      <w:sz w:val="24"/>
      <w:szCs w:val="20"/>
    </w:rPr>
  </w:style>
  <w:style w:type="paragraph" w:customStyle="1" w:styleId="118">
    <w:name w:val="xl26"/>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center"/>
      <w:textAlignment w:val="center"/>
    </w:pPr>
    <w:rPr>
      <w:rFonts w:ascii="宋体" w:hAnsi="宋体" w:eastAsia="宋体" w:cs="Times New Roman"/>
      <w:kern w:val="0"/>
      <w:sz w:val="24"/>
      <w:szCs w:val="20"/>
    </w:rPr>
  </w:style>
  <w:style w:type="paragraph" w:customStyle="1" w:styleId="119">
    <w:name w:val="xl35"/>
    <w:basedOn w:val="1"/>
    <w:qFormat/>
    <w:uiPriority w:val="0"/>
    <w:pPr>
      <w:widowControl/>
      <w:pBdr>
        <w:bottom w:val="single" w:color="auto" w:sz="8" w:space="0"/>
      </w:pBdr>
      <w:spacing w:before="100" w:beforeLines="0" w:beforeAutospacing="1" w:after="100" w:afterLines="0" w:afterAutospacing="1"/>
      <w:jc w:val="center"/>
      <w:textAlignment w:val="center"/>
    </w:pPr>
    <w:rPr>
      <w:rFonts w:hint="eastAsia" w:ascii="黑体" w:hAnsi="宋体" w:eastAsia="黑体" w:cs="Times New Roman"/>
      <w:b/>
      <w:kern w:val="0"/>
      <w:sz w:val="40"/>
      <w:szCs w:val="20"/>
    </w:rPr>
  </w:style>
  <w:style w:type="paragraph" w:customStyle="1" w:styleId="120">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Times New Roman"/>
      <w:b/>
      <w:kern w:val="0"/>
      <w:sz w:val="24"/>
      <w:szCs w:val="20"/>
    </w:rPr>
  </w:style>
  <w:style w:type="paragraph" w:customStyle="1" w:styleId="121">
    <w:name w:val="font7"/>
    <w:basedOn w:val="1"/>
    <w:qFormat/>
    <w:uiPriority w:val="0"/>
    <w:pPr>
      <w:widowControl/>
      <w:spacing w:before="100" w:beforeLines="0" w:beforeAutospacing="1" w:after="100" w:afterLines="0" w:afterAutospacing="1"/>
      <w:jc w:val="left"/>
    </w:pPr>
    <w:rPr>
      <w:rFonts w:hint="eastAsia" w:ascii="宋体" w:hAnsi="宋体" w:eastAsia="宋体" w:cs="Times New Roman"/>
      <w:b/>
      <w:kern w:val="0"/>
      <w:sz w:val="24"/>
      <w:szCs w:val="20"/>
    </w:rPr>
  </w:style>
  <w:style w:type="paragraph" w:customStyle="1" w:styleId="122">
    <w:name w:val="font0"/>
    <w:basedOn w:val="1"/>
    <w:qFormat/>
    <w:uiPriority w:val="0"/>
    <w:pPr>
      <w:widowControl/>
      <w:spacing w:before="100" w:beforeLines="0" w:beforeAutospacing="1" w:after="100" w:afterLines="0" w:afterAutospacing="1"/>
      <w:jc w:val="left"/>
    </w:pPr>
    <w:rPr>
      <w:rFonts w:hint="eastAsia" w:ascii="宋体" w:hAnsi="宋体" w:eastAsia="宋体" w:cs="Times New Roman"/>
      <w:kern w:val="0"/>
      <w:sz w:val="24"/>
      <w:szCs w:val="20"/>
    </w:rPr>
  </w:style>
  <w:style w:type="paragraph" w:customStyle="1" w:styleId="123">
    <w:name w:val="font6"/>
    <w:basedOn w:val="1"/>
    <w:qFormat/>
    <w:uiPriority w:val="0"/>
    <w:pPr>
      <w:widowControl/>
      <w:spacing w:before="100" w:beforeLines="0" w:beforeAutospacing="1" w:after="100" w:afterLines="0" w:afterAutospacing="1"/>
      <w:jc w:val="left"/>
    </w:pPr>
    <w:rPr>
      <w:rFonts w:ascii="Times New Roman" w:hAnsi="Times New Roman" w:eastAsia="宋体" w:cs="Times New Roman"/>
      <w:kern w:val="0"/>
      <w:sz w:val="24"/>
      <w:szCs w:val="20"/>
    </w:rPr>
  </w:style>
  <w:style w:type="paragraph" w:customStyle="1" w:styleId="124">
    <w:name w:val="xl31"/>
    <w:basedOn w:val="1"/>
    <w:qFormat/>
    <w:uiPriority w:val="0"/>
    <w:pPr>
      <w:widowControl/>
      <w:pBdr>
        <w:top w:val="single" w:color="auto" w:sz="8"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Times New Roman"/>
      <w:b/>
      <w:kern w:val="0"/>
      <w:sz w:val="24"/>
      <w:szCs w:val="20"/>
    </w:rPr>
  </w:style>
  <w:style w:type="paragraph" w:customStyle="1" w:styleId="125">
    <w:name w:val="xl33"/>
    <w:basedOn w:val="1"/>
    <w:qFormat/>
    <w:uiPriority w:val="0"/>
    <w:pPr>
      <w:widowControl/>
      <w:pBdr>
        <w:bottom w:val="single" w:color="auto" w:sz="8" w:space="0"/>
      </w:pBdr>
      <w:spacing w:before="100" w:beforeLines="0" w:beforeAutospacing="1" w:after="100" w:afterLines="0" w:afterAutospacing="1"/>
      <w:jc w:val="center"/>
      <w:textAlignment w:val="center"/>
    </w:pPr>
    <w:rPr>
      <w:rFonts w:hint="eastAsia" w:ascii="黑体" w:hAnsi="宋体" w:eastAsia="黑体" w:cs="Times New Roman"/>
      <w:b/>
      <w:kern w:val="0"/>
      <w:sz w:val="40"/>
      <w:szCs w:val="20"/>
    </w:rPr>
  </w:style>
  <w:style w:type="paragraph" w:customStyle="1" w:styleId="126">
    <w:name w:val="xl30"/>
    <w:basedOn w:val="1"/>
    <w:qFormat/>
    <w:uiPriority w:val="0"/>
    <w:pPr>
      <w:widowControl/>
      <w:pBdr>
        <w:top w:val="single" w:color="auto" w:sz="8" w:space="0"/>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Times New Roman"/>
      <w:b/>
      <w:kern w:val="0"/>
      <w:sz w:val="24"/>
      <w:szCs w:val="20"/>
    </w:rPr>
  </w:style>
  <w:style w:type="paragraph" w:customStyle="1" w:styleId="127">
    <w:name w:val="xl32"/>
    <w:basedOn w:val="1"/>
    <w:qFormat/>
    <w:uiPriority w:val="0"/>
    <w:pPr>
      <w:widowControl/>
      <w:pBdr>
        <w:top w:val="single" w:color="auto" w:sz="8" w:space="0"/>
        <w:left w:val="single" w:color="auto" w:sz="4" w:space="0"/>
        <w:bottom w:val="single" w:color="auto" w:sz="4" w:space="0"/>
        <w:right w:val="single" w:color="auto" w:sz="8" w:space="0"/>
      </w:pBdr>
      <w:spacing w:before="100" w:beforeLines="0" w:beforeAutospacing="1" w:after="100" w:afterLines="0" w:afterAutospacing="1"/>
      <w:jc w:val="center"/>
      <w:textAlignment w:val="center"/>
    </w:pPr>
    <w:rPr>
      <w:rFonts w:ascii="宋体" w:hAnsi="宋体" w:eastAsia="宋体" w:cs="Times New Roman"/>
      <w:b/>
      <w:kern w:val="0"/>
      <w:sz w:val="24"/>
      <w:szCs w:val="20"/>
    </w:rPr>
  </w:style>
  <w:style w:type="paragraph" w:customStyle="1" w:styleId="128">
    <w:name w:val="xl24"/>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center"/>
      <w:textAlignment w:val="center"/>
    </w:pPr>
    <w:rPr>
      <w:rFonts w:ascii="宋体" w:hAnsi="宋体" w:eastAsia="宋体" w:cs="Times New Roman"/>
      <w:kern w:val="0"/>
      <w:sz w:val="24"/>
      <w:szCs w:val="20"/>
    </w:rPr>
  </w:style>
  <w:style w:type="paragraph" w:customStyle="1" w:styleId="129">
    <w:name w:val="xl28"/>
    <w:basedOn w:val="1"/>
    <w:qFormat/>
    <w:uiPriority w:val="0"/>
    <w:pPr>
      <w:widowControl/>
      <w:pBdr>
        <w:top w:val="single" w:color="auto" w:sz="4" w:space="0"/>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Times New Roman"/>
      <w:b/>
      <w:kern w:val="0"/>
      <w:sz w:val="24"/>
      <w:szCs w:val="20"/>
    </w:rPr>
  </w:style>
  <w:style w:type="paragraph" w:customStyle="1" w:styleId="130">
    <w:name w:val="xl27"/>
    <w:basedOn w:val="1"/>
    <w:qFormat/>
    <w:uiPriority w:val="0"/>
    <w:pPr>
      <w:widowControl/>
      <w:pBdr>
        <w:top w:val="single" w:color="auto" w:sz="4" w:space="0"/>
        <w:left w:val="single" w:color="auto" w:sz="4" w:space="0"/>
        <w:bottom w:val="single" w:color="auto" w:sz="8" w:space="0"/>
        <w:right w:val="single" w:color="auto" w:sz="8" w:space="0"/>
      </w:pBdr>
      <w:spacing w:before="100" w:beforeLines="0" w:beforeAutospacing="1" w:after="100" w:afterLines="0" w:afterAutospacing="1"/>
      <w:jc w:val="center"/>
      <w:textAlignment w:val="center"/>
    </w:pPr>
    <w:rPr>
      <w:rFonts w:ascii="宋体" w:hAnsi="宋体" w:eastAsia="宋体" w:cs="Times New Roman"/>
      <w:kern w:val="0"/>
      <w:sz w:val="24"/>
      <w:szCs w:val="20"/>
    </w:rPr>
  </w:style>
  <w:style w:type="paragraph" w:customStyle="1" w:styleId="131">
    <w:name w:val="xl25"/>
    <w:basedOn w:val="1"/>
    <w:qFormat/>
    <w:uiPriority w:val="0"/>
    <w:pPr>
      <w:widowControl/>
      <w:pBdr>
        <w:top w:val="single" w:color="auto" w:sz="4" w:space="0"/>
        <w:left w:val="single" w:color="auto" w:sz="8" w:space="0"/>
        <w:bottom w:val="single" w:color="auto" w:sz="8" w:space="0"/>
        <w:right w:val="single" w:color="auto" w:sz="4" w:space="0"/>
      </w:pBdr>
      <w:spacing w:before="100" w:beforeLines="0" w:beforeAutospacing="1" w:after="100" w:afterLines="0" w:afterAutospacing="1"/>
      <w:jc w:val="center"/>
      <w:textAlignment w:val="center"/>
    </w:pPr>
    <w:rPr>
      <w:rFonts w:ascii="宋体" w:hAnsi="宋体" w:eastAsia="宋体" w:cs="Times New Roman"/>
      <w:kern w:val="0"/>
      <w:sz w:val="24"/>
      <w:szCs w:val="20"/>
    </w:rPr>
  </w:style>
  <w:style w:type="paragraph" w:customStyle="1" w:styleId="132">
    <w:name w:val="font8"/>
    <w:basedOn w:val="1"/>
    <w:qFormat/>
    <w:uiPriority w:val="0"/>
    <w:pPr>
      <w:widowControl/>
      <w:spacing w:before="100" w:beforeLines="0" w:beforeAutospacing="1" w:after="100" w:afterLines="0" w:afterAutospacing="1"/>
      <w:jc w:val="left"/>
    </w:pPr>
    <w:rPr>
      <w:rFonts w:ascii="Times New Roman" w:hAnsi="Times New Roman" w:eastAsia="宋体" w:cs="Times New Roman"/>
      <w:b/>
      <w:kern w:val="0"/>
      <w:sz w:val="24"/>
      <w:szCs w:val="20"/>
    </w:rPr>
  </w:style>
  <w:style w:type="table" w:customStyle="1" w:styleId="133">
    <w:name w:val="我的格式"/>
    <w:basedOn w:val="35"/>
    <w:qFormat/>
    <w:uiPriority w:val="0"/>
    <w:pPr>
      <w:jc w:val="both"/>
    </w:pPr>
    <w:rPr>
      <w:rFonts w:eastAsia="楷体_GB2312"/>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rPr>
      <w:tblHeader/>
    </w:trPr>
    <w:tcPr>
      <w:shd w:val="clear" w:color="auto" w:fill="auto"/>
      <w:vAlign w:val="center"/>
    </w:tcPr>
  </w:style>
  <w:style w:type="paragraph" w:customStyle="1" w:styleId="134">
    <w:name w:val="样式 正文文本缩进 2 + 宋体 四号"/>
    <w:basedOn w:val="23"/>
    <w:qFormat/>
    <w:uiPriority w:val="0"/>
    <w:pPr>
      <w:autoSpaceDE w:val="0"/>
      <w:autoSpaceDN w:val="0"/>
      <w:adjustRightInd w:val="0"/>
      <w:spacing w:after="0" w:afterLines="0" w:line="360" w:lineRule="auto"/>
      <w:ind w:left="0" w:leftChars="0" w:firstLine="560" w:firstLineChars="200"/>
    </w:pPr>
    <w:rPr>
      <w:rFonts w:ascii="宋体" w:hAnsi="宋体" w:cs="宋体"/>
      <w:sz w:val="24"/>
      <w:szCs w:val="20"/>
    </w:rPr>
  </w:style>
  <w:style w:type="paragraph" w:customStyle="1" w:styleId="135">
    <w:name w:val="Default"/>
    <w:unhideWhenUsed/>
    <w:qFormat/>
    <w:uiPriority w:val="99"/>
    <w:pPr>
      <w:widowControl w:val="0"/>
      <w:autoSpaceDE w:val="0"/>
      <w:autoSpaceDN w:val="0"/>
      <w:adjustRightInd w:val="0"/>
    </w:pPr>
    <w:rPr>
      <w:rFonts w:hint="eastAsia" w:ascii="宋体" w:hAnsi="宋体" w:eastAsia="宋体" w:cs="Times New Roman"/>
      <w:color w:val="000000"/>
      <w:sz w:val="24"/>
      <w:szCs w:val="24"/>
      <w:lang w:val="en-US" w:eastAsia="zh-CN" w:bidi="ar-SA"/>
    </w:rPr>
  </w:style>
  <w:style w:type="paragraph" w:customStyle="1" w:styleId="136">
    <w:name w:val="黑体 一号 居中"/>
    <w:basedOn w:val="1"/>
    <w:qFormat/>
    <w:uiPriority w:val="0"/>
    <w:pPr>
      <w:shd w:val="clear" w:color="FFFFFF" w:fill="FFFFFF"/>
      <w:spacing w:line="360" w:lineRule="auto"/>
      <w:jc w:val="center"/>
    </w:pPr>
    <w:rPr>
      <w:rFonts w:ascii="黑体" w:hAnsi="黑体" w:eastAsia="黑体" w:cs="宋体"/>
      <w:kern w:val="0"/>
      <w:sz w:val="52"/>
      <w:szCs w:val="20"/>
    </w:rPr>
  </w:style>
  <w:style w:type="character" w:customStyle="1" w:styleId="137">
    <w:name w:val="1 正文 Char"/>
    <w:link w:val="138"/>
    <w:qFormat/>
    <w:uiPriority w:val="0"/>
    <w:rPr>
      <w:rFonts w:ascii="Times New Roman" w:hAnsi="Times New Roman" w:eastAsia="宋体" w:cs="Times New Roman"/>
      <w:kern w:val="2"/>
      <w:sz w:val="24"/>
      <w:szCs w:val="28"/>
      <w:lang w:val="en-US" w:eastAsia="zh-CN" w:bidi="ar-SA"/>
    </w:rPr>
  </w:style>
  <w:style w:type="paragraph" w:customStyle="1" w:styleId="138">
    <w:name w:val="1 正文"/>
    <w:next w:val="13"/>
    <w:link w:val="137"/>
    <w:qFormat/>
    <w:uiPriority w:val="0"/>
    <w:pPr>
      <w:widowControl w:val="0"/>
      <w:spacing w:line="360" w:lineRule="auto"/>
      <w:ind w:firstLine="200" w:firstLineChars="200"/>
      <w:jc w:val="both"/>
    </w:pPr>
    <w:rPr>
      <w:rFonts w:ascii="Times New Roman" w:hAnsi="Times New Roman" w:eastAsia="宋体" w:cs="Times New Roman"/>
      <w:kern w:val="2"/>
      <w:sz w:val="24"/>
      <w:szCs w:val="28"/>
      <w:lang w:val="en-US" w:eastAsia="zh-CN" w:bidi="ar-SA"/>
    </w:rPr>
  </w:style>
  <w:style w:type="paragraph" w:customStyle="1" w:styleId="139">
    <w:name w:val="表格标题"/>
    <w:qFormat/>
    <w:uiPriority w:val="0"/>
    <w:pPr>
      <w:spacing w:after="156"/>
      <w:ind w:left="239" w:hanging="239"/>
    </w:pPr>
    <w:rPr>
      <w:rFonts w:ascii="黑体" w:hAnsi="Times New Roman" w:eastAsia="黑体" w:cs="Times New Roman"/>
      <w:kern w:val="44"/>
      <w:sz w:val="24"/>
      <w:szCs w:val="24"/>
      <w:lang w:val="en-US" w:eastAsia="zh-CN" w:bidi="ar-SA"/>
    </w:rPr>
  </w:style>
  <w:style w:type="character" w:customStyle="1" w:styleId="140">
    <w:name w:val="正文文本 + 间距 0 pt"/>
    <w:qFormat/>
    <w:uiPriority w:val="0"/>
    <w:rPr>
      <w:rFonts w:ascii="宋体" w:hAnsi="宋体" w:eastAsia="宋体" w:cs="宋体"/>
      <w:spacing w:val="-10"/>
      <w:sz w:val="28"/>
      <w:szCs w:val="28"/>
      <w:u w:val="none"/>
      <w:lang w:bidi="ar-SA"/>
    </w:rPr>
  </w:style>
  <w:style w:type="character" w:customStyle="1" w:styleId="141">
    <w:name w:val="font11"/>
    <w:qFormat/>
    <w:uiPriority w:val="0"/>
    <w:rPr>
      <w:rFonts w:hint="eastAsia" w:ascii="宋体" w:hAnsi="宋体" w:eastAsia="宋体" w:cs="宋体"/>
      <w:color w:val="000000"/>
      <w:sz w:val="24"/>
      <w:szCs w:val="24"/>
      <w:u w:val="none"/>
    </w:rPr>
  </w:style>
  <w:style w:type="character" w:customStyle="1" w:styleId="142">
    <w:name w:val="font21"/>
    <w:qFormat/>
    <w:uiPriority w:val="0"/>
    <w:rPr>
      <w:rFonts w:hint="eastAsia" w:ascii="宋体" w:hAnsi="宋体" w:eastAsia="宋体" w:cs="宋体"/>
      <w:b/>
      <w:bCs/>
      <w:color w:val="000000"/>
      <w:sz w:val="24"/>
      <w:szCs w:val="24"/>
      <w:u w:val="none"/>
    </w:rPr>
  </w:style>
  <w:style w:type="character" w:customStyle="1" w:styleId="143">
    <w:name w:val="font51"/>
    <w:qFormat/>
    <w:uiPriority w:val="0"/>
    <w:rPr>
      <w:rFonts w:hint="eastAsia" w:ascii="宋体" w:hAnsi="宋体" w:eastAsia="宋体" w:cs="宋体"/>
      <w:color w:val="000000"/>
      <w:sz w:val="24"/>
      <w:szCs w:val="24"/>
      <w:u w:val="none"/>
      <w:vertAlign w:val="superscript"/>
    </w:rPr>
  </w:style>
  <w:style w:type="character" w:customStyle="1" w:styleId="144">
    <w:name w:val="font31"/>
    <w:qFormat/>
    <w:uiPriority w:val="0"/>
    <w:rPr>
      <w:rFonts w:hint="default" w:ascii="System" w:hAnsi="System" w:eastAsia="System" w:cs="System"/>
      <w:color w:val="000000"/>
      <w:sz w:val="24"/>
      <w:szCs w:val="24"/>
      <w:u w:val="none"/>
    </w:rPr>
  </w:style>
  <w:style w:type="character" w:customStyle="1" w:styleId="145">
    <w:name w:val="font41"/>
    <w:qFormat/>
    <w:uiPriority w:val="0"/>
    <w:rPr>
      <w:rFonts w:ascii="System" w:hAnsi="System" w:eastAsia="System" w:cs="System"/>
      <w:color w:val="000000"/>
      <w:sz w:val="24"/>
      <w:szCs w:val="24"/>
      <w:u w:val="none"/>
    </w:rPr>
  </w:style>
  <w:style w:type="paragraph" w:customStyle="1" w:styleId="146">
    <w:name w:val="Body text|1"/>
    <w:qFormat/>
    <w:uiPriority w:val="0"/>
    <w:pPr>
      <w:widowControl w:val="0"/>
      <w:spacing w:line="360" w:lineRule="auto"/>
      <w:ind w:firstLine="400"/>
      <w:jc w:val="both"/>
    </w:pPr>
    <w:rPr>
      <w:rFonts w:ascii="宋体" w:hAnsi="宋体" w:eastAsia="宋体" w:cs="宋体"/>
      <w:kern w:val="2"/>
      <w:lang w:val="zh-CN" w:eastAsia="zh-CN" w:bidi="zh-CN"/>
    </w:rPr>
  </w:style>
  <w:style w:type="paragraph" w:customStyle="1" w:styleId="147">
    <w:name w:val="Other|1"/>
    <w:qFormat/>
    <w:uiPriority w:val="0"/>
    <w:pPr>
      <w:widowControl w:val="0"/>
      <w:spacing w:line="263" w:lineRule="exact"/>
      <w:jc w:val="both"/>
    </w:pPr>
    <w:rPr>
      <w:rFonts w:ascii="宋体" w:hAnsi="宋体" w:eastAsia="宋体" w:cs="宋体"/>
      <w:kern w:val="2"/>
      <w:sz w:val="18"/>
      <w:szCs w:val="18"/>
      <w:lang w:val="zh-TW" w:eastAsia="zh-TW" w:bidi="zh-TW"/>
    </w:rPr>
  </w:style>
  <w:style w:type="paragraph" w:customStyle="1" w:styleId="148">
    <w:name w:val="无间隔"/>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paragraph" w:customStyle="1" w:styleId="150">
    <w:name w:val="正文_2"/>
    <w:qFormat/>
    <w:uiPriority w:val="0"/>
    <w:pPr>
      <w:widowControl w:val="0"/>
    </w:pPr>
    <w:rPr>
      <w:rFonts w:ascii="Times New Roman" w:hAnsi="Times New Roman" w:eastAsia="Times New Roman" w:cs="Times New Roman"/>
      <w:color w:val="000000"/>
      <w:sz w:val="24"/>
      <w:szCs w:val="24"/>
      <w:lang w:val="en-US" w:eastAsia="en-US" w:bidi="en-US"/>
    </w:rPr>
  </w:style>
  <w:style w:type="paragraph" w:customStyle="1" w:styleId="151">
    <w:name w:val="正文_2_0"/>
    <w:qFormat/>
    <w:uiPriority w:val="0"/>
    <w:pPr>
      <w:widowControl w:val="0"/>
    </w:pPr>
    <w:rPr>
      <w:rFonts w:ascii="Times New Roman" w:hAnsi="Times New Roman" w:eastAsia="Times New Roman" w:cs="Times New Roman"/>
      <w:color w:val="000000"/>
      <w:sz w:val="24"/>
      <w:szCs w:val="24"/>
      <w:lang w:val="en-US" w:eastAsia="en-US" w:bidi="en-US"/>
    </w:rPr>
  </w:style>
  <w:style w:type="character" w:customStyle="1" w:styleId="152">
    <w:name w:val="10_0"/>
    <w:qFormat/>
    <w:uiPriority w:val="0"/>
    <w:rPr>
      <w:rFonts w:hint="default" w:ascii="Times New Roman" w:hAnsi="Times New Roman" w:eastAsia="宋体" w:cs="Times New Roman"/>
    </w:rPr>
  </w:style>
  <w:style w:type="paragraph" w:customStyle="1" w:styleId="153">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4">
    <w:name w:val="标题 2_0"/>
    <w:basedOn w:val="150"/>
    <w:next w:val="150"/>
    <w:qFormat/>
    <w:uiPriority w:val="9"/>
    <w:pPr>
      <w:keepNext/>
      <w:keepLines/>
      <w:spacing w:before="260" w:after="260" w:line="412" w:lineRule="auto"/>
      <w:outlineLvl w:val="1"/>
    </w:pPr>
    <w:rPr>
      <w:rFonts w:ascii="Arial" w:hAnsi="Arial" w:eastAsia="黑体"/>
      <w:b/>
      <w:sz w:val="32"/>
      <w:szCs w:val="20"/>
    </w:rPr>
  </w:style>
  <w:style w:type="paragraph" w:customStyle="1" w:styleId="155">
    <w:name w:val="标题 3_0"/>
    <w:basedOn w:val="150"/>
    <w:next w:val="150"/>
    <w:unhideWhenUsed/>
    <w:qFormat/>
    <w:uiPriority w:val="9"/>
    <w:pPr>
      <w:keepNext/>
      <w:keepLines/>
      <w:spacing w:before="260" w:after="260" w:line="416" w:lineRule="auto"/>
      <w:outlineLvl w:val="2"/>
    </w:pPr>
    <w:rPr>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QTWL</Company>
  <Pages>191</Pages>
  <Words>112768</Words>
  <Characters>123895</Characters>
  <Lines>936</Lines>
  <Paragraphs>263</Paragraphs>
  <TotalTime>52</TotalTime>
  <ScaleCrop>false</ScaleCrop>
  <LinksUpToDate>false</LinksUpToDate>
  <CharactersWithSpaces>124590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2021-08-24T07:49:00Z</dcterms:created>
  <dc:creator>Administrator</dc:creator>
  <cp:lastModifiedBy>从凌开始</cp:lastModifiedBy>
  <cp:lastPrinted>2025-10-11T03:52:00Z</cp:lastPrinted>
  <dcterms:modified xsi:type="dcterms:W3CDTF">2026-08-31T02:52:35Z</dcterms:modified>
  <dc:title>竞争性谈判文件规范</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79E874B8142C4C8EB5F82F4BAE1993EF_13</vt:lpwstr>
  </property>
  <property fmtid="{D5CDD505-2E9C-101B-9397-08002B2CF9AE}" pid="4" name="KSOTemplateDocerSaveRecord">
    <vt:lpwstr>eyJoZGlkIjoiYzdlZDVjNDA0OTYwZTZlNzZlOGU1OTg2ZGIzNWFiMmYiLCJ1c2VySWQiOiIxMTM0NzQxNDg1In0=</vt:lpwstr>
  </property>
</Properties>
</file>