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44A0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广西旺鑫项目管理咨询有限公司</w:t>
      </w:r>
    </w:p>
    <w:p w14:paraId="7DA21B1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关于贺州市疾病预防控制中心液相色谱串联质谱仪及气相色谱串联质谱仪等仪器采购（项目编号：HZZC2026-G1-990156-GXWX</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w:t>
      </w:r>
    </w:p>
    <w:p w14:paraId="1727C3C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更正公告（二）</w:t>
      </w:r>
    </w:p>
    <w:p w14:paraId="7325D1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lang w:val="en-US" w:eastAsia="zh-CN"/>
        </w:rPr>
      </w:pPr>
      <w:r>
        <w:rPr>
          <w:rFonts w:hint="eastAsia" w:ascii="宋体" w:hAnsi="宋体" w:eastAsia="宋体" w:cs="宋体"/>
          <w:b/>
          <w:bCs/>
          <w:sz w:val="22"/>
          <w:szCs w:val="22"/>
          <w:lang w:val="en-US" w:eastAsia="zh-CN"/>
        </w:rPr>
        <w:t>一、项目基本情况</w:t>
      </w:r>
    </w:p>
    <w:p w14:paraId="67F193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原公告的采购项目编号：HZZC2026-G1-990156-GXWX</w:t>
      </w:r>
      <w:r>
        <w:rPr>
          <w:rFonts w:hint="eastAsia" w:ascii="宋体" w:hAnsi="宋体" w:eastAsia="宋体" w:cs="宋体"/>
          <w:sz w:val="22"/>
          <w:szCs w:val="22"/>
          <w:lang w:val="en-US" w:eastAsia="zh-CN"/>
        </w:rPr>
        <w:tab/>
      </w:r>
      <w:r>
        <w:rPr>
          <w:rFonts w:hint="eastAsia" w:ascii="宋体" w:hAnsi="宋体" w:eastAsia="宋体" w:cs="宋体"/>
          <w:sz w:val="22"/>
          <w:szCs w:val="22"/>
          <w:lang w:val="en-US" w:eastAsia="zh-CN"/>
        </w:rPr>
        <w:t> 　　　　　　　　　　　</w:t>
      </w:r>
    </w:p>
    <w:p w14:paraId="34AA4A3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原公告的采购项目名称：贺州市疾病预防控制中心液相色谱串联质谱仪及气相色谱串联质谱仪等仪器采购</w:t>
      </w:r>
    </w:p>
    <w:p w14:paraId="4A47C4B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首次公告日期：</w:t>
      </w:r>
      <w:r>
        <w:rPr>
          <w:rFonts w:hint="eastAsia" w:asciiTheme="minorEastAsia" w:hAnsiTheme="minorEastAsia" w:eastAsiaTheme="minorEastAsia" w:cstheme="minorEastAsia"/>
          <w:color w:val="auto"/>
          <w:sz w:val="22"/>
          <w:szCs w:val="22"/>
          <w:highlight w:val="none"/>
          <w:lang w:eastAsia="zh-CN"/>
        </w:rPr>
        <w:t>2026年</w:t>
      </w:r>
      <w:r>
        <w:rPr>
          <w:rFonts w:hint="eastAsia" w:asciiTheme="minorEastAsia" w:hAnsiTheme="minorEastAsia" w:cstheme="minorEastAsia"/>
          <w:color w:val="auto"/>
          <w:sz w:val="22"/>
          <w:szCs w:val="22"/>
          <w:highlight w:val="none"/>
          <w:lang w:val="en-US" w:eastAsia="zh-CN"/>
        </w:rPr>
        <w:t>8</w:t>
      </w:r>
      <w:r>
        <w:rPr>
          <w:rFonts w:hint="eastAsia" w:asciiTheme="minorEastAsia" w:hAnsiTheme="minorEastAsia" w:eastAsiaTheme="minorEastAsia" w:cstheme="minorEastAsia"/>
          <w:color w:val="auto"/>
          <w:sz w:val="22"/>
          <w:szCs w:val="22"/>
          <w:highlight w:val="none"/>
          <w:lang w:eastAsia="zh-CN"/>
        </w:rPr>
        <w:t>月</w:t>
      </w:r>
      <w:r>
        <w:rPr>
          <w:rFonts w:hint="eastAsia" w:asciiTheme="minorEastAsia" w:hAnsiTheme="minorEastAsia" w:cstheme="minorEastAsia"/>
          <w:color w:val="auto"/>
          <w:sz w:val="22"/>
          <w:szCs w:val="22"/>
          <w:highlight w:val="none"/>
          <w:lang w:val="en-US" w:eastAsia="zh-CN"/>
        </w:rPr>
        <w:t>14</w:t>
      </w:r>
      <w:r>
        <w:rPr>
          <w:rFonts w:hint="eastAsia" w:asciiTheme="minorEastAsia" w:hAnsiTheme="minorEastAsia" w:eastAsiaTheme="minorEastAsia" w:cstheme="minorEastAsia"/>
          <w:color w:val="auto"/>
          <w:sz w:val="22"/>
          <w:szCs w:val="22"/>
          <w:highlight w:val="none"/>
          <w:lang w:eastAsia="zh-CN"/>
        </w:rPr>
        <w:t>日</w:t>
      </w:r>
      <w:r>
        <w:rPr>
          <w:rFonts w:hint="eastAsia" w:ascii="宋体" w:hAnsi="宋体" w:eastAsia="宋体" w:cs="宋体"/>
          <w:sz w:val="22"/>
          <w:szCs w:val="22"/>
          <w:lang w:val="en-US" w:eastAsia="zh-CN"/>
        </w:rPr>
        <w:t> 　　　　　　　　　　　</w:t>
      </w:r>
    </w:p>
    <w:p w14:paraId="443BA96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2"/>
          <w:szCs w:val="22"/>
          <w:lang w:val="en-US" w:eastAsia="zh-CN"/>
        </w:rPr>
      </w:pPr>
      <w:r>
        <w:rPr>
          <w:rFonts w:hint="eastAsia" w:ascii="宋体" w:hAnsi="宋体" w:eastAsia="宋体" w:cs="宋体"/>
          <w:b/>
          <w:bCs/>
          <w:sz w:val="22"/>
          <w:szCs w:val="22"/>
          <w:lang w:val="en-US" w:eastAsia="zh-CN"/>
        </w:rPr>
        <w:t>二、更正信息</w:t>
      </w:r>
    </w:p>
    <w:p w14:paraId="79E6076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更正事项：采购文件   </w:t>
      </w:r>
    </w:p>
    <w:p w14:paraId="3934E6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更正内容：</w:t>
      </w:r>
    </w:p>
    <w:tbl>
      <w:tblPr>
        <w:tblStyle w:val="16"/>
        <w:tblW w:w="9690" w:type="dxa"/>
        <w:tblInd w:w="1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753"/>
        <w:gridCol w:w="3976"/>
        <w:gridCol w:w="2578"/>
        <w:gridCol w:w="2383"/>
      </w:tblGrid>
      <w:tr w14:paraId="1CCA9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13" w:hRule="atLeast"/>
        </w:trPr>
        <w:tc>
          <w:tcPr>
            <w:tcW w:w="753" w:type="dxa"/>
            <w:shd w:val="clear" w:color="auto" w:fill="FFFFFF"/>
            <w:tcMar>
              <w:top w:w="75" w:type="dxa"/>
              <w:left w:w="150" w:type="dxa"/>
              <w:bottom w:w="75" w:type="dxa"/>
              <w:right w:w="150" w:type="dxa"/>
            </w:tcMar>
            <w:vAlign w:val="center"/>
          </w:tcPr>
          <w:p w14:paraId="18AA88A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序号</w:t>
            </w:r>
          </w:p>
        </w:tc>
        <w:tc>
          <w:tcPr>
            <w:tcW w:w="3976" w:type="dxa"/>
            <w:shd w:val="clear" w:color="auto" w:fill="FFFFFF"/>
            <w:tcMar>
              <w:top w:w="75" w:type="dxa"/>
              <w:left w:w="150" w:type="dxa"/>
              <w:bottom w:w="75" w:type="dxa"/>
              <w:right w:w="150" w:type="dxa"/>
            </w:tcMar>
            <w:vAlign w:val="center"/>
          </w:tcPr>
          <w:p w14:paraId="1503EA1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更正项</w:t>
            </w:r>
          </w:p>
        </w:tc>
        <w:tc>
          <w:tcPr>
            <w:tcW w:w="2578" w:type="dxa"/>
            <w:shd w:val="clear" w:color="auto" w:fill="FFFFFF"/>
            <w:tcMar>
              <w:top w:w="75" w:type="dxa"/>
              <w:left w:w="150" w:type="dxa"/>
              <w:bottom w:w="75" w:type="dxa"/>
              <w:right w:w="150" w:type="dxa"/>
            </w:tcMar>
            <w:vAlign w:val="center"/>
          </w:tcPr>
          <w:p w14:paraId="38EF35E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更正前内容</w:t>
            </w:r>
          </w:p>
        </w:tc>
        <w:tc>
          <w:tcPr>
            <w:tcW w:w="2383" w:type="dxa"/>
            <w:shd w:val="clear" w:color="auto" w:fill="FFFFFF"/>
            <w:tcMar>
              <w:top w:w="75" w:type="dxa"/>
              <w:left w:w="150" w:type="dxa"/>
              <w:bottom w:w="75" w:type="dxa"/>
              <w:right w:w="150" w:type="dxa"/>
            </w:tcMar>
            <w:vAlign w:val="center"/>
          </w:tcPr>
          <w:p w14:paraId="38CCE75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更正后内容</w:t>
            </w:r>
          </w:p>
        </w:tc>
      </w:tr>
      <w:tr w14:paraId="74DF5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60" w:hRule="atLeast"/>
        </w:trPr>
        <w:tc>
          <w:tcPr>
            <w:tcW w:w="753" w:type="dxa"/>
            <w:shd w:val="clear" w:color="auto" w:fill="FFFFFF"/>
            <w:tcMar>
              <w:top w:w="75" w:type="dxa"/>
              <w:left w:w="150" w:type="dxa"/>
              <w:bottom w:w="75" w:type="dxa"/>
              <w:right w:w="150" w:type="dxa"/>
            </w:tcMar>
            <w:vAlign w:val="center"/>
          </w:tcPr>
          <w:p w14:paraId="3793E57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w:t>
            </w:r>
          </w:p>
        </w:tc>
        <w:tc>
          <w:tcPr>
            <w:tcW w:w="3976" w:type="dxa"/>
            <w:shd w:val="clear" w:color="auto" w:fill="FFFFFF"/>
            <w:tcMar>
              <w:top w:w="75" w:type="dxa"/>
              <w:left w:w="150" w:type="dxa"/>
              <w:bottom w:w="75" w:type="dxa"/>
              <w:right w:w="150" w:type="dxa"/>
            </w:tcMar>
            <w:vAlign w:val="center"/>
          </w:tcPr>
          <w:p w14:paraId="692E1D47">
            <w:pPr>
              <w:keepNext w:val="0"/>
              <w:keepLines w:val="0"/>
              <w:pageBreakBefore w:val="0"/>
              <w:widowControl w:val="0"/>
              <w:kinsoku/>
              <w:wordWrap/>
              <w:overflowPunct/>
              <w:topLinePunct w:val="0"/>
              <w:autoSpaceDE/>
              <w:autoSpaceDN/>
              <w:bidi w:val="0"/>
              <w:adjustRightInd/>
              <w:snapToGrid/>
              <w:spacing w:line="370" w:lineRule="exact"/>
              <w:jc w:val="center"/>
              <w:textAlignment w:val="auto"/>
              <w:rPr>
                <w:rFonts w:hint="default" w:asciiTheme="minorEastAsia" w:hAnsiTheme="minorEastAsia" w:cstheme="minorEastAsia"/>
                <w:color w:val="auto"/>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设置开标一览表</w:t>
            </w:r>
          </w:p>
        </w:tc>
        <w:tc>
          <w:tcPr>
            <w:tcW w:w="2578" w:type="dxa"/>
            <w:shd w:val="clear" w:color="auto" w:fill="FFFFFF"/>
            <w:tcMar>
              <w:top w:w="75" w:type="dxa"/>
              <w:left w:w="150" w:type="dxa"/>
              <w:bottom w:w="75" w:type="dxa"/>
              <w:right w:w="150" w:type="dxa"/>
            </w:tcMar>
            <w:vAlign w:val="center"/>
          </w:tcPr>
          <w:p w14:paraId="3201024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w:t>
            </w:r>
          </w:p>
        </w:tc>
        <w:tc>
          <w:tcPr>
            <w:tcW w:w="2383" w:type="dxa"/>
            <w:shd w:val="clear" w:color="auto" w:fill="FFFFFF"/>
            <w:tcMar>
              <w:top w:w="75" w:type="dxa"/>
              <w:left w:w="150" w:type="dxa"/>
              <w:bottom w:w="75" w:type="dxa"/>
              <w:right w:w="150" w:type="dxa"/>
            </w:tcMar>
            <w:vAlign w:val="center"/>
          </w:tcPr>
          <w:p w14:paraId="1B9981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详见系统</w:t>
            </w:r>
          </w:p>
        </w:tc>
      </w:tr>
      <w:tr w14:paraId="0D6B1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85" w:hRule="atLeast"/>
        </w:trPr>
        <w:tc>
          <w:tcPr>
            <w:tcW w:w="753" w:type="dxa"/>
            <w:shd w:val="clear" w:color="auto" w:fill="FFFFFF"/>
            <w:tcMar>
              <w:top w:w="75" w:type="dxa"/>
              <w:left w:w="150" w:type="dxa"/>
              <w:bottom w:w="75" w:type="dxa"/>
              <w:right w:w="150" w:type="dxa"/>
            </w:tcMar>
            <w:vAlign w:val="center"/>
          </w:tcPr>
          <w:p w14:paraId="267A694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2</w:t>
            </w:r>
          </w:p>
        </w:tc>
        <w:tc>
          <w:tcPr>
            <w:tcW w:w="3976" w:type="dxa"/>
            <w:shd w:val="clear" w:color="auto" w:fill="FFFFFF"/>
            <w:tcMar>
              <w:top w:w="75" w:type="dxa"/>
              <w:left w:w="150" w:type="dxa"/>
              <w:bottom w:w="75" w:type="dxa"/>
              <w:right w:w="150" w:type="dxa"/>
            </w:tcMar>
            <w:vAlign w:val="center"/>
          </w:tcPr>
          <w:p w14:paraId="485344F5">
            <w:pPr>
              <w:keepNext w:val="0"/>
              <w:keepLines w:val="0"/>
              <w:pageBreakBefore w:val="0"/>
              <w:widowControl w:val="0"/>
              <w:kinsoku/>
              <w:wordWrap/>
              <w:overflowPunct/>
              <w:topLinePunct w:val="0"/>
              <w:autoSpaceDE/>
              <w:autoSpaceDN/>
              <w:bidi w:val="0"/>
              <w:adjustRightInd/>
              <w:snapToGrid/>
              <w:spacing w:line="370" w:lineRule="exact"/>
              <w:jc w:val="center"/>
              <w:textAlignment w:val="auto"/>
              <w:rPr>
                <w:rFonts w:hint="default" w:asciiTheme="minorEastAsia" w:hAnsiTheme="minorEastAsia" w:cstheme="minorEastAsia"/>
                <w:color w:val="auto"/>
                <w:sz w:val="21"/>
                <w:szCs w:val="21"/>
                <w:highlight w:val="none"/>
                <w:lang w:val="en-US" w:eastAsia="zh-CN"/>
              </w:rPr>
            </w:pPr>
            <w:bookmarkStart w:id="0" w:name="_Toc254970689"/>
            <w:bookmarkStart w:id="1" w:name="_Toc32075"/>
            <w:bookmarkStart w:id="2" w:name="_Toc254970548"/>
            <w:bookmarkStart w:id="3" w:name="_Toc330456896"/>
            <w:bookmarkStart w:id="4" w:name="_Toc29727"/>
            <w:bookmarkStart w:id="5" w:name="_Toc19686832"/>
            <w:r>
              <w:rPr>
                <w:rFonts w:hint="eastAsia" w:asciiTheme="minorEastAsia" w:hAnsiTheme="minorEastAsia" w:cstheme="minorEastAsia"/>
                <w:color w:val="auto"/>
                <w:sz w:val="21"/>
                <w:szCs w:val="21"/>
                <w:highlight w:val="none"/>
                <w:lang w:val="en-US" w:eastAsia="zh-CN"/>
              </w:rPr>
              <w:t>《</w:t>
            </w:r>
            <w:r>
              <w:rPr>
                <w:rFonts w:hint="default" w:asciiTheme="minorEastAsia" w:hAnsiTheme="minorEastAsia" w:cstheme="minorEastAsia"/>
                <w:color w:val="auto"/>
                <w:sz w:val="21"/>
                <w:szCs w:val="21"/>
                <w:highlight w:val="none"/>
                <w:lang w:val="en-US" w:eastAsia="zh-CN"/>
              </w:rPr>
              <w:t>第四章 评标方法及评标标准</w:t>
            </w:r>
            <w:bookmarkEnd w:id="0"/>
            <w:bookmarkEnd w:id="1"/>
            <w:bookmarkEnd w:id="2"/>
            <w:bookmarkEnd w:id="3"/>
            <w:bookmarkEnd w:id="4"/>
            <w:bookmarkEnd w:id="5"/>
            <w:r>
              <w:rPr>
                <w:rFonts w:hint="eastAsia" w:asciiTheme="minorEastAsia" w:hAnsiTheme="minorEastAsia" w:cstheme="minorEastAsia"/>
                <w:color w:val="auto"/>
                <w:sz w:val="21"/>
                <w:szCs w:val="21"/>
                <w:highlight w:val="none"/>
                <w:lang w:val="en-US" w:eastAsia="zh-CN"/>
              </w:rPr>
              <w:t>》</w:t>
            </w:r>
            <w:r>
              <w:rPr>
                <w:rFonts w:hint="default" w:asciiTheme="minorEastAsia" w:hAnsiTheme="minorEastAsia" w:cstheme="minorEastAsia"/>
                <w:color w:val="auto"/>
                <w:sz w:val="21"/>
                <w:szCs w:val="21"/>
                <w:highlight w:val="none"/>
                <w:lang w:val="en-US" w:eastAsia="zh-CN"/>
              </w:rPr>
              <w:t>三、综合评分法</w:t>
            </w:r>
            <w:r>
              <w:rPr>
                <w:rFonts w:hint="eastAsia" w:asciiTheme="minorEastAsia" w:hAnsiTheme="minorEastAsia" w:cstheme="minorEastAsia"/>
                <w:color w:val="auto"/>
                <w:sz w:val="21"/>
                <w:szCs w:val="21"/>
                <w:highlight w:val="none"/>
                <w:lang w:val="en-US" w:eastAsia="zh-CN"/>
              </w:rPr>
              <w:t xml:space="preserve"> 第1点</w:t>
            </w:r>
            <w:r>
              <w:rPr>
                <w:rFonts w:hint="eastAsia" w:ascii="宋体" w:hAnsi="宋体" w:eastAsia="宋体" w:cs="宋体"/>
                <w:color w:val="auto"/>
                <w:sz w:val="21"/>
                <w:szCs w:val="21"/>
                <w:highlight w:val="none"/>
              </w:rPr>
              <w:t>价格分评标标准</w:t>
            </w:r>
          </w:p>
        </w:tc>
        <w:tc>
          <w:tcPr>
            <w:tcW w:w="2578" w:type="dxa"/>
            <w:shd w:val="clear" w:color="auto" w:fill="FFFFFF"/>
            <w:tcMar>
              <w:top w:w="75" w:type="dxa"/>
              <w:left w:w="150" w:type="dxa"/>
              <w:bottom w:w="75" w:type="dxa"/>
              <w:right w:w="150" w:type="dxa"/>
            </w:tcMar>
            <w:vAlign w:val="center"/>
          </w:tcPr>
          <w:p w14:paraId="7BE8964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2"/>
                <w:szCs w:val="22"/>
                <w:lang w:val="en-US" w:eastAsia="zh-CN"/>
              </w:rPr>
            </w:pPr>
            <w:r>
              <w:rPr>
                <w:rFonts w:hint="eastAsia" w:ascii="宋体" w:hAnsi="宋体" w:eastAsia="宋体" w:cs="宋体"/>
                <w:b w:val="0"/>
                <w:bCs w:val="0"/>
                <w:color w:val="auto"/>
                <w:sz w:val="21"/>
                <w:szCs w:val="21"/>
                <w:highlight w:val="none"/>
                <w:lang w:val="en-US" w:eastAsia="zh-CN"/>
              </w:rPr>
              <w:t>详见附件1</w:t>
            </w:r>
          </w:p>
        </w:tc>
        <w:tc>
          <w:tcPr>
            <w:tcW w:w="2383" w:type="dxa"/>
            <w:shd w:val="clear" w:color="auto" w:fill="FFFFFF"/>
            <w:tcMar>
              <w:top w:w="75" w:type="dxa"/>
              <w:left w:w="150" w:type="dxa"/>
              <w:bottom w:w="75" w:type="dxa"/>
              <w:right w:w="150" w:type="dxa"/>
            </w:tcMar>
            <w:vAlign w:val="center"/>
          </w:tcPr>
          <w:p w14:paraId="151C8C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b w:val="0"/>
                <w:bCs w:val="0"/>
                <w:sz w:val="22"/>
                <w:szCs w:val="22"/>
                <w:lang w:val="en-US" w:eastAsia="zh-CN"/>
              </w:rPr>
            </w:pPr>
            <w:r>
              <w:rPr>
                <w:rFonts w:hint="eastAsia" w:ascii="宋体" w:hAnsi="宋体" w:eastAsia="宋体" w:cs="宋体"/>
                <w:b w:val="0"/>
                <w:bCs w:val="0"/>
                <w:color w:val="auto"/>
                <w:sz w:val="21"/>
                <w:szCs w:val="21"/>
                <w:highlight w:val="none"/>
                <w:lang w:val="en-US" w:eastAsia="zh-CN"/>
              </w:rPr>
              <w:t>详见附件2</w:t>
            </w:r>
          </w:p>
        </w:tc>
      </w:tr>
    </w:tbl>
    <w:p w14:paraId="05EE900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2"/>
        </w:rPr>
      </w:pPr>
      <w:r>
        <w:rPr>
          <w:rFonts w:hint="eastAsia" w:ascii="宋体" w:hAnsi="宋体" w:eastAsia="宋体" w:cs="宋体"/>
          <w:sz w:val="22"/>
          <w:szCs w:val="22"/>
        </w:rPr>
        <w:t xml:space="preserve"> 更正日期：</w:t>
      </w:r>
      <w:r>
        <w:rPr>
          <w:rFonts w:hint="eastAsia" w:ascii="宋体" w:hAnsi="宋体" w:eastAsia="宋体" w:cs="宋体"/>
          <w:sz w:val="22"/>
          <w:szCs w:val="22"/>
          <w:lang w:eastAsia="zh-CN"/>
        </w:rPr>
        <w:t xml:space="preserve"> 202</w:t>
      </w:r>
      <w:r>
        <w:rPr>
          <w:rFonts w:hint="eastAsia" w:ascii="宋体" w:hAnsi="宋体" w:eastAsia="宋体" w:cs="宋体"/>
          <w:sz w:val="22"/>
          <w:szCs w:val="22"/>
          <w:lang w:val="en-US" w:eastAsia="zh-CN"/>
        </w:rPr>
        <w:t>6</w:t>
      </w:r>
      <w:r>
        <w:rPr>
          <w:rFonts w:hint="eastAsia" w:ascii="宋体" w:hAnsi="宋体" w:eastAsia="宋体" w:cs="宋体"/>
          <w:sz w:val="22"/>
          <w:szCs w:val="22"/>
          <w:lang w:eastAsia="zh-CN"/>
        </w:rPr>
        <w:t>年</w:t>
      </w:r>
      <w:r>
        <w:rPr>
          <w:rFonts w:hint="eastAsia" w:ascii="宋体" w:hAnsi="宋体" w:eastAsia="宋体" w:cs="宋体"/>
          <w:sz w:val="22"/>
          <w:szCs w:val="22"/>
          <w:lang w:val="en-US" w:eastAsia="zh-CN"/>
        </w:rPr>
        <w:t>09</w:t>
      </w:r>
      <w:r>
        <w:rPr>
          <w:rFonts w:hint="eastAsia" w:ascii="宋体" w:hAnsi="宋体" w:eastAsia="宋体" w:cs="宋体"/>
          <w:sz w:val="22"/>
          <w:szCs w:val="22"/>
          <w:lang w:eastAsia="zh-CN"/>
        </w:rPr>
        <w:t>月</w:t>
      </w:r>
      <w:r>
        <w:rPr>
          <w:rFonts w:hint="eastAsia" w:ascii="宋体" w:hAnsi="宋体" w:eastAsia="宋体" w:cs="宋体"/>
          <w:sz w:val="22"/>
          <w:szCs w:val="22"/>
          <w:lang w:val="en-US" w:eastAsia="zh-CN"/>
        </w:rPr>
        <w:t>04</w:t>
      </w:r>
      <w:r>
        <w:rPr>
          <w:rFonts w:hint="eastAsia" w:ascii="宋体" w:hAnsi="宋体" w:eastAsia="宋体" w:cs="宋体"/>
          <w:sz w:val="22"/>
          <w:szCs w:val="22"/>
          <w:lang w:eastAsia="zh-CN"/>
        </w:rPr>
        <w:t>日</w:t>
      </w:r>
      <w:r>
        <w:rPr>
          <w:rFonts w:hint="eastAsia" w:ascii="宋体" w:hAnsi="宋体" w:eastAsia="宋体" w:cs="宋体"/>
          <w:sz w:val="22"/>
          <w:szCs w:val="22"/>
        </w:rPr>
        <w:t> 　　　　　　　　　　</w:t>
      </w:r>
    </w:p>
    <w:p w14:paraId="2514AAF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sz w:val="22"/>
          <w:szCs w:val="22"/>
        </w:rPr>
      </w:pPr>
      <w:r>
        <w:rPr>
          <w:rFonts w:hint="eastAsia" w:ascii="宋体" w:hAnsi="宋体" w:eastAsia="宋体" w:cs="宋体"/>
          <w:b/>
          <w:bCs/>
          <w:sz w:val="22"/>
          <w:szCs w:val="22"/>
        </w:rPr>
        <w:t>三、其他补充事宜</w:t>
      </w:r>
    </w:p>
    <w:p w14:paraId="7515823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sz w:val="22"/>
          <w:szCs w:val="22"/>
        </w:rPr>
      </w:pPr>
      <w:r>
        <w:rPr>
          <w:rFonts w:hint="eastAsia" w:ascii="宋体" w:hAnsi="宋体" w:eastAsia="宋体" w:cs="宋体"/>
          <w:sz w:val="22"/>
          <w:szCs w:val="22"/>
        </w:rPr>
        <w:t> 本项目变更评分办法不涉及投标文件的编制，不影</w:t>
      </w:r>
      <w:bookmarkStart w:id="7" w:name="_GoBack"/>
      <w:bookmarkEnd w:id="7"/>
      <w:r>
        <w:rPr>
          <w:rFonts w:hint="eastAsia" w:ascii="宋体" w:hAnsi="宋体" w:eastAsia="宋体" w:cs="宋体"/>
          <w:sz w:val="22"/>
          <w:szCs w:val="22"/>
        </w:rPr>
        <w:t>响投标单位编写投标文件。</w:t>
      </w:r>
    </w:p>
    <w:p w14:paraId="2CFA9B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2"/>
          <w:szCs w:val="22"/>
        </w:rPr>
      </w:pPr>
      <w:r>
        <w:rPr>
          <w:rFonts w:hint="eastAsia" w:ascii="宋体" w:hAnsi="宋体" w:eastAsia="宋体" w:cs="宋体"/>
          <w:b/>
          <w:bCs/>
          <w:sz w:val="22"/>
          <w:szCs w:val="22"/>
        </w:rPr>
        <w:t>四、对本次采购提出询问，请按以下方式联系</w:t>
      </w:r>
      <w:r>
        <w:rPr>
          <w:rFonts w:hint="eastAsia" w:ascii="宋体" w:hAnsi="宋体" w:eastAsia="宋体" w:cs="宋体"/>
          <w:sz w:val="22"/>
          <w:szCs w:val="22"/>
        </w:rPr>
        <w:t>　　　          </w:t>
      </w:r>
    </w:p>
    <w:p w14:paraId="63FCAF15">
      <w:pPr>
        <w:spacing w:line="380" w:lineRule="exact"/>
        <w:ind w:firstLine="440" w:firstLineChars="200"/>
        <w:jc w:val="left"/>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rPr>
        <w:t>1.采购人信息</w:t>
      </w:r>
    </w:p>
    <w:p w14:paraId="6F2257AC">
      <w:pPr>
        <w:spacing w:line="380" w:lineRule="exact"/>
        <w:ind w:left="0" w:leftChars="0"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名 称：</w:t>
      </w:r>
      <w:bookmarkStart w:id="6" w:name="OLE_LINK1"/>
      <w:r>
        <w:rPr>
          <w:rFonts w:hint="eastAsia" w:ascii="宋体" w:hAnsi="宋体" w:cs="宋体"/>
          <w:color w:val="auto"/>
          <w:szCs w:val="21"/>
          <w:highlight w:val="none"/>
          <w:lang w:eastAsia="zh-CN"/>
        </w:rPr>
        <w:t>贺州市疾病预防控制中心</w:t>
      </w:r>
      <w:bookmarkEnd w:id="6"/>
    </w:p>
    <w:p w14:paraId="57913C1D">
      <w:pPr>
        <w:spacing w:line="380" w:lineRule="exact"/>
        <w:ind w:left="0" w:leftChars="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地址：贺州市八步区贺州大道25-1号</w:t>
      </w:r>
    </w:p>
    <w:p w14:paraId="24875D45">
      <w:pPr>
        <w:spacing w:line="380" w:lineRule="exact"/>
        <w:ind w:left="0" w:leftChars="0"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联系方式：</w:t>
      </w:r>
      <w:r>
        <w:rPr>
          <w:rFonts w:hint="eastAsia" w:ascii="宋体" w:hAnsi="宋体" w:cs="宋体"/>
          <w:color w:val="auto"/>
          <w:szCs w:val="21"/>
          <w:highlight w:val="none"/>
          <w:lang w:val="en-US" w:eastAsia="zh-CN"/>
        </w:rPr>
        <w:t>李</w:t>
      </w:r>
      <w:r>
        <w:rPr>
          <w:rFonts w:hint="eastAsia" w:ascii="宋体" w:hAnsi="宋体" w:eastAsia="宋体" w:cs="宋体"/>
          <w:color w:val="auto"/>
          <w:szCs w:val="21"/>
          <w:highlight w:val="none"/>
        </w:rPr>
        <w:t>工，</w:t>
      </w:r>
      <w:r>
        <w:rPr>
          <w:rFonts w:hint="eastAsia" w:ascii="宋体" w:hAnsi="宋体" w:cs="宋体"/>
          <w:color w:val="auto"/>
          <w:szCs w:val="21"/>
          <w:highlight w:val="none"/>
          <w:lang w:eastAsia="zh-CN"/>
        </w:rPr>
        <w:t>0774-5139293</w:t>
      </w:r>
      <w:r>
        <w:rPr>
          <w:rFonts w:hint="eastAsia" w:ascii="宋体" w:hAnsi="宋体" w:eastAsia="宋体" w:cs="宋体"/>
          <w:color w:val="auto"/>
          <w:szCs w:val="21"/>
          <w:highlight w:val="none"/>
        </w:rPr>
        <w:t xml:space="preserve"> </w:t>
      </w:r>
    </w:p>
    <w:p w14:paraId="622C991D">
      <w:pPr>
        <w:spacing w:line="38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2.采购代理机构信息</w:t>
      </w:r>
    </w:p>
    <w:p w14:paraId="4CF36F09">
      <w:pPr>
        <w:spacing w:line="38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名 称：</w:t>
      </w:r>
      <w:r>
        <w:rPr>
          <w:rFonts w:hint="eastAsia" w:ascii="宋体" w:hAnsi="宋体" w:cs="宋体"/>
          <w:color w:val="auto"/>
          <w:szCs w:val="21"/>
          <w:highlight w:val="none"/>
          <w:lang w:eastAsia="zh-CN"/>
        </w:rPr>
        <w:t>广西旺鑫项目管理咨询有限公司</w:t>
      </w:r>
    </w:p>
    <w:p w14:paraId="04A478FA">
      <w:pPr>
        <w:spacing w:line="38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地　址：</w:t>
      </w:r>
      <w:r>
        <w:rPr>
          <w:rFonts w:hint="eastAsia" w:ascii="宋体" w:hAnsi="宋体" w:cs="宋体"/>
          <w:color w:val="auto"/>
          <w:szCs w:val="21"/>
          <w:highlight w:val="none"/>
          <w:lang w:eastAsia="zh-CN"/>
        </w:rPr>
        <w:t>贺州市八步区城东新区安置E地块27号六楼</w:t>
      </w:r>
    </w:p>
    <w:p w14:paraId="62984299">
      <w:pPr>
        <w:spacing w:line="380" w:lineRule="exact"/>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联系电话：</w:t>
      </w:r>
      <w:r>
        <w:rPr>
          <w:rFonts w:hint="eastAsia" w:ascii="宋体" w:hAnsi="宋体" w:cs="宋体"/>
          <w:color w:val="auto"/>
          <w:szCs w:val="21"/>
          <w:highlight w:val="none"/>
          <w:lang w:eastAsia="zh-CN"/>
        </w:rPr>
        <w:t>0774-5079392</w:t>
      </w:r>
    </w:p>
    <w:p w14:paraId="6563451C">
      <w:pPr>
        <w:spacing w:line="380" w:lineRule="exact"/>
        <w:ind w:firstLine="440" w:firstLineChars="200"/>
        <w:jc w:val="left"/>
        <w:rPr>
          <w:rFonts w:hint="eastAsia" w:ascii="宋体" w:hAnsi="宋体" w:eastAsia="宋体" w:cs="宋体"/>
          <w:color w:val="auto"/>
          <w:sz w:val="22"/>
          <w:szCs w:val="22"/>
          <w:lang w:val="en-US" w:eastAsia="zh-CN"/>
        </w:rPr>
      </w:pPr>
      <w:r>
        <w:rPr>
          <w:rFonts w:hint="eastAsia" w:ascii="宋体" w:hAnsi="宋体" w:eastAsia="宋体" w:cs="宋体"/>
          <w:bCs/>
          <w:color w:val="auto"/>
          <w:kern w:val="0"/>
          <w:sz w:val="22"/>
          <w:szCs w:val="22"/>
          <w:highlight w:val="none"/>
          <w:lang w:val="en-US" w:eastAsia="zh-CN"/>
        </w:rPr>
        <w:t xml:space="preserve">  </w:t>
      </w:r>
      <w:r>
        <w:rPr>
          <w:rFonts w:hint="eastAsia" w:ascii="宋体" w:hAnsi="宋体" w:eastAsia="宋体" w:cs="宋体"/>
          <w:color w:val="auto"/>
          <w:sz w:val="22"/>
          <w:szCs w:val="22"/>
          <w:lang w:val="en-US" w:eastAsia="zh-CN"/>
        </w:rPr>
        <w:t xml:space="preserve">            </w:t>
      </w:r>
    </w:p>
    <w:p w14:paraId="5B8FD198">
      <w:pPr>
        <w:widowControl/>
        <w:spacing w:line="380" w:lineRule="exact"/>
        <w:jc w:val="right"/>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 xml:space="preserve">     </w:t>
      </w:r>
    </w:p>
    <w:p w14:paraId="580FAA72">
      <w:pPr>
        <w:widowControl/>
        <w:spacing w:line="380" w:lineRule="exact"/>
        <w:jc w:val="right"/>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rPr>
        <w:t>采购人：</w:t>
      </w:r>
      <w:r>
        <w:rPr>
          <w:rFonts w:hint="eastAsia" w:ascii="宋体" w:hAnsi="宋体" w:cs="宋体"/>
          <w:color w:val="auto"/>
          <w:szCs w:val="21"/>
          <w:highlight w:val="none"/>
          <w:lang w:eastAsia="zh-CN"/>
        </w:rPr>
        <w:t>贺州市疾病预防控制中心</w:t>
      </w:r>
    </w:p>
    <w:p w14:paraId="62FEA616">
      <w:pPr>
        <w:widowControl/>
        <w:spacing w:line="380" w:lineRule="exact"/>
        <w:jc w:val="center"/>
        <w:rPr>
          <w:rFonts w:hint="eastAsia" w:ascii="宋体" w:hAnsi="宋体" w:eastAsia="宋体" w:cs="宋体"/>
          <w:bCs/>
          <w:color w:val="auto"/>
          <w:kern w:val="0"/>
          <w:sz w:val="22"/>
          <w:szCs w:val="22"/>
          <w:highlight w:val="none"/>
        </w:rPr>
      </w:pPr>
      <w:r>
        <w:rPr>
          <w:rFonts w:hint="eastAsia" w:ascii="宋体" w:hAnsi="宋体" w:eastAsia="宋体" w:cs="宋体"/>
          <w:bCs/>
          <w:color w:val="auto"/>
          <w:kern w:val="0"/>
          <w:sz w:val="22"/>
          <w:szCs w:val="22"/>
          <w:highlight w:val="none"/>
        </w:rPr>
        <w:t xml:space="preserve">                             </w:t>
      </w:r>
    </w:p>
    <w:p w14:paraId="1ADFFBB1">
      <w:pPr>
        <w:widowControl/>
        <w:spacing w:line="380" w:lineRule="exact"/>
        <w:jc w:val="right"/>
        <w:rPr>
          <w:rFonts w:hint="eastAsia" w:ascii="宋体" w:hAnsi="宋体" w:eastAsia="宋体" w:cs="宋体"/>
          <w:bCs/>
          <w:color w:val="auto"/>
          <w:kern w:val="0"/>
          <w:sz w:val="22"/>
          <w:szCs w:val="22"/>
          <w:highlight w:val="none"/>
        </w:rPr>
      </w:pPr>
    </w:p>
    <w:p w14:paraId="2C51BC83">
      <w:pPr>
        <w:widowControl/>
        <w:spacing w:line="380" w:lineRule="exact"/>
        <w:jc w:val="right"/>
        <w:rPr>
          <w:rFonts w:hint="eastAsia" w:ascii="宋体" w:hAnsi="宋体" w:eastAsia="宋体" w:cs="宋体"/>
          <w:bCs/>
          <w:color w:val="auto"/>
          <w:kern w:val="0"/>
          <w:sz w:val="22"/>
          <w:szCs w:val="22"/>
          <w:highlight w:val="none"/>
          <w:lang w:eastAsia="zh-CN"/>
        </w:rPr>
      </w:pPr>
      <w:r>
        <w:rPr>
          <w:rFonts w:hint="eastAsia" w:ascii="宋体" w:hAnsi="宋体" w:eastAsia="宋体" w:cs="宋体"/>
          <w:bCs/>
          <w:color w:val="auto"/>
          <w:kern w:val="0"/>
          <w:sz w:val="22"/>
          <w:szCs w:val="22"/>
          <w:highlight w:val="none"/>
        </w:rPr>
        <w:t>采购代理机构：</w:t>
      </w:r>
      <w:r>
        <w:rPr>
          <w:rFonts w:hint="eastAsia" w:ascii="宋体" w:hAnsi="宋体" w:cs="宋体"/>
          <w:bCs/>
          <w:color w:val="auto"/>
          <w:kern w:val="0"/>
          <w:sz w:val="22"/>
          <w:szCs w:val="22"/>
          <w:highlight w:val="none"/>
          <w:lang w:eastAsia="zh-CN"/>
        </w:rPr>
        <w:t>广西旺鑫项目管理咨询有限公司</w:t>
      </w:r>
    </w:p>
    <w:p w14:paraId="1E68F19F">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 </w:t>
      </w:r>
      <w:r>
        <w:rPr>
          <w:rFonts w:hint="eastAsia" w:ascii="宋体" w:hAnsi="宋体" w:cs="宋体"/>
          <w:color w:val="auto"/>
          <w:sz w:val="22"/>
          <w:szCs w:val="22"/>
          <w:highlight w:val="none"/>
          <w:lang w:eastAsia="zh-CN"/>
        </w:rPr>
        <w:t>202</w:t>
      </w:r>
      <w:r>
        <w:rPr>
          <w:rFonts w:hint="eastAsia" w:ascii="宋体" w:hAnsi="宋体" w:cs="宋体"/>
          <w:color w:val="auto"/>
          <w:sz w:val="22"/>
          <w:szCs w:val="22"/>
          <w:highlight w:val="none"/>
          <w:lang w:val="en-US" w:eastAsia="zh-CN"/>
        </w:rPr>
        <w:t>6</w:t>
      </w:r>
      <w:r>
        <w:rPr>
          <w:rFonts w:hint="eastAsia" w:ascii="宋体" w:hAnsi="宋体" w:cs="宋体"/>
          <w:color w:val="auto"/>
          <w:sz w:val="22"/>
          <w:szCs w:val="22"/>
          <w:highlight w:val="none"/>
          <w:lang w:eastAsia="zh-CN"/>
        </w:rPr>
        <w:t>年</w:t>
      </w:r>
      <w:r>
        <w:rPr>
          <w:rFonts w:hint="eastAsia" w:ascii="宋体" w:hAnsi="宋体" w:cs="宋体"/>
          <w:color w:val="auto"/>
          <w:sz w:val="22"/>
          <w:szCs w:val="22"/>
          <w:highlight w:val="none"/>
          <w:lang w:val="en-US" w:eastAsia="zh-CN"/>
        </w:rPr>
        <w:t>09</w:t>
      </w:r>
      <w:r>
        <w:rPr>
          <w:rFonts w:hint="eastAsia" w:ascii="宋体" w:hAnsi="宋体" w:cs="宋体"/>
          <w:color w:val="auto"/>
          <w:sz w:val="22"/>
          <w:szCs w:val="22"/>
          <w:highlight w:val="none"/>
          <w:lang w:eastAsia="zh-CN"/>
        </w:rPr>
        <w:t>月</w:t>
      </w:r>
      <w:r>
        <w:rPr>
          <w:rFonts w:hint="eastAsia" w:ascii="宋体" w:hAnsi="宋体" w:cs="宋体"/>
          <w:color w:val="auto"/>
          <w:sz w:val="22"/>
          <w:szCs w:val="22"/>
          <w:highlight w:val="none"/>
          <w:lang w:val="en-US" w:eastAsia="zh-CN"/>
        </w:rPr>
        <w:t>04</w:t>
      </w:r>
      <w:r>
        <w:rPr>
          <w:rFonts w:hint="eastAsia" w:ascii="宋体" w:hAnsi="宋体" w:cs="宋体"/>
          <w:color w:val="auto"/>
          <w:sz w:val="22"/>
          <w:szCs w:val="22"/>
          <w:highlight w:val="none"/>
          <w:lang w:eastAsia="zh-CN"/>
        </w:rPr>
        <w:t>日</w:t>
      </w:r>
    </w:p>
    <w:p w14:paraId="6EC0F355">
      <w:pPr>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br w:type="page"/>
      </w:r>
    </w:p>
    <w:p w14:paraId="04A763A2">
      <w:pPr>
        <w:rPr>
          <w:rFonts w:hint="default" w:ascii="宋体" w:hAnsi="宋体" w:cs="宋体"/>
          <w:b/>
          <w:bCs/>
          <w:color w:val="auto"/>
          <w:sz w:val="22"/>
          <w:szCs w:val="22"/>
          <w:highlight w:val="none"/>
          <w:lang w:val="en-US" w:eastAsia="zh-CN"/>
        </w:rPr>
      </w:pPr>
      <w:r>
        <w:rPr>
          <w:rFonts w:hint="eastAsia" w:ascii="宋体" w:hAnsi="宋体" w:cs="宋体"/>
          <w:b/>
          <w:bCs/>
          <w:color w:val="auto"/>
          <w:sz w:val="22"/>
          <w:szCs w:val="22"/>
          <w:highlight w:val="none"/>
          <w:lang w:val="en-US" w:eastAsia="zh-CN"/>
        </w:rPr>
        <w:t>附件1：</w:t>
      </w:r>
    </w:p>
    <w:tbl>
      <w:tblPr>
        <w:tblStyle w:val="17"/>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872"/>
        <w:gridCol w:w="901"/>
        <w:gridCol w:w="7609"/>
      </w:tblGrid>
      <w:tr w14:paraId="403A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tcPr>
          <w:p w14:paraId="592FF67F">
            <w:pPr>
              <w:rPr>
                <w:rFonts w:hint="eastAsia" w:eastAsia="宋体"/>
                <w:color w:val="auto"/>
                <w:vertAlign w:val="baseline"/>
                <w:lang w:val="en-US" w:eastAsia="zh-CN"/>
              </w:rPr>
            </w:pPr>
            <w:r>
              <w:rPr>
                <w:rFonts w:hint="eastAsia"/>
                <w:color w:val="auto"/>
                <w:vertAlign w:val="baseline"/>
                <w:lang w:val="en-US" w:eastAsia="zh-CN"/>
              </w:rPr>
              <w:t>序号</w:t>
            </w:r>
          </w:p>
        </w:tc>
        <w:tc>
          <w:tcPr>
            <w:tcW w:w="1773" w:type="dxa"/>
            <w:gridSpan w:val="2"/>
          </w:tcPr>
          <w:p w14:paraId="63965CE8">
            <w:pPr>
              <w:keepNext w:val="0"/>
              <w:keepLines w:val="0"/>
              <w:pageBreakBefore w:val="0"/>
              <w:widowControl w:val="0"/>
              <w:kinsoku/>
              <w:wordWrap/>
              <w:overflowPunct/>
              <w:topLinePunct w:val="0"/>
              <w:autoSpaceDE/>
              <w:autoSpaceDN/>
              <w:bidi w:val="0"/>
              <w:adjustRightInd/>
              <w:snapToGrid/>
              <w:spacing w:line="370" w:lineRule="exact"/>
              <w:jc w:val="center"/>
              <w:textAlignment w:val="auto"/>
              <w:rPr>
                <w:color w:val="auto"/>
                <w:vertAlign w:val="baseline"/>
              </w:rPr>
            </w:pPr>
            <w:r>
              <w:rPr>
                <w:rFonts w:hint="eastAsia" w:ascii="宋体" w:hAnsi="宋体" w:eastAsia="宋体" w:cs="宋体"/>
                <w:b/>
                <w:bCs/>
                <w:color w:val="auto"/>
                <w:sz w:val="21"/>
                <w:szCs w:val="21"/>
                <w:highlight w:val="none"/>
              </w:rPr>
              <w:t>评审因素</w:t>
            </w:r>
          </w:p>
        </w:tc>
        <w:tc>
          <w:tcPr>
            <w:tcW w:w="7609" w:type="dxa"/>
            <w:vAlign w:val="center"/>
          </w:tcPr>
          <w:p w14:paraId="4F863064">
            <w:pPr>
              <w:keepNext w:val="0"/>
              <w:keepLines w:val="0"/>
              <w:pageBreakBefore w:val="0"/>
              <w:widowControl w:val="0"/>
              <w:kinsoku/>
              <w:wordWrap/>
              <w:overflowPunct/>
              <w:topLinePunct w:val="0"/>
              <w:autoSpaceDE/>
              <w:autoSpaceDN/>
              <w:bidi w:val="0"/>
              <w:adjustRightInd/>
              <w:snapToGrid/>
              <w:spacing w:line="370" w:lineRule="exact"/>
              <w:jc w:val="center"/>
              <w:textAlignment w:val="auto"/>
              <w:rPr>
                <w:color w:val="auto"/>
                <w:vertAlign w:val="baseline"/>
              </w:rPr>
            </w:pPr>
            <w:r>
              <w:rPr>
                <w:rFonts w:hint="eastAsia" w:ascii="宋体" w:hAnsi="宋体" w:eastAsia="宋体" w:cs="宋体"/>
                <w:b/>
                <w:bCs/>
                <w:color w:val="auto"/>
                <w:sz w:val="21"/>
                <w:szCs w:val="21"/>
                <w:highlight w:val="none"/>
              </w:rPr>
              <w:t>评标标准</w:t>
            </w:r>
          </w:p>
        </w:tc>
      </w:tr>
      <w:tr w14:paraId="0D9B5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8" w:type="dxa"/>
            <w:vAlign w:val="center"/>
          </w:tcPr>
          <w:p w14:paraId="0BEC45C1">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eastAsia="宋体"/>
                <w:color w:val="auto"/>
                <w:vertAlign w:val="baseline"/>
                <w:lang w:val="en-US" w:eastAsia="zh-CN"/>
              </w:rPr>
            </w:pPr>
            <w:r>
              <w:rPr>
                <w:rFonts w:hint="eastAsia"/>
                <w:color w:val="auto"/>
                <w:vertAlign w:val="baseline"/>
                <w:lang w:val="en-US" w:eastAsia="zh-CN"/>
              </w:rPr>
              <w:t>1</w:t>
            </w:r>
          </w:p>
        </w:tc>
        <w:tc>
          <w:tcPr>
            <w:tcW w:w="872" w:type="dxa"/>
            <w:vAlign w:val="center"/>
          </w:tcPr>
          <w:p w14:paraId="51536F66">
            <w:pPr>
              <w:keepNext w:val="0"/>
              <w:keepLines w:val="0"/>
              <w:pageBreakBefore w:val="0"/>
              <w:widowControl w:val="0"/>
              <w:kinsoku/>
              <w:wordWrap/>
              <w:overflowPunct/>
              <w:topLinePunct w:val="0"/>
              <w:autoSpaceDE/>
              <w:autoSpaceDN/>
              <w:bidi w:val="0"/>
              <w:adjustRightInd/>
              <w:snapToGrid/>
              <w:spacing w:line="37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w:t>
            </w:r>
          </w:p>
          <w:p w14:paraId="76346520">
            <w:pPr>
              <w:keepNext w:val="0"/>
              <w:keepLines w:val="0"/>
              <w:pageBreakBefore w:val="0"/>
              <w:widowControl w:val="0"/>
              <w:kinsoku/>
              <w:wordWrap/>
              <w:overflowPunct/>
              <w:topLinePunct w:val="0"/>
              <w:autoSpaceDE/>
              <w:autoSpaceDN/>
              <w:bidi w:val="0"/>
              <w:adjustRightInd/>
              <w:snapToGrid/>
              <w:spacing w:line="37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0分）</w:t>
            </w:r>
          </w:p>
          <w:p w14:paraId="3DF77C42">
            <w:pPr>
              <w:keepNext w:val="0"/>
              <w:keepLines w:val="0"/>
              <w:pageBreakBefore w:val="0"/>
              <w:widowControl w:val="0"/>
              <w:kinsoku/>
              <w:wordWrap/>
              <w:overflowPunct/>
              <w:topLinePunct w:val="0"/>
              <w:autoSpaceDE/>
              <w:autoSpaceDN/>
              <w:bidi w:val="0"/>
              <w:adjustRightInd/>
              <w:snapToGrid/>
              <w:spacing w:line="370" w:lineRule="exact"/>
              <w:ind w:firstLine="420" w:firstLineChars="200"/>
              <w:jc w:val="center"/>
              <w:textAlignment w:val="auto"/>
              <w:rPr>
                <w:color w:val="auto"/>
                <w:vertAlign w:val="baseline"/>
              </w:rPr>
            </w:pPr>
          </w:p>
        </w:tc>
        <w:tc>
          <w:tcPr>
            <w:tcW w:w="901" w:type="dxa"/>
            <w:vAlign w:val="center"/>
          </w:tcPr>
          <w:p w14:paraId="468E37F8">
            <w:pPr>
              <w:keepNext w:val="0"/>
              <w:keepLines w:val="0"/>
              <w:pageBreakBefore w:val="0"/>
              <w:widowControl w:val="0"/>
              <w:kinsoku/>
              <w:wordWrap/>
              <w:overflowPunct/>
              <w:topLinePunct w:val="0"/>
              <w:autoSpaceDE/>
              <w:autoSpaceDN/>
              <w:bidi w:val="0"/>
              <w:adjustRightInd/>
              <w:snapToGrid/>
              <w:spacing w:line="37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p w14:paraId="674B21F7">
            <w:pPr>
              <w:keepNext w:val="0"/>
              <w:keepLines w:val="0"/>
              <w:pageBreakBefore w:val="0"/>
              <w:widowControl w:val="0"/>
              <w:kinsoku/>
              <w:wordWrap/>
              <w:overflowPunct/>
              <w:topLinePunct w:val="0"/>
              <w:autoSpaceDE/>
              <w:autoSpaceDN/>
              <w:bidi w:val="0"/>
              <w:adjustRightInd/>
              <w:snapToGrid/>
              <w:spacing w:line="370" w:lineRule="exact"/>
              <w:jc w:val="center"/>
              <w:textAlignment w:val="auto"/>
              <w:rPr>
                <w:color w:val="auto"/>
                <w:vertAlign w:val="baseline"/>
              </w:rPr>
            </w:pPr>
            <w:r>
              <w:rPr>
                <w:rFonts w:hint="eastAsia" w:ascii="宋体" w:hAnsi="宋体" w:eastAsia="宋体" w:cs="宋体"/>
                <w:color w:val="auto"/>
                <w:sz w:val="21"/>
                <w:szCs w:val="21"/>
                <w:highlight w:val="none"/>
              </w:rPr>
              <w:t>（满分</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0分）</w:t>
            </w:r>
          </w:p>
        </w:tc>
        <w:tc>
          <w:tcPr>
            <w:tcW w:w="7609" w:type="dxa"/>
            <w:vAlign w:val="center"/>
          </w:tcPr>
          <w:p w14:paraId="3565687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（1）评标报价为投标人的投标报价进行政策性扣除后的价格，评标报价</w:t>
            </w:r>
            <w:r>
              <w:rPr>
                <w:rFonts w:hint="eastAsia" w:ascii="宋体" w:hAnsi="宋体" w:cs="宋体"/>
                <w:color w:val="auto"/>
                <w:sz w:val="21"/>
                <w:szCs w:val="21"/>
                <w:highlight w:val="none"/>
                <w:lang w:eastAsia="zh-CN"/>
              </w:rPr>
              <w:t>只</w:t>
            </w:r>
            <w:r>
              <w:rPr>
                <w:rFonts w:hint="eastAsia" w:ascii="宋体" w:hAnsi="宋体" w:eastAsia="宋体" w:cs="宋体"/>
                <w:color w:val="auto"/>
                <w:sz w:val="21"/>
                <w:szCs w:val="21"/>
                <w:highlight w:val="none"/>
              </w:rPr>
              <w:t>作为评标时使用。最终中标人的中标金额等于投标报价。</w:t>
            </w:r>
          </w:p>
          <w:p w14:paraId="15B739A3">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（2）按照《政府采购促进中小企业发展管理办法》（财库〔2020〕46号）的规定，投标人在其投标文件中提供《中小企业声明函》，且其投标产品全部为小型和微型企业产品的，对其最后报价给予</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0%的扣除。</w:t>
            </w:r>
          </w:p>
          <w:p w14:paraId="1C06886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含新疆生产建设兵团</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出具的属于监狱企业的证明文件。不重复享受政策。</w:t>
            </w:r>
          </w:p>
          <w:p w14:paraId="71D4B1F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7C2D18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（5）本国产品政策性扣除计算方法</w:t>
            </w:r>
          </w:p>
          <w:p w14:paraId="3E38737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按照《国务院办公厅关于在政府采购中实施本国产品标准及相关政策的通知》（国办发〔2025〕34 号），《财政部工业和信息化部关于贯彻落实 </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国务院办公厅关于在政府采购中实施本国产品标准及相关政策的通知</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 xml:space="preserve"> 的意见》（财库〔2025〕30 号）的规定，对本国产品的支持政策。当采购项目或者采购包中含有多种产品，供应商为该采购项目或者采购包提供的符合本国产品标准的产品成本之和占该供应商提供的全部产品成本之和的比例达到 80% 以上时，依法对该供应商提供的全部产品给予价格评审优惠，即对该供应商提供的全部产品的总报价给予20%的价格扣除，用扣除后的价格参与评审。除上述情况外，评标报价=投标报价。</w:t>
            </w:r>
          </w:p>
          <w:p w14:paraId="536A3A8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对同时符合小微企业扶持政策和本国产品标准政策的产品，其参加评审的价格=投标报价×【1−[(小微企业价格扣除率（10%）＋本国产品价格扣除率（20%）)]】。</w:t>
            </w:r>
          </w:p>
          <w:p w14:paraId="64C594A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供应商在其投标文件中提供《关于符合本国产品标准的声明函》或财政部会同有关部门规定的有关证明文件，出具符合要求的《声明函》或有关证明文件的，该产品视为本国产品。</w:t>
            </w:r>
          </w:p>
          <w:p w14:paraId="1E8837C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如果所有参与竞争的供应商均可享受本国产品价格评审优惠，则统一不进行本国产品政策性扣除。</w:t>
            </w:r>
          </w:p>
          <w:p w14:paraId="004B16C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供应商在其投标文件中提供《关于符合本国产品标准的声明函》或财政部会同有关部门规定的有关证明文件，出具符合要求的《声明函》或有关证明文件的，该产品视为本国产品。 如果所有参与竞争的供应商均可享受本国产品价格评审优惠，则统一不进行本国产品政策性扣除。</w:t>
            </w:r>
          </w:p>
          <w:p w14:paraId="2481F25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（6）满足招标文件要求且评标报价最低的评标报价为评标基准价，其价格分为满分</w:t>
            </w:r>
            <w:r>
              <w:rPr>
                <w:rFonts w:hint="eastAsia" w:ascii="宋体" w:hAnsi="宋体" w:eastAsia="宋体" w:cs="宋体"/>
                <w:color w:val="auto"/>
                <w:sz w:val="21"/>
                <w:szCs w:val="21"/>
                <w:highlight w:val="none"/>
                <w:lang w:val="en-US" w:eastAsia="zh-CN"/>
              </w:rPr>
              <w:t>30分</w:t>
            </w:r>
            <w:r>
              <w:rPr>
                <w:rFonts w:hint="eastAsia" w:ascii="宋体" w:hAnsi="宋体" w:eastAsia="宋体" w:cs="宋体"/>
                <w:color w:val="auto"/>
                <w:sz w:val="21"/>
                <w:szCs w:val="21"/>
                <w:highlight w:val="none"/>
              </w:rPr>
              <w:t>。</w:t>
            </w:r>
          </w:p>
          <w:p w14:paraId="3AEB5D3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（7）价格分计算公式：        </w:t>
            </w:r>
          </w:p>
          <w:p w14:paraId="685947E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color w:val="auto"/>
                <w:vertAlign w:val="baseline"/>
              </w:rPr>
            </w:pPr>
            <w:r>
              <w:rPr>
                <w:rFonts w:hint="eastAsia" w:ascii="宋体" w:hAnsi="宋体" w:eastAsia="宋体" w:cs="宋体"/>
                <w:color w:val="auto"/>
                <w:sz w:val="21"/>
                <w:szCs w:val="21"/>
                <w:highlight w:val="none"/>
              </w:rPr>
              <w:t>价格分=</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评标基准价／评标报价</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0分</w:t>
            </w:r>
          </w:p>
        </w:tc>
      </w:tr>
    </w:tbl>
    <w:p w14:paraId="0F87FE91">
      <w:pPr>
        <w:rPr>
          <w:rFonts w:hint="default" w:ascii="宋体" w:hAnsi="宋体" w:cs="宋体"/>
          <w:b/>
          <w:bCs/>
          <w:color w:val="auto"/>
          <w:sz w:val="22"/>
          <w:szCs w:val="22"/>
          <w:highlight w:val="none"/>
          <w:lang w:val="en-US" w:eastAsia="zh-CN"/>
        </w:rPr>
      </w:pPr>
      <w:r>
        <w:rPr>
          <w:rFonts w:hint="eastAsia" w:ascii="宋体" w:hAnsi="宋体" w:cs="宋体"/>
          <w:b/>
          <w:bCs/>
          <w:color w:val="auto"/>
          <w:sz w:val="22"/>
          <w:szCs w:val="22"/>
          <w:highlight w:val="none"/>
          <w:lang w:val="en-US" w:eastAsia="zh-CN"/>
        </w:rPr>
        <w:t>附件2：</w:t>
      </w:r>
    </w:p>
    <w:tbl>
      <w:tblPr>
        <w:tblStyle w:val="17"/>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9"/>
        <w:gridCol w:w="970"/>
        <w:gridCol w:w="954"/>
        <w:gridCol w:w="7152"/>
      </w:tblGrid>
      <w:tr w14:paraId="3E1A4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9" w:type="dxa"/>
          </w:tcPr>
          <w:p w14:paraId="009BB60F">
            <w:pPr>
              <w:rPr>
                <w:rFonts w:hint="eastAsia" w:eastAsia="宋体"/>
                <w:color w:val="auto"/>
                <w:vertAlign w:val="baseline"/>
                <w:lang w:val="en-US" w:eastAsia="zh-CN"/>
              </w:rPr>
            </w:pPr>
            <w:r>
              <w:rPr>
                <w:rFonts w:hint="eastAsia"/>
                <w:color w:val="auto"/>
                <w:vertAlign w:val="baseline"/>
                <w:lang w:val="en-US" w:eastAsia="zh-CN"/>
              </w:rPr>
              <w:t>序号</w:t>
            </w:r>
          </w:p>
        </w:tc>
        <w:tc>
          <w:tcPr>
            <w:tcW w:w="1924" w:type="dxa"/>
            <w:gridSpan w:val="2"/>
          </w:tcPr>
          <w:p w14:paraId="0010ABE3">
            <w:pPr>
              <w:keepNext w:val="0"/>
              <w:keepLines w:val="0"/>
              <w:pageBreakBefore w:val="0"/>
              <w:widowControl w:val="0"/>
              <w:kinsoku/>
              <w:wordWrap/>
              <w:overflowPunct/>
              <w:topLinePunct w:val="0"/>
              <w:autoSpaceDE/>
              <w:autoSpaceDN/>
              <w:bidi w:val="0"/>
              <w:adjustRightInd/>
              <w:snapToGrid/>
              <w:spacing w:line="370" w:lineRule="exact"/>
              <w:jc w:val="center"/>
              <w:textAlignment w:val="auto"/>
              <w:rPr>
                <w:color w:val="auto"/>
                <w:vertAlign w:val="baseline"/>
              </w:rPr>
            </w:pPr>
            <w:r>
              <w:rPr>
                <w:rFonts w:hint="eastAsia" w:ascii="宋体" w:hAnsi="宋体" w:eastAsia="宋体" w:cs="宋体"/>
                <w:b/>
                <w:bCs/>
                <w:color w:val="auto"/>
                <w:sz w:val="21"/>
                <w:szCs w:val="21"/>
                <w:highlight w:val="none"/>
              </w:rPr>
              <w:t>评审因素</w:t>
            </w:r>
          </w:p>
        </w:tc>
        <w:tc>
          <w:tcPr>
            <w:tcW w:w="7152" w:type="dxa"/>
            <w:vAlign w:val="center"/>
          </w:tcPr>
          <w:p w14:paraId="3F081F33">
            <w:pPr>
              <w:keepNext w:val="0"/>
              <w:keepLines w:val="0"/>
              <w:pageBreakBefore w:val="0"/>
              <w:widowControl w:val="0"/>
              <w:kinsoku/>
              <w:wordWrap/>
              <w:overflowPunct/>
              <w:topLinePunct w:val="0"/>
              <w:autoSpaceDE/>
              <w:autoSpaceDN/>
              <w:bidi w:val="0"/>
              <w:adjustRightInd/>
              <w:snapToGrid/>
              <w:spacing w:line="370" w:lineRule="exact"/>
              <w:jc w:val="center"/>
              <w:textAlignment w:val="auto"/>
              <w:rPr>
                <w:color w:val="auto"/>
                <w:vertAlign w:val="baseline"/>
              </w:rPr>
            </w:pPr>
            <w:r>
              <w:rPr>
                <w:rFonts w:hint="eastAsia" w:ascii="宋体" w:hAnsi="宋体" w:eastAsia="宋体" w:cs="宋体"/>
                <w:b/>
                <w:bCs/>
                <w:color w:val="auto"/>
                <w:sz w:val="21"/>
                <w:szCs w:val="21"/>
                <w:highlight w:val="none"/>
              </w:rPr>
              <w:t>评标标准</w:t>
            </w:r>
          </w:p>
        </w:tc>
      </w:tr>
      <w:tr w14:paraId="045E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9" w:type="dxa"/>
            <w:vAlign w:val="center"/>
          </w:tcPr>
          <w:p w14:paraId="057978BB">
            <w:pPr>
              <w:keepNext w:val="0"/>
              <w:keepLines w:val="0"/>
              <w:pageBreakBefore w:val="0"/>
              <w:widowControl w:val="0"/>
              <w:kinsoku/>
              <w:wordWrap/>
              <w:overflowPunct/>
              <w:topLinePunct w:val="0"/>
              <w:autoSpaceDE/>
              <w:autoSpaceDN/>
              <w:bidi w:val="0"/>
              <w:adjustRightInd/>
              <w:snapToGrid/>
              <w:spacing w:line="370" w:lineRule="exact"/>
              <w:ind w:firstLine="0" w:firstLineChars="0"/>
              <w:jc w:val="center"/>
              <w:textAlignment w:val="auto"/>
              <w:rPr>
                <w:rFonts w:hint="eastAsia" w:eastAsia="宋体"/>
                <w:color w:val="auto"/>
                <w:vertAlign w:val="baseline"/>
                <w:lang w:val="en-US" w:eastAsia="zh-CN"/>
              </w:rPr>
            </w:pPr>
            <w:r>
              <w:rPr>
                <w:rFonts w:hint="eastAsia"/>
                <w:color w:val="auto"/>
                <w:vertAlign w:val="baseline"/>
                <w:lang w:val="en-US" w:eastAsia="zh-CN"/>
              </w:rPr>
              <w:t>1</w:t>
            </w:r>
          </w:p>
        </w:tc>
        <w:tc>
          <w:tcPr>
            <w:tcW w:w="970" w:type="dxa"/>
            <w:vAlign w:val="center"/>
          </w:tcPr>
          <w:p w14:paraId="04FBFA4B">
            <w:pPr>
              <w:keepNext w:val="0"/>
              <w:keepLines w:val="0"/>
              <w:pageBreakBefore w:val="0"/>
              <w:widowControl w:val="0"/>
              <w:kinsoku/>
              <w:wordWrap/>
              <w:overflowPunct/>
              <w:topLinePunct w:val="0"/>
              <w:autoSpaceDE/>
              <w:autoSpaceDN/>
              <w:bidi w:val="0"/>
              <w:adjustRightInd/>
              <w:snapToGrid/>
              <w:spacing w:line="37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w:t>
            </w:r>
          </w:p>
          <w:p w14:paraId="3ED72DA1">
            <w:pPr>
              <w:keepNext w:val="0"/>
              <w:keepLines w:val="0"/>
              <w:pageBreakBefore w:val="0"/>
              <w:widowControl w:val="0"/>
              <w:kinsoku/>
              <w:wordWrap/>
              <w:overflowPunct/>
              <w:topLinePunct w:val="0"/>
              <w:autoSpaceDE/>
              <w:autoSpaceDN/>
              <w:bidi w:val="0"/>
              <w:adjustRightInd/>
              <w:snapToGrid/>
              <w:spacing w:line="37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0分）</w:t>
            </w:r>
          </w:p>
          <w:p w14:paraId="059E999A">
            <w:pPr>
              <w:keepNext w:val="0"/>
              <w:keepLines w:val="0"/>
              <w:pageBreakBefore w:val="0"/>
              <w:widowControl w:val="0"/>
              <w:kinsoku/>
              <w:wordWrap/>
              <w:overflowPunct/>
              <w:topLinePunct w:val="0"/>
              <w:autoSpaceDE/>
              <w:autoSpaceDN/>
              <w:bidi w:val="0"/>
              <w:adjustRightInd/>
              <w:snapToGrid/>
              <w:spacing w:line="370" w:lineRule="exact"/>
              <w:ind w:firstLine="420" w:firstLineChars="200"/>
              <w:jc w:val="center"/>
              <w:textAlignment w:val="auto"/>
              <w:rPr>
                <w:color w:val="auto"/>
                <w:vertAlign w:val="baseline"/>
              </w:rPr>
            </w:pPr>
          </w:p>
        </w:tc>
        <w:tc>
          <w:tcPr>
            <w:tcW w:w="954" w:type="dxa"/>
            <w:vAlign w:val="center"/>
          </w:tcPr>
          <w:p w14:paraId="0D282ADC">
            <w:pPr>
              <w:keepNext w:val="0"/>
              <w:keepLines w:val="0"/>
              <w:pageBreakBefore w:val="0"/>
              <w:widowControl w:val="0"/>
              <w:kinsoku/>
              <w:wordWrap/>
              <w:overflowPunct/>
              <w:topLinePunct w:val="0"/>
              <w:autoSpaceDE/>
              <w:autoSpaceDN/>
              <w:bidi w:val="0"/>
              <w:adjustRightInd/>
              <w:snapToGrid/>
              <w:spacing w:line="37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p w14:paraId="0208DF1C">
            <w:pPr>
              <w:keepNext w:val="0"/>
              <w:keepLines w:val="0"/>
              <w:pageBreakBefore w:val="0"/>
              <w:widowControl w:val="0"/>
              <w:kinsoku/>
              <w:wordWrap/>
              <w:overflowPunct/>
              <w:topLinePunct w:val="0"/>
              <w:autoSpaceDE/>
              <w:autoSpaceDN/>
              <w:bidi w:val="0"/>
              <w:adjustRightInd/>
              <w:snapToGrid/>
              <w:spacing w:line="370" w:lineRule="exact"/>
              <w:jc w:val="center"/>
              <w:textAlignment w:val="auto"/>
              <w:rPr>
                <w:color w:val="auto"/>
                <w:vertAlign w:val="baseline"/>
              </w:rPr>
            </w:pPr>
            <w:r>
              <w:rPr>
                <w:rFonts w:hint="eastAsia" w:ascii="宋体" w:hAnsi="宋体" w:eastAsia="宋体" w:cs="宋体"/>
                <w:color w:val="auto"/>
                <w:sz w:val="21"/>
                <w:szCs w:val="21"/>
                <w:highlight w:val="none"/>
              </w:rPr>
              <w:t>（满分</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0分）</w:t>
            </w:r>
          </w:p>
        </w:tc>
        <w:tc>
          <w:tcPr>
            <w:tcW w:w="7152" w:type="dxa"/>
            <w:vAlign w:val="center"/>
          </w:tcPr>
          <w:p w14:paraId="6D293BB6">
            <w:pPr>
              <w:keepNext w:val="0"/>
              <w:keepLines w:val="0"/>
              <w:pageBreakBefore w:val="0"/>
              <w:widowControl w:val="0"/>
              <w:kinsoku/>
              <w:wordWrap/>
              <w:overflowPunct/>
              <w:topLinePunct w:val="0"/>
              <w:autoSpaceDE/>
              <w:autoSpaceDN/>
              <w:bidi w:val="0"/>
              <w:adjustRightInd/>
              <w:snapToGrid/>
              <w:spacing w:line="37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（1）评标报价为投标人的投标报价进行政策性扣除后的价格，评标报价只作为评标时使用。最终中标人的中标金额等于投标报价。</w:t>
            </w:r>
          </w:p>
          <w:p w14:paraId="3834A525">
            <w:pPr>
              <w:keepNext w:val="0"/>
              <w:keepLines w:val="0"/>
              <w:pageBreakBefore w:val="0"/>
              <w:widowControl w:val="0"/>
              <w:kinsoku/>
              <w:wordWrap/>
              <w:overflowPunct/>
              <w:topLinePunct w:val="0"/>
              <w:autoSpaceDE/>
              <w:autoSpaceDN/>
              <w:bidi w:val="0"/>
              <w:adjustRightInd/>
              <w:snapToGrid/>
              <w:spacing w:line="37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（2）本项目为专门面向中小企业采购的项目。按照《政府采购促进中小企业发展管理办法》（财库〔2020〕46 号）第九条及财政部相关解读的规定，专门面向中小企业采购的采购项目不再执行价格评审优惠（价格扣除）的扶持政策，参加本项目的供应商均不享受小微企业价格扣除，其评标报价即为投标报价。</w:t>
            </w:r>
          </w:p>
          <w:p w14:paraId="21D44ECE">
            <w:pPr>
              <w:keepNext w:val="0"/>
              <w:keepLines w:val="0"/>
              <w:pageBreakBefore w:val="0"/>
              <w:widowControl w:val="0"/>
              <w:kinsoku/>
              <w:wordWrap/>
              <w:overflowPunct/>
              <w:topLinePunct w:val="0"/>
              <w:autoSpaceDE/>
              <w:autoSpaceDN/>
              <w:bidi w:val="0"/>
              <w:adjustRightInd/>
              <w:snapToGrid/>
              <w:spacing w:line="37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）本国产品政策性扣除计算方法 按照《国务院办公厅关于在政府采购中实施本国产品标准及相关政策的通知》（国办发〔2025〕34 号）、《财政部 工业和信息化部关于贯彻落实〈国务院办公厅关于在政府采购中实施本国产品标准及相关政策的通知〉的意见》（财库〔2025〕30 号）的规定，对本国产品给予价格评审优惠。当采购项目或者采购包中含有多种产品，供应商为该采购项目或者采购包提供的符合本国产品标准的产品成本之和占该供应商提供的全部产品成本之和的比例达到 80% 以上时，依法对该供应商提供的全部产品给予价格评审优惠，即对该供应商提供的全部产品的总报价给予 20% 的价格扣除，用扣除后的价格参与评审。除上述情况外，评标报价＝投标报价。 供应商在其投标文件中提供《关于符合本国产品标准的声明函》或财政部会同有关部门规定的有关证明文件，出具符合要求的《声明函》或有关证明文件的，该产品视为本国产品。 如果所有参与竞争的供应商均可享受本国产品价格评审优惠，则统一不进行本国产品政策性扣除。 本项目为专门面向中小企业采购项目，小微企业价格扣除政策不再适用，故享受本国产品价格评审优惠的供应商，其参加评审的价格＝投标报价 ×（1−20%）。</w:t>
            </w:r>
          </w:p>
          <w:p w14:paraId="0B55451E">
            <w:pPr>
              <w:keepNext w:val="0"/>
              <w:keepLines w:val="0"/>
              <w:pageBreakBefore w:val="0"/>
              <w:widowControl w:val="0"/>
              <w:kinsoku/>
              <w:wordWrap/>
              <w:overflowPunct/>
              <w:topLinePunct w:val="0"/>
              <w:autoSpaceDE/>
              <w:autoSpaceDN/>
              <w:bidi w:val="0"/>
              <w:adjustRightInd/>
              <w:snapToGrid/>
              <w:spacing w:line="37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满足招标文件要求且评标报价最低的评标报价为评标基准价，其价格分为满分30分。</w:t>
            </w:r>
          </w:p>
          <w:p w14:paraId="198B4B8E">
            <w:pPr>
              <w:keepNext w:val="0"/>
              <w:keepLines w:val="0"/>
              <w:pageBreakBefore w:val="0"/>
              <w:widowControl w:val="0"/>
              <w:kinsoku/>
              <w:wordWrap/>
              <w:overflowPunct/>
              <w:topLinePunct w:val="0"/>
              <w:autoSpaceDE/>
              <w:autoSpaceDN/>
              <w:bidi w:val="0"/>
              <w:adjustRightInd/>
              <w:snapToGrid/>
              <w:spacing w:line="370" w:lineRule="exact"/>
              <w:ind w:firstLine="420" w:firstLineChars="200"/>
              <w:textAlignment w:val="auto"/>
              <w:rPr>
                <w:color w:val="auto"/>
                <w:vertAlign w:val="baseli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价格分计算公式： 价格分＝（评标基准价／评标报价）×30 分</w:t>
            </w:r>
          </w:p>
        </w:tc>
      </w:tr>
    </w:tbl>
    <w:p w14:paraId="252E02BF">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宋体" w:hAnsi="宋体" w:cs="宋体"/>
          <w:color w:val="auto"/>
          <w:sz w:val="22"/>
          <w:szCs w:val="22"/>
          <w:highlight w:val="none"/>
          <w:lang w:eastAsia="zh-CN"/>
        </w:rPr>
      </w:pPr>
    </w:p>
    <w:p w14:paraId="76795373">
      <w:pPr>
        <w:rPr>
          <w:rFonts w:hint="default" w:ascii="宋体" w:hAnsi="宋体" w:eastAsia="宋体" w:cs="宋体"/>
          <w:b/>
          <w:bCs/>
          <w:sz w:val="21"/>
          <w:szCs w:val="21"/>
          <w:lang w:val="en-US" w:eastAsia="zh-CN"/>
        </w:rPr>
      </w:pPr>
    </w:p>
    <w:sectPr>
      <w:headerReference r:id="rId3" w:type="default"/>
      <w:footerReference r:id="rId4" w:type="default"/>
      <w:pgSz w:w="11906" w:h="16838"/>
      <w:pgMar w:top="765" w:right="1020" w:bottom="765" w:left="1020" w:header="0" w:footer="0"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楷体">
    <w:panose1 w:val="02010600040101010101"/>
    <w:charset w:val="86"/>
    <w:family w:val="auto"/>
    <w:pitch w:val="default"/>
    <w:sig w:usb0="A00002BF" w:usb1="78CF7CFB" w:usb2="00000016" w:usb3="00000000" w:csb0="6006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D0DEC">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BE31F">
                          <w:pPr>
                            <w:pStyle w:val="11"/>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2BE31F">
                    <w:pPr>
                      <w:pStyle w:val="11"/>
                    </w:pPr>
                    <w:r>
                      <w:fldChar w:fldCharType="begin"/>
                    </w:r>
                    <w:r>
                      <w:instrText xml:space="preserve"> PAGE  \* MERGEFORMAT </w:instrText>
                    </w:r>
                    <w:r>
                      <w:fldChar w:fldCharType="separate"/>
                    </w:r>
                    <w:r>
                      <w:t>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93DF3">
    <w:pPr>
      <w:pStyle w:val="12"/>
      <w:pBdr>
        <w:bottom w:val="none" w:color="auto" w:sz="0" w:space="1"/>
      </w:pBdr>
      <w:rPr>
        <w:rFonts w:ascii="楷体_GB2312" w:eastAsia="楷体_GB2312"/>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ind w:left="425" w:hanging="425"/>
      </w:pPr>
      <w:rPr>
        <w:rFonts w:hint="default"/>
      </w:rPr>
    </w:lvl>
    <w:lvl w:ilvl="1" w:tentative="0">
      <w:start w:val="1"/>
      <w:numFmt w:val="decimal"/>
      <w:lvlText w:val="%1.%2"/>
      <w:lvlJc w:val="left"/>
      <w:pPr>
        <w:tabs>
          <w:tab w:val="left" w:pos="0"/>
        </w:tabs>
        <w:ind w:left="0" w:firstLine="0"/>
      </w:pPr>
      <w:rPr>
        <w:rFonts w:hint="default" w:ascii="宋体" w:hAnsi="宋体" w:eastAsia="宋体" w:cs="宋体"/>
      </w:rPr>
    </w:lvl>
    <w:lvl w:ilvl="2" w:tentative="0">
      <w:start w:val="1"/>
      <w:numFmt w:val="decimal"/>
      <w:pStyle w:val="4"/>
      <w:lvlText w:val="%1.%2.%3"/>
      <w:lvlJc w:val="left"/>
      <w:pPr>
        <w:tabs>
          <w:tab w:val="left" w:pos="0"/>
        </w:tabs>
        <w:ind w:left="0" w:firstLine="0"/>
      </w:pPr>
      <w:rPr>
        <w:rFonts w:hint="default" w:ascii="宋体" w:hAnsi="宋体" w:eastAsia="宋体" w:cs="宋体"/>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wNTQ2OWQwODI0MGFmY2M2ZGIxZDZkZWYzNDVjNDAifQ=="/>
  </w:docVars>
  <w:rsids>
    <w:rsidRoot w:val="42EB6DE7"/>
    <w:rsid w:val="06076DA3"/>
    <w:rsid w:val="06D25D4A"/>
    <w:rsid w:val="06E50669"/>
    <w:rsid w:val="06F738E9"/>
    <w:rsid w:val="078C24E8"/>
    <w:rsid w:val="07A013CC"/>
    <w:rsid w:val="07D46328"/>
    <w:rsid w:val="08730E67"/>
    <w:rsid w:val="08D15069"/>
    <w:rsid w:val="09162460"/>
    <w:rsid w:val="0C7104FC"/>
    <w:rsid w:val="0E2A67ED"/>
    <w:rsid w:val="0E6B6085"/>
    <w:rsid w:val="0FE773D3"/>
    <w:rsid w:val="10407E22"/>
    <w:rsid w:val="10E741A0"/>
    <w:rsid w:val="14863CD0"/>
    <w:rsid w:val="14F11E76"/>
    <w:rsid w:val="162C1DA3"/>
    <w:rsid w:val="188E75F7"/>
    <w:rsid w:val="18F54101"/>
    <w:rsid w:val="19A6305D"/>
    <w:rsid w:val="19E60139"/>
    <w:rsid w:val="1C16284B"/>
    <w:rsid w:val="1E432C32"/>
    <w:rsid w:val="1E7159F1"/>
    <w:rsid w:val="1ED33979"/>
    <w:rsid w:val="1F15084D"/>
    <w:rsid w:val="1F3C01E8"/>
    <w:rsid w:val="21BA320B"/>
    <w:rsid w:val="224D796D"/>
    <w:rsid w:val="23EA597F"/>
    <w:rsid w:val="25233019"/>
    <w:rsid w:val="28597D35"/>
    <w:rsid w:val="2AE1415F"/>
    <w:rsid w:val="2B3C1135"/>
    <w:rsid w:val="2C2F1834"/>
    <w:rsid w:val="2DE52373"/>
    <w:rsid w:val="2F7013AD"/>
    <w:rsid w:val="2F8D01B1"/>
    <w:rsid w:val="30BA4FD6"/>
    <w:rsid w:val="317805AA"/>
    <w:rsid w:val="31CB428A"/>
    <w:rsid w:val="31D76BE3"/>
    <w:rsid w:val="348F5651"/>
    <w:rsid w:val="35CD1E2D"/>
    <w:rsid w:val="37EA5E09"/>
    <w:rsid w:val="39612393"/>
    <w:rsid w:val="3A594C56"/>
    <w:rsid w:val="3AE955CE"/>
    <w:rsid w:val="3B5E0047"/>
    <w:rsid w:val="3D083574"/>
    <w:rsid w:val="41195DF8"/>
    <w:rsid w:val="41496E84"/>
    <w:rsid w:val="427174BE"/>
    <w:rsid w:val="42EB6DE7"/>
    <w:rsid w:val="4492209A"/>
    <w:rsid w:val="44D84FFC"/>
    <w:rsid w:val="46F83ABD"/>
    <w:rsid w:val="47820002"/>
    <w:rsid w:val="486B4C73"/>
    <w:rsid w:val="48F0738F"/>
    <w:rsid w:val="49C00116"/>
    <w:rsid w:val="4B435C52"/>
    <w:rsid w:val="4B9876B5"/>
    <w:rsid w:val="51823CF3"/>
    <w:rsid w:val="51A14D7D"/>
    <w:rsid w:val="51EC7B91"/>
    <w:rsid w:val="52900663"/>
    <w:rsid w:val="53A53197"/>
    <w:rsid w:val="54866AE9"/>
    <w:rsid w:val="55061CE8"/>
    <w:rsid w:val="56B56CFB"/>
    <w:rsid w:val="570A7431"/>
    <w:rsid w:val="583C6E9C"/>
    <w:rsid w:val="583D0117"/>
    <w:rsid w:val="5B3F7D02"/>
    <w:rsid w:val="5C25755E"/>
    <w:rsid w:val="5CB55F14"/>
    <w:rsid w:val="5CE25C9B"/>
    <w:rsid w:val="5CFD01E3"/>
    <w:rsid w:val="5E2D6537"/>
    <w:rsid w:val="64FF002E"/>
    <w:rsid w:val="664221BC"/>
    <w:rsid w:val="67177D85"/>
    <w:rsid w:val="68EA36CA"/>
    <w:rsid w:val="6B6C069F"/>
    <w:rsid w:val="6BCA32E3"/>
    <w:rsid w:val="6CD81D64"/>
    <w:rsid w:val="6D1D2DA9"/>
    <w:rsid w:val="6F152DFC"/>
    <w:rsid w:val="74406B6D"/>
    <w:rsid w:val="75653036"/>
    <w:rsid w:val="77A333C4"/>
    <w:rsid w:val="794C7D62"/>
    <w:rsid w:val="79FF3026"/>
    <w:rsid w:val="7CDC13FD"/>
    <w:rsid w:val="7EB02B07"/>
    <w:rsid w:val="7F8E50BC"/>
    <w:rsid w:val="7F9D249B"/>
    <w:rsid w:val="7FC15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keepNext/>
      <w:keepLines/>
      <w:numPr>
        <w:ilvl w:val="2"/>
        <w:numId w:val="1"/>
      </w:numPr>
      <w:spacing w:beforeLines="50" w:afterLines="50" w:line="360" w:lineRule="auto"/>
      <w:outlineLvl w:val="3"/>
    </w:pPr>
    <w:rPr>
      <w:rFonts w:ascii="Arial" w:hAnsi="Arial"/>
      <w:sz w:val="24"/>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Body Text 3"/>
    <w:basedOn w:val="1"/>
    <w:unhideWhenUsed/>
    <w:qFormat/>
    <w:uiPriority w:val="99"/>
    <w:pPr>
      <w:spacing w:after="120"/>
    </w:pPr>
    <w:rPr>
      <w:sz w:val="16"/>
      <w:szCs w:val="16"/>
    </w:rPr>
  </w:style>
  <w:style w:type="paragraph" w:styleId="7">
    <w:name w:val="Body Text"/>
    <w:basedOn w:val="1"/>
    <w:next w:val="1"/>
    <w:qFormat/>
    <w:uiPriority w:val="0"/>
    <w:pPr>
      <w:spacing w:line="380" w:lineRule="exact"/>
    </w:pPr>
    <w:rPr>
      <w:kern w:val="0"/>
      <w:sz w:val="24"/>
    </w:rPr>
  </w:style>
  <w:style w:type="paragraph" w:styleId="8">
    <w:name w:val="List 2"/>
    <w:basedOn w:val="1"/>
    <w:qFormat/>
    <w:uiPriority w:val="99"/>
    <w:pPr>
      <w:ind w:left="100" w:leftChars="200" w:hanging="200" w:hangingChars="200"/>
      <w:contextualSpacing/>
    </w:pPr>
  </w:style>
  <w:style w:type="paragraph" w:styleId="9">
    <w:name w:val="Plain Text"/>
    <w:basedOn w:val="1"/>
    <w:next w:val="10"/>
    <w:qFormat/>
    <w:uiPriority w:val="0"/>
    <w:rPr>
      <w:rFonts w:ascii="宋体" w:hAnsi="Courier New"/>
      <w:kern w:val="0"/>
      <w:sz w:val="20"/>
      <w:szCs w:val="21"/>
    </w:rPr>
  </w:style>
  <w:style w:type="paragraph" w:styleId="10">
    <w:name w:val="Date"/>
    <w:basedOn w:val="1"/>
    <w:next w:val="1"/>
    <w:qFormat/>
    <w:uiPriority w:val="0"/>
    <w:pPr>
      <w:ind w:left="100" w:leftChars="2500"/>
    </w:pPr>
    <w:rPr>
      <w:rFonts w:ascii="宋体" w:hAnsi="Courier New"/>
      <w:bCs/>
      <w:kern w:val="0"/>
      <w:sz w:val="24"/>
      <w:szCs w:val="20"/>
    </w:rPr>
  </w:style>
  <w:style w:type="paragraph" w:styleId="11">
    <w:name w:val="footer"/>
    <w:basedOn w:val="1"/>
    <w:unhideWhenUsed/>
    <w:qFormat/>
    <w:uiPriority w:val="0"/>
    <w:pPr>
      <w:tabs>
        <w:tab w:val="center" w:pos="4153"/>
        <w:tab w:val="right" w:pos="8306"/>
      </w:tabs>
      <w:snapToGrid w:val="0"/>
      <w:jc w:val="left"/>
    </w:pPr>
    <w:rPr>
      <w:kern w:val="0"/>
      <w:sz w:val="18"/>
      <w:szCs w:val="18"/>
    </w:rPr>
  </w:style>
  <w:style w:type="paragraph" w:styleId="12">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toc 1"/>
    <w:basedOn w:val="1"/>
    <w:next w:val="1"/>
    <w:unhideWhenUsed/>
    <w:qFormat/>
    <w:uiPriority w:val="39"/>
  </w:style>
  <w:style w:type="paragraph" w:styleId="14">
    <w:name w:val="Subtitle"/>
    <w:basedOn w:val="1"/>
    <w:next w:val="1"/>
    <w:qFormat/>
    <w:uiPriority w:val="0"/>
    <w:pPr>
      <w:spacing w:after="60"/>
      <w:jc w:val="center"/>
      <w:outlineLvl w:val="1"/>
    </w:pPr>
    <w:rPr>
      <w:rFonts w:ascii="Cambria" w:hAnsi="Cambria"/>
    </w:rPr>
  </w:style>
  <w:style w:type="paragraph" w:styleId="15">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7">
    <w:name w:val="Table Grid"/>
    <w:basedOn w:val="1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9">
    <w:name w:val="Strong"/>
    <w:basedOn w:val="18"/>
    <w:qFormat/>
    <w:uiPriority w:val="0"/>
    <w:rPr>
      <w:b/>
    </w:rPr>
  </w:style>
  <w:style w:type="character" w:styleId="20">
    <w:name w:val="HTML Sample"/>
    <w:basedOn w:val="18"/>
    <w:qFormat/>
    <w:uiPriority w:val="0"/>
    <w:rPr>
      <w:rFonts w:ascii="Courier New" w:hAnsi="Courier New"/>
    </w:rPr>
  </w:style>
  <w:style w:type="paragraph" w:customStyle="1" w:styleId="2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table" w:customStyle="1" w:styleId="22">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2405</Words>
  <Characters>2554</Characters>
  <Lines>0</Lines>
  <Paragraphs>0</Paragraphs>
  <TotalTime>20</TotalTime>
  <ScaleCrop>false</ScaleCrop>
  <LinksUpToDate>false</LinksUpToDate>
  <CharactersWithSpaces>2701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2021-11-05T03:41:00Z</dcterms:created>
  <dc:creator>黄秩飞</dc:creator>
  <cp:lastModifiedBy>空心</cp:lastModifiedBy>
  <cp:lastPrinted>2026-05-14T09:42:00Z</cp:lastPrinted>
  <dcterms:modified xsi:type="dcterms:W3CDTF">2026-09-04T09:37:39Z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5F9383BE8BD24D58B494AC75772BE9AB_13</vt:lpwstr>
  </property>
  <property fmtid="{D5CDD505-2E9C-101B-9397-08002B2CF9AE}" pid="4" name="KSOTemplateDocerSaveRecord">
    <vt:lpwstr>eyJoZGlkIjoiMGI3OTliNDBkOTVmYzdhNzRkOGZhYWFhZDc5ZTExMjkiLCJ1c2VySWQiOiI0MTc2NDEyNjUifQ==</vt:lpwstr>
  </property>
</Properties>
</file>