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496FB4">
      <w:pPr>
        <w:adjustRightInd w:val="0"/>
        <w:spacing w:line="312" w:lineRule="atLeast"/>
        <w:ind w:firstLine="105"/>
        <w:jc w:val="left"/>
        <w:textAlignment w:val="baseline"/>
        <w:rPr>
          <w:rFonts w:ascii="宋体" w:hAnsi="宋体"/>
          <w:color w:val="auto"/>
          <w:kern w:val="0"/>
          <w:szCs w:val="20"/>
        </w:rPr>
      </w:pPr>
    </w:p>
    <w:p w14:paraId="7BEF7CF0">
      <w:pPr>
        <w:adjustRightInd w:val="0"/>
        <w:spacing w:line="312" w:lineRule="atLeast"/>
        <w:ind w:firstLine="105"/>
        <w:jc w:val="left"/>
        <w:textAlignment w:val="baseline"/>
        <w:rPr>
          <w:rFonts w:ascii="宋体" w:hAnsi="宋体"/>
          <w:color w:val="auto"/>
          <w:kern w:val="0"/>
          <w:szCs w:val="20"/>
        </w:rPr>
      </w:pPr>
    </w:p>
    <w:p w14:paraId="7407909A">
      <w:pPr>
        <w:adjustRightInd w:val="0"/>
        <w:spacing w:line="312" w:lineRule="atLeast"/>
        <w:ind w:firstLine="105"/>
        <w:jc w:val="left"/>
        <w:textAlignment w:val="baseline"/>
        <w:rPr>
          <w:rFonts w:ascii="宋体" w:hAnsi="宋体"/>
          <w:color w:val="auto"/>
          <w:kern w:val="0"/>
          <w:szCs w:val="20"/>
        </w:rPr>
      </w:pPr>
      <w:r>
        <w:rPr>
          <w:rFonts w:ascii="宋体" w:hAnsi="宋体"/>
          <w:color w:val="auto"/>
          <w:kern w:val="0"/>
          <w:szCs w:val="20"/>
        </w:rPr>
        <w:br w:type="textWrapping" w:clear="all"/>
      </w:r>
    </w:p>
    <w:p w14:paraId="15192B67">
      <w:pPr>
        <w:adjustRightInd w:val="0"/>
        <w:spacing w:line="312" w:lineRule="atLeast"/>
        <w:ind w:firstLine="105"/>
        <w:jc w:val="center"/>
        <w:textAlignment w:val="baseline"/>
        <w:rPr>
          <w:rFonts w:ascii="宋体" w:hAnsi="宋体"/>
          <w:color w:val="auto"/>
          <w:kern w:val="0"/>
          <w:szCs w:val="20"/>
        </w:rPr>
      </w:pPr>
    </w:p>
    <w:p w14:paraId="634CBBBD">
      <w:pPr>
        <w:adjustRightInd w:val="0"/>
        <w:spacing w:line="312" w:lineRule="atLeast"/>
        <w:jc w:val="center"/>
        <w:textAlignment w:val="baseline"/>
        <w:rPr>
          <w:rFonts w:hint="eastAsia" w:ascii="宋体" w:hAnsi="宋体" w:eastAsia="宋体"/>
          <w:color w:val="auto"/>
          <w:spacing w:val="-30"/>
          <w:kern w:val="0"/>
          <w:sz w:val="32"/>
          <w:szCs w:val="20"/>
          <w:lang w:eastAsia="zh-CN"/>
        </w:rPr>
      </w:pPr>
      <w:r>
        <w:rPr>
          <w:rFonts w:hint="eastAsia" w:ascii="宋体" w:hAnsi="宋体"/>
          <w:b/>
          <w:color w:val="auto"/>
          <w:spacing w:val="-30"/>
          <w:kern w:val="52"/>
          <w:sz w:val="64"/>
          <w:szCs w:val="64"/>
        </w:rPr>
        <w:t xml:space="preserve"> </w:t>
      </w:r>
      <w:r>
        <w:rPr>
          <w:rFonts w:hint="eastAsia" w:ascii="宋体" w:hAnsi="宋体"/>
          <w:b/>
          <w:color w:val="auto"/>
          <w:spacing w:val="-30"/>
          <w:kern w:val="52"/>
          <w:sz w:val="64"/>
          <w:szCs w:val="64"/>
          <w:lang w:eastAsia="zh-CN"/>
        </w:rPr>
        <w:t>广西云泽项目管理有限公司</w:t>
      </w:r>
    </w:p>
    <w:p w14:paraId="07C66EDA">
      <w:pPr>
        <w:autoSpaceDE w:val="0"/>
        <w:autoSpaceDN w:val="0"/>
        <w:spacing w:line="360" w:lineRule="auto"/>
        <w:jc w:val="center"/>
        <w:rPr>
          <w:rFonts w:ascii="宋体" w:hAnsi="宋体"/>
          <w:color w:val="auto"/>
          <w:sz w:val="90"/>
        </w:rPr>
      </w:pPr>
    </w:p>
    <w:p w14:paraId="11ADC307">
      <w:pPr>
        <w:autoSpaceDE w:val="0"/>
        <w:autoSpaceDN w:val="0"/>
        <w:spacing w:line="360" w:lineRule="auto"/>
        <w:jc w:val="center"/>
        <w:rPr>
          <w:rFonts w:ascii="宋体" w:hAnsi="宋体"/>
          <w:color w:val="auto"/>
          <w:sz w:val="90"/>
        </w:rPr>
      </w:pPr>
      <w:r>
        <w:rPr>
          <w:rFonts w:hint="eastAsia" w:ascii="宋体" w:hAnsi="宋体"/>
          <w:color w:val="auto"/>
          <w:sz w:val="70"/>
          <w:szCs w:val="70"/>
        </w:rPr>
        <w:t>竞争性磋商文件</w:t>
      </w:r>
    </w:p>
    <w:p w14:paraId="2D156E96">
      <w:pPr>
        <w:spacing w:line="360" w:lineRule="auto"/>
        <w:jc w:val="center"/>
        <w:rPr>
          <w:rFonts w:ascii="宋体" w:hAnsi="宋体"/>
          <w:b/>
          <w:bCs/>
          <w:color w:val="auto"/>
          <w:sz w:val="36"/>
          <w:szCs w:val="36"/>
          <w:u w:val="single"/>
        </w:rPr>
      </w:pPr>
    </w:p>
    <w:p w14:paraId="390293C8">
      <w:pPr>
        <w:pStyle w:val="69"/>
        <w:rPr>
          <w:rFonts w:ascii="宋体" w:hAnsi="宋体"/>
          <w:b/>
          <w:bCs/>
          <w:color w:val="auto"/>
          <w:sz w:val="36"/>
          <w:szCs w:val="36"/>
          <w:u w:val="single"/>
        </w:rPr>
      </w:pPr>
    </w:p>
    <w:p w14:paraId="040C6D82">
      <w:pPr>
        <w:pStyle w:val="70"/>
        <w:rPr>
          <w:rFonts w:ascii="宋体" w:hAnsi="宋体"/>
          <w:b/>
          <w:bCs/>
          <w:color w:val="auto"/>
          <w:sz w:val="36"/>
          <w:szCs w:val="36"/>
          <w:u w:val="single"/>
        </w:rPr>
      </w:pPr>
    </w:p>
    <w:p w14:paraId="3C0FA3AC">
      <w:pPr>
        <w:rPr>
          <w:rFonts w:ascii="宋体" w:hAnsi="宋体"/>
          <w:b/>
          <w:bCs/>
          <w:color w:val="auto"/>
          <w:sz w:val="36"/>
          <w:szCs w:val="36"/>
          <w:u w:val="single"/>
        </w:rPr>
      </w:pPr>
    </w:p>
    <w:p w14:paraId="09796EE8">
      <w:pPr>
        <w:pStyle w:val="69"/>
        <w:rPr>
          <w:color w:val="auto"/>
        </w:rPr>
      </w:pPr>
    </w:p>
    <w:p w14:paraId="513E809D">
      <w:pPr>
        <w:spacing w:line="360" w:lineRule="auto"/>
        <w:jc w:val="center"/>
        <w:rPr>
          <w:rFonts w:ascii="宋体" w:hAnsi="宋体"/>
          <w:b/>
          <w:color w:val="auto"/>
          <w:sz w:val="32"/>
          <w:szCs w:val="32"/>
        </w:rPr>
      </w:pPr>
    </w:p>
    <w:p w14:paraId="11B16608">
      <w:pPr>
        <w:spacing w:line="360" w:lineRule="auto"/>
        <w:ind w:left="2662" w:leftChars="506" w:hanging="1600" w:hangingChars="500"/>
        <w:jc w:val="left"/>
        <w:rPr>
          <w:rFonts w:hint="eastAsia" w:ascii="宋体" w:hAnsi="宋体" w:eastAsia="宋体"/>
          <w:b/>
          <w:color w:val="auto"/>
          <w:sz w:val="32"/>
          <w:szCs w:val="32"/>
          <w:lang w:eastAsia="zh-CN"/>
        </w:rPr>
      </w:pPr>
      <w:r>
        <w:rPr>
          <w:rFonts w:hint="eastAsia" w:ascii="宋体" w:hAnsi="宋体"/>
          <w:b/>
          <w:color w:val="auto"/>
          <w:sz w:val="32"/>
          <w:szCs w:val="32"/>
        </w:rPr>
        <w:t>项目名称：</w:t>
      </w:r>
      <w:r>
        <w:rPr>
          <w:rFonts w:hint="eastAsia" w:ascii="宋体" w:hAnsi="宋体"/>
          <w:b/>
          <w:color w:val="auto"/>
          <w:sz w:val="32"/>
          <w:szCs w:val="32"/>
          <w:lang w:eastAsia="zh-CN"/>
        </w:rPr>
        <w:t>贺州市平桂区金桂嘉园小区消防整改验收工程</w:t>
      </w:r>
    </w:p>
    <w:p w14:paraId="38C02952">
      <w:pPr>
        <w:spacing w:line="360" w:lineRule="auto"/>
        <w:ind w:left="105" w:leftChars="50" w:firstLine="960" w:firstLineChars="300"/>
        <w:jc w:val="left"/>
        <w:rPr>
          <w:rFonts w:hint="eastAsia" w:ascii="宋体" w:hAnsi="宋体" w:eastAsia="宋体"/>
          <w:b/>
          <w:color w:val="auto"/>
          <w:sz w:val="32"/>
          <w:szCs w:val="32"/>
          <w:lang w:eastAsia="zh-CN"/>
        </w:rPr>
      </w:pPr>
      <w:r>
        <w:rPr>
          <w:rFonts w:hint="eastAsia" w:ascii="宋体" w:hAnsi="宋体"/>
          <w:b/>
          <w:color w:val="auto"/>
          <w:sz w:val="32"/>
          <w:szCs w:val="32"/>
        </w:rPr>
        <w:t>项目编号：</w:t>
      </w:r>
      <w:r>
        <w:rPr>
          <w:rFonts w:hint="eastAsia" w:ascii="宋体" w:hAnsi="宋体"/>
          <w:b/>
          <w:color w:val="auto"/>
          <w:sz w:val="32"/>
          <w:szCs w:val="32"/>
          <w:lang w:eastAsia="zh-CN"/>
        </w:rPr>
        <w:t>HZZC2026-C2-030043-GXYZ</w:t>
      </w:r>
    </w:p>
    <w:p w14:paraId="79E6120F">
      <w:pPr>
        <w:spacing w:line="360" w:lineRule="auto"/>
        <w:jc w:val="left"/>
        <w:rPr>
          <w:rFonts w:ascii="宋体" w:hAnsi="宋体"/>
          <w:b/>
          <w:color w:val="auto"/>
          <w:sz w:val="32"/>
          <w:szCs w:val="32"/>
          <w:u w:val="double"/>
        </w:rPr>
      </w:pPr>
    </w:p>
    <w:p w14:paraId="2422B5D1">
      <w:pPr>
        <w:spacing w:line="360" w:lineRule="auto"/>
        <w:jc w:val="left"/>
        <w:rPr>
          <w:rFonts w:ascii="宋体" w:hAnsi="宋体"/>
          <w:b/>
          <w:color w:val="auto"/>
          <w:sz w:val="32"/>
          <w:szCs w:val="32"/>
          <w:u w:val="double"/>
        </w:rPr>
      </w:pPr>
    </w:p>
    <w:p w14:paraId="67A33071">
      <w:pPr>
        <w:rPr>
          <w:rFonts w:ascii="宋体" w:hAnsi="宋体"/>
          <w:color w:val="auto"/>
          <w:sz w:val="28"/>
          <w:szCs w:val="28"/>
        </w:rPr>
      </w:pPr>
      <w:r>
        <w:rPr>
          <w:rFonts w:ascii="宋体" w:hAnsi="宋体"/>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800100</wp:posOffset>
                </wp:positionH>
                <wp:positionV relativeFrom="paragraph">
                  <wp:posOffset>99060</wp:posOffset>
                </wp:positionV>
                <wp:extent cx="4114800" cy="0"/>
                <wp:effectExtent l="0" t="4445" r="0" b="5080"/>
                <wp:wrapNone/>
                <wp:docPr id="1" name="直线 79"/>
                <wp:cNvGraphicFramePr/>
                <a:graphic xmlns:a="http://schemas.openxmlformats.org/drawingml/2006/main">
                  <a:graphicData uri="http://schemas.microsoft.com/office/word/2010/wordprocessingShape">
                    <wps:wsp>
                      <wps:cNvCnPr/>
                      <wps:spPr>
                        <a:xfrm>
                          <a:off x="0" y="0"/>
                          <a:ext cx="41148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79" o:spid="_x0000_s1026" o:spt="20" style="position:absolute;left:0pt;margin-left:63pt;margin-top:7.8pt;height:0pt;width:324pt;z-index:251659264;mso-width-relative:page;mso-height-relative:page;" filled="f" stroked="t" coordsize="21600,21600" o:gfxdata="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cQ&#10;p2HUAAAACQEAAA8AAAAAAAAAAQAgAAAAIgAAAGRycy9kb3ducmV2LnhtbFBLAQIUABQAAAAIAIdO&#10;4kCe+qcT7gEAAOoDAAAOAAAAAAAAAAEAIAAAACMBAABkcnMvZTJvRG9jLnhtbFBLBQYAAAAABgAG&#10;AFkBAACDBQAAAAA=&#10;">
                <v:fill on="f" focussize="0,0"/>
                <v:stroke color="#000000" joinstyle="round"/>
                <v:imagedata o:title=""/>
                <o:lock v:ext="edit" aspectratio="f"/>
              </v:line>
            </w:pict>
          </mc:Fallback>
        </mc:AlternateContent>
      </w:r>
    </w:p>
    <w:p w14:paraId="01B0A1DC">
      <w:pPr>
        <w:spacing w:line="560" w:lineRule="exact"/>
        <w:jc w:val="center"/>
        <w:rPr>
          <w:rFonts w:hint="eastAsia" w:ascii="宋体" w:hAnsi="宋体" w:eastAsia="宋体"/>
          <w:b/>
          <w:color w:val="auto"/>
          <w:spacing w:val="-10"/>
          <w:sz w:val="32"/>
          <w:szCs w:val="32"/>
          <w:lang w:eastAsia="zh-CN"/>
        </w:rPr>
      </w:pPr>
      <w:r>
        <w:rPr>
          <w:rFonts w:hint="eastAsia" w:ascii="宋体" w:hAnsi="宋体"/>
          <w:b/>
          <w:color w:val="auto"/>
          <w:spacing w:val="20"/>
          <w:sz w:val="32"/>
          <w:szCs w:val="32"/>
        </w:rPr>
        <w:t>采 购 单 位</w:t>
      </w:r>
      <w:r>
        <w:rPr>
          <w:rFonts w:hint="eastAsia" w:ascii="宋体" w:hAnsi="宋体"/>
          <w:b/>
          <w:color w:val="auto"/>
          <w:sz w:val="32"/>
          <w:szCs w:val="32"/>
        </w:rPr>
        <w:t>：</w:t>
      </w:r>
      <w:r>
        <w:rPr>
          <w:rFonts w:hint="eastAsia" w:ascii="宋体" w:hAnsi="宋体"/>
          <w:b/>
          <w:color w:val="auto"/>
          <w:sz w:val="32"/>
          <w:szCs w:val="32"/>
          <w:lang w:eastAsia="zh-CN"/>
        </w:rPr>
        <w:t>贺州市平桂区住房和城乡建设局</w:t>
      </w:r>
    </w:p>
    <w:p w14:paraId="338444F1">
      <w:pPr>
        <w:adjustRightInd w:val="0"/>
        <w:spacing w:line="312" w:lineRule="atLeast"/>
        <w:jc w:val="center"/>
        <w:textAlignment w:val="baseline"/>
        <w:rPr>
          <w:rFonts w:hint="eastAsia" w:ascii="宋体" w:hAnsi="宋体" w:eastAsia="宋体"/>
          <w:b/>
          <w:color w:val="auto"/>
          <w:spacing w:val="18"/>
          <w:kern w:val="0"/>
          <w:sz w:val="32"/>
          <w:szCs w:val="32"/>
          <w:lang w:eastAsia="zh-CN"/>
        </w:rPr>
      </w:pPr>
      <w:r>
        <w:rPr>
          <w:rFonts w:hint="eastAsia" w:ascii="宋体" w:hAnsi="宋体"/>
          <w:b/>
          <w:color w:val="auto"/>
          <w:kern w:val="0"/>
          <w:sz w:val="32"/>
          <w:szCs w:val="32"/>
        </w:rPr>
        <w:t>采购代理机构：</w:t>
      </w:r>
      <w:r>
        <w:rPr>
          <w:rFonts w:hint="eastAsia" w:ascii="宋体" w:hAnsi="宋体"/>
          <w:b/>
          <w:color w:val="auto"/>
          <w:spacing w:val="18"/>
          <w:kern w:val="0"/>
          <w:sz w:val="32"/>
          <w:szCs w:val="32"/>
          <w:lang w:eastAsia="zh-CN"/>
        </w:rPr>
        <w:t>广西云泽项目管理有限公司</w:t>
      </w:r>
    </w:p>
    <w:p w14:paraId="1DC73787">
      <w:pPr>
        <w:adjustRightInd w:val="0"/>
        <w:spacing w:line="312" w:lineRule="atLeast"/>
        <w:jc w:val="center"/>
        <w:textAlignment w:val="baseline"/>
        <w:rPr>
          <w:rFonts w:hint="default" w:ascii="宋体" w:hAnsi="宋体" w:eastAsia="宋体"/>
          <w:b/>
          <w:color w:val="auto"/>
          <w:kern w:val="0"/>
          <w:sz w:val="32"/>
          <w:szCs w:val="32"/>
          <w:lang w:val="en-US" w:eastAsia="zh-CN"/>
        </w:rPr>
      </w:pPr>
      <w:r>
        <w:rPr>
          <w:rFonts w:hint="eastAsia" w:ascii="宋体" w:hAnsi="宋体"/>
          <w:b/>
          <w:color w:val="auto"/>
          <w:kern w:val="0"/>
          <w:sz w:val="32"/>
          <w:szCs w:val="32"/>
          <w:lang w:eastAsia="zh-CN"/>
        </w:rPr>
        <w:t>202</w:t>
      </w:r>
      <w:r>
        <w:rPr>
          <w:rFonts w:hint="eastAsia" w:ascii="宋体" w:hAnsi="宋体"/>
          <w:b/>
          <w:color w:val="auto"/>
          <w:kern w:val="0"/>
          <w:sz w:val="32"/>
          <w:szCs w:val="32"/>
          <w:lang w:val="en-US" w:eastAsia="zh-CN"/>
        </w:rPr>
        <w:t>6</w:t>
      </w:r>
      <w:r>
        <w:rPr>
          <w:rFonts w:hint="eastAsia" w:ascii="宋体" w:hAnsi="宋体"/>
          <w:b/>
          <w:color w:val="auto"/>
          <w:kern w:val="0"/>
          <w:sz w:val="32"/>
          <w:szCs w:val="32"/>
          <w:lang w:eastAsia="zh-CN"/>
        </w:rPr>
        <w:t>年0</w:t>
      </w:r>
      <w:r>
        <w:rPr>
          <w:rFonts w:hint="eastAsia" w:ascii="宋体" w:hAnsi="宋体"/>
          <w:b/>
          <w:color w:val="auto"/>
          <w:kern w:val="0"/>
          <w:sz w:val="32"/>
          <w:szCs w:val="32"/>
          <w:lang w:val="en-US" w:eastAsia="zh-CN"/>
        </w:rPr>
        <w:t>8</w:t>
      </w:r>
      <w:r>
        <w:rPr>
          <w:rFonts w:hint="eastAsia" w:ascii="宋体" w:hAnsi="宋体"/>
          <w:b/>
          <w:color w:val="auto"/>
          <w:kern w:val="0"/>
          <w:sz w:val="32"/>
          <w:szCs w:val="32"/>
          <w:lang w:eastAsia="zh-CN"/>
        </w:rPr>
        <w:t>月</w:t>
      </w:r>
    </w:p>
    <w:p w14:paraId="038CDD5B">
      <w:pPr>
        <w:pStyle w:val="24"/>
        <w:spacing w:line="600" w:lineRule="auto"/>
        <w:jc w:val="center"/>
        <w:rPr>
          <w:rFonts w:hAnsi="宋体"/>
          <w:b/>
          <w:color w:val="auto"/>
          <w:sz w:val="44"/>
          <w:szCs w:val="44"/>
        </w:rPr>
        <w:sectPr>
          <w:headerReference r:id="rId4" w:type="first"/>
          <w:headerReference r:id="rId3" w:type="default"/>
          <w:footerReference r:id="rId5" w:type="default"/>
          <w:footerReference r:id="rId6" w:type="even"/>
          <w:pgSz w:w="11907" w:h="16840"/>
          <w:pgMar w:top="1247" w:right="1000" w:bottom="1247" w:left="1247" w:header="851" w:footer="892" w:gutter="0"/>
          <w:cols w:space="720" w:num="1"/>
          <w:titlePg/>
          <w:docGrid w:type="linesAndChars" w:linePitch="312" w:charSpace="0"/>
        </w:sectPr>
      </w:pPr>
    </w:p>
    <w:sdt>
      <w:sdtPr>
        <w:rPr>
          <w:rFonts w:ascii="宋体" w:hAnsi="宋体" w:eastAsia="宋体" w:cs="Times New Roman"/>
          <w:b/>
          <w:bCs/>
          <w:color w:val="auto"/>
          <w:kern w:val="2"/>
          <w:sz w:val="36"/>
          <w:szCs w:val="44"/>
          <w:lang w:val="en-US" w:eastAsia="zh-CN" w:bidi="ar-SA"/>
        </w:rPr>
        <w:id w:val="147454257"/>
        <w15:color w:val="DBDBDB"/>
        <w:docPartObj>
          <w:docPartGallery w:val="Table of Contents"/>
          <w:docPartUnique/>
        </w:docPartObj>
      </w:sdtPr>
      <w:sdtEndPr>
        <w:rPr>
          <w:rFonts w:ascii="宋体" w:hAnsi="宋体" w:eastAsia="宋体" w:cs="Times New Roman"/>
          <w:b/>
          <w:bCs/>
          <w:color w:val="auto"/>
          <w:kern w:val="2"/>
          <w:sz w:val="36"/>
          <w:szCs w:val="44"/>
          <w:lang w:val="en-US" w:eastAsia="zh-CN" w:bidi="ar-SA"/>
        </w:rPr>
      </w:sdtEndPr>
      <w:sdtContent>
        <w:p w14:paraId="777548F8">
          <w:pPr>
            <w:spacing w:before="0" w:beforeLines="0" w:after="0" w:afterLines="0" w:line="240" w:lineRule="auto"/>
            <w:ind w:left="0" w:leftChars="0" w:right="0" w:rightChars="0" w:firstLine="0" w:firstLineChars="0"/>
            <w:jc w:val="center"/>
            <w:rPr>
              <w:rFonts w:ascii="宋体" w:hAnsi="宋体" w:eastAsia="宋体"/>
              <w:b/>
              <w:bCs/>
              <w:color w:val="auto"/>
              <w:sz w:val="36"/>
              <w:szCs w:val="44"/>
            </w:rPr>
          </w:pPr>
          <w:r>
            <w:rPr>
              <w:rFonts w:ascii="宋体" w:hAnsi="宋体" w:eastAsia="宋体"/>
              <w:b/>
              <w:bCs/>
              <w:color w:val="auto"/>
              <w:sz w:val="36"/>
              <w:szCs w:val="44"/>
            </w:rPr>
            <w:t>目录</w:t>
          </w:r>
        </w:p>
        <w:p w14:paraId="6687A764">
          <w:pPr>
            <w:spacing w:before="0" w:beforeLines="0" w:after="0" w:afterLines="0" w:line="240" w:lineRule="auto"/>
            <w:ind w:left="0" w:leftChars="0" w:right="0" w:rightChars="0" w:firstLine="0" w:firstLineChars="0"/>
            <w:jc w:val="center"/>
            <w:rPr>
              <w:rFonts w:ascii="宋体" w:hAnsi="宋体" w:eastAsia="宋体"/>
              <w:b/>
              <w:bCs/>
              <w:color w:val="auto"/>
              <w:sz w:val="36"/>
              <w:szCs w:val="44"/>
            </w:rPr>
          </w:pPr>
        </w:p>
        <w:p w14:paraId="3338D09D">
          <w:pPr>
            <w:pStyle w:val="32"/>
            <w:tabs>
              <w:tab w:val="right" w:leader="dot" w:pos="9922"/>
              <w:tab w:val="clear" w:pos="0"/>
              <w:tab w:val="clear" w:pos="9435"/>
            </w:tabs>
            <w:spacing w:line="600" w:lineRule="auto"/>
            <w:rPr>
              <w:b/>
              <w:bCs/>
              <w:color w:val="auto"/>
            </w:rPr>
          </w:pPr>
          <w:r>
            <w:rPr>
              <w:color w:val="auto"/>
            </w:rPr>
            <w:fldChar w:fldCharType="begin"/>
          </w:r>
          <w:r>
            <w:rPr>
              <w:color w:val="auto"/>
            </w:rPr>
            <w:instrText xml:space="preserve">TOC \o "1-2" \h \u </w:instrText>
          </w:r>
          <w:r>
            <w:rPr>
              <w:color w:val="auto"/>
            </w:rPr>
            <w:fldChar w:fldCharType="separate"/>
          </w:r>
          <w:r>
            <w:rPr>
              <w:b/>
              <w:bCs/>
              <w:color w:val="auto"/>
            </w:rPr>
            <w:fldChar w:fldCharType="begin"/>
          </w:r>
          <w:r>
            <w:rPr>
              <w:b/>
              <w:bCs/>
              <w:color w:val="auto"/>
            </w:rPr>
            <w:instrText xml:space="preserve"> HYPERLINK \l _Toc20577 </w:instrText>
          </w:r>
          <w:r>
            <w:rPr>
              <w:b/>
              <w:bCs/>
              <w:color w:val="auto"/>
            </w:rPr>
            <w:fldChar w:fldCharType="separate"/>
          </w:r>
          <w:r>
            <w:rPr>
              <w:rFonts w:hint="eastAsia" w:hAnsi="宋体"/>
              <w:b/>
              <w:bCs/>
              <w:color w:val="auto"/>
              <w:szCs w:val="32"/>
            </w:rPr>
            <w:t>第一章 竞争性磋商公告</w:t>
          </w:r>
          <w:r>
            <w:rPr>
              <w:b/>
              <w:bCs/>
              <w:color w:val="auto"/>
            </w:rPr>
            <w:tab/>
          </w:r>
          <w:r>
            <w:rPr>
              <w:b/>
              <w:bCs/>
              <w:color w:val="auto"/>
            </w:rPr>
            <w:fldChar w:fldCharType="begin"/>
          </w:r>
          <w:r>
            <w:rPr>
              <w:b/>
              <w:bCs/>
              <w:color w:val="auto"/>
            </w:rPr>
            <w:instrText xml:space="preserve"> PAGEREF _Toc20577 \h </w:instrText>
          </w:r>
          <w:r>
            <w:rPr>
              <w:b/>
              <w:bCs/>
              <w:color w:val="auto"/>
            </w:rPr>
            <w:fldChar w:fldCharType="separate"/>
          </w:r>
          <w:r>
            <w:rPr>
              <w:b/>
              <w:bCs/>
              <w:color w:val="auto"/>
            </w:rPr>
            <w:t>1</w:t>
          </w:r>
          <w:r>
            <w:rPr>
              <w:b/>
              <w:bCs/>
              <w:color w:val="auto"/>
            </w:rPr>
            <w:fldChar w:fldCharType="end"/>
          </w:r>
          <w:r>
            <w:rPr>
              <w:b/>
              <w:bCs/>
              <w:color w:val="auto"/>
            </w:rPr>
            <w:fldChar w:fldCharType="end"/>
          </w:r>
        </w:p>
        <w:p w14:paraId="46BC03C7">
          <w:pPr>
            <w:pStyle w:val="32"/>
            <w:tabs>
              <w:tab w:val="right" w:leader="dot" w:pos="9922"/>
              <w:tab w:val="clear" w:pos="0"/>
              <w:tab w:val="clear" w:pos="9435"/>
            </w:tabs>
            <w:spacing w:line="600" w:lineRule="auto"/>
            <w:rPr>
              <w:color w:val="auto"/>
            </w:rPr>
          </w:pPr>
          <w:r>
            <w:rPr>
              <w:b/>
              <w:bCs/>
              <w:color w:val="auto"/>
            </w:rPr>
            <w:fldChar w:fldCharType="begin"/>
          </w:r>
          <w:r>
            <w:rPr>
              <w:b/>
              <w:bCs/>
              <w:color w:val="auto"/>
            </w:rPr>
            <w:instrText xml:space="preserve"> HYPERLINK \l _Toc32765 </w:instrText>
          </w:r>
          <w:r>
            <w:rPr>
              <w:b/>
              <w:bCs/>
              <w:color w:val="auto"/>
            </w:rPr>
            <w:fldChar w:fldCharType="separate"/>
          </w:r>
          <w:r>
            <w:rPr>
              <w:rFonts w:hint="eastAsia" w:hAnsi="宋体"/>
              <w:b/>
              <w:bCs/>
              <w:color w:val="auto"/>
              <w:szCs w:val="28"/>
            </w:rPr>
            <w:t>第二章 磋商供应商须知及前附表</w:t>
          </w:r>
          <w:r>
            <w:rPr>
              <w:b/>
              <w:bCs/>
              <w:color w:val="auto"/>
            </w:rPr>
            <w:tab/>
          </w:r>
          <w:r>
            <w:rPr>
              <w:b/>
              <w:bCs/>
              <w:color w:val="auto"/>
            </w:rPr>
            <w:fldChar w:fldCharType="begin"/>
          </w:r>
          <w:r>
            <w:rPr>
              <w:b/>
              <w:bCs/>
              <w:color w:val="auto"/>
            </w:rPr>
            <w:instrText xml:space="preserve"> PAGEREF _Toc32765 \h </w:instrText>
          </w:r>
          <w:r>
            <w:rPr>
              <w:b/>
              <w:bCs/>
              <w:color w:val="auto"/>
            </w:rPr>
            <w:fldChar w:fldCharType="separate"/>
          </w:r>
          <w:r>
            <w:rPr>
              <w:b/>
              <w:bCs/>
              <w:color w:val="auto"/>
            </w:rPr>
            <w:t>5</w:t>
          </w:r>
          <w:r>
            <w:rPr>
              <w:b/>
              <w:bCs/>
              <w:color w:val="auto"/>
            </w:rPr>
            <w:fldChar w:fldCharType="end"/>
          </w:r>
          <w:r>
            <w:rPr>
              <w:b/>
              <w:bCs/>
              <w:color w:val="auto"/>
            </w:rPr>
            <w:fldChar w:fldCharType="end"/>
          </w:r>
        </w:p>
        <w:p w14:paraId="36042AE0">
          <w:pPr>
            <w:pStyle w:val="32"/>
            <w:tabs>
              <w:tab w:val="right" w:leader="dot" w:pos="9922"/>
              <w:tab w:val="clear" w:pos="0"/>
              <w:tab w:val="clear" w:pos="9435"/>
            </w:tabs>
            <w:spacing w:line="600" w:lineRule="auto"/>
            <w:rPr>
              <w:b/>
              <w:bCs/>
              <w:color w:val="auto"/>
            </w:rPr>
          </w:pPr>
          <w:r>
            <w:rPr>
              <w:b/>
              <w:bCs/>
              <w:color w:val="auto"/>
            </w:rPr>
            <w:fldChar w:fldCharType="begin"/>
          </w:r>
          <w:r>
            <w:rPr>
              <w:b/>
              <w:bCs/>
              <w:color w:val="auto"/>
            </w:rPr>
            <w:instrText xml:space="preserve"> HYPERLINK \l _Toc19499 </w:instrText>
          </w:r>
          <w:r>
            <w:rPr>
              <w:b/>
              <w:bCs/>
              <w:color w:val="auto"/>
            </w:rPr>
            <w:fldChar w:fldCharType="separate"/>
          </w:r>
          <w:r>
            <w:rPr>
              <w:rFonts w:hAnsi="宋体"/>
              <w:b/>
              <w:bCs/>
              <w:color w:val="auto"/>
              <w:szCs w:val="28"/>
            </w:rPr>
            <w:t>第</w:t>
          </w:r>
          <w:r>
            <w:rPr>
              <w:rFonts w:hint="eastAsia" w:hAnsi="宋体"/>
              <w:b/>
              <w:bCs/>
              <w:color w:val="auto"/>
              <w:szCs w:val="28"/>
            </w:rPr>
            <w:t>三</w:t>
          </w:r>
          <w:r>
            <w:rPr>
              <w:rFonts w:hAnsi="宋体"/>
              <w:b/>
              <w:bCs/>
              <w:color w:val="auto"/>
              <w:szCs w:val="28"/>
            </w:rPr>
            <w:t>章  合同条款及格式</w:t>
          </w:r>
          <w:r>
            <w:rPr>
              <w:b/>
              <w:bCs/>
              <w:color w:val="auto"/>
            </w:rPr>
            <w:tab/>
          </w:r>
          <w:r>
            <w:rPr>
              <w:b/>
              <w:bCs/>
              <w:color w:val="auto"/>
            </w:rPr>
            <w:fldChar w:fldCharType="begin"/>
          </w:r>
          <w:r>
            <w:rPr>
              <w:b/>
              <w:bCs/>
              <w:color w:val="auto"/>
            </w:rPr>
            <w:instrText xml:space="preserve"> PAGEREF _Toc19499 \h </w:instrText>
          </w:r>
          <w:r>
            <w:rPr>
              <w:b/>
              <w:bCs/>
              <w:color w:val="auto"/>
            </w:rPr>
            <w:fldChar w:fldCharType="separate"/>
          </w:r>
          <w:r>
            <w:rPr>
              <w:b/>
              <w:bCs/>
              <w:color w:val="auto"/>
            </w:rPr>
            <w:t>24</w:t>
          </w:r>
          <w:r>
            <w:rPr>
              <w:b/>
              <w:bCs/>
              <w:color w:val="auto"/>
            </w:rPr>
            <w:fldChar w:fldCharType="end"/>
          </w:r>
          <w:r>
            <w:rPr>
              <w:b/>
              <w:bCs/>
              <w:color w:val="auto"/>
            </w:rPr>
            <w:fldChar w:fldCharType="end"/>
          </w:r>
        </w:p>
        <w:p w14:paraId="7DBA8BC1">
          <w:pPr>
            <w:pStyle w:val="32"/>
            <w:tabs>
              <w:tab w:val="right" w:leader="dot" w:pos="9922"/>
              <w:tab w:val="clear" w:pos="0"/>
              <w:tab w:val="clear" w:pos="9435"/>
            </w:tabs>
            <w:spacing w:line="600" w:lineRule="auto"/>
            <w:rPr>
              <w:b/>
              <w:bCs/>
              <w:color w:val="auto"/>
            </w:rPr>
          </w:pPr>
          <w:r>
            <w:rPr>
              <w:b/>
              <w:bCs/>
              <w:color w:val="auto"/>
            </w:rPr>
            <w:fldChar w:fldCharType="begin"/>
          </w:r>
          <w:r>
            <w:rPr>
              <w:b/>
              <w:bCs/>
              <w:color w:val="auto"/>
            </w:rPr>
            <w:instrText xml:space="preserve"> HYPERLINK \l _Toc2689 </w:instrText>
          </w:r>
          <w:r>
            <w:rPr>
              <w:b/>
              <w:bCs/>
              <w:color w:val="auto"/>
            </w:rPr>
            <w:fldChar w:fldCharType="separate"/>
          </w:r>
          <w:r>
            <w:rPr>
              <w:rFonts w:hint="eastAsia" w:hAnsi="宋体"/>
              <w:b/>
              <w:bCs/>
              <w:color w:val="auto"/>
              <w:szCs w:val="28"/>
            </w:rPr>
            <w:t>第四章</w:t>
          </w:r>
          <w:r>
            <w:rPr>
              <w:rFonts w:hint="eastAsia" w:ascii="宋体" w:hAnsi="宋体"/>
              <w:b/>
              <w:bCs/>
              <w:color w:val="auto"/>
              <w:szCs w:val="32"/>
            </w:rPr>
            <w:t xml:space="preserve"> </w:t>
          </w:r>
          <w:r>
            <w:rPr>
              <w:rFonts w:hint="eastAsia" w:hAnsi="宋体"/>
              <w:b/>
              <w:bCs/>
              <w:color w:val="auto"/>
              <w:szCs w:val="28"/>
            </w:rPr>
            <w:t>工程量清单</w:t>
          </w:r>
          <w:r>
            <w:rPr>
              <w:b/>
              <w:bCs/>
              <w:color w:val="auto"/>
            </w:rPr>
            <w:tab/>
          </w:r>
          <w:r>
            <w:rPr>
              <w:b/>
              <w:bCs/>
              <w:color w:val="auto"/>
            </w:rPr>
            <w:fldChar w:fldCharType="begin"/>
          </w:r>
          <w:r>
            <w:rPr>
              <w:b/>
              <w:bCs/>
              <w:color w:val="auto"/>
            </w:rPr>
            <w:instrText xml:space="preserve"> PAGEREF _Toc2689 \h </w:instrText>
          </w:r>
          <w:r>
            <w:rPr>
              <w:b/>
              <w:bCs/>
              <w:color w:val="auto"/>
            </w:rPr>
            <w:fldChar w:fldCharType="separate"/>
          </w:r>
          <w:r>
            <w:rPr>
              <w:b/>
              <w:bCs/>
              <w:color w:val="auto"/>
            </w:rPr>
            <w:t>79</w:t>
          </w:r>
          <w:r>
            <w:rPr>
              <w:b/>
              <w:bCs/>
              <w:color w:val="auto"/>
            </w:rPr>
            <w:fldChar w:fldCharType="end"/>
          </w:r>
          <w:r>
            <w:rPr>
              <w:b/>
              <w:bCs/>
              <w:color w:val="auto"/>
            </w:rPr>
            <w:fldChar w:fldCharType="end"/>
          </w:r>
        </w:p>
        <w:p w14:paraId="641FF239">
          <w:pPr>
            <w:pStyle w:val="32"/>
            <w:tabs>
              <w:tab w:val="right" w:leader="dot" w:pos="9922"/>
              <w:tab w:val="clear" w:pos="0"/>
              <w:tab w:val="clear" w:pos="9435"/>
            </w:tabs>
            <w:spacing w:line="600" w:lineRule="auto"/>
            <w:rPr>
              <w:b/>
              <w:bCs/>
              <w:color w:val="auto"/>
            </w:rPr>
          </w:pPr>
          <w:r>
            <w:rPr>
              <w:b/>
              <w:bCs/>
              <w:color w:val="auto"/>
            </w:rPr>
            <w:fldChar w:fldCharType="begin"/>
          </w:r>
          <w:r>
            <w:rPr>
              <w:b/>
              <w:bCs/>
              <w:color w:val="auto"/>
            </w:rPr>
            <w:instrText xml:space="preserve"> HYPERLINK \l _Toc6150 </w:instrText>
          </w:r>
          <w:r>
            <w:rPr>
              <w:b/>
              <w:bCs/>
              <w:color w:val="auto"/>
            </w:rPr>
            <w:fldChar w:fldCharType="separate"/>
          </w:r>
          <w:r>
            <w:rPr>
              <w:rFonts w:hint="eastAsia" w:hAnsi="宋体"/>
              <w:b/>
              <w:bCs/>
              <w:color w:val="auto"/>
              <w:szCs w:val="28"/>
            </w:rPr>
            <w:t>第五章  图纸</w:t>
          </w:r>
          <w:r>
            <w:rPr>
              <w:b/>
              <w:bCs/>
              <w:color w:val="auto"/>
            </w:rPr>
            <w:tab/>
          </w:r>
          <w:r>
            <w:rPr>
              <w:b/>
              <w:bCs/>
              <w:color w:val="auto"/>
            </w:rPr>
            <w:fldChar w:fldCharType="begin"/>
          </w:r>
          <w:r>
            <w:rPr>
              <w:b/>
              <w:bCs/>
              <w:color w:val="auto"/>
            </w:rPr>
            <w:instrText xml:space="preserve"> PAGEREF _Toc6150 \h </w:instrText>
          </w:r>
          <w:r>
            <w:rPr>
              <w:b/>
              <w:bCs/>
              <w:color w:val="auto"/>
            </w:rPr>
            <w:fldChar w:fldCharType="separate"/>
          </w:r>
          <w:r>
            <w:rPr>
              <w:b/>
              <w:bCs/>
              <w:color w:val="auto"/>
            </w:rPr>
            <w:t>80</w:t>
          </w:r>
          <w:r>
            <w:rPr>
              <w:b/>
              <w:bCs/>
              <w:color w:val="auto"/>
            </w:rPr>
            <w:fldChar w:fldCharType="end"/>
          </w:r>
          <w:r>
            <w:rPr>
              <w:b/>
              <w:bCs/>
              <w:color w:val="auto"/>
            </w:rPr>
            <w:fldChar w:fldCharType="end"/>
          </w:r>
        </w:p>
        <w:p w14:paraId="0D424A1B">
          <w:pPr>
            <w:pStyle w:val="32"/>
            <w:tabs>
              <w:tab w:val="right" w:leader="dot" w:pos="9922"/>
              <w:tab w:val="clear" w:pos="0"/>
              <w:tab w:val="clear" w:pos="9435"/>
            </w:tabs>
            <w:spacing w:line="600" w:lineRule="auto"/>
            <w:rPr>
              <w:b/>
              <w:bCs/>
              <w:color w:val="auto"/>
            </w:rPr>
          </w:pPr>
          <w:r>
            <w:rPr>
              <w:b/>
              <w:bCs/>
              <w:color w:val="auto"/>
            </w:rPr>
            <w:fldChar w:fldCharType="begin"/>
          </w:r>
          <w:r>
            <w:rPr>
              <w:b/>
              <w:bCs/>
              <w:color w:val="auto"/>
            </w:rPr>
            <w:instrText xml:space="preserve"> HYPERLINK \l _Toc18503 </w:instrText>
          </w:r>
          <w:r>
            <w:rPr>
              <w:b/>
              <w:bCs/>
              <w:color w:val="auto"/>
            </w:rPr>
            <w:fldChar w:fldCharType="separate"/>
          </w:r>
          <w:r>
            <w:rPr>
              <w:rFonts w:hint="eastAsia" w:hAnsi="宋体"/>
              <w:b/>
              <w:bCs/>
              <w:color w:val="auto"/>
              <w:szCs w:val="28"/>
            </w:rPr>
            <w:t>第六章  技术标准和要求</w:t>
          </w:r>
          <w:r>
            <w:rPr>
              <w:b/>
              <w:bCs/>
              <w:color w:val="auto"/>
            </w:rPr>
            <w:tab/>
          </w:r>
          <w:r>
            <w:rPr>
              <w:b/>
              <w:bCs/>
              <w:color w:val="auto"/>
            </w:rPr>
            <w:fldChar w:fldCharType="begin"/>
          </w:r>
          <w:r>
            <w:rPr>
              <w:b/>
              <w:bCs/>
              <w:color w:val="auto"/>
            </w:rPr>
            <w:instrText xml:space="preserve"> PAGEREF _Toc18503 \h </w:instrText>
          </w:r>
          <w:r>
            <w:rPr>
              <w:b/>
              <w:bCs/>
              <w:color w:val="auto"/>
            </w:rPr>
            <w:fldChar w:fldCharType="separate"/>
          </w:r>
          <w:r>
            <w:rPr>
              <w:b/>
              <w:bCs/>
              <w:color w:val="auto"/>
            </w:rPr>
            <w:t>81</w:t>
          </w:r>
          <w:r>
            <w:rPr>
              <w:b/>
              <w:bCs/>
              <w:color w:val="auto"/>
            </w:rPr>
            <w:fldChar w:fldCharType="end"/>
          </w:r>
          <w:r>
            <w:rPr>
              <w:b/>
              <w:bCs/>
              <w:color w:val="auto"/>
            </w:rPr>
            <w:fldChar w:fldCharType="end"/>
          </w:r>
        </w:p>
        <w:p w14:paraId="1DEFDBF4">
          <w:pPr>
            <w:pStyle w:val="32"/>
            <w:tabs>
              <w:tab w:val="right" w:leader="dot" w:pos="9922"/>
              <w:tab w:val="clear" w:pos="0"/>
              <w:tab w:val="clear" w:pos="9435"/>
            </w:tabs>
            <w:spacing w:line="600" w:lineRule="auto"/>
            <w:rPr>
              <w:b/>
              <w:bCs/>
              <w:color w:val="auto"/>
            </w:rPr>
          </w:pPr>
          <w:r>
            <w:rPr>
              <w:b/>
              <w:bCs/>
              <w:color w:val="auto"/>
            </w:rPr>
            <w:fldChar w:fldCharType="begin"/>
          </w:r>
          <w:r>
            <w:rPr>
              <w:b/>
              <w:bCs/>
              <w:color w:val="auto"/>
            </w:rPr>
            <w:instrText xml:space="preserve"> HYPERLINK \l _Toc12320 </w:instrText>
          </w:r>
          <w:r>
            <w:rPr>
              <w:b/>
              <w:bCs/>
              <w:color w:val="auto"/>
            </w:rPr>
            <w:fldChar w:fldCharType="separate"/>
          </w:r>
          <w:r>
            <w:rPr>
              <w:rFonts w:hint="eastAsia" w:hAnsi="宋体"/>
              <w:b/>
              <w:bCs/>
              <w:color w:val="auto"/>
              <w:szCs w:val="28"/>
            </w:rPr>
            <w:t>第七章  《响应文件》（格式）</w:t>
          </w:r>
          <w:r>
            <w:rPr>
              <w:b/>
              <w:bCs/>
              <w:color w:val="auto"/>
            </w:rPr>
            <w:tab/>
          </w:r>
          <w:r>
            <w:rPr>
              <w:b/>
              <w:bCs/>
              <w:color w:val="auto"/>
            </w:rPr>
            <w:fldChar w:fldCharType="begin"/>
          </w:r>
          <w:r>
            <w:rPr>
              <w:b/>
              <w:bCs/>
              <w:color w:val="auto"/>
            </w:rPr>
            <w:instrText xml:space="preserve"> PAGEREF _Toc12320 \h </w:instrText>
          </w:r>
          <w:r>
            <w:rPr>
              <w:b/>
              <w:bCs/>
              <w:color w:val="auto"/>
            </w:rPr>
            <w:fldChar w:fldCharType="separate"/>
          </w:r>
          <w:r>
            <w:rPr>
              <w:b/>
              <w:bCs/>
              <w:color w:val="auto"/>
            </w:rPr>
            <w:t>82</w:t>
          </w:r>
          <w:r>
            <w:rPr>
              <w:b/>
              <w:bCs/>
              <w:color w:val="auto"/>
            </w:rPr>
            <w:fldChar w:fldCharType="end"/>
          </w:r>
          <w:r>
            <w:rPr>
              <w:b/>
              <w:bCs/>
              <w:color w:val="auto"/>
            </w:rPr>
            <w:fldChar w:fldCharType="end"/>
          </w:r>
        </w:p>
        <w:p w14:paraId="355F367E">
          <w:pPr>
            <w:pStyle w:val="32"/>
            <w:tabs>
              <w:tab w:val="right" w:leader="dot" w:pos="9922"/>
              <w:tab w:val="clear" w:pos="0"/>
              <w:tab w:val="clear" w:pos="9435"/>
            </w:tabs>
            <w:spacing w:line="600" w:lineRule="auto"/>
            <w:rPr>
              <w:b/>
              <w:bCs/>
              <w:color w:val="auto"/>
            </w:rPr>
          </w:pPr>
          <w:r>
            <w:rPr>
              <w:b/>
              <w:bCs/>
              <w:color w:val="auto"/>
            </w:rPr>
            <w:fldChar w:fldCharType="begin"/>
          </w:r>
          <w:r>
            <w:rPr>
              <w:b/>
              <w:bCs/>
              <w:color w:val="auto"/>
            </w:rPr>
            <w:instrText xml:space="preserve"> HYPERLINK \l _Toc12326 </w:instrText>
          </w:r>
          <w:r>
            <w:rPr>
              <w:b/>
              <w:bCs/>
              <w:color w:val="auto"/>
            </w:rPr>
            <w:fldChar w:fldCharType="separate"/>
          </w:r>
          <w:r>
            <w:rPr>
              <w:rFonts w:hint="eastAsia" w:hAnsi="宋体"/>
              <w:b/>
              <w:bCs/>
              <w:color w:val="auto"/>
              <w:szCs w:val="28"/>
            </w:rPr>
            <w:t>第八章  评标办法</w:t>
          </w:r>
          <w:r>
            <w:rPr>
              <w:b/>
              <w:bCs/>
              <w:color w:val="auto"/>
            </w:rPr>
            <w:tab/>
          </w:r>
          <w:r>
            <w:rPr>
              <w:b/>
              <w:bCs/>
              <w:color w:val="auto"/>
            </w:rPr>
            <w:fldChar w:fldCharType="begin"/>
          </w:r>
          <w:r>
            <w:rPr>
              <w:b/>
              <w:bCs/>
              <w:color w:val="auto"/>
            </w:rPr>
            <w:instrText xml:space="preserve"> PAGEREF _Toc12326 \h </w:instrText>
          </w:r>
          <w:r>
            <w:rPr>
              <w:b/>
              <w:bCs/>
              <w:color w:val="auto"/>
            </w:rPr>
            <w:fldChar w:fldCharType="separate"/>
          </w:r>
          <w:r>
            <w:rPr>
              <w:b/>
              <w:bCs/>
              <w:color w:val="auto"/>
            </w:rPr>
            <w:t>104</w:t>
          </w:r>
          <w:r>
            <w:rPr>
              <w:b/>
              <w:bCs/>
              <w:color w:val="auto"/>
            </w:rPr>
            <w:fldChar w:fldCharType="end"/>
          </w:r>
          <w:r>
            <w:rPr>
              <w:b/>
              <w:bCs/>
              <w:color w:val="auto"/>
            </w:rPr>
            <w:fldChar w:fldCharType="end"/>
          </w:r>
        </w:p>
        <w:p w14:paraId="6B048F07">
          <w:pPr>
            <w:spacing w:line="600" w:lineRule="auto"/>
            <w:rPr>
              <w:color w:val="auto"/>
            </w:rPr>
          </w:pPr>
          <w:r>
            <w:rPr>
              <w:color w:val="auto"/>
            </w:rPr>
            <w:fldChar w:fldCharType="end"/>
          </w:r>
        </w:p>
      </w:sdtContent>
    </w:sdt>
    <w:p w14:paraId="58798ED8">
      <w:pPr>
        <w:rPr>
          <w:color w:val="auto"/>
        </w:rPr>
      </w:pPr>
    </w:p>
    <w:p w14:paraId="0A56909F">
      <w:pPr>
        <w:pStyle w:val="24"/>
        <w:numPr>
          <w:ilvl w:val="0"/>
          <w:numId w:val="1"/>
        </w:numPr>
        <w:spacing w:line="276" w:lineRule="auto"/>
        <w:jc w:val="center"/>
        <w:outlineLvl w:val="0"/>
        <w:rPr>
          <w:rFonts w:hAnsi="宋体"/>
          <w:b/>
          <w:color w:val="auto"/>
          <w:sz w:val="32"/>
          <w:szCs w:val="32"/>
        </w:rPr>
        <w:sectPr>
          <w:headerReference r:id="rId7" w:type="default"/>
          <w:footerReference r:id="rId8" w:type="default"/>
          <w:pgSz w:w="11850" w:h="16783"/>
          <w:pgMar w:top="1247" w:right="964" w:bottom="1247" w:left="964" w:header="851" w:footer="890" w:gutter="0"/>
          <w:cols w:space="720" w:num="1"/>
          <w:docGrid w:type="linesAndChars" w:linePitch="312" w:charSpace="0"/>
        </w:sectPr>
      </w:pPr>
      <w:bookmarkStart w:id="0" w:name="_Toc31299"/>
      <w:bookmarkStart w:id="1" w:name="_Toc86935802"/>
      <w:bookmarkStart w:id="2" w:name="_Toc20577"/>
      <w:bookmarkStart w:id="3" w:name="_Toc6555"/>
      <w:bookmarkStart w:id="4" w:name="_Toc9512"/>
    </w:p>
    <w:p w14:paraId="69CBFAE9">
      <w:pPr>
        <w:pStyle w:val="24"/>
        <w:numPr>
          <w:ilvl w:val="0"/>
          <w:numId w:val="1"/>
        </w:numPr>
        <w:spacing w:line="276" w:lineRule="auto"/>
        <w:jc w:val="center"/>
        <w:outlineLvl w:val="0"/>
        <w:rPr>
          <w:rFonts w:hAnsi="宋体"/>
          <w:b/>
          <w:color w:val="auto"/>
          <w:sz w:val="32"/>
          <w:szCs w:val="32"/>
        </w:rPr>
      </w:pPr>
      <w:r>
        <w:rPr>
          <w:rFonts w:hint="eastAsia" w:hAnsi="宋体"/>
          <w:b/>
          <w:color w:val="auto"/>
          <w:sz w:val="32"/>
          <w:szCs w:val="32"/>
        </w:rPr>
        <w:t>竞争性磋商公告</w:t>
      </w:r>
      <w:bookmarkEnd w:id="0"/>
      <w:bookmarkEnd w:id="1"/>
      <w:bookmarkEnd w:id="2"/>
      <w:bookmarkEnd w:id="3"/>
      <w:bookmarkEnd w:id="4"/>
    </w:p>
    <w:p w14:paraId="72B85EA1">
      <w:pPr>
        <w:spacing w:line="400" w:lineRule="exact"/>
        <w:jc w:val="center"/>
        <w:outlineLvl w:val="0"/>
        <w:rPr>
          <w:rFonts w:hint="eastAsia" w:ascii="宋体" w:hAnsi="宋体" w:cs="宋体"/>
          <w:b/>
          <w:bCs/>
          <w:color w:val="auto"/>
          <w:sz w:val="28"/>
          <w:szCs w:val="28"/>
          <w:lang w:eastAsia="zh-CN"/>
        </w:rPr>
      </w:pPr>
      <w:bookmarkStart w:id="5" w:name="_Toc18048"/>
      <w:bookmarkStart w:id="6" w:name="OLE_LINK4"/>
      <w:r>
        <w:rPr>
          <w:rFonts w:hint="eastAsia" w:ascii="宋体" w:hAnsi="宋体" w:cs="宋体"/>
          <w:b/>
          <w:bCs/>
          <w:color w:val="auto"/>
          <w:sz w:val="28"/>
          <w:szCs w:val="28"/>
          <w:lang w:eastAsia="zh-CN"/>
        </w:rPr>
        <w:t>广西云泽项目管理有限公司</w:t>
      </w:r>
      <w:bookmarkEnd w:id="5"/>
    </w:p>
    <w:p w14:paraId="66F88E42">
      <w:pPr>
        <w:spacing w:line="400" w:lineRule="exact"/>
        <w:jc w:val="center"/>
        <w:rPr>
          <w:rFonts w:hint="eastAsia" w:ascii="宋体" w:hAnsi="宋体" w:cs="宋体"/>
          <w:b/>
          <w:bCs/>
          <w:color w:val="auto"/>
          <w:sz w:val="28"/>
          <w:szCs w:val="28"/>
          <w:lang w:eastAsia="zh-CN"/>
        </w:rPr>
      </w:pPr>
      <w:r>
        <w:rPr>
          <w:rFonts w:hint="eastAsia" w:ascii="宋体" w:hAnsi="宋体" w:cs="宋体"/>
          <w:b/>
          <w:bCs/>
          <w:color w:val="auto"/>
          <w:sz w:val="28"/>
          <w:szCs w:val="28"/>
        </w:rPr>
        <w:t>关于</w:t>
      </w:r>
      <w:r>
        <w:rPr>
          <w:rFonts w:hint="eastAsia" w:ascii="宋体" w:hAnsi="宋体" w:cs="宋体"/>
          <w:b/>
          <w:bCs/>
          <w:color w:val="auto"/>
          <w:sz w:val="28"/>
          <w:szCs w:val="28"/>
          <w:lang w:eastAsia="zh-CN"/>
        </w:rPr>
        <w:t>贺州市平桂区金桂嘉园小区消防整改验收工程</w:t>
      </w:r>
    </w:p>
    <w:p w14:paraId="7100F241">
      <w:pPr>
        <w:spacing w:line="400" w:lineRule="exact"/>
        <w:jc w:val="center"/>
        <w:rPr>
          <w:rFonts w:hint="eastAsia" w:hAnsi="宋体" w:eastAsia="宋体" w:cs="宋体"/>
          <w:b/>
          <w:color w:val="auto"/>
          <w:sz w:val="24"/>
          <w:lang w:eastAsia="zh-CN"/>
        </w:rPr>
      </w:pPr>
      <w:r>
        <w:rPr>
          <w:rFonts w:hint="eastAsia" w:ascii="宋体" w:hAnsi="宋体" w:cs="宋体"/>
          <w:b/>
          <w:bCs/>
          <w:color w:val="auto"/>
          <w:sz w:val="28"/>
          <w:szCs w:val="28"/>
        </w:rPr>
        <w:t>（项目编号：</w:t>
      </w:r>
      <w:r>
        <w:rPr>
          <w:rFonts w:hint="eastAsia" w:ascii="宋体" w:hAnsi="宋体" w:cs="宋体"/>
          <w:b/>
          <w:bCs/>
          <w:color w:val="auto"/>
          <w:sz w:val="28"/>
          <w:szCs w:val="28"/>
          <w:lang w:eastAsia="zh-CN"/>
        </w:rPr>
        <w:t>HZZC2026-C2-030043-GXYZ</w:t>
      </w:r>
      <w:r>
        <w:rPr>
          <w:rFonts w:hint="eastAsia" w:ascii="宋体" w:hAnsi="宋体" w:cs="宋体"/>
          <w:b/>
          <w:bCs/>
          <w:color w:val="auto"/>
          <w:sz w:val="28"/>
          <w:szCs w:val="28"/>
        </w:rPr>
        <w:t>）的竞争性磋商公告</w:t>
      </w:r>
      <w:r>
        <w:rPr>
          <w:rFonts w:hint="eastAsia" w:ascii="宋体" w:hAnsi="宋体" w:cs="宋体"/>
          <w:b/>
          <w:bCs/>
          <w:color w:val="auto"/>
          <w:sz w:val="28"/>
          <w:szCs w:val="28"/>
          <w:lang w:eastAsia="zh-CN"/>
        </w:rPr>
        <w:t>（远程异地评标）</w:t>
      </w:r>
    </w:p>
    <w:p w14:paraId="22CF04A3">
      <w:pPr>
        <w:pBdr>
          <w:top w:val="single" w:color="auto" w:sz="4" w:space="1"/>
          <w:left w:val="single" w:color="auto" w:sz="4" w:space="4"/>
          <w:bottom w:val="single" w:color="auto" w:sz="4" w:space="1"/>
          <w:right w:val="single" w:color="auto" w:sz="4" w:space="4"/>
        </w:pBdr>
        <w:ind w:firstLine="480" w:firstLineChars="200"/>
        <w:rPr>
          <w:rFonts w:ascii="宋体" w:hAnsi="宋体" w:cs="宋体"/>
          <w:color w:val="auto"/>
          <w:sz w:val="24"/>
        </w:rPr>
      </w:pPr>
      <w:bookmarkStart w:id="7" w:name="OLE_LINK3"/>
      <w:bookmarkStart w:id="8" w:name="OLE_LINK5"/>
      <w:r>
        <w:rPr>
          <w:rFonts w:hint="eastAsia" w:ascii="宋体" w:hAnsi="宋体" w:cs="宋体"/>
          <w:color w:val="auto"/>
          <w:sz w:val="24"/>
        </w:rPr>
        <w:t>项目概况：</w:t>
      </w:r>
    </w:p>
    <w:p w14:paraId="2DBD0321">
      <w:pPr>
        <w:pBdr>
          <w:top w:val="single" w:color="auto" w:sz="4" w:space="1"/>
          <w:left w:val="single" w:color="auto" w:sz="4" w:space="4"/>
          <w:bottom w:val="single" w:color="auto" w:sz="4" w:space="1"/>
          <w:right w:val="single" w:color="auto" w:sz="4" w:space="4"/>
        </w:pBdr>
        <w:ind w:firstLine="480" w:firstLineChars="200"/>
        <w:rPr>
          <w:color w:val="auto"/>
          <w:sz w:val="24"/>
        </w:rPr>
      </w:pPr>
      <w:r>
        <w:rPr>
          <w:rFonts w:hint="eastAsia" w:ascii="宋体" w:hAnsi="宋体" w:cs="宋体"/>
          <w:color w:val="auto"/>
          <w:sz w:val="24"/>
          <w:u w:val="single"/>
        </w:rPr>
        <w:t xml:space="preserve"> </w:t>
      </w:r>
      <w:r>
        <w:rPr>
          <w:rFonts w:hint="eastAsia" w:ascii="宋体" w:hAnsi="宋体" w:cs="宋体"/>
          <w:color w:val="auto"/>
          <w:sz w:val="24"/>
          <w:u w:val="single"/>
          <w:lang w:eastAsia="zh-CN"/>
        </w:rPr>
        <w:t>贺州市平桂区金桂嘉园小区消防整改验收工程</w:t>
      </w:r>
      <w:r>
        <w:rPr>
          <w:rFonts w:hint="eastAsia" w:ascii="宋体" w:hAnsi="宋体" w:cs="宋体"/>
          <w:color w:val="auto"/>
          <w:sz w:val="24"/>
        </w:rPr>
        <w:t>采购项目的潜在供应商应在</w:t>
      </w:r>
      <w:r>
        <w:rPr>
          <w:rFonts w:hint="eastAsia" w:ascii="宋体" w:hAnsi="宋体" w:cs="宋体"/>
          <w:color w:val="auto"/>
          <w:sz w:val="24"/>
          <w:u w:val="single"/>
          <w:lang w:eastAsia="zh-CN"/>
        </w:rPr>
        <w:t>广西政府采购云平台</w:t>
      </w:r>
      <w:r>
        <w:rPr>
          <w:rFonts w:hint="eastAsia" w:ascii="宋体" w:hAnsi="宋体" w:cs="宋体"/>
          <w:color w:val="auto"/>
          <w:sz w:val="24"/>
          <w:u w:val="single"/>
        </w:rPr>
        <w:t>（https://www.zcygov.cn/）</w:t>
      </w:r>
      <w:r>
        <w:rPr>
          <w:rFonts w:hint="eastAsia" w:ascii="宋体" w:hAnsi="宋体" w:cs="宋体"/>
          <w:color w:val="auto"/>
          <w:sz w:val="24"/>
        </w:rPr>
        <w:t>获取竞争性磋商文件，并于</w:t>
      </w:r>
      <w:r>
        <w:rPr>
          <w:rFonts w:hint="eastAsia" w:ascii="宋体" w:hAnsi="宋体" w:cs="宋体"/>
          <w:color w:val="auto"/>
          <w:sz w:val="24"/>
          <w:u w:val="single"/>
          <w:lang w:eastAsia="zh-CN"/>
        </w:rPr>
        <w:t>202</w:t>
      </w:r>
      <w:r>
        <w:rPr>
          <w:rFonts w:hint="eastAsia" w:ascii="宋体" w:hAnsi="宋体" w:cs="宋体"/>
          <w:color w:val="auto"/>
          <w:sz w:val="24"/>
          <w:u w:val="single"/>
          <w:lang w:val="en-US" w:eastAsia="zh-CN"/>
        </w:rPr>
        <w:t>6</w:t>
      </w:r>
      <w:r>
        <w:rPr>
          <w:rFonts w:hint="eastAsia" w:ascii="宋体" w:hAnsi="宋体" w:cs="宋体"/>
          <w:color w:val="auto"/>
          <w:sz w:val="24"/>
          <w:u w:val="single"/>
          <w:lang w:eastAsia="zh-CN"/>
        </w:rPr>
        <w:t>年0</w:t>
      </w:r>
      <w:r>
        <w:rPr>
          <w:rFonts w:hint="eastAsia" w:ascii="宋体" w:hAnsi="宋体" w:cs="宋体"/>
          <w:color w:val="auto"/>
          <w:sz w:val="24"/>
          <w:u w:val="single"/>
          <w:lang w:val="en-US" w:eastAsia="zh-CN"/>
        </w:rPr>
        <w:t>9</w:t>
      </w:r>
      <w:r>
        <w:rPr>
          <w:rFonts w:hint="eastAsia" w:ascii="宋体" w:hAnsi="宋体" w:cs="宋体"/>
          <w:color w:val="auto"/>
          <w:sz w:val="24"/>
          <w:u w:val="single"/>
          <w:lang w:eastAsia="zh-CN"/>
        </w:rPr>
        <w:t>月</w:t>
      </w:r>
      <w:r>
        <w:rPr>
          <w:rFonts w:hint="eastAsia" w:ascii="宋体" w:hAnsi="宋体" w:cs="宋体"/>
          <w:color w:val="auto"/>
          <w:sz w:val="24"/>
          <w:u w:val="single"/>
          <w:lang w:val="en-US" w:eastAsia="zh-CN"/>
        </w:rPr>
        <w:t>10</w:t>
      </w:r>
      <w:r>
        <w:rPr>
          <w:rFonts w:hint="eastAsia" w:ascii="宋体" w:hAnsi="宋体" w:cs="宋体"/>
          <w:color w:val="auto"/>
          <w:sz w:val="24"/>
          <w:u w:val="single"/>
          <w:lang w:eastAsia="zh-CN"/>
        </w:rPr>
        <w:t>日09时00分</w:t>
      </w:r>
      <w:r>
        <w:rPr>
          <w:rFonts w:hint="eastAsia" w:ascii="宋体" w:hAnsi="宋体" w:cs="宋体"/>
          <w:bCs/>
          <w:color w:val="auto"/>
          <w:sz w:val="24"/>
        </w:rPr>
        <w:t>（北京时间）前提交响应文件</w:t>
      </w:r>
      <w:r>
        <w:rPr>
          <w:rFonts w:hint="eastAsia" w:ascii="宋体" w:hAnsi="宋体" w:cs="宋体"/>
          <w:color w:val="auto"/>
          <w:sz w:val="24"/>
        </w:rPr>
        <w:t>。</w:t>
      </w:r>
    </w:p>
    <w:p w14:paraId="0FEA4F74">
      <w:pPr>
        <w:pStyle w:val="3"/>
        <w:tabs>
          <w:tab w:val="left" w:pos="6188"/>
        </w:tabs>
        <w:spacing w:before="0" w:after="0" w:line="380" w:lineRule="atLeast"/>
        <w:jc w:val="left"/>
        <w:outlineLvl w:val="0"/>
        <w:rPr>
          <w:rFonts w:ascii="宋体" w:hAnsi="宋体" w:eastAsia="宋体" w:cs="宋体"/>
          <w:color w:val="auto"/>
          <w:sz w:val="24"/>
          <w:szCs w:val="24"/>
        </w:rPr>
      </w:pPr>
      <w:bookmarkStart w:id="9" w:name="_Toc35393798"/>
      <w:bookmarkStart w:id="10" w:name="_Toc26711"/>
      <w:bookmarkStart w:id="11" w:name="_Toc28359089"/>
      <w:bookmarkStart w:id="12" w:name="_Toc86935803"/>
      <w:bookmarkStart w:id="13" w:name="_Toc35393629"/>
      <w:bookmarkStart w:id="14" w:name="_Toc28359012"/>
      <w:bookmarkStart w:id="15" w:name="_Toc29029"/>
      <w:bookmarkStart w:id="16" w:name="_Toc3339"/>
      <w:r>
        <w:rPr>
          <w:rFonts w:hint="eastAsia" w:ascii="宋体" w:hAnsi="宋体" w:eastAsia="宋体" w:cs="宋体"/>
          <w:color w:val="auto"/>
          <w:sz w:val="24"/>
          <w:szCs w:val="24"/>
        </w:rPr>
        <w:t>一、项目基本情况</w:t>
      </w:r>
      <w:bookmarkEnd w:id="9"/>
      <w:bookmarkEnd w:id="10"/>
      <w:bookmarkEnd w:id="11"/>
      <w:bookmarkEnd w:id="12"/>
      <w:bookmarkEnd w:id="13"/>
      <w:bookmarkEnd w:id="14"/>
      <w:bookmarkEnd w:id="15"/>
      <w:bookmarkEnd w:id="16"/>
    </w:p>
    <w:p w14:paraId="074B34C1">
      <w:pPr>
        <w:spacing w:line="400" w:lineRule="exact"/>
        <w:ind w:firstLine="480" w:firstLineChars="200"/>
        <w:rPr>
          <w:rFonts w:hint="eastAsia" w:ascii="宋体" w:hAnsi="宋体" w:eastAsia="宋体" w:cs="宋体"/>
          <w:color w:val="auto"/>
          <w:sz w:val="24"/>
          <w:lang w:eastAsia="zh-CN"/>
        </w:rPr>
      </w:pPr>
      <w:r>
        <w:rPr>
          <w:rFonts w:hint="eastAsia" w:ascii="宋体" w:hAnsi="宋体" w:cs="宋体"/>
          <w:b/>
          <w:bCs/>
          <w:color w:val="auto"/>
          <w:sz w:val="24"/>
        </w:rPr>
        <w:t>项目编号</w:t>
      </w:r>
      <w:r>
        <w:rPr>
          <w:rFonts w:hint="eastAsia" w:ascii="宋体" w:hAnsi="宋体" w:cs="宋体"/>
          <w:color w:val="auto"/>
          <w:sz w:val="24"/>
        </w:rPr>
        <w:t>：</w:t>
      </w:r>
      <w:r>
        <w:rPr>
          <w:rFonts w:hint="eastAsia" w:ascii="宋体" w:hAnsi="宋体" w:cs="宋体"/>
          <w:color w:val="auto"/>
          <w:sz w:val="24"/>
          <w:lang w:eastAsia="zh-CN"/>
        </w:rPr>
        <w:t>HZZC2026-C2-030043-GXYZ</w:t>
      </w:r>
    </w:p>
    <w:p w14:paraId="704B7BF5">
      <w:pPr>
        <w:spacing w:line="400" w:lineRule="exact"/>
        <w:ind w:firstLine="480" w:firstLineChars="200"/>
        <w:rPr>
          <w:rFonts w:hint="eastAsia" w:ascii="宋体" w:hAnsi="宋体" w:eastAsia="宋体" w:cs="宋体"/>
          <w:color w:val="auto"/>
          <w:sz w:val="24"/>
          <w:lang w:eastAsia="zh-CN"/>
        </w:rPr>
      </w:pPr>
      <w:r>
        <w:rPr>
          <w:rFonts w:hint="eastAsia" w:ascii="宋体" w:hAnsi="宋体" w:cs="宋体"/>
          <w:b/>
          <w:bCs/>
          <w:color w:val="auto"/>
          <w:sz w:val="24"/>
        </w:rPr>
        <w:t>项目名称</w:t>
      </w:r>
      <w:r>
        <w:rPr>
          <w:rFonts w:hint="eastAsia" w:ascii="宋体" w:hAnsi="宋体" w:cs="宋体"/>
          <w:color w:val="auto"/>
          <w:sz w:val="24"/>
        </w:rPr>
        <w:t>：</w:t>
      </w:r>
      <w:r>
        <w:rPr>
          <w:rFonts w:hint="eastAsia" w:ascii="宋体" w:hAnsi="宋体" w:cs="宋体"/>
          <w:color w:val="auto"/>
          <w:sz w:val="24"/>
          <w:lang w:eastAsia="zh-CN"/>
        </w:rPr>
        <w:t>贺州市平桂区金桂嘉园小区消防整改验收工程</w:t>
      </w:r>
    </w:p>
    <w:p w14:paraId="3465E34C">
      <w:pPr>
        <w:spacing w:line="400" w:lineRule="exact"/>
        <w:ind w:firstLine="480" w:firstLineChars="200"/>
        <w:rPr>
          <w:rFonts w:ascii="宋体" w:hAnsi="宋体" w:cs="宋体"/>
          <w:color w:val="auto"/>
          <w:sz w:val="24"/>
        </w:rPr>
      </w:pPr>
      <w:r>
        <w:rPr>
          <w:rFonts w:hint="eastAsia" w:ascii="宋体" w:hAnsi="宋体" w:cs="宋体"/>
          <w:b/>
          <w:bCs/>
          <w:color w:val="auto"/>
          <w:sz w:val="24"/>
        </w:rPr>
        <w:t>采购方式</w:t>
      </w:r>
      <w:r>
        <w:rPr>
          <w:rFonts w:hint="eastAsia" w:ascii="宋体" w:hAnsi="宋体" w:cs="宋体"/>
          <w:color w:val="auto"/>
          <w:sz w:val="24"/>
        </w:rPr>
        <w:t>：竞争性磋商</w:t>
      </w:r>
    </w:p>
    <w:p w14:paraId="56071873">
      <w:pPr>
        <w:spacing w:line="400" w:lineRule="exact"/>
        <w:ind w:firstLine="480" w:firstLineChars="200"/>
        <w:rPr>
          <w:rFonts w:ascii="宋体" w:hAnsi="宋体" w:cs="宋体"/>
          <w:color w:val="auto"/>
          <w:sz w:val="24"/>
          <w:highlight w:val="yellow"/>
          <w:u w:val="single"/>
        </w:rPr>
      </w:pPr>
      <w:r>
        <w:rPr>
          <w:rFonts w:hint="eastAsia" w:ascii="宋体" w:hAnsi="宋体" w:cs="宋体"/>
          <w:b/>
          <w:bCs/>
          <w:color w:val="auto"/>
          <w:sz w:val="24"/>
        </w:rPr>
        <w:t>预算金额</w:t>
      </w:r>
      <w:r>
        <w:rPr>
          <w:rFonts w:hint="eastAsia" w:ascii="宋体" w:hAnsi="宋体" w:cs="宋体"/>
          <w:color w:val="auto"/>
          <w:sz w:val="24"/>
        </w:rPr>
        <w:t>：人民币</w:t>
      </w:r>
      <w:r>
        <w:rPr>
          <w:rFonts w:hint="eastAsia" w:ascii="宋体" w:hAnsi="宋体" w:cs="宋体"/>
          <w:color w:val="auto"/>
          <w:sz w:val="24"/>
          <w:lang w:eastAsia="zh-CN"/>
        </w:rPr>
        <w:t>壹佰叁拾壹万肆仟零肆拾柒元玖角柒分（¥1314047.97）</w:t>
      </w:r>
    </w:p>
    <w:p w14:paraId="7C95194C">
      <w:pPr>
        <w:spacing w:line="400" w:lineRule="exact"/>
        <w:ind w:firstLine="480" w:firstLineChars="200"/>
        <w:rPr>
          <w:rFonts w:hint="eastAsia" w:ascii="宋体" w:hAnsi="宋体" w:cs="宋体"/>
          <w:color w:val="auto"/>
          <w:sz w:val="24"/>
          <w:lang w:eastAsia="zh-CN"/>
        </w:rPr>
      </w:pPr>
      <w:r>
        <w:rPr>
          <w:rFonts w:hint="eastAsia" w:ascii="宋体" w:hAnsi="宋体" w:cs="宋体"/>
          <w:b/>
          <w:bCs/>
          <w:color w:val="auto"/>
          <w:sz w:val="24"/>
        </w:rPr>
        <w:t>最高限价</w:t>
      </w:r>
      <w:r>
        <w:rPr>
          <w:rFonts w:hint="eastAsia" w:ascii="宋体" w:hAnsi="宋体" w:cs="宋体"/>
          <w:color w:val="auto"/>
          <w:sz w:val="24"/>
        </w:rPr>
        <w:t>：人民币</w:t>
      </w:r>
      <w:r>
        <w:rPr>
          <w:rFonts w:hint="eastAsia" w:ascii="宋体" w:hAnsi="宋体" w:cs="宋体"/>
          <w:color w:val="auto"/>
          <w:sz w:val="24"/>
          <w:lang w:eastAsia="zh-CN"/>
        </w:rPr>
        <w:t>壹佰叁拾壹万肆仟零肆拾柒元玖角柒分（¥1314047.97）</w:t>
      </w:r>
    </w:p>
    <w:p w14:paraId="5FD738C6">
      <w:pPr>
        <w:spacing w:line="400" w:lineRule="exact"/>
        <w:ind w:firstLine="480" w:firstLineChars="200"/>
        <w:rPr>
          <w:rFonts w:hint="eastAsia" w:ascii="宋体" w:hAnsi="宋体" w:cs="宋体"/>
          <w:b w:val="0"/>
          <w:bCs w:val="0"/>
          <w:color w:val="auto"/>
          <w:sz w:val="24"/>
        </w:rPr>
      </w:pPr>
      <w:r>
        <w:rPr>
          <w:rFonts w:hint="eastAsia" w:ascii="宋体" w:hAnsi="宋体" w:cs="宋体"/>
          <w:b/>
          <w:bCs/>
          <w:color w:val="auto"/>
          <w:sz w:val="24"/>
        </w:rPr>
        <w:t>采购项目的采购范围描述或项目基本概况介绍：</w:t>
      </w:r>
      <w:r>
        <w:rPr>
          <w:rFonts w:hint="eastAsia" w:ascii="宋体" w:hAnsi="宋体" w:cs="宋体"/>
          <w:b w:val="0"/>
          <w:bCs w:val="0"/>
          <w:color w:val="auto"/>
          <w:sz w:val="24"/>
        </w:rPr>
        <w:t>本项目主要建设内容为更换城区公共租赁住房二期工程原损坏木质防火门310樘为钢制防火门，消防水管196m及其配套桥架200m、消火栓及喷淋泵控制柜4台、室外消火栓2套、应急照明200套、配线及配管13600m、防尘灯管78套、监控系统主机2台、灭火器310具、消防联动测试等内容。</w:t>
      </w:r>
    </w:p>
    <w:p w14:paraId="0F551383">
      <w:pPr>
        <w:spacing w:line="400" w:lineRule="exact"/>
        <w:ind w:firstLine="480" w:firstLineChars="200"/>
        <w:rPr>
          <w:rFonts w:hint="eastAsia" w:ascii="宋体" w:hAnsi="宋体" w:eastAsia="宋体" w:cs="宋体"/>
          <w:color w:val="auto"/>
          <w:sz w:val="24"/>
          <w:highlight w:val="yellow"/>
          <w:u w:val="single"/>
          <w:lang w:eastAsia="zh-CN"/>
        </w:rPr>
      </w:pPr>
      <w:r>
        <w:rPr>
          <w:rFonts w:hint="eastAsia" w:ascii="宋体" w:hAnsi="宋体" w:cs="宋体"/>
          <w:b/>
          <w:bCs/>
          <w:color w:val="auto"/>
          <w:sz w:val="24"/>
        </w:rPr>
        <w:t>合同履行期限</w:t>
      </w:r>
      <w:r>
        <w:rPr>
          <w:rFonts w:hint="eastAsia" w:ascii="宋体" w:hAnsi="宋体" w:cs="宋体"/>
          <w:color w:val="auto"/>
          <w:sz w:val="24"/>
        </w:rPr>
        <w:t>：</w:t>
      </w:r>
      <w:r>
        <w:rPr>
          <w:rFonts w:hint="eastAsia" w:ascii="宋体" w:hAnsi="宋体" w:cs="宋体"/>
          <w:color w:val="auto"/>
          <w:sz w:val="24"/>
          <w:lang w:eastAsia="zh-CN"/>
        </w:rPr>
        <w:t>以开工令为准，工期为30日历天。</w:t>
      </w:r>
    </w:p>
    <w:p w14:paraId="38B498D5">
      <w:pPr>
        <w:pStyle w:val="3"/>
        <w:spacing w:before="0" w:after="0" w:line="400" w:lineRule="exact"/>
        <w:jc w:val="left"/>
        <w:outlineLvl w:val="0"/>
        <w:rPr>
          <w:rFonts w:ascii="宋体" w:hAnsi="宋体" w:eastAsia="宋体" w:cs="宋体"/>
          <w:color w:val="auto"/>
          <w:sz w:val="24"/>
          <w:szCs w:val="24"/>
        </w:rPr>
      </w:pPr>
      <w:bookmarkStart w:id="17" w:name="_Toc86935804"/>
      <w:bookmarkStart w:id="18" w:name="_Toc10144"/>
      <w:bookmarkStart w:id="19" w:name="_Toc28359090"/>
      <w:bookmarkStart w:id="20" w:name="_Toc18213"/>
      <w:bookmarkStart w:id="21" w:name="_Toc28359013"/>
      <w:bookmarkStart w:id="22" w:name="_Toc18097"/>
      <w:bookmarkStart w:id="23" w:name="_Toc35393799"/>
      <w:bookmarkStart w:id="24" w:name="_Toc35393630"/>
      <w:r>
        <w:rPr>
          <w:rFonts w:hint="eastAsia" w:ascii="宋体" w:hAnsi="宋体" w:eastAsia="宋体" w:cs="宋体"/>
          <w:color w:val="auto"/>
          <w:sz w:val="24"/>
          <w:szCs w:val="24"/>
        </w:rPr>
        <w:t>二、申请人的资格要求：</w:t>
      </w:r>
      <w:bookmarkEnd w:id="17"/>
      <w:bookmarkEnd w:id="18"/>
      <w:bookmarkEnd w:id="19"/>
      <w:bookmarkEnd w:id="20"/>
      <w:bookmarkEnd w:id="21"/>
      <w:bookmarkEnd w:id="22"/>
      <w:bookmarkEnd w:id="23"/>
      <w:bookmarkEnd w:id="24"/>
    </w:p>
    <w:p w14:paraId="1E98ABD2">
      <w:pPr>
        <w:spacing w:line="400" w:lineRule="exact"/>
        <w:ind w:firstLine="480" w:firstLineChars="200"/>
        <w:rPr>
          <w:rFonts w:asciiTheme="minorEastAsia" w:hAnsiTheme="minorEastAsia" w:eastAsiaTheme="minorEastAsia" w:cstheme="minorEastAsia"/>
          <w:color w:val="auto"/>
          <w:sz w:val="24"/>
        </w:rPr>
      </w:pPr>
      <w:bookmarkStart w:id="25" w:name="_Toc28359014"/>
      <w:bookmarkStart w:id="26" w:name="_Toc28359091"/>
      <w:r>
        <w:rPr>
          <w:rFonts w:hint="eastAsia" w:asciiTheme="minorEastAsia" w:hAnsiTheme="minorEastAsia" w:eastAsiaTheme="minorEastAsia" w:cstheme="minorEastAsia"/>
          <w:color w:val="auto"/>
          <w:sz w:val="24"/>
        </w:rPr>
        <w:t>1.满足《中华人民共和国政府采购法》第二十二条规定；</w:t>
      </w:r>
    </w:p>
    <w:p w14:paraId="55081407">
      <w:pPr>
        <w:spacing w:line="400" w:lineRule="exact"/>
        <w:ind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2.未被“信用中国”（www.creditchina.gov.cn）、中国政府采购网（www.ccgp.gov.cn）列入失信被执行人、重大税收违法案件当事人名单、政府采购严重违法失信行为记录名单。</w:t>
      </w:r>
    </w:p>
    <w:p w14:paraId="265617C4">
      <w:pPr>
        <w:spacing w:line="40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val="en-US" w:eastAsia="zh-CN"/>
        </w:rPr>
        <w:t>3.</w:t>
      </w:r>
      <w:r>
        <w:rPr>
          <w:rFonts w:hint="eastAsia" w:asciiTheme="minorEastAsia" w:hAnsiTheme="minorEastAsia" w:eastAsiaTheme="minorEastAsia" w:cstheme="minorEastAsia"/>
          <w:color w:val="auto"/>
          <w:sz w:val="24"/>
        </w:rPr>
        <w:t>落实政府采购政策需满足的资格要求：</w:t>
      </w:r>
    </w:p>
    <w:p w14:paraId="7F67F246">
      <w:pPr>
        <w:pStyle w:val="12"/>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☑专门面向中小企业采购的项目（供应商应为中小微企业、监狱企业、残疾人福利性单位）</w:t>
      </w:r>
    </w:p>
    <w:p w14:paraId="2306B66E">
      <w:pPr>
        <w:pStyle w:val="12"/>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□非专门面向中小企业采购的项目</w:t>
      </w:r>
    </w:p>
    <w:p w14:paraId="305302AF">
      <w:pPr>
        <w:spacing w:line="400" w:lineRule="exact"/>
        <w:ind w:firstLine="480" w:firstLineChars="2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3.本项目的特定资格要求：</w:t>
      </w:r>
    </w:p>
    <w:p w14:paraId="7468D293">
      <w:pPr>
        <w:spacing w:line="400" w:lineRule="exact"/>
        <w:ind w:firstLine="480" w:firstLineChars="200"/>
        <w:rPr>
          <w:rFonts w:ascii="宋体" w:hAnsi="宋体" w:cs="宋体"/>
          <w:color w:val="auto"/>
          <w:sz w:val="24"/>
        </w:rPr>
      </w:pPr>
      <w:r>
        <w:rPr>
          <w:rFonts w:hint="eastAsia" w:ascii="宋体" w:hAnsi="宋体" w:cs="宋体"/>
          <w:color w:val="auto"/>
          <w:sz w:val="24"/>
        </w:rPr>
        <w:t>（1）国内注册（指按国家有关规定要求注册的），具备</w:t>
      </w:r>
      <w:r>
        <w:rPr>
          <w:rFonts w:hint="eastAsia" w:ascii="宋体" w:hAnsi="宋体" w:cs="宋体"/>
          <w:color w:val="auto"/>
          <w:sz w:val="24"/>
          <w:lang w:eastAsia="zh-CN"/>
        </w:rPr>
        <w:t>建筑工程施工总承包叁级</w:t>
      </w:r>
      <w:r>
        <w:rPr>
          <w:rFonts w:hint="eastAsia" w:ascii="宋体" w:hAnsi="宋体" w:cs="宋体"/>
          <w:color w:val="auto"/>
          <w:sz w:val="24"/>
        </w:rPr>
        <w:t>及以上资质及有效的安全生产许可证；</w:t>
      </w:r>
    </w:p>
    <w:p w14:paraId="4BA82647">
      <w:pPr>
        <w:spacing w:line="400" w:lineRule="exact"/>
        <w:ind w:firstLine="480" w:firstLineChars="200"/>
        <w:rPr>
          <w:rFonts w:ascii="宋体" w:hAnsi="宋体" w:cs="宋体"/>
          <w:color w:val="auto"/>
          <w:sz w:val="24"/>
        </w:rPr>
      </w:pPr>
      <w:r>
        <w:rPr>
          <w:rFonts w:hint="eastAsia" w:ascii="宋体" w:hAnsi="宋体" w:cs="宋体"/>
          <w:color w:val="auto"/>
          <w:sz w:val="24"/>
        </w:rPr>
        <w:t>（2）项目经理要求为本施工企业人员，须具备</w:t>
      </w:r>
      <w:r>
        <w:rPr>
          <w:rFonts w:hint="eastAsia" w:ascii="宋体" w:hAnsi="宋体" w:cs="宋体"/>
          <w:color w:val="auto"/>
          <w:sz w:val="24"/>
          <w:lang w:eastAsia="zh-CN"/>
        </w:rPr>
        <w:t>建筑工程专业注册建造师二级</w:t>
      </w:r>
      <w:r>
        <w:rPr>
          <w:rFonts w:hint="eastAsia" w:ascii="宋体" w:hAnsi="宋体" w:cs="宋体"/>
          <w:color w:val="auto"/>
          <w:sz w:val="24"/>
        </w:rPr>
        <w:t>及以上执业资格和持有有效的省级或省级以上建设行政主管部门颁发的《安全生产考核合格证书（</w:t>
      </w:r>
      <w:r>
        <w:rPr>
          <w:rFonts w:hint="eastAsia" w:ascii="宋体" w:hAnsi="宋体" w:cs="宋体"/>
          <w:color w:val="auto"/>
          <w:sz w:val="24"/>
          <w:lang w:eastAsia="zh-CN"/>
        </w:rPr>
        <w:t>B类</w:t>
      </w:r>
      <w:r>
        <w:rPr>
          <w:rFonts w:hint="eastAsia" w:ascii="宋体" w:hAnsi="宋体" w:cs="宋体"/>
          <w:color w:val="auto"/>
          <w:sz w:val="24"/>
        </w:rPr>
        <w:t>）》；拟派本项目专职安全员持有有效的省级或省级以上建设行政主管部门颁发的《安全生产考核合格证书（</w:t>
      </w:r>
      <w:r>
        <w:rPr>
          <w:rFonts w:hint="eastAsia" w:ascii="宋体" w:hAnsi="宋体" w:cs="宋体"/>
          <w:color w:val="auto"/>
          <w:sz w:val="24"/>
          <w:lang w:eastAsia="zh-CN"/>
        </w:rPr>
        <w:t>C类</w:t>
      </w:r>
      <w:r>
        <w:rPr>
          <w:rFonts w:hint="eastAsia" w:ascii="宋体" w:hAnsi="宋体" w:cs="宋体"/>
          <w:color w:val="auto"/>
          <w:sz w:val="24"/>
        </w:rPr>
        <w:t>）》，人数不少于1人；</w:t>
      </w:r>
    </w:p>
    <w:p w14:paraId="1E392475">
      <w:pPr>
        <w:spacing w:line="400" w:lineRule="exact"/>
        <w:ind w:firstLine="480" w:firstLineChars="200"/>
        <w:rPr>
          <w:rFonts w:ascii="宋体" w:hAnsi="宋体" w:cs="宋体"/>
          <w:color w:val="auto"/>
          <w:sz w:val="24"/>
        </w:rPr>
      </w:pPr>
      <w:r>
        <w:rPr>
          <w:rFonts w:hint="eastAsia" w:ascii="宋体" w:hAnsi="宋体" w:cs="宋体"/>
          <w:color w:val="auto"/>
          <w:sz w:val="24"/>
        </w:rPr>
        <w:t>（3）</w:t>
      </w:r>
      <w:r>
        <w:rPr>
          <w:rFonts w:hint="eastAsia" w:ascii="宋体" w:hAnsi="宋体"/>
          <w:color w:val="auto"/>
          <w:sz w:val="24"/>
        </w:rPr>
        <w:t>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0B5002C3">
      <w:pPr>
        <w:spacing w:line="400" w:lineRule="exact"/>
        <w:ind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val="en-US" w:eastAsia="zh-CN"/>
        </w:rPr>
        <w:t>（4）</w:t>
      </w:r>
      <w:r>
        <w:rPr>
          <w:rFonts w:hint="eastAsia" w:asciiTheme="minorEastAsia" w:hAnsiTheme="minorEastAsia" w:eastAsiaTheme="minorEastAsia" w:cstheme="minorEastAsia"/>
          <w:color w:val="auto"/>
          <w:sz w:val="24"/>
        </w:rPr>
        <w:t>本项目不接受联合体磋商。</w:t>
      </w:r>
    </w:p>
    <w:p w14:paraId="3A1BB841">
      <w:pPr>
        <w:spacing w:line="400" w:lineRule="exact"/>
        <w:ind w:firstLine="480" w:firstLineChars="200"/>
        <w:rPr>
          <w:rFonts w:hint="eastAsia" w:asciiTheme="minorEastAsia" w:hAnsiTheme="minorEastAsia" w:eastAsiaTheme="minorEastAsia" w:cstheme="minorEastAsia"/>
          <w:color w:val="auto"/>
          <w:sz w:val="24"/>
          <w:lang w:val="en-US" w:eastAsia="zh-CN"/>
        </w:rPr>
      </w:pPr>
      <w:r>
        <w:rPr>
          <w:rFonts w:hint="eastAsia" w:asciiTheme="minorEastAsia" w:hAnsiTheme="minorEastAsia" w:eastAsiaTheme="minorEastAsia" w:cstheme="minorEastAsia"/>
          <w:color w:val="auto"/>
          <w:sz w:val="24"/>
          <w:lang w:val="en-US" w:eastAsia="zh-CN"/>
        </w:rPr>
        <w:t>（5）</w:t>
      </w:r>
      <w:r>
        <w:rPr>
          <w:rFonts w:hint="eastAsia" w:asciiTheme="minorEastAsia" w:hAnsiTheme="minorEastAsia" w:eastAsiaTheme="minorEastAsia" w:cstheme="minorEastAsia"/>
          <w:color w:val="auto"/>
          <w:sz w:val="24"/>
        </w:rPr>
        <w:t>是否适用本国产品标准：</w:t>
      </w:r>
      <w:r>
        <w:rPr>
          <w:rFonts w:hint="eastAsia" w:asciiTheme="minorEastAsia" w:hAnsiTheme="minorEastAsia" w:eastAsiaTheme="minorEastAsia" w:cstheme="minorEastAsia"/>
          <w:color w:val="auto"/>
          <w:sz w:val="24"/>
          <w:lang w:eastAsia="zh-CN"/>
        </w:rPr>
        <w:t>否。</w:t>
      </w:r>
    </w:p>
    <w:p w14:paraId="5D46D864">
      <w:pPr>
        <w:pStyle w:val="3"/>
        <w:spacing w:before="0" w:after="0" w:line="400" w:lineRule="exact"/>
        <w:jc w:val="left"/>
        <w:outlineLvl w:val="0"/>
        <w:rPr>
          <w:rFonts w:ascii="宋体" w:hAnsi="宋体" w:eastAsia="宋体" w:cs="宋体"/>
          <w:color w:val="auto"/>
          <w:sz w:val="24"/>
          <w:szCs w:val="24"/>
        </w:rPr>
      </w:pPr>
      <w:bookmarkStart w:id="27" w:name="_Toc8389"/>
      <w:bookmarkStart w:id="28" w:name="_Toc5720"/>
      <w:bookmarkStart w:id="29" w:name="_Toc13734"/>
      <w:bookmarkStart w:id="30" w:name="_Toc35393631"/>
      <w:bookmarkStart w:id="31" w:name="_Toc86935805"/>
      <w:bookmarkStart w:id="32" w:name="_Toc35393800"/>
      <w:r>
        <w:rPr>
          <w:rFonts w:hint="eastAsia" w:ascii="宋体" w:hAnsi="宋体" w:eastAsia="宋体" w:cs="宋体"/>
          <w:color w:val="auto"/>
          <w:sz w:val="24"/>
          <w:szCs w:val="24"/>
        </w:rPr>
        <w:t>三、获取采购文件</w:t>
      </w:r>
      <w:bookmarkEnd w:id="25"/>
      <w:bookmarkEnd w:id="26"/>
      <w:bookmarkEnd w:id="27"/>
      <w:bookmarkEnd w:id="28"/>
      <w:bookmarkEnd w:id="29"/>
      <w:bookmarkEnd w:id="30"/>
      <w:bookmarkEnd w:id="31"/>
      <w:bookmarkEnd w:id="32"/>
    </w:p>
    <w:p w14:paraId="6F580D4E">
      <w:pPr>
        <w:spacing w:line="400" w:lineRule="exact"/>
        <w:ind w:firstLine="480" w:firstLineChars="200"/>
        <w:rPr>
          <w:rFonts w:ascii="宋体" w:hAnsi="宋体" w:cs="宋体"/>
          <w:bCs/>
          <w:color w:val="auto"/>
          <w:sz w:val="24"/>
        </w:rPr>
      </w:pPr>
      <w:r>
        <w:rPr>
          <w:rFonts w:hint="eastAsia" w:ascii="宋体" w:hAnsi="宋体" w:cs="宋体"/>
          <w:bCs/>
          <w:color w:val="auto"/>
          <w:sz w:val="24"/>
        </w:rPr>
        <w:t>时间：</w:t>
      </w:r>
      <w:r>
        <w:rPr>
          <w:rFonts w:hint="eastAsia" w:ascii="宋体" w:hAnsi="宋体" w:cs="宋体"/>
          <w:bCs/>
          <w:color w:val="auto"/>
          <w:sz w:val="24"/>
          <w:lang w:eastAsia="zh-CN"/>
        </w:rPr>
        <w:t>202</w:t>
      </w:r>
      <w:r>
        <w:rPr>
          <w:rFonts w:hint="eastAsia" w:ascii="宋体" w:hAnsi="宋体" w:cs="宋体"/>
          <w:bCs/>
          <w:color w:val="auto"/>
          <w:sz w:val="24"/>
          <w:lang w:val="en-US" w:eastAsia="zh-CN"/>
        </w:rPr>
        <w:t>6</w:t>
      </w:r>
      <w:r>
        <w:rPr>
          <w:rFonts w:hint="eastAsia" w:ascii="宋体" w:hAnsi="宋体" w:cs="宋体"/>
          <w:bCs/>
          <w:color w:val="auto"/>
          <w:sz w:val="24"/>
          <w:lang w:eastAsia="zh-CN"/>
        </w:rPr>
        <w:t>年</w:t>
      </w:r>
      <w:r>
        <w:rPr>
          <w:rFonts w:hint="eastAsia" w:ascii="宋体" w:hAnsi="宋体" w:cs="宋体"/>
          <w:bCs/>
          <w:color w:val="auto"/>
          <w:sz w:val="24"/>
          <w:lang w:val="en-US" w:eastAsia="zh-CN"/>
        </w:rPr>
        <w:t>08</w:t>
      </w:r>
      <w:r>
        <w:rPr>
          <w:rFonts w:hint="eastAsia" w:ascii="宋体" w:hAnsi="宋体" w:cs="宋体"/>
          <w:bCs/>
          <w:color w:val="auto"/>
          <w:sz w:val="24"/>
          <w:lang w:eastAsia="zh-CN"/>
        </w:rPr>
        <w:t>月</w:t>
      </w:r>
      <w:r>
        <w:rPr>
          <w:rFonts w:hint="eastAsia" w:ascii="宋体" w:hAnsi="宋体" w:cs="宋体"/>
          <w:bCs/>
          <w:color w:val="auto"/>
          <w:sz w:val="24"/>
          <w:lang w:val="en-US" w:eastAsia="zh-CN"/>
        </w:rPr>
        <w:t>28</w:t>
      </w:r>
      <w:r>
        <w:rPr>
          <w:rFonts w:hint="eastAsia" w:ascii="宋体" w:hAnsi="宋体" w:cs="宋体"/>
          <w:bCs/>
          <w:color w:val="auto"/>
          <w:sz w:val="24"/>
          <w:lang w:eastAsia="zh-CN"/>
        </w:rPr>
        <w:t>日</w:t>
      </w:r>
      <w:r>
        <w:rPr>
          <w:rFonts w:hint="eastAsia" w:ascii="宋体" w:hAnsi="宋体" w:cs="宋体"/>
          <w:bCs/>
          <w:color w:val="auto"/>
          <w:sz w:val="24"/>
        </w:rPr>
        <w:t>公告发布之时至202</w:t>
      </w:r>
      <w:r>
        <w:rPr>
          <w:rFonts w:hint="eastAsia" w:ascii="宋体" w:hAnsi="宋体" w:cs="宋体"/>
          <w:bCs/>
          <w:color w:val="auto"/>
          <w:sz w:val="24"/>
          <w:lang w:val="en-US" w:eastAsia="zh-CN"/>
        </w:rPr>
        <w:t>6</w:t>
      </w:r>
      <w:r>
        <w:rPr>
          <w:rFonts w:hint="eastAsia" w:ascii="宋体" w:hAnsi="宋体" w:cs="宋体"/>
          <w:bCs/>
          <w:color w:val="auto"/>
          <w:sz w:val="24"/>
        </w:rPr>
        <w:t>年</w:t>
      </w:r>
      <w:r>
        <w:rPr>
          <w:rFonts w:hint="eastAsia" w:ascii="宋体" w:hAnsi="宋体" w:cs="宋体"/>
          <w:bCs/>
          <w:color w:val="auto"/>
          <w:sz w:val="24"/>
          <w:lang w:val="en-US" w:eastAsia="zh-CN"/>
        </w:rPr>
        <w:t>09</w:t>
      </w:r>
      <w:r>
        <w:rPr>
          <w:rFonts w:hint="eastAsia" w:ascii="宋体" w:hAnsi="宋体" w:cs="宋体"/>
          <w:bCs/>
          <w:color w:val="auto"/>
          <w:sz w:val="24"/>
        </w:rPr>
        <w:t>月</w:t>
      </w:r>
      <w:r>
        <w:rPr>
          <w:rFonts w:hint="eastAsia" w:ascii="宋体" w:hAnsi="宋体" w:cs="宋体"/>
          <w:bCs/>
          <w:color w:val="auto"/>
          <w:sz w:val="24"/>
          <w:lang w:val="en-US" w:eastAsia="zh-CN"/>
        </w:rPr>
        <w:t>10</w:t>
      </w:r>
      <w:r>
        <w:rPr>
          <w:rFonts w:hint="eastAsia" w:ascii="宋体" w:hAnsi="宋体" w:cs="宋体"/>
          <w:bCs/>
          <w:color w:val="auto"/>
          <w:sz w:val="24"/>
        </w:rPr>
        <w:t>日18时00分（北京时间）；</w:t>
      </w:r>
    </w:p>
    <w:p w14:paraId="04346A53">
      <w:pPr>
        <w:spacing w:line="400" w:lineRule="exact"/>
        <w:ind w:firstLine="480" w:firstLineChars="200"/>
        <w:rPr>
          <w:rFonts w:ascii="宋体" w:hAnsi="宋体" w:cs="宋体"/>
          <w:bCs/>
          <w:color w:val="auto"/>
          <w:sz w:val="24"/>
        </w:rPr>
      </w:pPr>
      <w:r>
        <w:rPr>
          <w:rFonts w:hint="eastAsia" w:ascii="宋体" w:hAnsi="宋体" w:cs="宋体"/>
          <w:bCs/>
          <w:color w:val="auto"/>
          <w:sz w:val="24"/>
        </w:rPr>
        <w:t>地点：供应商须登录广西政府采购云平台（https://www.gcy.zfcg.gxzf.gov.cn/）在线获取采购文件。尚未注册的供应商可在广西政府采购云平台完成注册后在线获取采购文件（广西政府采购云平台-商家入驻-注册）。如在操作过程中遇到问题或需技术支持，请致电</w:t>
      </w:r>
      <w:r>
        <w:rPr>
          <w:rFonts w:hint="eastAsia" w:ascii="宋体" w:hAnsi="宋体" w:cs="宋体"/>
          <w:bCs/>
          <w:color w:val="auto"/>
          <w:sz w:val="24"/>
          <w:lang w:eastAsia="zh-CN"/>
        </w:rPr>
        <w:t>广西政府采购云平台</w:t>
      </w:r>
      <w:r>
        <w:rPr>
          <w:rFonts w:hint="eastAsia" w:ascii="宋体" w:hAnsi="宋体" w:cs="宋体"/>
          <w:bCs/>
          <w:color w:val="auto"/>
          <w:sz w:val="24"/>
        </w:rPr>
        <w:t>客服热线：95763。</w:t>
      </w:r>
    </w:p>
    <w:p w14:paraId="56ED06B2">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提示：采购公告附件内的采购文件仅供阅览使用，供应商只有在广西政府采购云平台完成获取采购文件申请并下载了采购文件后才视作依法获取采购文件（法律法规所指的供应商获取采购文件时间以供应商完成获取采购文件申请后下载采购文件的时间为准）。</w:t>
      </w:r>
    </w:p>
    <w:p w14:paraId="514AD3B7">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供应商未按以上时间、地点、方式获取本项目采购文件的，将拒收其响应文件。本项目采用资格后审，已获取采购文件的供应商不等于符合本项目资格要求。</w:t>
      </w:r>
    </w:p>
    <w:p w14:paraId="29149748">
      <w:pPr>
        <w:spacing w:line="400" w:lineRule="exact"/>
        <w:ind w:firstLine="480" w:firstLineChars="200"/>
        <w:rPr>
          <w:rFonts w:ascii="宋体" w:hAnsi="宋体" w:cs="宋体"/>
          <w:color w:val="auto"/>
          <w:sz w:val="24"/>
        </w:rPr>
      </w:pPr>
      <w:r>
        <w:rPr>
          <w:rFonts w:hint="eastAsia" w:ascii="宋体" w:hAnsi="宋体" w:cs="宋体"/>
          <w:bCs/>
          <w:color w:val="auto"/>
          <w:sz w:val="24"/>
        </w:rPr>
        <w:t>售价：免费。</w:t>
      </w:r>
    </w:p>
    <w:p w14:paraId="7E6C0AB4">
      <w:pPr>
        <w:pStyle w:val="3"/>
        <w:spacing w:before="0" w:after="0" w:line="400" w:lineRule="exact"/>
        <w:jc w:val="left"/>
        <w:outlineLvl w:val="0"/>
        <w:rPr>
          <w:rFonts w:ascii="宋体" w:hAnsi="宋体" w:eastAsia="宋体" w:cs="宋体"/>
          <w:color w:val="auto"/>
          <w:sz w:val="24"/>
          <w:szCs w:val="24"/>
        </w:rPr>
      </w:pPr>
      <w:bookmarkStart w:id="33" w:name="_Toc35393632"/>
      <w:bookmarkStart w:id="34" w:name="_Toc23495"/>
      <w:bookmarkStart w:id="35" w:name="_Toc28359092"/>
      <w:bookmarkStart w:id="36" w:name="_Toc28359015"/>
      <w:bookmarkStart w:id="37" w:name="_Toc35393801"/>
      <w:bookmarkStart w:id="38" w:name="_Toc86935806"/>
      <w:bookmarkStart w:id="39" w:name="_Toc19883"/>
      <w:bookmarkStart w:id="40" w:name="_Toc31786"/>
      <w:r>
        <w:rPr>
          <w:rFonts w:hint="eastAsia" w:ascii="宋体" w:hAnsi="宋体" w:eastAsia="宋体" w:cs="宋体"/>
          <w:color w:val="auto"/>
          <w:sz w:val="24"/>
          <w:szCs w:val="24"/>
        </w:rPr>
        <w:t>四、响应文件提交</w:t>
      </w:r>
      <w:bookmarkEnd w:id="33"/>
      <w:bookmarkEnd w:id="34"/>
      <w:bookmarkEnd w:id="35"/>
      <w:bookmarkEnd w:id="36"/>
      <w:bookmarkEnd w:id="37"/>
      <w:bookmarkEnd w:id="38"/>
      <w:bookmarkEnd w:id="39"/>
      <w:bookmarkEnd w:id="40"/>
    </w:p>
    <w:p w14:paraId="5EF2B90B">
      <w:pPr>
        <w:spacing w:line="400" w:lineRule="exact"/>
        <w:ind w:firstLine="480" w:firstLineChars="200"/>
        <w:rPr>
          <w:rFonts w:ascii="宋体" w:hAnsi="宋体" w:cs="宋体"/>
          <w:bCs/>
          <w:color w:val="auto"/>
          <w:sz w:val="24"/>
        </w:rPr>
      </w:pPr>
      <w:r>
        <w:rPr>
          <w:rFonts w:hint="eastAsia" w:ascii="宋体" w:hAnsi="宋体" w:cs="宋体"/>
          <w:color w:val="auto"/>
          <w:sz w:val="24"/>
        </w:rPr>
        <w:t>截止时间：</w:t>
      </w:r>
      <w:r>
        <w:rPr>
          <w:rFonts w:hint="eastAsia" w:ascii="宋体" w:hAnsi="宋体" w:cs="宋体"/>
          <w:color w:val="auto"/>
          <w:sz w:val="24"/>
          <w:u w:val="single"/>
        </w:rPr>
        <w:t>2026年09月10日</w:t>
      </w:r>
      <w:r>
        <w:rPr>
          <w:rFonts w:hint="eastAsia" w:ascii="宋体" w:hAnsi="宋体" w:cs="宋体"/>
          <w:color w:val="auto"/>
          <w:sz w:val="24"/>
          <w:u w:val="single"/>
          <w:lang w:eastAsia="zh-CN"/>
        </w:rPr>
        <w:t>09时00分</w:t>
      </w:r>
      <w:r>
        <w:rPr>
          <w:rFonts w:hint="eastAsia" w:ascii="宋体" w:hAnsi="宋体" w:cs="宋体"/>
          <w:bCs/>
          <w:color w:val="auto"/>
          <w:sz w:val="24"/>
        </w:rPr>
        <w:t>（北京时间）；</w:t>
      </w:r>
    </w:p>
    <w:p w14:paraId="4C08D290">
      <w:pPr>
        <w:spacing w:line="400" w:lineRule="exact"/>
        <w:ind w:firstLine="480" w:firstLineChars="200"/>
        <w:rPr>
          <w:rFonts w:ascii="宋体" w:hAnsi="宋体" w:cs="宋体"/>
          <w:color w:val="auto"/>
          <w:sz w:val="24"/>
        </w:rPr>
      </w:pPr>
      <w:r>
        <w:rPr>
          <w:rFonts w:hint="eastAsia" w:ascii="宋体" w:hAnsi="宋体" w:cs="宋体"/>
          <w:color w:val="auto"/>
          <w:sz w:val="24"/>
        </w:rPr>
        <w:t>地点：广西政府采购云平台（https://www.gcy.zfcg.gxzf.gov.cn/）。</w:t>
      </w:r>
    </w:p>
    <w:p w14:paraId="3588F438">
      <w:pPr>
        <w:pStyle w:val="3"/>
        <w:spacing w:before="0" w:after="0" w:line="400" w:lineRule="exact"/>
        <w:jc w:val="left"/>
        <w:outlineLvl w:val="0"/>
        <w:rPr>
          <w:rFonts w:ascii="宋体" w:hAnsi="宋体" w:eastAsia="宋体" w:cs="宋体"/>
          <w:color w:val="auto"/>
          <w:sz w:val="24"/>
          <w:szCs w:val="24"/>
        </w:rPr>
      </w:pPr>
      <w:bookmarkStart w:id="41" w:name="_Toc2469"/>
      <w:bookmarkStart w:id="42" w:name="_Toc35393633"/>
      <w:bookmarkStart w:id="43" w:name="_Toc35393802"/>
      <w:bookmarkStart w:id="44" w:name="_Toc28359016"/>
      <w:bookmarkStart w:id="45" w:name="_Toc3615"/>
      <w:bookmarkStart w:id="46" w:name="_Toc28359093"/>
      <w:bookmarkStart w:id="47" w:name="_Toc86935807"/>
      <w:bookmarkStart w:id="48" w:name="_Toc11431"/>
      <w:r>
        <w:rPr>
          <w:rFonts w:hint="eastAsia" w:ascii="宋体" w:hAnsi="宋体" w:eastAsia="宋体" w:cs="宋体"/>
          <w:color w:val="auto"/>
          <w:sz w:val="24"/>
          <w:szCs w:val="24"/>
        </w:rPr>
        <w:t>五、开启</w:t>
      </w:r>
      <w:bookmarkEnd w:id="41"/>
      <w:bookmarkEnd w:id="42"/>
      <w:bookmarkEnd w:id="43"/>
      <w:bookmarkEnd w:id="44"/>
      <w:bookmarkEnd w:id="45"/>
      <w:bookmarkEnd w:id="46"/>
      <w:bookmarkEnd w:id="47"/>
      <w:bookmarkEnd w:id="48"/>
    </w:p>
    <w:p w14:paraId="646DF28A">
      <w:pPr>
        <w:pStyle w:val="3"/>
        <w:spacing w:before="0" w:after="0" w:line="400" w:lineRule="exact"/>
        <w:ind w:firstLine="480" w:firstLineChars="200"/>
        <w:jc w:val="left"/>
        <w:outlineLvl w:val="9"/>
        <w:rPr>
          <w:rFonts w:ascii="宋体" w:hAnsi="宋体" w:eastAsia="宋体" w:cs="宋体"/>
          <w:b w:val="0"/>
          <w:bCs/>
          <w:color w:val="auto"/>
          <w:sz w:val="24"/>
          <w:szCs w:val="24"/>
        </w:rPr>
      </w:pPr>
      <w:bookmarkStart w:id="49" w:name="_Toc19879"/>
      <w:bookmarkStart w:id="50" w:name="_Toc11471"/>
      <w:bookmarkStart w:id="51" w:name="_Toc86935808"/>
      <w:r>
        <w:rPr>
          <w:rFonts w:hint="eastAsia" w:ascii="宋体" w:hAnsi="宋体" w:eastAsia="宋体" w:cs="宋体"/>
          <w:b w:val="0"/>
          <w:bCs/>
          <w:color w:val="auto"/>
          <w:sz w:val="24"/>
          <w:szCs w:val="24"/>
        </w:rPr>
        <w:t>时间：</w:t>
      </w:r>
      <w:r>
        <w:rPr>
          <w:rFonts w:hint="eastAsia" w:ascii="宋体" w:hAnsi="宋体" w:eastAsia="宋体" w:cs="宋体"/>
          <w:b w:val="0"/>
          <w:bCs/>
          <w:color w:val="auto"/>
          <w:sz w:val="24"/>
          <w:szCs w:val="24"/>
          <w:u w:val="single"/>
        </w:rPr>
        <w:t>2026年09月10日09时00分</w:t>
      </w:r>
      <w:r>
        <w:rPr>
          <w:rFonts w:hint="eastAsia" w:ascii="宋体" w:hAnsi="宋体" w:eastAsia="宋体" w:cs="宋体"/>
          <w:b w:val="0"/>
          <w:bCs/>
          <w:color w:val="auto"/>
          <w:sz w:val="24"/>
          <w:szCs w:val="24"/>
        </w:rPr>
        <w:t>（北京时间）；</w:t>
      </w:r>
      <w:bookmarkEnd w:id="49"/>
      <w:bookmarkEnd w:id="50"/>
      <w:bookmarkEnd w:id="51"/>
    </w:p>
    <w:p w14:paraId="39462596">
      <w:pPr>
        <w:widowControl/>
        <w:shd w:val="clear" w:color="auto" w:fill="FFFFFF"/>
        <w:spacing w:line="20" w:lineRule="atLeast"/>
        <w:ind w:firstLine="480" w:firstLineChars="200"/>
        <w:jc w:val="left"/>
        <w:rPr>
          <w:rFonts w:hint="eastAsia" w:eastAsia="宋体"/>
          <w:color w:val="auto"/>
          <w:lang w:eastAsia="zh-CN"/>
        </w:rPr>
      </w:pPr>
      <w:r>
        <w:rPr>
          <w:rFonts w:hint="eastAsia" w:ascii="宋体" w:hAnsi="宋体" w:cs="宋体"/>
          <w:bCs/>
          <w:color w:val="auto"/>
          <w:sz w:val="24"/>
        </w:rPr>
        <w:t>地点：广西政府采购云平台（https://www.gcy.zfcg.gxzf.gov.cn/）</w:t>
      </w:r>
      <w:r>
        <w:rPr>
          <w:rFonts w:hint="eastAsia" w:ascii="宋体" w:hAnsi="宋体" w:cs="宋体"/>
          <w:bCs/>
          <w:color w:val="auto"/>
          <w:sz w:val="24"/>
          <w:lang w:eastAsia="zh-CN"/>
        </w:rPr>
        <w:t>。</w:t>
      </w:r>
    </w:p>
    <w:p w14:paraId="1A243E88">
      <w:pPr>
        <w:pStyle w:val="3"/>
        <w:spacing w:before="0" w:after="0" w:line="400" w:lineRule="exact"/>
        <w:jc w:val="left"/>
        <w:outlineLvl w:val="0"/>
        <w:rPr>
          <w:rFonts w:ascii="宋体" w:hAnsi="宋体" w:eastAsia="宋体" w:cs="宋体"/>
          <w:color w:val="auto"/>
          <w:sz w:val="24"/>
          <w:szCs w:val="24"/>
        </w:rPr>
      </w:pPr>
      <w:bookmarkStart w:id="52" w:name="_Toc35393803"/>
      <w:bookmarkStart w:id="53" w:name="_Toc28359017"/>
      <w:bookmarkStart w:id="54" w:name="_Toc86935809"/>
      <w:bookmarkStart w:id="55" w:name="_Toc35393634"/>
      <w:bookmarkStart w:id="56" w:name="_Toc32018"/>
      <w:bookmarkStart w:id="57" w:name="_Toc8387"/>
      <w:bookmarkStart w:id="58" w:name="_Toc8368"/>
      <w:bookmarkStart w:id="59" w:name="_Toc28359094"/>
      <w:r>
        <w:rPr>
          <w:rFonts w:hint="eastAsia" w:ascii="宋体" w:hAnsi="宋体" w:eastAsia="宋体" w:cs="宋体"/>
          <w:color w:val="auto"/>
          <w:sz w:val="24"/>
          <w:szCs w:val="24"/>
        </w:rPr>
        <w:t>六、公告期限</w:t>
      </w:r>
      <w:bookmarkEnd w:id="52"/>
      <w:bookmarkEnd w:id="53"/>
      <w:bookmarkEnd w:id="54"/>
      <w:bookmarkEnd w:id="55"/>
      <w:bookmarkEnd w:id="56"/>
      <w:bookmarkEnd w:id="57"/>
      <w:bookmarkEnd w:id="58"/>
      <w:bookmarkEnd w:id="59"/>
    </w:p>
    <w:p w14:paraId="3BAF677F">
      <w:pPr>
        <w:spacing w:line="400" w:lineRule="exact"/>
        <w:ind w:firstLine="480" w:firstLineChars="200"/>
        <w:rPr>
          <w:rFonts w:ascii="宋体" w:hAnsi="宋体" w:cs="宋体"/>
          <w:color w:val="auto"/>
          <w:kern w:val="0"/>
          <w:sz w:val="24"/>
        </w:rPr>
      </w:pPr>
      <w:r>
        <w:rPr>
          <w:rFonts w:hint="eastAsia" w:ascii="宋体" w:hAnsi="宋体" w:cs="宋体"/>
          <w:color w:val="auto"/>
          <w:kern w:val="0"/>
          <w:sz w:val="24"/>
        </w:rPr>
        <w:t>自本公告发布之日起5个工作日。</w:t>
      </w:r>
      <w:r>
        <w:rPr>
          <w:rFonts w:hint="eastAsia" w:asciiTheme="minorEastAsia" w:hAnsiTheme="minorEastAsia" w:eastAsiaTheme="minorEastAsia" w:cstheme="minorEastAsia"/>
          <w:bCs/>
          <w:color w:val="auto"/>
          <w:sz w:val="24"/>
        </w:rPr>
        <w:tab/>
      </w:r>
    </w:p>
    <w:p w14:paraId="4D68F0E7">
      <w:pPr>
        <w:pStyle w:val="3"/>
        <w:numPr>
          <w:ilvl w:val="0"/>
          <w:numId w:val="2"/>
        </w:numPr>
        <w:spacing w:before="0" w:after="0" w:line="400" w:lineRule="exact"/>
        <w:jc w:val="left"/>
        <w:outlineLvl w:val="0"/>
        <w:rPr>
          <w:rFonts w:ascii="宋体" w:hAnsi="宋体" w:eastAsia="宋体" w:cs="宋体"/>
          <w:color w:val="auto"/>
          <w:sz w:val="24"/>
          <w:szCs w:val="24"/>
        </w:rPr>
      </w:pPr>
      <w:bookmarkStart w:id="60" w:name="_Toc35393635"/>
      <w:bookmarkStart w:id="61" w:name="_Toc4792"/>
      <w:bookmarkStart w:id="62" w:name="_Toc29027"/>
      <w:bookmarkStart w:id="63" w:name="_Toc86935810"/>
      <w:bookmarkStart w:id="64" w:name="_Toc35393804"/>
      <w:bookmarkStart w:id="65" w:name="_Toc16860"/>
      <w:r>
        <w:rPr>
          <w:rFonts w:hint="eastAsia" w:ascii="宋体" w:hAnsi="宋体" w:eastAsia="宋体" w:cs="宋体"/>
          <w:color w:val="auto"/>
          <w:sz w:val="24"/>
          <w:szCs w:val="24"/>
        </w:rPr>
        <w:t>其他补充事宜</w:t>
      </w:r>
      <w:bookmarkEnd w:id="60"/>
      <w:bookmarkEnd w:id="61"/>
      <w:bookmarkEnd w:id="62"/>
      <w:bookmarkEnd w:id="63"/>
      <w:bookmarkEnd w:id="64"/>
      <w:bookmarkEnd w:id="65"/>
    </w:p>
    <w:p w14:paraId="6E314034">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1.落实的政府采购政策</w:t>
      </w:r>
    </w:p>
    <w:p w14:paraId="1FA21604">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1）扶持中小企业政策：本项目采购人专门面向中小企业采购，面向中小企业采购份额为100%。</w:t>
      </w:r>
    </w:p>
    <w:p w14:paraId="0D37377B">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2）对风险较低、规模较小的采购项目，受疫情影响的中小微企业（在提供真实可信证明材料的前提下），停止收取投标保证金和履约保证金。</w:t>
      </w:r>
    </w:p>
    <w:p w14:paraId="62432637">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2.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4883C28F">
      <w:pPr>
        <w:spacing w:line="400" w:lineRule="exact"/>
        <w:ind w:firstLine="480" w:firstLineChars="200"/>
        <w:rPr>
          <w:rFonts w:hint="eastAsia" w:ascii="宋体" w:hAnsi="宋体" w:eastAsia="宋体" w:cs="宋体"/>
          <w:bCs/>
          <w:color w:val="auto"/>
          <w:sz w:val="24"/>
          <w:lang w:val="en-US" w:eastAsia="zh-CN"/>
        </w:rPr>
      </w:pPr>
      <w:r>
        <w:rPr>
          <w:rFonts w:hint="eastAsia" w:ascii="宋体" w:hAnsi="宋体" w:cs="宋体"/>
          <w:bCs/>
          <w:color w:val="auto"/>
          <w:sz w:val="24"/>
        </w:rPr>
        <w:t>3.被列入失信被执行人、重大税收违法案件当事人名单、政府采购严重违法失信行为记录名单及其他不符合《中华人民共和国政府采购法》第二十二条规定条件的供应商，将被拒绝其参与本次政府采购活动（以评审阶段在“信用中国”网站（www.creditchina.gov.cn）</w:t>
      </w:r>
      <w:r>
        <w:rPr>
          <w:rFonts w:hint="eastAsia" w:ascii="宋体" w:hAnsi="宋体" w:cs="宋体"/>
          <w:bCs/>
          <w:color w:val="auto"/>
          <w:sz w:val="24"/>
          <w:lang w:eastAsia="zh-CN"/>
        </w:rPr>
        <w:t>、</w:t>
      </w:r>
      <w:r>
        <w:rPr>
          <w:rFonts w:hint="eastAsia" w:ascii="宋体" w:hAnsi="宋体" w:cs="宋体"/>
          <w:bCs/>
          <w:color w:val="auto"/>
          <w:sz w:val="24"/>
        </w:rPr>
        <w:t>中国政府采购网（www.ccgp.gov.cn）的信用记录查询结果为准）。</w:t>
      </w:r>
    </w:p>
    <w:p w14:paraId="2E1AFE30">
      <w:pPr>
        <w:numPr>
          <w:ilvl w:val="0"/>
          <w:numId w:val="3"/>
        </w:numPr>
        <w:spacing w:line="400" w:lineRule="exact"/>
        <w:ind w:firstLine="480" w:firstLineChars="200"/>
        <w:rPr>
          <w:rFonts w:hint="eastAsia" w:asciiTheme="minorEastAsia" w:hAnsiTheme="minorEastAsia" w:eastAsiaTheme="minorEastAsia" w:cstheme="minorEastAsia"/>
          <w:bCs/>
          <w:color w:val="auto"/>
          <w:sz w:val="24"/>
        </w:rPr>
      </w:pPr>
      <w:r>
        <w:rPr>
          <w:rFonts w:hint="eastAsia" w:ascii="宋体" w:hAnsi="宋体" w:cs="宋体"/>
          <w:bCs/>
          <w:color w:val="auto"/>
          <w:sz w:val="24"/>
        </w:rPr>
        <w:t>磋商保证金(人民币)：</w:t>
      </w:r>
      <w:r>
        <w:rPr>
          <w:rFonts w:hint="eastAsia" w:asciiTheme="minorEastAsia" w:hAnsiTheme="minorEastAsia" w:eastAsiaTheme="minorEastAsia" w:cstheme="minorEastAsia"/>
          <w:bCs/>
          <w:color w:val="auto"/>
          <w:sz w:val="24"/>
          <w:u w:val="single"/>
        </w:rPr>
        <w:t>本项目无须缴纳磋商保证金</w:t>
      </w:r>
      <w:r>
        <w:rPr>
          <w:rFonts w:hint="eastAsia" w:asciiTheme="minorEastAsia" w:hAnsiTheme="minorEastAsia" w:eastAsiaTheme="minorEastAsia" w:cstheme="minorEastAsia"/>
          <w:bCs/>
          <w:color w:val="auto"/>
          <w:sz w:val="24"/>
        </w:rPr>
        <w:t>。</w:t>
      </w:r>
    </w:p>
    <w:p w14:paraId="6F61D8C4">
      <w:pPr>
        <w:numPr>
          <w:ilvl w:val="0"/>
          <w:numId w:val="3"/>
        </w:num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本项目不要求投标供应商到达开标现场，但供应商应派法定代表人（负责人）或委托代理人准时在线出席电子开评标会议，随时关注开评标进度，如在开评标过程中有电子询标，应在规定的时间内对电子询标函进行澄清回复。</w:t>
      </w:r>
    </w:p>
    <w:p w14:paraId="2A661F13">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6.其他注意事项</w:t>
      </w:r>
    </w:p>
    <w:p w14:paraId="0265A5A3">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1）本项目实行电子标，供应商应按照本项目采购文件和广西政府采购云平台的要求编制、加密并提交响应文件。供应商在使用系统参与磋商过程中遇到涉及平台使用的任何问题，可致电广西政府采购云平台技术支持热线咨询，联系方式：95763。</w:t>
      </w:r>
    </w:p>
    <w:p w14:paraId="7C61D92F">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 xml:space="preserve">（2）供应商应及时熟悉掌握电子标系统操作指南（见广西政府采购云平台电子卖场首页右上角—服务中心—帮助中心—项目采购）：https://helpcenter.zcygov.cn/document/#/document/dashboard?siteCode=gx。   </w:t>
      </w:r>
    </w:p>
    <w:p w14:paraId="3B354F49">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（3）供应商应及时完成CA申领和绑定（见广西政府采购网—办事服务—下载专区-</w:t>
      </w:r>
      <w:r>
        <w:rPr>
          <w:rFonts w:hint="eastAsia" w:ascii="宋体" w:hAnsi="宋体" w:cs="宋体"/>
          <w:bCs/>
          <w:color w:val="auto"/>
          <w:sz w:val="24"/>
          <w:lang w:eastAsia="zh-CN"/>
        </w:rPr>
        <w:t>广西政府采购云平台</w:t>
      </w:r>
      <w:r>
        <w:rPr>
          <w:rFonts w:hint="eastAsia" w:ascii="宋体" w:hAnsi="宋体" w:cs="宋体"/>
          <w:bCs/>
          <w:color w:val="auto"/>
          <w:sz w:val="24"/>
        </w:rPr>
        <w:t>CA证书办理操作指南）</w:t>
      </w:r>
    </w:p>
    <w:p w14:paraId="51424E9E">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4）供应商通过广西政府采购云平台参与政府采购项目投标需下载使用新版客户端，新版客户端下载路径：广西政府采购网（访问地址http://zfcg.gxzf.gov.cn/）—办事服务—下载专区—广西政府采购云平台新版客户端。原在</w:t>
      </w:r>
      <w:r>
        <w:rPr>
          <w:rFonts w:hint="eastAsia" w:ascii="宋体" w:hAnsi="宋体" w:cs="宋体"/>
          <w:bCs/>
          <w:color w:val="auto"/>
          <w:sz w:val="24"/>
          <w:lang w:eastAsia="zh-CN"/>
        </w:rPr>
        <w:t>广西政府采购云平台</w:t>
      </w:r>
      <w:r>
        <w:rPr>
          <w:rFonts w:hint="eastAsia" w:ascii="宋体" w:hAnsi="宋体" w:cs="宋体"/>
          <w:bCs/>
          <w:color w:val="auto"/>
          <w:sz w:val="24"/>
        </w:rPr>
        <w:t>注册的临时供应商需在新平台启用后重新注册登记。</w:t>
      </w:r>
    </w:p>
    <w:p w14:paraId="0F5DFAE4">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注：进入新平台后（https://www.gcy.zfcg.gxzf.gov.cn/），新用户可以通过该路径申请入驻，完成入驻的用户/老用户需要下载客户端才能制作投标文件。</w:t>
      </w:r>
    </w:p>
    <w:p w14:paraId="31A3BB12">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（5）因未注册入库、未办理CA数字证书、CA证书故障、操作不当等原因造成无法参与或磋商失败等后果由供应商自行承担。</w:t>
      </w:r>
    </w:p>
    <w:p w14:paraId="39E689BE">
      <w:pPr>
        <w:spacing w:line="400" w:lineRule="exact"/>
        <w:ind w:firstLine="480" w:firstLineChars="200"/>
        <w:rPr>
          <w:rFonts w:hint="eastAsia" w:ascii="宋体" w:hAnsi="宋体" w:cs="宋体"/>
          <w:bCs/>
          <w:color w:val="auto"/>
          <w:sz w:val="24"/>
        </w:rPr>
      </w:pPr>
      <w:r>
        <w:rPr>
          <w:rFonts w:hint="eastAsia" w:ascii="宋体" w:hAnsi="宋体" w:cs="宋体"/>
          <w:bCs/>
          <w:color w:val="auto"/>
          <w:sz w:val="24"/>
        </w:rPr>
        <w:t>（6）响应文件网上递交截止后，广西政府采购云平台自动提取所有响应文件，各供应商须在开启程序开始后30分钟内对上传广西政府采购云平台的响应文件进行解密，所有供应商在规定的解密时限内解密完成或解密时限结束后，本中心开启响应文件；供应商超过解密时限的，系统默认自动放弃。</w:t>
      </w:r>
    </w:p>
    <w:p w14:paraId="0AF17E16">
      <w:pPr>
        <w:spacing w:line="400" w:lineRule="exact"/>
        <w:ind w:firstLine="480" w:firstLineChars="200"/>
        <w:rPr>
          <w:rFonts w:hint="eastAsia" w:ascii="宋体" w:hAnsi="宋体" w:eastAsia="宋体" w:cs="宋体"/>
          <w:bCs/>
          <w:color w:val="auto"/>
          <w:sz w:val="24"/>
          <w:lang w:eastAsia="zh-CN"/>
        </w:rPr>
      </w:pPr>
      <w:r>
        <w:rPr>
          <w:rFonts w:hint="eastAsia" w:ascii="宋体" w:hAnsi="宋体" w:cs="宋体"/>
          <w:bCs/>
          <w:color w:val="auto"/>
          <w:sz w:val="24"/>
          <w:lang w:eastAsia="zh-CN"/>
        </w:rPr>
        <w:t>（</w:t>
      </w:r>
      <w:r>
        <w:rPr>
          <w:rFonts w:hint="eastAsia" w:ascii="宋体" w:hAnsi="宋体" w:cs="宋体"/>
          <w:bCs/>
          <w:color w:val="auto"/>
          <w:sz w:val="24"/>
          <w:lang w:val="en-US" w:eastAsia="zh-CN"/>
        </w:rPr>
        <w:t>7</w:t>
      </w:r>
      <w:r>
        <w:rPr>
          <w:rFonts w:hint="eastAsia" w:ascii="宋体" w:hAnsi="宋体" w:cs="宋体"/>
          <w:bCs/>
          <w:color w:val="auto"/>
          <w:sz w:val="24"/>
          <w:lang w:eastAsia="zh-CN"/>
        </w:rPr>
        <w:t>）评标说明注意事项：本项目采用远程异地评标，评标主会场地址：贺州市公共资源交易中心（（贺州市太白西路161号（办公区：贺州市政务服务中心四楼C区；交易大厅：贺州市政务服务中心东侧附属楼），详见现场评标室安排；评标副会场地址：玉林市玉州区公共资源交易中心（金港路388号），详见现场电子评标室安排。</w:t>
      </w:r>
    </w:p>
    <w:p w14:paraId="5F32549D">
      <w:pPr>
        <w:spacing w:line="400" w:lineRule="exact"/>
        <w:ind w:firstLine="480" w:firstLineChars="200"/>
        <w:rPr>
          <w:rFonts w:hint="eastAsia" w:ascii="宋体" w:hAnsi="宋体" w:cs="宋体"/>
          <w:bCs/>
          <w:color w:val="auto"/>
          <w:sz w:val="24"/>
          <w:lang w:eastAsia="zh-CN"/>
        </w:rPr>
      </w:pPr>
      <w:r>
        <w:rPr>
          <w:rFonts w:hint="eastAsia" w:ascii="宋体" w:hAnsi="宋体" w:cs="宋体"/>
          <w:bCs/>
          <w:color w:val="auto"/>
          <w:sz w:val="24"/>
        </w:rPr>
        <w:t>（</w:t>
      </w:r>
      <w:r>
        <w:rPr>
          <w:rFonts w:hint="eastAsia" w:ascii="宋体" w:hAnsi="宋体" w:cs="宋体"/>
          <w:bCs/>
          <w:color w:val="auto"/>
          <w:sz w:val="24"/>
          <w:lang w:val="en-US" w:eastAsia="zh-CN"/>
        </w:rPr>
        <w:t>8</w:t>
      </w:r>
      <w:r>
        <w:rPr>
          <w:rFonts w:hint="eastAsia" w:ascii="宋体" w:hAnsi="宋体" w:cs="宋体"/>
          <w:bCs/>
          <w:color w:val="auto"/>
          <w:sz w:val="24"/>
        </w:rPr>
        <w:t>）监督机构：贺州市平桂区政府采购管理办公室</w:t>
      </w:r>
      <w:r>
        <w:rPr>
          <w:rFonts w:hint="eastAsia" w:ascii="宋体" w:hAnsi="宋体" w:cs="宋体"/>
          <w:bCs/>
          <w:color w:val="auto"/>
          <w:sz w:val="24"/>
          <w:lang w:eastAsia="zh-CN"/>
        </w:rPr>
        <w:t>；</w:t>
      </w:r>
      <w:r>
        <w:rPr>
          <w:rFonts w:hint="eastAsia" w:ascii="宋体" w:hAnsi="宋体" w:cs="宋体"/>
          <w:bCs/>
          <w:color w:val="auto"/>
          <w:sz w:val="24"/>
        </w:rPr>
        <w:t>0774-8832896</w:t>
      </w:r>
      <w:r>
        <w:rPr>
          <w:rFonts w:hint="eastAsia" w:ascii="宋体" w:hAnsi="宋体" w:cs="宋体"/>
          <w:bCs/>
          <w:color w:val="auto"/>
          <w:sz w:val="24"/>
          <w:lang w:eastAsia="zh-CN"/>
        </w:rPr>
        <w:t>。</w:t>
      </w:r>
    </w:p>
    <w:p w14:paraId="2D632E08">
      <w:pPr>
        <w:spacing w:line="400" w:lineRule="exact"/>
        <w:ind w:firstLine="480" w:firstLineChars="200"/>
        <w:rPr>
          <w:rFonts w:ascii="微软雅黑" w:hAnsi="微软雅黑" w:eastAsia="微软雅黑" w:cs="微软雅黑"/>
          <w:color w:val="auto"/>
          <w:sz w:val="21"/>
          <w:szCs w:val="21"/>
        </w:rPr>
      </w:pPr>
      <w:r>
        <w:rPr>
          <w:rFonts w:hint="eastAsia" w:ascii="宋体" w:hAnsi="宋体" w:cs="宋体"/>
          <w:bCs/>
          <w:color w:val="auto"/>
          <w:sz w:val="24"/>
          <w:lang w:eastAsia="zh-CN"/>
        </w:rPr>
        <w:t>（</w:t>
      </w:r>
      <w:r>
        <w:rPr>
          <w:rFonts w:hint="eastAsia" w:ascii="宋体" w:hAnsi="宋体" w:cs="宋体"/>
          <w:bCs/>
          <w:color w:val="auto"/>
          <w:sz w:val="24"/>
          <w:lang w:val="en-US" w:eastAsia="zh-CN"/>
        </w:rPr>
        <w:t>9</w:t>
      </w:r>
      <w:r>
        <w:rPr>
          <w:rFonts w:hint="eastAsia" w:ascii="宋体" w:hAnsi="宋体" w:cs="宋体"/>
          <w:bCs/>
          <w:color w:val="auto"/>
          <w:sz w:val="24"/>
          <w:lang w:eastAsia="zh-CN"/>
        </w:rPr>
        <w:t>）</w:t>
      </w:r>
      <w:r>
        <w:rPr>
          <w:rFonts w:hint="eastAsia" w:ascii="宋体" w:hAnsi="宋体" w:cs="宋体"/>
          <w:bCs/>
          <w:color w:val="auto"/>
          <w:sz w:val="24"/>
          <w:lang w:val="en-US" w:eastAsia="zh-CN"/>
        </w:rPr>
        <w:t>公告发布媒体：本次采购公告同时在中国政府采购网www.ccgp.gov.cn、广西壮族自治区政府采购网zfcg.gxzf.gov.cn、全国公共资源交易平台（广西贺州）ggzy.jgswj.gxzf.gov.cn/hzggzy/发布。</w:t>
      </w:r>
    </w:p>
    <w:p w14:paraId="39968792">
      <w:pPr>
        <w:spacing w:line="400" w:lineRule="exact"/>
        <w:ind w:firstLine="480" w:firstLineChars="200"/>
        <w:rPr>
          <w:rFonts w:hint="eastAsia" w:ascii="宋体" w:hAnsi="宋体" w:cs="宋体"/>
          <w:bCs/>
          <w:color w:val="auto"/>
          <w:sz w:val="24"/>
          <w:lang w:eastAsia="zh-CN"/>
        </w:rPr>
      </w:pPr>
    </w:p>
    <w:p w14:paraId="48A60671">
      <w:pPr>
        <w:pStyle w:val="3"/>
        <w:spacing w:before="0" w:after="0" w:line="400" w:lineRule="exact"/>
        <w:jc w:val="left"/>
        <w:outlineLvl w:val="0"/>
        <w:rPr>
          <w:rFonts w:ascii="宋体" w:hAnsi="宋体" w:eastAsia="宋体" w:cs="宋体"/>
          <w:color w:val="auto"/>
          <w:sz w:val="24"/>
          <w:szCs w:val="24"/>
        </w:rPr>
      </w:pPr>
      <w:bookmarkStart w:id="66" w:name="_Toc35393805"/>
      <w:bookmarkStart w:id="67" w:name="_Toc35393636"/>
      <w:bookmarkStart w:id="68" w:name="_Toc28359095"/>
      <w:bookmarkStart w:id="69" w:name="_Toc32661"/>
      <w:bookmarkStart w:id="70" w:name="_Toc26909"/>
      <w:bookmarkStart w:id="71" w:name="_Toc23616"/>
      <w:bookmarkStart w:id="72" w:name="_Toc28359018"/>
      <w:bookmarkStart w:id="73" w:name="_Toc86935811"/>
      <w:r>
        <w:rPr>
          <w:rFonts w:hint="eastAsia" w:ascii="宋体" w:hAnsi="宋体" w:eastAsia="宋体" w:cs="宋体"/>
          <w:color w:val="auto"/>
          <w:sz w:val="24"/>
          <w:szCs w:val="24"/>
        </w:rPr>
        <w:t>八、凡对本次采购提出询问，请按以下方式联系。</w:t>
      </w:r>
      <w:bookmarkEnd w:id="66"/>
      <w:bookmarkEnd w:id="67"/>
      <w:bookmarkEnd w:id="68"/>
      <w:bookmarkEnd w:id="69"/>
      <w:bookmarkEnd w:id="70"/>
      <w:bookmarkEnd w:id="71"/>
      <w:bookmarkEnd w:id="72"/>
      <w:bookmarkEnd w:id="73"/>
    </w:p>
    <w:p w14:paraId="24414BA9">
      <w:pPr>
        <w:spacing w:line="400" w:lineRule="exact"/>
        <w:ind w:firstLine="720" w:firstLineChars="300"/>
        <w:rPr>
          <w:rFonts w:ascii="宋体" w:hAnsi="宋体" w:cs="宋体"/>
          <w:color w:val="auto"/>
          <w:sz w:val="24"/>
        </w:rPr>
      </w:pPr>
      <w:bookmarkStart w:id="74" w:name="_Toc35393806"/>
      <w:bookmarkStart w:id="75" w:name="_Toc28359019"/>
      <w:bookmarkStart w:id="76" w:name="_Toc28359096"/>
      <w:bookmarkStart w:id="77" w:name="_Toc35393637"/>
      <w:r>
        <w:rPr>
          <w:rFonts w:hint="eastAsia" w:ascii="宋体" w:hAnsi="宋体" w:cs="宋体"/>
          <w:color w:val="auto"/>
          <w:sz w:val="24"/>
        </w:rPr>
        <w:t>1.采购人信息</w:t>
      </w:r>
      <w:bookmarkEnd w:id="74"/>
      <w:bookmarkEnd w:id="75"/>
      <w:bookmarkEnd w:id="76"/>
      <w:bookmarkEnd w:id="77"/>
    </w:p>
    <w:p w14:paraId="3445B950">
      <w:pPr>
        <w:spacing w:line="400" w:lineRule="exact"/>
        <w:ind w:firstLine="720" w:firstLineChars="300"/>
        <w:rPr>
          <w:rFonts w:hint="eastAsia" w:ascii="宋体" w:hAnsi="宋体" w:eastAsia="宋体" w:cs="宋体"/>
          <w:color w:val="auto"/>
          <w:sz w:val="24"/>
          <w:lang w:eastAsia="zh-CN"/>
        </w:rPr>
      </w:pPr>
      <w:r>
        <w:rPr>
          <w:rFonts w:hint="eastAsia" w:ascii="宋体" w:hAnsi="宋体" w:cs="宋体"/>
          <w:color w:val="auto"/>
          <w:sz w:val="24"/>
        </w:rPr>
        <w:t>名    称：</w:t>
      </w:r>
      <w:r>
        <w:rPr>
          <w:rFonts w:hint="eastAsia" w:ascii="宋体" w:hAnsi="宋体" w:cs="宋体"/>
          <w:color w:val="auto"/>
          <w:sz w:val="24"/>
          <w:lang w:eastAsia="zh-CN"/>
        </w:rPr>
        <w:t>贺州市平桂区住房和城乡建设局</w:t>
      </w:r>
    </w:p>
    <w:p w14:paraId="2C6BE5D9">
      <w:pPr>
        <w:spacing w:line="400" w:lineRule="exact"/>
        <w:ind w:firstLine="720" w:firstLineChars="300"/>
        <w:rPr>
          <w:rFonts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lang w:eastAsia="zh-CN"/>
        </w:rPr>
        <w:t>贺州市平桂区平桂大道桂隆贸易大厦E座3楼</w:t>
      </w:r>
      <w:r>
        <w:rPr>
          <w:rFonts w:hint="eastAsia" w:ascii="宋体" w:hAnsi="宋体" w:cs="宋体"/>
          <w:color w:val="auto"/>
          <w:sz w:val="24"/>
        </w:rPr>
        <w:t>　　　　　　　　　　</w:t>
      </w:r>
    </w:p>
    <w:p w14:paraId="7B038471">
      <w:pPr>
        <w:spacing w:line="400" w:lineRule="exact"/>
        <w:ind w:firstLine="720" w:firstLineChars="300"/>
        <w:rPr>
          <w:rFonts w:hint="eastAsia" w:ascii="宋体" w:hAnsi="宋体" w:eastAsia="宋体" w:cs="宋体"/>
          <w:color w:val="auto"/>
          <w:sz w:val="24"/>
          <w:lang w:val="en-US" w:eastAsia="zh-CN"/>
        </w:rPr>
      </w:pPr>
      <w:r>
        <w:rPr>
          <w:rFonts w:hint="eastAsia" w:ascii="宋体" w:hAnsi="宋体" w:cs="宋体"/>
          <w:color w:val="auto"/>
          <w:sz w:val="24"/>
        </w:rPr>
        <w:t>联系方式：0774-883400</w:t>
      </w:r>
      <w:r>
        <w:rPr>
          <w:rFonts w:hint="eastAsia" w:ascii="宋体" w:hAnsi="宋体" w:cs="宋体"/>
          <w:color w:val="auto"/>
          <w:sz w:val="24"/>
          <w:lang w:val="en-US" w:eastAsia="zh-CN"/>
        </w:rPr>
        <w:t>1</w:t>
      </w:r>
    </w:p>
    <w:p w14:paraId="03D73D56">
      <w:pPr>
        <w:spacing w:line="400" w:lineRule="exact"/>
        <w:ind w:firstLine="720" w:firstLineChars="300"/>
        <w:rPr>
          <w:rFonts w:ascii="宋体" w:hAnsi="宋体" w:cs="宋体"/>
          <w:color w:val="auto"/>
          <w:sz w:val="24"/>
        </w:rPr>
      </w:pPr>
      <w:bookmarkStart w:id="78" w:name="_Toc28359097"/>
      <w:bookmarkStart w:id="79" w:name="_Toc35393807"/>
      <w:bookmarkStart w:id="80" w:name="_Toc28359020"/>
      <w:bookmarkStart w:id="81" w:name="_Toc35393638"/>
      <w:r>
        <w:rPr>
          <w:rFonts w:hint="eastAsia" w:ascii="宋体" w:hAnsi="宋体" w:cs="宋体"/>
          <w:color w:val="auto"/>
          <w:sz w:val="24"/>
        </w:rPr>
        <w:t>2.采购代理机构信息</w:t>
      </w:r>
      <w:bookmarkEnd w:id="78"/>
      <w:bookmarkEnd w:id="79"/>
      <w:bookmarkEnd w:id="80"/>
      <w:bookmarkEnd w:id="81"/>
    </w:p>
    <w:p w14:paraId="428D8262">
      <w:pPr>
        <w:spacing w:line="400" w:lineRule="exact"/>
        <w:ind w:firstLine="720" w:firstLineChars="300"/>
        <w:rPr>
          <w:rFonts w:hint="eastAsia" w:asciiTheme="minorEastAsia" w:hAnsiTheme="minorEastAsia" w:eastAsiaTheme="minorEastAsia" w:cstheme="minorEastAsia"/>
          <w:color w:val="auto"/>
          <w:sz w:val="24"/>
          <w:lang w:eastAsia="zh-CN"/>
        </w:rPr>
      </w:pPr>
      <w:bookmarkStart w:id="82" w:name="_Toc28359021"/>
      <w:bookmarkStart w:id="83" w:name="_Toc35393808"/>
      <w:bookmarkStart w:id="84" w:name="_Toc35393639"/>
      <w:bookmarkStart w:id="85" w:name="_Toc28359098"/>
      <w:r>
        <w:rPr>
          <w:rFonts w:hint="eastAsia" w:asciiTheme="minorEastAsia" w:hAnsiTheme="minorEastAsia" w:eastAsiaTheme="minorEastAsia" w:cstheme="minorEastAsia"/>
          <w:color w:val="auto"/>
          <w:sz w:val="24"/>
        </w:rPr>
        <w:t>名    称：</w:t>
      </w:r>
      <w:r>
        <w:rPr>
          <w:rFonts w:hint="eastAsia" w:asciiTheme="minorEastAsia" w:hAnsiTheme="minorEastAsia" w:eastAsiaTheme="minorEastAsia" w:cstheme="minorEastAsia"/>
          <w:color w:val="auto"/>
          <w:sz w:val="24"/>
          <w:lang w:eastAsia="zh-CN"/>
        </w:rPr>
        <w:t>广西云泽项目管理有限公司</w:t>
      </w:r>
    </w:p>
    <w:p w14:paraId="78F6D299">
      <w:pPr>
        <w:spacing w:line="400" w:lineRule="exact"/>
        <w:ind w:firstLine="720" w:firstLineChars="3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地　　址：贺州市八步区松木岭路122号8栋23层</w:t>
      </w:r>
    </w:p>
    <w:p w14:paraId="1EF121C1">
      <w:pPr>
        <w:spacing w:line="400" w:lineRule="exact"/>
        <w:ind w:firstLine="720" w:firstLineChars="300"/>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联系方式：0774-512</w:t>
      </w:r>
      <w:r>
        <w:rPr>
          <w:rFonts w:hint="eastAsia" w:asciiTheme="minorEastAsia" w:hAnsiTheme="minorEastAsia" w:eastAsiaTheme="minorEastAsia" w:cstheme="minorEastAsia"/>
          <w:color w:val="auto"/>
          <w:sz w:val="24"/>
          <w:lang w:val="en-US" w:eastAsia="zh-CN"/>
        </w:rPr>
        <w:t>90</w:t>
      </w:r>
      <w:r>
        <w:rPr>
          <w:rFonts w:hint="eastAsia" w:asciiTheme="minorEastAsia" w:hAnsiTheme="minorEastAsia" w:eastAsiaTheme="minorEastAsia" w:cstheme="minorEastAsia"/>
          <w:color w:val="auto"/>
          <w:sz w:val="24"/>
        </w:rPr>
        <w:t>33</w:t>
      </w:r>
    </w:p>
    <w:p w14:paraId="66405EBF">
      <w:pPr>
        <w:spacing w:line="400" w:lineRule="exact"/>
        <w:ind w:firstLine="720" w:firstLineChars="300"/>
        <w:rPr>
          <w:rFonts w:ascii="宋体" w:hAnsi="宋体" w:cs="宋体"/>
          <w:color w:val="auto"/>
          <w:sz w:val="24"/>
        </w:rPr>
      </w:pPr>
      <w:r>
        <w:rPr>
          <w:rFonts w:hint="eastAsia" w:ascii="宋体" w:hAnsi="宋体" w:cs="宋体"/>
          <w:color w:val="auto"/>
          <w:sz w:val="24"/>
        </w:rPr>
        <w:t>3.项目联系方式</w:t>
      </w:r>
      <w:bookmarkEnd w:id="82"/>
      <w:bookmarkEnd w:id="83"/>
      <w:bookmarkEnd w:id="84"/>
      <w:bookmarkEnd w:id="85"/>
    </w:p>
    <w:p w14:paraId="0943CE6A">
      <w:pPr>
        <w:spacing w:line="400" w:lineRule="exact"/>
        <w:ind w:firstLine="720" w:firstLineChars="300"/>
        <w:rPr>
          <w:rFonts w:hint="eastAsia" w:ascii="宋体" w:hAnsi="宋体" w:eastAsia="宋体" w:cs="宋体"/>
          <w:color w:val="auto"/>
          <w:sz w:val="24"/>
          <w:highlight w:val="yellow"/>
          <w:lang w:val="en-US" w:eastAsia="zh-CN"/>
        </w:rPr>
      </w:pPr>
      <w:r>
        <w:rPr>
          <w:rFonts w:hint="eastAsia" w:ascii="宋体" w:hAnsi="宋体" w:cs="宋体"/>
          <w:color w:val="auto"/>
          <w:sz w:val="24"/>
        </w:rPr>
        <w:t>项目联系人：</w:t>
      </w:r>
      <w:r>
        <w:rPr>
          <w:rFonts w:hint="eastAsia" w:ascii="宋体" w:hAnsi="宋体" w:cs="宋体"/>
          <w:color w:val="auto"/>
          <w:sz w:val="24"/>
          <w:lang w:eastAsia="zh-CN"/>
        </w:rPr>
        <w:t>杜悦</w:t>
      </w:r>
    </w:p>
    <w:p w14:paraId="48AFD687">
      <w:pPr>
        <w:spacing w:line="400" w:lineRule="exact"/>
        <w:ind w:firstLine="720" w:firstLineChars="300"/>
        <w:rPr>
          <w:rFonts w:hint="eastAsia" w:ascii="宋体" w:hAnsi="宋体" w:cs="宋体"/>
          <w:color w:val="auto"/>
          <w:sz w:val="24"/>
        </w:rPr>
      </w:pPr>
      <w:r>
        <w:rPr>
          <w:rFonts w:hint="eastAsia" w:ascii="宋体" w:hAnsi="宋体" w:cs="宋体"/>
          <w:color w:val="auto"/>
          <w:sz w:val="24"/>
        </w:rPr>
        <w:t>电　　 话：0774-512</w:t>
      </w:r>
      <w:r>
        <w:rPr>
          <w:rFonts w:hint="eastAsia" w:ascii="宋体" w:hAnsi="宋体" w:cs="宋体"/>
          <w:color w:val="auto"/>
          <w:sz w:val="24"/>
          <w:lang w:val="en-US" w:eastAsia="zh-CN"/>
        </w:rPr>
        <w:t>90</w:t>
      </w:r>
      <w:r>
        <w:rPr>
          <w:rFonts w:hint="eastAsia" w:ascii="宋体" w:hAnsi="宋体" w:cs="宋体"/>
          <w:color w:val="auto"/>
          <w:sz w:val="24"/>
        </w:rPr>
        <w:t>33　</w:t>
      </w:r>
    </w:p>
    <w:p w14:paraId="5690B94F">
      <w:pPr>
        <w:spacing w:line="400" w:lineRule="exact"/>
        <w:ind w:firstLine="720" w:firstLineChars="300"/>
        <w:rPr>
          <w:rFonts w:hint="eastAsia" w:ascii="宋体" w:hAnsi="宋体" w:cs="宋体"/>
          <w:color w:val="auto"/>
          <w:sz w:val="24"/>
        </w:rPr>
      </w:pPr>
    </w:p>
    <w:p w14:paraId="02AEADDF">
      <w:pPr>
        <w:spacing w:line="400" w:lineRule="exact"/>
        <w:ind w:firstLine="720" w:firstLineChars="300"/>
        <w:rPr>
          <w:rFonts w:hint="eastAsia" w:ascii="宋体" w:hAnsi="宋体" w:cs="宋体"/>
          <w:color w:val="auto"/>
          <w:sz w:val="24"/>
        </w:rPr>
      </w:pPr>
    </w:p>
    <w:bookmarkEnd w:id="6"/>
    <w:bookmarkEnd w:id="7"/>
    <w:p w14:paraId="01DA4FC5">
      <w:pPr>
        <w:jc w:val="right"/>
        <w:rPr>
          <w:color w:val="auto"/>
          <w:sz w:val="24"/>
        </w:rPr>
      </w:pPr>
      <w:r>
        <w:rPr>
          <w:rFonts w:hint="eastAsia" w:ascii="宋体" w:hAnsi="宋体" w:cs="宋体"/>
          <w:color w:val="auto"/>
          <w:sz w:val="24"/>
          <w:lang w:eastAsia="zh-CN"/>
        </w:rPr>
        <w:t>202</w:t>
      </w:r>
      <w:r>
        <w:rPr>
          <w:rFonts w:hint="eastAsia" w:ascii="宋体" w:hAnsi="宋体" w:cs="宋体"/>
          <w:color w:val="auto"/>
          <w:sz w:val="24"/>
          <w:lang w:val="en-US" w:eastAsia="zh-CN"/>
        </w:rPr>
        <w:t>6</w:t>
      </w:r>
      <w:r>
        <w:rPr>
          <w:rFonts w:hint="eastAsia" w:ascii="宋体" w:hAnsi="宋体" w:cs="宋体"/>
          <w:color w:val="auto"/>
          <w:sz w:val="24"/>
          <w:lang w:eastAsia="zh-CN"/>
        </w:rPr>
        <w:t>年0</w:t>
      </w:r>
      <w:r>
        <w:rPr>
          <w:rFonts w:hint="eastAsia" w:ascii="宋体" w:hAnsi="宋体" w:cs="宋体"/>
          <w:color w:val="auto"/>
          <w:sz w:val="24"/>
          <w:lang w:val="en-US" w:eastAsia="zh-CN"/>
        </w:rPr>
        <w:t>8</w:t>
      </w:r>
      <w:r>
        <w:rPr>
          <w:rFonts w:hint="eastAsia" w:ascii="宋体" w:hAnsi="宋体" w:cs="宋体"/>
          <w:color w:val="auto"/>
          <w:sz w:val="24"/>
          <w:lang w:eastAsia="zh-CN"/>
        </w:rPr>
        <w:t>月</w:t>
      </w:r>
      <w:r>
        <w:rPr>
          <w:rFonts w:hint="eastAsia" w:ascii="宋体" w:hAnsi="宋体" w:cs="宋体"/>
          <w:color w:val="auto"/>
          <w:sz w:val="24"/>
          <w:lang w:val="en-US" w:eastAsia="zh-CN"/>
        </w:rPr>
        <w:t>28</w:t>
      </w:r>
      <w:r>
        <w:rPr>
          <w:rFonts w:hint="eastAsia" w:ascii="宋体" w:hAnsi="宋体" w:cs="宋体"/>
          <w:color w:val="auto"/>
          <w:sz w:val="24"/>
          <w:lang w:eastAsia="zh-CN"/>
        </w:rPr>
        <w:t>日</w:t>
      </w:r>
    </w:p>
    <w:p w14:paraId="3F29155A">
      <w:pPr>
        <w:pStyle w:val="24"/>
        <w:spacing w:line="276" w:lineRule="auto"/>
        <w:jc w:val="center"/>
        <w:outlineLvl w:val="9"/>
        <w:rPr>
          <w:rFonts w:hAnsi="宋体"/>
          <w:b/>
          <w:color w:val="auto"/>
          <w:sz w:val="28"/>
          <w:szCs w:val="28"/>
        </w:rPr>
      </w:pPr>
    </w:p>
    <w:bookmarkEnd w:id="8"/>
    <w:p w14:paraId="392DE513">
      <w:pPr>
        <w:pStyle w:val="24"/>
        <w:spacing w:line="276" w:lineRule="auto"/>
        <w:jc w:val="center"/>
        <w:outlineLvl w:val="9"/>
        <w:rPr>
          <w:rFonts w:hAnsi="宋体"/>
          <w:b/>
          <w:color w:val="auto"/>
          <w:sz w:val="28"/>
          <w:szCs w:val="28"/>
        </w:rPr>
      </w:pPr>
    </w:p>
    <w:p w14:paraId="4C76E455">
      <w:pPr>
        <w:pStyle w:val="24"/>
        <w:spacing w:line="276" w:lineRule="auto"/>
        <w:jc w:val="center"/>
        <w:outlineLvl w:val="9"/>
        <w:rPr>
          <w:rFonts w:hAnsi="宋体"/>
          <w:b/>
          <w:color w:val="auto"/>
          <w:sz w:val="28"/>
          <w:szCs w:val="28"/>
        </w:rPr>
      </w:pPr>
    </w:p>
    <w:p w14:paraId="2B6E21A6">
      <w:pPr>
        <w:pStyle w:val="26"/>
        <w:ind w:left="5250"/>
        <w:rPr>
          <w:color w:val="auto"/>
        </w:rPr>
      </w:pPr>
    </w:p>
    <w:p w14:paraId="267117ED">
      <w:pPr>
        <w:rPr>
          <w:color w:val="auto"/>
        </w:rPr>
      </w:pPr>
    </w:p>
    <w:p w14:paraId="2EF5E341">
      <w:pPr>
        <w:widowControl/>
        <w:jc w:val="left"/>
        <w:rPr>
          <w:rFonts w:ascii="宋体" w:hAnsi="宋体"/>
          <w:b/>
          <w:color w:val="auto"/>
          <w:sz w:val="28"/>
          <w:szCs w:val="28"/>
        </w:rPr>
      </w:pPr>
      <w:bookmarkStart w:id="86" w:name="_Toc86935812"/>
      <w:r>
        <w:rPr>
          <w:rFonts w:hAnsi="宋体"/>
          <w:b/>
          <w:color w:val="auto"/>
          <w:sz w:val="28"/>
          <w:szCs w:val="28"/>
        </w:rPr>
        <w:br w:type="page"/>
      </w:r>
    </w:p>
    <w:p w14:paraId="1B3B8FCF">
      <w:pPr>
        <w:pStyle w:val="24"/>
        <w:spacing w:line="276" w:lineRule="auto"/>
        <w:jc w:val="center"/>
        <w:outlineLvl w:val="0"/>
        <w:rPr>
          <w:rFonts w:hAnsi="宋体"/>
          <w:b/>
          <w:color w:val="auto"/>
          <w:sz w:val="24"/>
        </w:rPr>
      </w:pPr>
      <w:bookmarkStart w:id="87" w:name="_Toc3965"/>
      <w:bookmarkStart w:id="88" w:name="_Toc32765"/>
      <w:bookmarkStart w:id="89" w:name="_Toc25659"/>
      <w:bookmarkStart w:id="90" w:name="_Toc15791"/>
      <w:r>
        <w:rPr>
          <w:rFonts w:hint="eastAsia" w:hAnsi="宋体"/>
          <w:b/>
          <w:color w:val="auto"/>
          <w:sz w:val="28"/>
          <w:szCs w:val="28"/>
        </w:rPr>
        <w:t>第二章 磋商供应商须知及前附表</w:t>
      </w:r>
      <w:bookmarkEnd w:id="86"/>
      <w:bookmarkEnd w:id="87"/>
      <w:bookmarkEnd w:id="88"/>
      <w:bookmarkEnd w:id="89"/>
      <w:bookmarkEnd w:id="90"/>
    </w:p>
    <w:p w14:paraId="2F150085">
      <w:pPr>
        <w:ind w:firstLine="280" w:firstLineChars="100"/>
        <w:jc w:val="center"/>
        <w:outlineLvl w:val="0"/>
        <w:rPr>
          <w:rFonts w:ascii="宋体" w:hAnsi="宋体"/>
          <w:b/>
          <w:color w:val="auto"/>
          <w:sz w:val="28"/>
          <w:szCs w:val="28"/>
        </w:rPr>
      </w:pPr>
      <w:bookmarkStart w:id="91" w:name="_Toc15422"/>
      <w:r>
        <w:rPr>
          <w:rFonts w:hint="eastAsia" w:ascii="宋体" w:hAnsi="宋体"/>
          <w:b/>
          <w:color w:val="auto"/>
          <w:sz w:val="28"/>
          <w:szCs w:val="28"/>
        </w:rPr>
        <w:t>磋商供应商须知前附表</w:t>
      </w:r>
      <w:bookmarkEnd w:id="91"/>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2360"/>
        <w:gridCol w:w="6738"/>
      </w:tblGrid>
      <w:tr w14:paraId="4AEC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6" w:type="dxa"/>
            <w:noWrap/>
            <w:tcMar>
              <w:top w:w="0" w:type="dxa"/>
              <w:left w:w="57" w:type="dxa"/>
              <w:bottom w:w="0" w:type="dxa"/>
              <w:right w:w="57" w:type="dxa"/>
            </w:tcMar>
            <w:vAlign w:val="center"/>
          </w:tcPr>
          <w:p w14:paraId="3AEC21E8">
            <w:pPr>
              <w:spacing w:line="400" w:lineRule="exact"/>
              <w:jc w:val="center"/>
              <w:rPr>
                <w:rFonts w:ascii="宋体" w:hAnsi="宋体" w:cs="宋体"/>
                <w:b/>
                <w:bCs/>
                <w:color w:val="auto"/>
                <w:sz w:val="24"/>
              </w:rPr>
            </w:pPr>
            <w:r>
              <w:rPr>
                <w:rFonts w:hint="eastAsia" w:ascii="宋体" w:hAnsi="宋体" w:cs="宋体"/>
                <w:b/>
                <w:bCs/>
                <w:color w:val="auto"/>
                <w:sz w:val="24"/>
              </w:rPr>
              <w:t>序号</w:t>
            </w:r>
          </w:p>
        </w:tc>
        <w:tc>
          <w:tcPr>
            <w:tcW w:w="2360" w:type="dxa"/>
            <w:noWrap/>
            <w:tcMar>
              <w:top w:w="0" w:type="dxa"/>
              <w:left w:w="57" w:type="dxa"/>
              <w:bottom w:w="0" w:type="dxa"/>
              <w:right w:w="57" w:type="dxa"/>
            </w:tcMar>
            <w:vAlign w:val="center"/>
          </w:tcPr>
          <w:p w14:paraId="57CAB51D">
            <w:pPr>
              <w:spacing w:line="400" w:lineRule="exact"/>
              <w:jc w:val="center"/>
              <w:rPr>
                <w:rFonts w:ascii="宋体" w:hAnsi="宋体" w:cs="宋体"/>
                <w:b/>
                <w:bCs/>
                <w:color w:val="auto"/>
                <w:sz w:val="24"/>
              </w:rPr>
            </w:pPr>
            <w:r>
              <w:rPr>
                <w:rFonts w:hint="eastAsia" w:ascii="宋体" w:hAnsi="宋体" w:cs="宋体"/>
                <w:b/>
                <w:color w:val="auto"/>
                <w:sz w:val="24"/>
              </w:rPr>
              <w:t>名称</w:t>
            </w:r>
          </w:p>
        </w:tc>
        <w:tc>
          <w:tcPr>
            <w:tcW w:w="6738" w:type="dxa"/>
            <w:noWrap/>
            <w:tcMar>
              <w:top w:w="0" w:type="dxa"/>
              <w:left w:w="57" w:type="dxa"/>
              <w:bottom w:w="0" w:type="dxa"/>
              <w:right w:w="57" w:type="dxa"/>
            </w:tcMar>
            <w:vAlign w:val="center"/>
          </w:tcPr>
          <w:p w14:paraId="1DF1F533">
            <w:pPr>
              <w:spacing w:line="400" w:lineRule="exact"/>
              <w:jc w:val="center"/>
              <w:rPr>
                <w:rFonts w:ascii="宋体" w:hAnsi="宋体" w:cs="宋体"/>
                <w:b/>
                <w:bCs/>
                <w:color w:val="auto"/>
                <w:sz w:val="24"/>
              </w:rPr>
            </w:pPr>
            <w:r>
              <w:rPr>
                <w:rFonts w:hint="eastAsia" w:ascii="宋体" w:hAnsi="宋体" w:cs="宋体"/>
                <w:b/>
                <w:bCs/>
                <w:color w:val="auto"/>
                <w:sz w:val="24"/>
              </w:rPr>
              <w:t>内     容</w:t>
            </w:r>
          </w:p>
        </w:tc>
      </w:tr>
      <w:tr w14:paraId="7F400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18055526">
            <w:pPr>
              <w:tabs>
                <w:tab w:val="left" w:pos="1680"/>
              </w:tabs>
              <w:spacing w:line="400" w:lineRule="exact"/>
              <w:ind w:right="-192"/>
              <w:jc w:val="center"/>
              <w:rPr>
                <w:rFonts w:ascii="宋体" w:hAnsi="宋体" w:cs="宋体"/>
                <w:color w:val="auto"/>
                <w:sz w:val="24"/>
              </w:rPr>
            </w:pPr>
            <w:r>
              <w:rPr>
                <w:rFonts w:hint="eastAsia" w:ascii="宋体" w:hAnsi="宋体" w:cs="宋体"/>
                <w:color w:val="auto"/>
                <w:sz w:val="24"/>
              </w:rPr>
              <w:t>1</w:t>
            </w:r>
          </w:p>
        </w:tc>
        <w:tc>
          <w:tcPr>
            <w:tcW w:w="2360" w:type="dxa"/>
            <w:noWrap/>
            <w:tcMar>
              <w:top w:w="0" w:type="dxa"/>
              <w:left w:w="57" w:type="dxa"/>
              <w:bottom w:w="0" w:type="dxa"/>
              <w:right w:w="57" w:type="dxa"/>
            </w:tcMar>
            <w:vAlign w:val="center"/>
          </w:tcPr>
          <w:p w14:paraId="7EBD94A8">
            <w:pPr>
              <w:tabs>
                <w:tab w:val="left" w:pos="1680"/>
              </w:tabs>
              <w:spacing w:line="400" w:lineRule="exact"/>
              <w:ind w:right="-192"/>
              <w:jc w:val="center"/>
              <w:rPr>
                <w:rFonts w:ascii="宋体" w:hAnsi="宋体" w:cs="宋体"/>
                <w:b/>
                <w:bCs/>
                <w:color w:val="auto"/>
                <w:sz w:val="24"/>
              </w:rPr>
            </w:pPr>
            <w:r>
              <w:rPr>
                <w:rFonts w:hint="eastAsia" w:ascii="宋体" w:hAnsi="宋体" w:cs="宋体"/>
                <w:b/>
                <w:bCs/>
                <w:color w:val="auto"/>
                <w:sz w:val="24"/>
              </w:rPr>
              <w:t>项目名称及</w:t>
            </w:r>
          </w:p>
          <w:p w14:paraId="677E9834">
            <w:pPr>
              <w:tabs>
                <w:tab w:val="left" w:pos="1680"/>
              </w:tabs>
              <w:spacing w:line="400" w:lineRule="exact"/>
              <w:ind w:right="-192"/>
              <w:jc w:val="center"/>
              <w:rPr>
                <w:rFonts w:ascii="宋体" w:hAnsi="宋体" w:cs="宋体"/>
                <w:color w:val="auto"/>
                <w:sz w:val="24"/>
              </w:rPr>
            </w:pPr>
            <w:r>
              <w:rPr>
                <w:rFonts w:hint="eastAsia" w:ascii="宋体" w:hAnsi="宋体" w:cs="宋体"/>
                <w:b/>
                <w:bCs/>
                <w:color w:val="auto"/>
                <w:sz w:val="24"/>
              </w:rPr>
              <w:t>项目编号</w:t>
            </w:r>
          </w:p>
        </w:tc>
        <w:tc>
          <w:tcPr>
            <w:tcW w:w="6738" w:type="dxa"/>
            <w:noWrap/>
            <w:vAlign w:val="center"/>
          </w:tcPr>
          <w:p w14:paraId="5F97EC59">
            <w:pPr>
              <w:tabs>
                <w:tab w:val="left" w:pos="1680"/>
              </w:tabs>
              <w:spacing w:line="400" w:lineRule="exact"/>
              <w:ind w:right="69"/>
              <w:rPr>
                <w:rFonts w:hint="eastAsia" w:ascii="宋体" w:hAnsi="宋体" w:eastAsia="宋体" w:cs="宋体"/>
                <w:color w:val="auto"/>
                <w:sz w:val="24"/>
                <w:lang w:eastAsia="zh-CN"/>
              </w:rPr>
            </w:pPr>
            <w:r>
              <w:rPr>
                <w:rFonts w:hint="eastAsia" w:ascii="宋体" w:hAnsi="宋体" w:cs="宋体"/>
                <w:b/>
                <w:bCs/>
                <w:color w:val="auto"/>
                <w:sz w:val="24"/>
              </w:rPr>
              <w:t>项目名称：</w:t>
            </w:r>
            <w:r>
              <w:rPr>
                <w:rFonts w:hint="eastAsia" w:ascii="宋体" w:hAnsi="宋体" w:cs="宋体"/>
                <w:color w:val="auto"/>
                <w:sz w:val="24"/>
                <w:lang w:eastAsia="zh-CN"/>
              </w:rPr>
              <w:t>贺州市平桂区金桂嘉园小区消防整改验收工程</w:t>
            </w:r>
          </w:p>
          <w:p w14:paraId="7C477F33">
            <w:pPr>
              <w:tabs>
                <w:tab w:val="left" w:pos="1680"/>
              </w:tabs>
              <w:spacing w:line="400" w:lineRule="exact"/>
              <w:ind w:right="-192"/>
              <w:rPr>
                <w:rFonts w:hint="eastAsia" w:ascii="宋体" w:hAnsi="宋体" w:eastAsia="宋体" w:cs="宋体"/>
                <w:color w:val="auto"/>
                <w:sz w:val="24"/>
                <w:lang w:eastAsia="zh-CN"/>
              </w:rPr>
            </w:pPr>
            <w:r>
              <w:rPr>
                <w:rFonts w:hint="eastAsia" w:ascii="宋体" w:hAnsi="宋体" w:cs="宋体"/>
                <w:b/>
                <w:bCs/>
                <w:color w:val="auto"/>
                <w:sz w:val="24"/>
              </w:rPr>
              <w:t>项目编号：</w:t>
            </w:r>
            <w:r>
              <w:rPr>
                <w:rFonts w:hint="eastAsia" w:ascii="宋体" w:hAnsi="宋体" w:cs="宋体"/>
                <w:color w:val="auto"/>
                <w:sz w:val="24"/>
                <w:lang w:eastAsia="zh-CN"/>
              </w:rPr>
              <w:t>HZZC2026-C2-030043-GXYZ</w:t>
            </w:r>
          </w:p>
        </w:tc>
      </w:tr>
      <w:tr w14:paraId="1A16D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6" w:hRule="atLeast"/>
          <w:jc w:val="center"/>
        </w:trPr>
        <w:tc>
          <w:tcPr>
            <w:tcW w:w="706" w:type="dxa"/>
            <w:noWrap/>
            <w:tcMar>
              <w:top w:w="0" w:type="dxa"/>
              <w:left w:w="57" w:type="dxa"/>
              <w:bottom w:w="0" w:type="dxa"/>
              <w:right w:w="57" w:type="dxa"/>
            </w:tcMar>
            <w:vAlign w:val="center"/>
          </w:tcPr>
          <w:p w14:paraId="4C6BA324">
            <w:pPr>
              <w:tabs>
                <w:tab w:val="left" w:pos="1680"/>
              </w:tabs>
              <w:spacing w:line="400" w:lineRule="exact"/>
              <w:ind w:right="-192"/>
              <w:jc w:val="center"/>
              <w:rPr>
                <w:rFonts w:ascii="宋体" w:hAnsi="宋体" w:cs="宋体"/>
                <w:color w:val="auto"/>
                <w:sz w:val="24"/>
              </w:rPr>
            </w:pPr>
            <w:r>
              <w:rPr>
                <w:rFonts w:hint="eastAsia" w:ascii="宋体" w:hAnsi="宋体" w:cs="宋体"/>
                <w:color w:val="auto"/>
                <w:sz w:val="24"/>
              </w:rPr>
              <w:t>2</w:t>
            </w:r>
          </w:p>
        </w:tc>
        <w:tc>
          <w:tcPr>
            <w:tcW w:w="2360" w:type="dxa"/>
            <w:noWrap/>
            <w:tcMar>
              <w:top w:w="0" w:type="dxa"/>
              <w:left w:w="57" w:type="dxa"/>
              <w:bottom w:w="0" w:type="dxa"/>
              <w:right w:w="57" w:type="dxa"/>
            </w:tcMar>
            <w:vAlign w:val="center"/>
          </w:tcPr>
          <w:p w14:paraId="29410CE0">
            <w:pPr>
              <w:tabs>
                <w:tab w:val="left" w:pos="1680"/>
              </w:tabs>
              <w:spacing w:line="400" w:lineRule="exact"/>
              <w:ind w:right="-192"/>
              <w:jc w:val="center"/>
              <w:rPr>
                <w:rFonts w:ascii="宋体" w:hAnsi="宋体" w:cs="宋体"/>
                <w:b/>
                <w:bCs/>
                <w:color w:val="auto"/>
                <w:sz w:val="24"/>
              </w:rPr>
            </w:pPr>
            <w:r>
              <w:rPr>
                <w:rFonts w:hint="eastAsia" w:ascii="宋体" w:hAnsi="宋体" w:cs="宋体"/>
                <w:b/>
                <w:bCs/>
                <w:color w:val="auto"/>
                <w:sz w:val="24"/>
              </w:rPr>
              <w:t>采购项目的采购</w:t>
            </w:r>
          </w:p>
          <w:p w14:paraId="4AEE8263">
            <w:pPr>
              <w:tabs>
                <w:tab w:val="left" w:pos="1680"/>
              </w:tabs>
              <w:spacing w:line="400" w:lineRule="exact"/>
              <w:ind w:right="-192"/>
              <w:jc w:val="center"/>
              <w:rPr>
                <w:rFonts w:ascii="宋体" w:hAnsi="宋体" w:cs="宋体"/>
                <w:b/>
                <w:bCs/>
                <w:color w:val="auto"/>
                <w:sz w:val="24"/>
              </w:rPr>
            </w:pPr>
            <w:r>
              <w:rPr>
                <w:rFonts w:hint="eastAsia" w:ascii="宋体" w:hAnsi="宋体" w:cs="宋体"/>
                <w:b/>
                <w:bCs/>
                <w:color w:val="auto"/>
                <w:sz w:val="24"/>
              </w:rPr>
              <w:t>范围描述或项目</w:t>
            </w:r>
          </w:p>
          <w:p w14:paraId="2A41DF76">
            <w:pPr>
              <w:tabs>
                <w:tab w:val="left" w:pos="1680"/>
              </w:tabs>
              <w:spacing w:line="400" w:lineRule="exact"/>
              <w:ind w:right="-192"/>
              <w:jc w:val="center"/>
              <w:rPr>
                <w:rFonts w:ascii="宋体" w:hAnsi="宋体" w:cs="宋体"/>
                <w:b/>
                <w:bCs/>
                <w:color w:val="auto"/>
                <w:sz w:val="24"/>
              </w:rPr>
            </w:pPr>
            <w:r>
              <w:rPr>
                <w:rFonts w:hint="eastAsia" w:ascii="宋体" w:hAnsi="宋体" w:cs="宋体"/>
                <w:b/>
                <w:bCs/>
                <w:color w:val="auto"/>
                <w:sz w:val="24"/>
              </w:rPr>
              <w:t>基本概况介绍</w:t>
            </w:r>
          </w:p>
        </w:tc>
        <w:tc>
          <w:tcPr>
            <w:tcW w:w="6738" w:type="dxa"/>
            <w:noWrap/>
            <w:vAlign w:val="center"/>
          </w:tcPr>
          <w:p w14:paraId="72788ECD">
            <w:pPr>
              <w:tabs>
                <w:tab w:val="left" w:pos="1680"/>
              </w:tabs>
              <w:spacing w:line="400" w:lineRule="exact"/>
              <w:ind w:right="-74"/>
              <w:rPr>
                <w:rFonts w:hint="eastAsia" w:ascii="宋体" w:hAnsi="宋体" w:eastAsia="宋体" w:cs="宋体"/>
                <w:b/>
                <w:bCs/>
                <w:color w:val="auto"/>
                <w:sz w:val="24"/>
                <w:lang w:eastAsia="zh-CN"/>
              </w:rPr>
            </w:pPr>
            <w:r>
              <w:rPr>
                <w:rFonts w:hint="eastAsia" w:ascii="宋体" w:hAnsi="宋体" w:cs="宋体"/>
                <w:b w:val="0"/>
                <w:bCs w:val="0"/>
                <w:color w:val="auto"/>
                <w:sz w:val="24"/>
              </w:rPr>
              <w:t>本项目主要建设内容为更换城区公共租赁住房二期工程原损坏木质防火门310樘为钢制防火门，消防水管196m及其配套桥架200m、消火栓及喷淋泵控制柜4台、室外消火栓2套、应急照明200套、配线及配管13600m、防尘灯管78套、监控系统主机2台、灭火器310具、消防联动测试等内容。</w:t>
            </w:r>
          </w:p>
        </w:tc>
      </w:tr>
      <w:tr w14:paraId="5BEB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65EB8D18">
            <w:pPr>
              <w:tabs>
                <w:tab w:val="left" w:pos="1680"/>
              </w:tabs>
              <w:spacing w:line="400" w:lineRule="exact"/>
              <w:ind w:right="-192"/>
              <w:jc w:val="center"/>
              <w:rPr>
                <w:rFonts w:ascii="宋体" w:hAnsi="宋体" w:cs="宋体"/>
                <w:color w:val="auto"/>
                <w:sz w:val="24"/>
              </w:rPr>
            </w:pPr>
            <w:r>
              <w:rPr>
                <w:rFonts w:hint="eastAsia" w:ascii="宋体" w:hAnsi="宋体" w:cs="宋体"/>
                <w:color w:val="auto"/>
                <w:sz w:val="24"/>
              </w:rPr>
              <w:t>3</w:t>
            </w:r>
          </w:p>
        </w:tc>
        <w:tc>
          <w:tcPr>
            <w:tcW w:w="2360" w:type="dxa"/>
            <w:noWrap/>
            <w:tcMar>
              <w:top w:w="0" w:type="dxa"/>
              <w:left w:w="57" w:type="dxa"/>
              <w:bottom w:w="0" w:type="dxa"/>
              <w:right w:w="57" w:type="dxa"/>
            </w:tcMar>
            <w:vAlign w:val="center"/>
          </w:tcPr>
          <w:p w14:paraId="2D6CCE9C">
            <w:pPr>
              <w:tabs>
                <w:tab w:val="left" w:pos="1680"/>
              </w:tabs>
              <w:spacing w:line="400" w:lineRule="exact"/>
              <w:ind w:right="-192"/>
              <w:jc w:val="center"/>
              <w:rPr>
                <w:rFonts w:ascii="宋体" w:hAnsi="宋体" w:cs="宋体"/>
                <w:b/>
                <w:bCs/>
                <w:color w:val="auto"/>
                <w:sz w:val="24"/>
              </w:rPr>
            </w:pPr>
            <w:r>
              <w:rPr>
                <w:rFonts w:hint="eastAsia" w:ascii="宋体" w:hAnsi="宋体" w:cs="宋体"/>
                <w:b/>
                <w:bCs/>
                <w:color w:val="auto"/>
                <w:sz w:val="24"/>
              </w:rPr>
              <w:t>资金来源</w:t>
            </w:r>
          </w:p>
        </w:tc>
        <w:tc>
          <w:tcPr>
            <w:tcW w:w="6738" w:type="dxa"/>
            <w:noWrap/>
            <w:vAlign w:val="center"/>
          </w:tcPr>
          <w:p w14:paraId="7385B8F7">
            <w:pPr>
              <w:tabs>
                <w:tab w:val="left" w:pos="1680"/>
              </w:tabs>
              <w:spacing w:line="400" w:lineRule="exact"/>
              <w:ind w:right="-74"/>
              <w:rPr>
                <w:rFonts w:ascii="宋体" w:hAnsi="宋体" w:cs="宋体"/>
                <w:color w:val="auto"/>
                <w:sz w:val="24"/>
              </w:rPr>
            </w:pPr>
            <w:r>
              <w:rPr>
                <w:rFonts w:hint="eastAsia" w:ascii="宋体" w:hAnsi="宋体" w:cs="宋体"/>
                <w:color w:val="auto"/>
                <w:sz w:val="24"/>
              </w:rPr>
              <w:t>财政资金</w:t>
            </w:r>
          </w:p>
        </w:tc>
      </w:tr>
      <w:tr w14:paraId="142A4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517EF990">
            <w:pPr>
              <w:tabs>
                <w:tab w:val="left" w:pos="1680"/>
              </w:tabs>
              <w:spacing w:line="400" w:lineRule="exact"/>
              <w:ind w:right="-192"/>
              <w:jc w:val="center"/>
              <w:rPr>
                <w:rFonts w:ascii="宋体" w:hAnsi="宋体" w:cs="宋体"/>
                <w:color w:val="auto"/>
                <w:sz w:val="24"/>
              </w:rPr>
            </w:pPr>
            <w:r>
              <w:rPr>
                <w:rFonts w:hint="eastAsia" w:ascii="宋体" w:hAnsi="宋体" w:cs="宋体"/>
                <w:color w:val="auto"/>
                <w:sz w:val="24"/>
              </w:rPr>
              <w:t>4</w:t>
            </w:r>
          </w:p>
        </w:tc>
        <w:tc>
          <w:tcPr>
            <w:tcW w:w="2360" w:type="dxa"/>
            <w:noWrap/>
            <w:tcMar>
              <w:top w:w="0" w:type="dxa"/>
              <w:left w:w="57" w:type="dxa"/>
              <w:bottom w:w="0" w:type="dxa"/>
              <w:right w:w="57" w:type="dxa"/>
            </w:tcMar>
            <w:vAlign w:val="center"/>
          </w:tcPr>
          <w:p w14:paraId="198FEC76">
            <w:pPr>
              <w:tabs>
                <w:tab w:val="left" w:pos="1680"/>
              </w:tabs>
              <w:spacing w:line="400" w:lineRule="exact"/>
              <w:ind w:right="-192"/>
              <w:jc w:val="center"/>
              <w:rPr>
                <w:rFonts w:ascii="宋体" w:hAnsi="宋体" w:cs="宋体"/>
                <w:color w:val="auto"/>
                <w:sz w:val="24"/>
              </w:rPr>
            </w:pPr>
            <w:r>
              <w:rPr>
                <w:rFonts w:hint="eastAsia" w:ascii="宋体" w:hAnsi="宋体" w:cs="宋体"/>
                <w:b/>
                <w:bCs/>
                <w:color w:val="auto"/>
                <w:sz w:val="24"/>
              </w:rPr>
              <w:t>工期要求</w:t>
            </w:r>
          </w:p>
        </w:tc>
        <w:tc>
          <w:tcPr>
            <w:tcW w:w="6738" w:type="dxa"/>
            <w:noWrap/>
            <w:tcMar>
              <w:top w:w="0" w:type="dxa"/>
              <w:left w:w="57" w:type="dxa"/>
              <w:bottom w:w="0" w:type="dxa"/>
              <w:right w:w="57" w:type="dxa"/>
            </w:tcMar>
            <w:vAlign w:val="center"/>
          </w:tcPr>
          <w:p w14:paraId="01FA5E60">
            <w:pPr>
              <w:tabs>
                <w:tab w:val="left" w:pos="1680"/>
              </w:tabs>
              <w:spacing w:line="400" w:lineRule="exact"/>
              <w:ind w:right="-192"/>
              <w:rPr>
                <w:rFonts w:hint="eastAsia" w:ascii="宋体" w:hAnsi="宋体" w:eastAsia="宋体" w:cs="宋体"/>
                <w:b/>
                <w:bCs/>
                <w:color w:val="auto"/>
                <w:sz w:val="24"/>
                <w:lang w:eastAsia="zh-CN"/>
              </w:rPr>
            </w:pPr>
            <w:r>
              <w:rPr>
                <w:rFonts w:hint="eastAsia" w:ascii="宋体" w:hAnsi="宋体" w:cs="宋体"/>
                <w:color w:val="auto"/>
                <w:sz w:val="24"/>
                <w:lang w:eastAsia="zh-CN"/>
              </w:rPr>
              <w:t>以开工令为准，工期为30日历天。</w:t>
            </w:r>
          </w:p>
        </w:tc>
      </w:tr>
      <w:tr w14:paraId="296E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27C492E1">
            <w:pPr>
              <w:tabs>
                <w:tab w:val="left" w:pos="1680"/>
              </w:tabs>
              <w:spacing w:line="400" w:lineRule="exact"/>
              <w:ind w:right="-192"/>
              <w:jc w:val="center"/>
              <w:rPr>
                <w:rFonts w:ascii="宋体" w:hAnsi="宋体" w:cs="宋体"/>
                <w:color w:val="auto"/>
                <w:sz w:val="24"/>
              </w:rPr>
            </w:pPr>
            <w:r>
              <w:rPr>
                <w:rFonts w:hint="eastAsia" w:ascii="宋体" w:hAnsi="宋体" w:cs="宋体"/>
                <w:color w:val="auto"/>
                <w:sz w:val="24"/>
              </w:rPr>
              <w:t>5</w:t>
            </w:r>
          </w:p>
        </w:tc>
        <w:tc>
          <w:tcPr>
            <w:tcW w:w="2360" w:type="dxa"/>
            <w:noWrap/>
            <w:tcMar>
              <w:top w:w="0" w:type="dxa"/>
              <w:left w:w="57" w:type="dxa"/>
              <w:bottom w:w="0" w:type="dxa"/>
              <w:right w:w="57" w:type="dxa"/>
            </w:tcMar>
            <w:vAlign w:val="center"/>
          </w:tcPr>
          <w:p w14:paraId="5CA541DB">
            <w:pPr>
              <w:tabs>
                <w:tab w:val="left" w:pos="1680"/>
              </w:tabs>
              <w:spacing w:line="400" w:lineRule="exact"/>
              <w:ind w:right="-192"/>
              <w:jc w:val="center"/>
              <w:rPr>
                <w:rFonts w:ascii="宋体" w:hAnsi="宋体" w:cs="宋体"/>
                <w:color w:val="auto"/>
                <w:sz w:val="24"/>
              </w:rPr>
            </w:pPr>
            <w:r>
              <w:rPr>
                <w:rFonts w:hint="eastAsia" w:ascii="宋体" w:hAnsi="宋体" w:cs="宋体"/>
                <w:b/>
                <w:bCs/>
                <w:color w:val="auto"/>
                <w:sz w:val="24"/>
              </w:rPr>
              <w:t>质量要求</w:t>
            </w:r>
          </w:p>
        </w:tc>
        <w:tc>
          <w:tcPr>
            <w:tcW w:w="6738" w:type="dxa"/>
            <w:noWrap/>
            <w:tcMar>
              <w:top w:w="0" w:type="dxa"/>
              <w:left w:w="57" w:type="dxa"/>
              <w:bottom w:w="0" w:type="dxa"/>
              <w:right w:w="57" w:type="dxa"/>
            </w:tcMar>
            <w:vAlign w:val="center"/>
          </w:tcPr>
          <w:p w14:paraId="3A22660A">
            <w:pPr>
              <w:tabs>
                <w:tab w:val="left" w:pos="1680"/>
              </w:tabs>
              <w:spacing w:line="400" w:lineRule="exact"/>
              <w:ind w:right="-192"/>
              <w:rPr>
                <w:rFonts w:hint="eastAsia" w:ascii="宋体" w:hAnsi="宋体" w:eastAsia="宋体" w:cs="宋体"/>
                <w:b/>
                <w:bCs/>
                <w:color w:val="auto"/>
                <w:sz w:val="24"/>
                <w:lang w:val="en-US" w:eastAsia="zh-CN"/>
              </w:rPr>
            </w:pPr>
            <w:r>
              <w:rPr>
                <w:rFonts w:hint="eastAsia" w:ascii="宋体" w:hAnsi="宋体" w:cs="宋体"/>
                <w:color w:val="auto"/>
                <w:sz w:val="24"/>
              </w:rPr>
              <w:t>达到现行国家竣工验收规范合格标准</w:t>
            </w:r>
            <w:r>
              <w:rPr>
                <w:rFonts w:hint="eastAsia" w:ascii="宋体" w:hAnsi="宋体" w:cs="宋体"/>
                <w:color w:val="auto"/>
                <w:sz w:val="24"/>
                <w:lang w:eastAsia="zh-CN"/>
              </w:rPr>
              <w:t>。</w:t>
            </w:r>
          </w:p>
        </w:tc>
      </w:tr>
      <w:tr w14:paraId="599F4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0D8C25E1">
            <w:pPr>
              <w:spacing w:line="400" w:lineRule="exact"/>
              <w:jc w:val="center"/>
              <w:rPr>
                <w:rFonts w:ascii="宋体" w:hAnsi="宋体" w:cs="宋体"/>
                <w:color w:val="auto"/>
                <w:sz w:val="24"/>
              </w:rPr>
            </w:pPr>
            <w:r>
              <w:rPr>
                <w:rFonts w:hint="eastAsia" w:ascii="宋体" w:hAnsi="宋体" w:cs="宋体"/>
                <w:color w:val="auto"/>
                <w:sz w:val="24"/>
              </w:rPr>
              <w:t>6</w:t>
            </w:r>
          </w:p>
        </w:tc>
        <w:tc>
          <w:tcPr>
            <w:tcW w:w="2360" w:type="dxa"/>
            <w:noWrap/>
            <w:tcMar>
              <w:top w:w="0" w:type="dxa"/>
              <w:left w:w="57" w:type="dxa"/>
              <w:bottom w:w="0" w:type="dxa"/>
              <w:right w:w="57" w:type="dxa"/>
            </w:tcMar>
            <w:vAlign w:val="center"/>
          </w:tcPr>
          <w:p w14:paraId="66139117">
            <w:pPr>
              <w:spacing w:line="400" w:lineRule="exact"/>
              <w:jc w:val="center"/>
              <w:rPr>
                <w:rFonts w:ascii="宋体" w:hAnsi="宋体" w:cs="宋体"/>
                <w:b/>
                <w:bCs/>
                <w:color w:val="auto"/>
                <w:sz w:val="24"/>
              </w:rPr>
            </w:pPr>
            <w:r>
              <w:rPr>
                <w:rFonts w:hint="eastAsia" w:ascii="宋体" w:hAnsi="宋体" w:cs="宋体"/>
                <w:b/>
                <w:bCs/>
                <w:color w:val="auto"/>
                <w:sz w:val="24"/>
              </w:rPr>
              <w:t>磋商供应商资格要求</w:t>
            </w:r>
          </w:p>
          <w:p w14:paraId="0B52A6D6">
            <w:pPr>
              <w:spacing w:line="400" w:lineRule="exact"/>
              <w:jc w:val="center"/>
              <w:rPr>
                <w:rFonts w:ascii="宋体" w:hAnsi="宋体" w:cs="宋体"/>
                <w:color w:val="auto"/>
                <w:sz w:val="24"/>
              </w:rPr>
            </w:pPr>
          </w:p>
        </w:tc>
        <w:tc>
          <w:tcPr>
            <w:tcW w:w="6738" w:type="dxa"/>
            <w:noWrap/>
            <w:tcMar>
              <w:top w:w="0" w:type="dxa"/>
              <w:left w:w="57" w:type="dxa"/>
              <w:bottom w:w="0" w:type="dxa"/>
              <w:right w:w="57" w:type="dxa"/>
            </w:tcMar>
            <w:vAlign w:val="center"/>
          </w:tcPr>
          <w:p w14:paraId="1B4C3C55">
            <w:pPr>
              <w:spacing w:line="400" w:lineRule="exact"/>
              <w:rPr>
                <w:rFonts w:ascii="宋体" w:hAnsi="宋体" w:cs="宋体"/>
                <w:color w:val="auto"/>
                <w:sz w:val="24"/>
              </w:rPr>
            </w:pPr>
            <w:r>
              <w:rPr>
                <w:rFonts w:hint="eastAsia" w:ascii="宋体" w:hAnsi="宋体" w:cs="宋体"/>
                <w:color w:val="auto"/>
                <w:sz w:val="24"/>
              </w:rPr>
              <w:t>1.满足《中华人民共和国政府采购法》第二十二条规定；</w:t>
            </w:r>
          </w:p>
          <w:p w14:paraId="22319889">
            <w:pPr>
              <w:spacing w:line="400" w:lineRule="exact"/>
              <w:rPr>
                <w:rFonts w:ascii="宋体" w:hAnsi="宋体" w:cs="宋体"/>
                <w:color w:val="auto"/>
                <w:sz w:val="24"/>
              </w:rPr>
            </w:pPr>
            <w:r>
              <w:rPr>
                <w:rFonts w:hint="eastAsia" w:ascii="宋体" w:hAnsi="宋体" w:cs="宋体"/>
                <w:color w:val="auto"/>
                <w:sz w:val="24"/>
              </w:rPr>
              <w:t>2.落实政府采购政策需满足的资格要求：</w:t>
            </w:r>
          </w:p>
          <w:p w14:paraId="631B68C8">
            <w:pPr>
              <w:spacing w:line="400" w:lineRule="exact"/>
              <w:rPr>
                <w:rFonts w:ascii="宋体" w:hAnsi="宋体" w:cs="宋体"/>
                <w:color w:val="auto"/>
                <w:sz w:val="24"/>
              </w:rPr>
            </w:pPr>
            <w:r>
              <w:rPr>
                <w:rFonts w:hint="eastAsia" w:ascii="宋体" w:hAnsi="宋体" w:eastAsia="MS Mincho" w:cs="宋体"/>
                <w:color w:val="auto"/>
                <w:sz w:val="24"/>
              </w:rPr>
              <w:t>☑</w:t>
            </w:r>
            <w:r>
              <w:rPr>
                <w:rFonts w:hint="eastAsia" w:ascii="宋体" w:hAnsi="宋体" w:cs="宋体"/>
                <w:color w:val="auto"/>
                <w:sz w:val="24"/>
              </w:rPr>
              <w:t>专门面向中小企业采购的项目（供应商应为中小微企业、监狱企业、残疾人福利性单位）</w:t>
            </w:r>
          </w:p>
          <w:p w14:paraId="4F32CE49">
            <w:pPr>
              <w:spacing w:line="400" w:lineRule="exact"/>
              <w:rPr>
                <w:rFonts w:hint="eastAsia" w:ascii="宋体" w:hAnsi="宋体" w:cs="宋体"/>
                <w:color w:val="auto"/>
                <w:sz w:val="24"/>
              </w:rPr>
            </w:pPr>
            <w:r>
              <w:rPr>
                <w:rFonts w:hint="eastAsia" w:ascii="宋体" w:hAnsi="宋体" w:cs="宋体"/>
                <w:color w:val="auto"/>
                <w:sz w:val="24"/>
              </w:rPr>
              <w:t>□非专门面向中小企业采购的项目</w:t>
            </w:r>
          </w:p>
          <w:p w14:paraId="6BFF3028">
            <w:pPr>
              <w:spacing w:line="400" w:lineRule="exact"/>
              <w:rPr>
                <w:rFonts w:hint="eastAsia" w:ascii="宋体" w:hAnsi="宋体" w:cs="宋体"/>
                <w:color w:val="auto"/>
                <w:sz w:val="24"/>
              </w:rPr>
            </w:pPr>
            <w:r>
              <w:rPr>
                <w:rFonts w:hint="eastAsia" w:ascii="宋体" w:hAnsi="宋体" w:cs="宋体"/>
                <w:color w:val="auto"/>
                <w:sz w:val="24"/>
                <w:lang w:val="en-US" w:eastAsia="zh-CN"/>
              </w:rPr>
              <w:t>3</w:t>
            </w:r>
            <w:r>
              <w:rPr>
                <w:rFonts w:hint="eastAsia" w:ascii="宋体" w:hAnsi="宋体" w:cs="宋体"/>
                <w:color w:val="auto"/>
                <w:sz w:val="24"/>
              </w:rPr>
              <w:t>.未被“信用中国”（www.creditchina.gov.cn）、中国政府采购网（www.ccgp.gov.cn）列入失信被执行人、重大税收违法案件当事人名单、政府采购严重违法失信行为记录名单。</w:t>
            </w:r>
          </w:p>
          <w:p w14:paraId="160092B5">
            <w:pPr>
              <w:spacing w:line="400" w:lineRule="exact"/>
              <w:rPr>
                <w:rFonts w:ascii="宋体" w:hAns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.本项目的特定资格要求：</w:t>
            </w:r>
          </w:p>
          <w:p w14:paraId="3E4CD1C4">
            <w:pPr>
              <w:spacing w:line="400" w:lineRule="exact"/>
              <w:rPr>
                <w:rFonts w:ascii="宋体" w:hAnsi="宋体" w:cs="宋体"/>
                <w:color w:val="auto"/>
                <w:sz w:val="24"/>
              </w:rPr>
            </w:pPr>
            <w:r>
              <w:rPr>
                <w:rFonts w:hint="eastAsia" w:ascii="宋体" w:hAnsi="宋体" w:cs="宋体"/>
                <w:color w:val="auto"/>
                <w:sz w:val="24"/>
              </w:rPr>
              <w:t>（1）国内注册（指按国家有关规定要求注册的），具备</w:t>
            </w:r>
            <w:r>
              <w:rPr>
                <w:rFonts w:hint="eastAsia" w:ascii="宋体" w:hAnsi="宋体" w:cs="宋体"/>
                <w:color w:val="auto"/>
                <w:sz w:val="24"/>
                <w:lang w:eastAsia="zh-CN"/>
              </w:rPr>
              <w:t>建筑工程施工总承包叁级</w:t>
            </w:r>
            <w:r>
              <w:rPr>
                <w:rFonts w:hint="eastAsia" w:ascii="宋体" w:hAnsi="宋体" w:cs="宋体"/>
                <w:color w:val="auto"/>
                <w:sz w:val="24"/>
              </w:rPr>
              <w:t>及以上资质及有效的安全生产许可证；</w:t>
            </w:r>
          </w:p>
          <w:p w14:paraId="0B249501">
            <w:pPr>
              <w:spacing w:line="400" w:lineRule="exact"/>
              <w:rPr>
                <w:rFonts w:ascii="宋体" w:hAnsi="宋体" w:cs="宋体"/>
                <w:color w:val="auto"/>
                <w:sz w:val="24"/>
              </w:rPr>
            </w:pPr>
            <w:r>
              <w:rPr>
                <w:rFonts w:hint="eastAsia" w:ascii="宋体" w:hAnsi="宋体" w:cs="宋体"/>
                <w:color w:val="auto"/>
                <w:sz w:val="24"/>
              </w:rPr>
              <w:t>（2）项目经理要求为本施工企业人员，须具备</w:t>
            </w:r>
            <w:r>
              <w:rPr>
                <w:rFonts w:hint="eastAsia" w:ascii="宋体" w:hAnsi="宋体" w:cs="宋体"/>
                <w:color w:val="auto"/>
                <w:sz w:val="24"/>
                <w:lang w:eastAsia="zh-CN"/>
              </w:rPr>
              <w:t>建筑工程专业注册建造师二级</w:t>
            </w:r>
            <w:r>
              <w:rPr>
                <w:rFonts w:hint="eastAsia" w:ascii="宋体" w:hAnsi="宋体" w:cs="宋体"/>
                <w:color w:val="auto"/>
                <w:sz w:val="24"/>
              </w:rPr>
              <w:t>及以上执业资格和持有有效的省级或省级以上建设行政主管部门颁发的《安全生产考核合格证书（</w:t>
            </w:r>
            <w:r>
              <w:rPr>
                <w:rFonts w:hint="eastAsia" w:ascii="宋体" w:hAnsi="宋体" w:cs="宋体"/>
                <w:color w:val="auto"/>
                <w:sz w:val="24"/>
                <w:lang w:eastAsia="zh-CN"/>
              </w:rPr>
              <w:t>B类</w:t>
            </w:r>
            <w:r>
              <w:rPr>
                <w:rFonts w:hint="eastAsia" w:ascii="宋体" w:hAnsi="宋体" w:cs="宋体"/>
                <w:color w:val="auto"/>
                <w:sz w:val="24"/>
              </w:rPr>
              <w:t>）》；拟派本项目专职安全员持有有效的省级或省级以上建设行政主管部门颁发的《安全生产考核合格证书（</w:t>
            </w:r>
            <w:r>
              <w:rPr>
                <w:rFonts w:hint="eastAsia" w:ascii="宋体" w:hAnsi="宋体" w:cs="宋体"/>
                <w:color w:val="auto"/>
                <w:sz w:val="24"/>
                <w:lang w:eastAsia="zh-CN"/>
              </w:rPr>
              <w:t>C类</w:t>
            </w:r>
            <w:r>
              <w:rPr>
                <w:rFonts w:hint="eastAsia" w:ascii="宋体" w:hAnsi="宋体" w:cs="宋体"/>
                <w:color w:val="auto"/>
                <w:sz w:val="24"/>
              </w:rPr>
              <w:t>）》，人数不少于1人；</w:t>
            </w:r>
          </w:p>
          <w:p w14:paraId="3D776A3F">
            <w:pPr>
              <w:spacing w:line="400" w:lineRule="exact"/>
              <w:rPr>
                <w:rFonts w:ascii="宋体" w:hAnsi="宋体" w:cs="宋体"/>
                <w:color w:val="auto"/>
                <w:sz w:val="24"/>
              </w:rPr>
            </w:pPr>
            <w:r>
              <w:rPr>
                <w:rFonts w:hint="eastAsia" w:ascii="宋体" w:hAnsi="宋体" w:cs="宋体"/>
                <w:color w:val="auto"/>
                <w:sz w:val="24"/>
              </w:rPr>
              <w:t>（3）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0C1DA2B0">
            <w:pPr>
              <w:spacing w:line="400" w:lineRule="exact"/>
              <w:rPr>
                <w:rFonts w:hint="eastAsia" w:ascii="宋体" w:hAnsi="宋体" w:cs="宋体"/>
                <w:color w:val="auto"/>
                <w:sz w:val="24"/>
              </w:rPr>
            </w:pPr>
            <w:r>
              <w:rPr>
                <w:rFonts w:hint="eastAsia" w:ascii="宋体" w:hAnsi="宋体" w:cs="宋体"/>
                <w:color w:val="auto"/>
                <w:sz w:val="24"/>
              </w:rPr>
              <w:t>（</w:t>
            </w:r>
            <w:r>
              <w:rPr>
                <w:rFonts w:hint="eastAsia" w:ascii="宋体" w:hAnsi="宋体" w:cs="宋体"/>
                <w:color w:val="auto"/>
                <w:sz w:val="24"/>
                <w:lang w:val="en-US" w:eastAsia="zh-CN"/>
              </w:rPr>
              <w:t>4</w:t>
            </w:r>
            <w:r>
              <w:rPr>
                <w:rFonts w:hint="eastAsia" w:ascii="宋体" w:hAnsi="宋体" w:cs="宋体"/>
                <w:color w:val="auto"/>
                <w:sz w:val="24"/>
              </w:rPr>
              <w:t>）本项目不接受联合体磋商。</w:t>
            </w:r>
          </w:p>
          <w:p w14:paraId="3FF928B3">
            <w:pPr>
              <w:spacing w:line="400" w:lineRule="exact"/>
              <w:rPr>
                <w:rFonts w:hint="eastAsia" w:ascii="宋体" w:hAnsi="宋体" w:eastAsia="宋体" w:cs="宋体"/>
                <w:color w:val="auto"/>
                <w:sz w:val="24"/>
                <w:lang w:eastAsia="zh-CN"/>
              </w:rPr>
            </w:pPr>
            <w:r>
              <w:rPr>
                <w:rFonts w:hint="eastAsia" w:ascii="宋体" w:hAnsi="宋体" w:cs="宋体"/>
                <w:color w:val="auto"/>
                <w:sz w:val="24"/>
                <w:lang w:eastAsia="zh-CN"/>
              </w:rPr>
              <w:t>（</w:t>
            </w:r>
            <w:r>
              <w:rPr>
                <w:rFonts w:hint="eastAsia" w:ascii="宋体" w:hAnsi="宋体" w:cs="宋体"/>
                <w:color w:val="auto"/>
                <w:sz w:val="24"/>
                <w:lang w:val="en-US" w:eastAsia="zh-CN"/>
              </w:rPr>
              <w:t>5</w:t>
            </w:r>
            <w:r>
              <w:rPr>
                <w:rFonts w:hint="eastAsia" w:ascii="宋体" w:hAnsi="宋体" w:cs="宋体"/>
                <w:color w:val="auto"/>
                <w:sz w:val="24"/>
                <w:lang w:eastAsia="zh-CN"/>
              </w:rPr>
              <w:t>）</w:t>
            </w:r>
            <w:r>
              <w:rPr>
                <w:rFonts w:hint="eastAsia" w:ascii="宋体" w:hAnsi="宋体" w:cs="宋体"/>
                <w:color w:val="auto"/>
                <w:sz w:val="24"/>
              </w:rPr>
              <w:t>是否适用本国产品标准：</w:t>
            </w:r>
            <w:r>
              <w:rPr>
                <w:rFonts w:hint="eastAsia" w:asciiTheme="minorEastAsia" w:hAnsiTheme="minorEastAsia" w:eastAsiaTheme="minorEastAsia" w:cstheme="minorEastAsia"/>
                <w:color w:val="auto"/>
                <w:sz w:val="24"/>
                <w:lang w:eastAsia="zh-CN"/>
              </w:rPr>
              <w:t>否</w:t>
            </w:r>
            <w:r>
              <w:rPr>
                <w:rFonts w:hint="eastAsia" w:ascii="宋体" w:hAnsi="宋体" w:cs="宋体"/>
                <w:color w:val="auto"/>
                <w:sz w:val="24"/>
              </w:rPr>
              <w:t>。</w:t>
            </w:r>
          </w:p>
        </w:tc>
      </w:tr>
      <w:tr w14:paraId="76E76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15774598">
            <w:pPr>
              <w:spacing w:line="400" w:lineRule="exact"/>
              <w:jc w:val="center"/>
              <w:rPr>
                <w:rFonts w:ascii="宋体" w:hAnsi="宋体" w:cs="宋体"/>
                <w:color w:val="auto"/>
                <w:sz w:val="24"/>
              </w:rPr>
            </w:pPr>
            <w:r>
              <w:rPr>
                <w:rFonts w:hint="eastAsia" w:ascii="宋体" w:hAnsi="宋体" w:cs="宋体"/>
                <w:color w:val="auto"/>
                <w:sz w:val="24"/>
              </w:rPr>
              <w:t>7</w:t>
            </w:r>
          </w:p>
        </w:tc>
        <w:tc>
          <w:tcPr>
            <w:tcW w:w="2360" w:type="dxa"/>
            <w:noWrap/>
            <w:tcMar>
              <w:top w:w="0" w:type="dxa"/>
              <w:left w:w="57" w:type="dxa"/>
              <w:bottom w:w="0" w:type="dxa"/>
              <w:right w:w="57" w:type="dxa"/>
            </w:tcMar>
            <w:vAlign w:val="center"/>
          </w:tcPr>
          <w:p w14:paraId="1E72F21B">
            <w:pPr>
              <w:spacing w:line="400" w:lineRule="exact"/>
              <w:jc w:val="center"/>
              <w:rPr>
                <w:rFonts w:ascii="宋体" w:hAnsi="宋体" w:cs="宋体"/>
                <w:color w:val="auto"/>
                <w:sz w:val="24"/>
              </w:rPr>
            </w:pPr>
            <w:r>
              <w:rPr>
                <w:rFonts w:hint="eastAsia" w:ascii="宋体" w:hAnsi="宋体"/>
                <w:b/>
                <w:bCs/>
                <w:color w:val="auto"/>
                <w:sz w:val="24"/>
              </w:rPr>
              <w:t>增值税计税方法</w:t>
            </w:r>
          </w:p>
        </w:tc>
        <w:tc>
          <w:tcPr>
            <w:tcW w:w="6738" w:type="dxa"/>
            <w:noWrap/>
            <w:tcMar>
              <w:top w:w="0" w:type="dxa"/>
              <w:left w:w="57" w:type="dxa"/>
              <w:bottom w:w="0" w:type="dxa"/>
              <w:right w:w="57" w:type="dxa"/>
            </w:tcMar>
            <w:vAlign w:val="center"/>
          </w:tcPr>
          <w:p w14:paraId="717A43FD">
            <w:pPr>
              <w:spacing w:line="400" w:lineRule="exact"/>
              <w:rPr>
                <w:rFonts w:ascii="宋体" w:hAnsi="宋体" w:cs="宋体"/>
                <w:color w:val="auto"/>
                <w:sz w:val="24"/>
              </w:rPr>
            </w:pPr>
            <w:r>
              <w:rPr>
                <w:rFonts w:hint="eastAsia" w:ascii="宋体" w:hAnsi="宋体"/>
                <w:color w:val="auto"/>
                <w:sz w:val="24"/>
                <w:lang w:eastAsia="zh-CN"/>
              </w:rPr>
              <w:t>一般</w:t>
            </w:r>
            <w:r>
              <w:rPr>
                <w:rFonts w:hint="eastAsia" w:ascii="宋体" w:hAnsi="宋体"/>
                <w:color w:val="auto"/>
                <w:sz w:val="24"/>
              </w:rPr>
              <w:t>计税法。</w:t>
            </w:r>
          </w:p>
        </w:tc>
      </w:tr>
      <w:tr w14:paraId="206C3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78C053D3">
            <w:pPr>
              <w:spacing w:line="400" w:lineRule="exact"/>
              <w:jc w:val="center"/>
              <w:rPr>
                <w:rFonts w:ascii="宋体" w:hAnsi="宋体" w:cs="宋体"/>
                <w:color w:val="auto"/>
                <w:sz w:val="24"/>
              </w:rPr>
            </w:pPr>
            <w:r>
              <w:rPr>
                <w:rFonts w:hint="eastAsia" w:ascii="宋体" w:hAnsi="宋体" w:cs="宋体"/>
                <w:color w:val="auto"/>
                <w:sz w:val="24"/>
              </w:rPr>
              <w:t>8</w:t>
            </w:r>
          </w:p>
        </w:tc>
        <w:tc>
          <w:tcPr>
            <w:tcW w:w="2360" w:type="dxa"/>
            <w:noWrap/>
            <w:tcMar>
              <w:top w:w="0" w:type="dxa"/>
              <w:left w:w="57" w:type="dxa"/>
              <w:bottom w:w="0" w:type="dxa"/>
              <w:right w:w="57" w:type="dxa"/>
            </w:tcMar>
            <w:vAlign w:val="center"/>
          </w:tcPr>
          <w:p w14:paraId="00D99089">
            <w:pPr>
              <w:spacing w:line="400" w:lineRule="exact"/>
              <w:jc w:val="center"/>
              <w:rPr>
                <w:rFonts w:ascii="宋体" w:hAnsi="宋体" w:cs="宋体"/>
                <w:color w:val="auto"/>
                <w:sz w:val="24"/>
              </w:rPr>
            </w:pPr>
            <w:r>
              <w:rPr>
                <w:rFonts w:hint="eastAsia" w:ascii="宋体" w:hAnsi="宋体" w:cs="宋体"/>
                <w:b/>
                <w:bCs/>
                <w:color w:val="auto"/>
                <w:sz w:val="24"/>
              </w:rPr>
              <w:t>磋商有效期</w:t>
            </w:r>
          </w:p>
        </w:tc>
        <w:tc>
          <w:tcPr>
            <w:tcW w:w="6738" w:type="dxa"/>
            <w:noWrap/>
            <w:tcMar>
              <w:top w:w="0" w:type="dxa"/>
              <w:left w:w="57" w:type="dxa"/>
              <w:bottom w:w="0" w:type="dxa"/>
              <w:right w:w="57" w:type="dxa"/>
            </w:tcMar>
            <w:vAlign w:val="center"/>
          </w:tcPr>
          <w:p w14:paraId="51DE50CC">
            <w:pPr>
              <w:spacing w:line="400" w:lineRule="exact"/>
              <w:rPr>
                <w:rFonts w:ascii="宋体" w:hAnsi="宋体" w:cs="宋体"/>
                <w:color w:val="auto"/>
                <w:sz w:val="24"/>
              </w:rPr>
            </w:pPr>
            <w:r>
              <w:rPr>
                <w:rFonts w:hint="eastAsia" w:ascii="宋体" w:hAnsi="宋体" w:cs="宋体"/>
                <w:color w:val="auto"/>
                <w:sz w:val="24"/>
              </w:rPr>
              <w:t>磋商截止日期后60天。</w:t>
            </w:r>
          </w:p>
        </w:tc>
      </w:tr>
      <w:tr w14:paraId="5A92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0" w:hRule="atLeast"/>
          <w:jc w:val="center"/>
        </w:trPr>
        <w:tc>
          <w:tcPr>
            <w:tcW w:w="706" w:type="dxa"/>
            <w:noWrap/>
            <w:tcMar>
              <w:top w:w="0" w:type="dxa"/>
              <w:left w:w="57" w:type="dxa"/>
              <w:bottom w:w="0" w:type="dxa"/>
              <w:right w:w="57" w:type="dxa"/>
            </w:tcMar>
            <w:vAlign w:val="center"/>
          </w:tcPr>
          <w:p w14:paraId="5A8EC502">
            <w:pPr>
              <w:spacing w:line="400" w:lineRule="exact"/>
              <w:jc w:val="center"/>
              <w:rPr>
                <w:rFonts w:ascii="宋体" w:hAnsi="宋体" w:cs="宋体"/>
                <w:color w:val="auto"/>
                <w:sz w:val="24"/>
              </w:rPr>
            </w:pPr>
            <w:r>
              <w:rPr>
                <w:rFonts w:hint="eastAsia" w:ascii="宋体" w:hAnsi="宋体" w:cs="宋体"/>
                <w:color w:val="auto"/>
                <w:sz w:val="24"/>
              </w:rPr>
              <w:t>9</w:t>
            </w:r>
          </w:p>
        </w:tc>
        <w:tc>
          <w:tcPr>
            <w:tcW w:w="2360" w:type="dxa"/>
            <w:noWrap/>
            <w:tcMar>
              <w:top w:w="0" w:type="dxa"/>
              <w:left w:w="57" w:type="dxa"/>
              <w:bottom w:w="0" w:type="dxa"/>
              <w:right w:w="57" w:type="dxa"/>
            </w:tcMar>
            <w:vAlign w:val="center"/>
          </w:tcPr>
          <w:p w14:paraId="045B5858">
            <w:pPr>
              <w:spacing w:line="340" w:lineRule="exact"/>
              <w:jc w:val="center"/>
              <w:rPr>
                <w:rFonts w:ascii="宋体" w:hAnsi="宋体" w:cs="宋体"/>
                <w:b/>
                <w:bCs/>
                <w:color w:val="auto"/>
                <w:sz w:val="24"/>
              </w:rPr>
            </w:pPr>
            <w:r>
              <w:rPr>
                <w:rFonts w:hint="eastAsia" w:ascii="宋体" w:hAnsi="宋体" w:cs="宋体"/>
                <w:b/>
                <w:bCs/>
                <w:color w:val="auto"/>
                <w:sz w:val="24"/>
              </w:rPr>
              <w:t>响应文件电子版要求</w:t>
            </w:r>
          </w:p>
        </w:tc>
        <w:tc>
          <w:tcPr>
            <w:tcW w:w="6738" w:type="dxa"/>
            <w:noWrap/>
            <w:tcMar>
              <w:top w:w="0" w:type="dxa"/>
              <w:left w:w="57" w:type="dxa"/>
              <w:bottom w:w="0" w:type="dxa"/>
              <w:right w:w="57" w:type="dxa"/>
            </w:tcMar>
            <w:vAlign w:val="center"/>
          </w:tcPr>
          <w:p w14:paraId="17DA89B9">
            <w:pPr>
              <w:numPr>
                <w:ilvl w:val="0"/>
                <w:numId w:val="4"/>
              </w:numPr>
              <w:spacing w:line="340" w:lineRule="exact"/>
              <w:rPr>
                <w:rFonts w:ascii="宋体" w:hAnsi="宋体" w:cs="宋体"/>
                <w:color w:val="auto"/>
                <w:sz w:val="24"/>
              </w:rPr>
            </w:pPr>
            <w:r>
              <w:rPr>
                <w:rFonts w:hint="eastAsia" w:ascii="宋体" w:hAnsi="宋体" w:cs="宋体"/>
                <w:color w:val="auto"/>
                <w:sz w:val="24"/>
              </w:rPr>
              <w:t>响应文件电子版要求：按照竞争性磋商文件第七章响应文件格式进行编写，按要求在规定位置进行签署、盖章，第七章未附格式的，由供应商自行拟定。</w:t>
            </w:r>
          </w:p>
          <w:p w14:paraId="48096649">
            <w:pPr>
              <w:numPr>
                <w:ilvl w:val="0"/>
                <w:numId w:val="4"/>
              </w:numPr>
              <w:spacing w:line="340" w:lineRule="exact"/>
              <w:rPr>
                <w:rFonts w:ascii="宋体" w:hAnsi="宋体" w:cs="宋体"/>
                <w:color w:val="auto"/>
                <w:sz w:val="24"/>
              </w:rPr>
            </w:pPr>
            <w:r>
              <w:rPr>
                <w:rFonts w:hint="eastAsia" w:ascii="宋体" w:hAnsi="宋体" w:cs="宋体"/>
                <w:color w:val="auto"/>
                <w:sz w:val="24"/>
              </w:rPr>
              <w:t>响应文件电子版密封方式：电子响应文件通过平台有效 CA 加密后在“</w:t>
            </w:r>
            <w:r>
              <w:rPr>
                <w:rFonts w:hint="eastAsia" w:ascii="宋体" w:hAnsi="宋体" w:cs="宋体"/>
                <w:color w:val="auto"/>
                <w:sz w:val="24"/>
                <w:lang w:eastAsia="zh-CN"/>
              </w:rPr>
              <w:t>广西政府采购云平台</w:t>
            </w:r>
            <w:r>
              <w:rPr>
                <w:rFonts w:hint="eastAsia" w:ascii="宋体" w:hAnsi="宋体" w:cs="宋体"/>
                <w:color w:val="auto"/>
                <w:sz w:val="24"/>
              </w:rPr>
              <w:t>”平台投送。</w:t>
            </w:r>
          </w:p>
          <w:p w14:paraId="2C40ABFA">
            <w:pPr>
              <w:numPr>
                <w:ilvl w:val="0"/>
                <w:numId w:val="4"/>
              </w:numPr>
              <w:spacing w:line="340" w:lineRule="exact"/>
              <w:rPr>
                <w:rFonts w:ascii="宋体" w:hAnsi="宋体" w:cs="宋体"/>
                <w:color w:val="auto"/>
                <w:sz w:val="24"/>
              </w:rPr>
            </w:pPr>
            <w:r>
              <w:rPr>
                <w:rFonts w:hint="eastAsia" w:ascii="宋体" w:hAnsi="宋体" w:eastAsia="宋体" w:cs="宋体"/>
                <w:b/>
                <w:bCs/>
                <w:color w:val="auto"/>
                <w:sz w:val="24"/>
              </w:rPr>
              <w:t>上传电子版响应文件方式详见竞争性磋商公告附件。</w:t>
            </w:r>
          </w:p>
        </w:tc>
      </w:tr>
      <w:tr w14:paraId="5D92C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6DF875F2">
            <w:pPr>
              <w:spacing w:line="400" w:lineRule="exact"/>
              <w:jc w:val="center"/>
              <w:rPr>
                <w:rFonts w:ascii="宋体" w:hAnsi="宋体" w:cs="宋体"/>
                <w:color w:val="auto"/>
                <w:sz w:val="24"/>
              </w:rPr>
            </w:pPr>
            <w:r>
              <w:rPr>
                <w:rFonts w:hint="eastAsia" w:ascii="宋体" w:hAnsi="宋体" w:cs="宋体"/>
                <w:color w:val="auto"/>
                <w:sz w:val="24"/>
              </w:rPr>
              <w:t>10</w:t>
            </w:r>
          </w:p>
        </w:tc>
        <w:tc>
          <w:tcPr>
            <w:tcW w:w="2360" w:type="dxa"/>
            <w:noWrap/>
            <w:tcMar>
              <w:top w:w="0" w:type="dxa"/>
              <w:left w:w="57" w:type="dxa"/>
              <w:bottom w:w="0" w:type="dxa"/>
              <w:right w:w="57" w:type="dxa"/>
            </w:tcMar>
            <w:vAlign w:val="center"/>
          </w:tcPr>
          <w:p w14:paraId="08B9ED63">
            <w:pPr>
              <w:spacing w:line="400" w:lineRule="exact"/>
              <w:jc w:val="center"/>
              <w:rPr>
                <w:rFonts w:ascii="宋体" w:hAnsi="宋体" w:cs="宋体"/>
                <w:color w:val="auto"/>
                <w:sz w:val="24"/>
              </w:rPr>
            </w:pPr>
            <w:r>
              <w:rPr>
                <w:rFonts w:hint="eastAsia" w:ascii="宋体" w:hAnsi="宋体" w:cs="宋体"/>
                <w:b/>
                <w:bCs/>
                <w:color w:val="auto"/>
                <w:sz w:val="24"/>
              </w:rPr>
              <w:t>磋商保证金</w:t>
            </w:r>
          </w:p>
        </w:tc>
        <w:tc>
          <w:tcPr>
            <w:tcW w:w="6738" w:type="dxa"/>
            <w:noWrap/>
            <w:tcMar>
              <w:top w:w="0" w:type="dxa"/>
              <w:left w:w="57" w:type="dxa"/>
              <w:bottom w:w="0" w:type="dxa"/>
              <w:right w:w="57" w:type="dxa"/>
            </w:tcMar>
          </w:tcPr>
          <w:p w14:paraId="3FC5F975">
            <w:pPr>
              <w:spacing w:line="400" w:lineRule="exact"/>
              <w:rPr>
                <w:rFonts w:ascii="宋体" w:hAnsi="宋体" w:cs="宋体"/>
                <w:color w:val="auto"/>
                <w:sz w:val="24"/>
              </w:rPr>
            </w:pPr>
            <w:r>
              <w:rPr>
                <w:rFonts w:hint="eastAsia" w:ascii="宋体" w:hAnsi="宋体" w:cs="宋体"/>
                <w:bCs/>
                <w:color w:val="auto"/>
                <w:sz w:val="24"/>
              </w:rPr>
              <w:t>磋商保证金（人民币）：本项目无须缴纳磋商保证金。</w:t>
            </w:r>
            <w:r>
              <w:rPr>
                <w:rFonts w:hint="eastAsia" w:ascii="宋体" w:hAnsi="宋体" w:cs="宋体"/>
                <w:bCs/>
                <w:color w:val="auto"/>
                <w:sz w:val="24"/>
              </w:rPr>
              <w:tab/>
            </w:r>
          </w:p>
        </w:tc>
      </w:tr>
      <w:tr w14:paraId="27E5A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vMerge w:val="restart"/>
            <w:noWrap/>
            <w:tcMar>
              <w:top w:w="0" w:type="dxa"/>
              <w:left w:w="57" w:type="dxa"/>
              <w:bottom w:w="0" w:type="dxa"/>
              <w:right w:w="57" w:type="dxa"/>
            </w:tcMar>
            <w:vAlign w:val="center"/>
          </w:tcPr>
          <w:p w14:paraId="388DC254">
            <w:pPr>
              <w:spacing w:line="400" w:lineRule="exact"/>
              <w:jc w:val="center"/>
              <w:rPr>
                <w:rFonts w:ascii="宋体" w:hAnsi="宋体" w:cs="宋体"/>
                <w:color w:val="auto"/>
                <w:sz w:val="24"/>
              </w:rPr>
            </w:pPr>
            <w:r>
              <w:rPr>
                <w:rFonts w:hint="eastAsia" w:ascii="宋体" w:hAnsi="宋体" w:cs="宋体"/>
                <w:color w:val="auto"/>
                <w:sz w:val="24"/>
              </w:rPr>
              <w:t>11</w:t>
            </w:r>
          </w:p>
        </w:tc>
        <w:tc>
          <w:tcPr>
            <w:tcW w:w="2360" w:type="dxa"/>
            <w:vMerge w:val="restart"/>
            <w:noWrap/>
            <w:tcMar>
              <w:top w:w="0" w:type="dxa"/>
              <w:left w:w="57" w:type="dxa"/>
              <w:bottom w:w="0" w:type="dxa"/>
              <w:right w:w="57" w:type="dxa"/>
            </w:tcMar>
            <w:vAlign w:val="center"/>
          </w:tcPr>
          <w:p w14:paraId="129D48F4">
            <w:pPr>
              <w:spacing w:line="400" w:lineRule="exact"/>
              <w:jc w:val="center"/>
              <w:rPr>
                <w:rFonts w:ascii="宋体" w:hAnsi="宋体" w:cs="宋体"/>
                <w:b/>
                <w:bCs/>
                <w:color w:val="auto"/>
                <w:sz w:val="24"/>
              </w:rPr>
            </w:pPr>
            <w:r>
              <w:rPr>
                <w:rFonts w:hint="eastAsia" w:ascii="宋体" w:hAnsi="宋体" w:cs="宋体"/>
                <w:b/>
                <w:bCs/>
                <w:color w:val="auto"/>
                <w:sz w:val="24"/>
              </w:rPr>
              <w:t>响应文件的构成</w:t>
            </w:r>
            <w:r>
              <w:rPr>
                <w:rFonts w:hint="eastAsia" w:ascii="宋体" w:hAnsi="宋体" w:cs="宋体"/>
                <w:b/>
                <w:bCs/>
                <w:color w:val="auto"/>
                <w:sz w:val="24"/>
                <w:lang w:val="en-US" w:eastAsia="zh-CN"/>
              </w:rPr>
              <w:t xml:space="preserve"> </w:t>
            </w:r>
            <w:r>
              <w:rPr>
                <w:rFonts w:hint="eastAsia" w:ascii="宋体" w:hAnsi="宋体" w:cs="宋体"/>
                <w:b/>
                <w:bCs/>
                <w:color w:val="auto"/>
                <w:sz w:val="24"/>
              </w:rPr>
              <w:t>（分为资格证明文件、报价文件、商务技术文件三部分组成）</w:t>
            </w:r>
          </w:p>
        </w:tc>
        <w:tc>
          <w:tcPr>
            <w:tcW w:w="6738" w:type="dxa"/>
            <w:noWrap/>
            <w:tcMar>
              <w:top w:w="0" w:type="dxa"/>
              <w:left w:w="57" w:type="dxa"/>
              <w:bottom w:w="0" w:type="dxa"/>
              <w:right w:w="57" w:type="dxa"/>
            </w:tcMar>
          </w:tcPr>
          <w:p w14:paraId="573DCC12">
            <w:pPr>
              <w:pStyle w:val="24"/>
              <w:spacing w:line="390" w:lineRule="exact"/>
              <w:jc w:val="left"/>
              <w:rPr>
                <w:rFonts w:hAnsi="宋体" w:cs="宋体"/>
                <w:bCs/>
                <w:color w:val="auto"/>
                <w:sz w:val="24"/>
                <w:szCs w:val="24"/>
              </w:rPr>
            </w:pPr>
            <w:r>
              <w:rPr>
                <w:rFonts w:hint="eastAsia" w:hAnsi="宋体" w:cs="宋体"/>
                <w:bCs/>
                <w:color w:val="auto"/>
                <w:sz w:val="24"/>
                <w:szCs w:val="24"/>
              </w:rPr>
              <w:t>资格证明文件：</w:t>
            </w:r>
          </w:p>
          <w:p w14:paraId="3F2415F8">
            <w:pPr>
              <w:pStyle w:val="24"/>
              <w:spacing w:line="390" w:lineRule="exact"/>
              <w:ind w:firstLine="480" w:firstLineChars="200"/>
              <w:rPr>
                <w:rFonts w:hint="eastAsia" w:hAnsi="宋体" w:cs="宋体"/>
                <w:bCs/>
                <w:color w:val="auto"/>
                <w:sz w:val="24"/>
                <w:szCs w:val="24"/>
              </w:rPr>
            </w:pPr>
            <w:r>
              <w:rPr>
                <w:rFonts w:hint="eastAsia" w:hAnsi="宋体" w:cs="宋体"/>
                <w:bCs/>
                <w:color w:val="auto"/>
                <w:sz w:val="24"/>
                <w:szCs w:val="24"/>
              </w:rPr>
              <w:t>根据贺财采【2023】15号文贺州市财政局关于推行政府采购领域信用承诺制度的通知，凡符合政府采购法第二十二条规定的资格条件，参加贺州市政府采购活动的供应商，在投标（响应）文件中按照采购文件约定提供信用承诺。</w:t>
            </w:r>
          </w:p>
          <w:p w14:paraId="1DAA862F">
            <w:pPr>
              <w:pStyle w:val="24"/>
              <w:spacing w:line="390" w:lineRule="exact"/>
              <w:ind w:firstLine="480" w:firstLineChars="200"/>
              <w:rPr>
                <w:rFonts w:hint="eastAsia" w:hAnsi="宋体" w:cs="宋体"/>
                <w:bCs/>
                <w:color w:val="auto"/>
                <w:sz w:val="24"/>
                <w:szCs w:val="24"/>
              </w:rPr>
            </w:pPr>
            <w:r>
              <w:rPr>
                <w:rFonts w:hint="eastAsia" w:hAnsi="宋体" w:cs="宋体"/>
                <w:bCs/>
                <w:color w:val="auto"/>
                <w:sz w:val="24"/>
                <w:szCs w:val="24"/>
              </w:rPr>
              <w:t>（1）</w:t>
            </w:r>
            <w:r>
              <w:rPr>
                <w:rFonts w:hint="eastAsia" w:hAnsi="宋体" w:cs="宋体"/>
                <w:bCs/>
                <w:color w:val="auto"/>
                <w:sz w:val="24"/>
                <w:szCs w:val="24"/>
                <w:lang w:eastAsia="zh-CN"/>
              </w:rPr>
              <w:t>贺州市平桂区政府采购供应商信用承诺函</w:t>
            </w:r>
            <w:r>
              <w:rPr>
                <w:rFonts w:hint="eastAsia" w:hAnsi="宋体" w:cs="宋体"/>
                <w:bCs/>
                <w:color w:val="auto"/>
                <w:sz w:val="24"/>
                <w:szCs w:val="24"/>
              </w:rPr>
              <w:t xml:space="preserve">（必须提供，加盖供应商公章，格式附后）； </w:t>
            </w:r>
          </w:p>
          <w:p w14:paraId="39FE8E09">
            <w:pPr>
              <w:pStyle w:val="24"/>
              <w:spacing w:line="390" w:lineRule="exact"/>
              <w:ind w:firstLine="480" w:firstLineChars="200"/>
              <w:rPr>
                <w:rFonts w:hint="eastAsia" w:hAnsi="宋体" w:cs="宋体"/>
                <w:bCs/>
                <w:color w:val="auto"/>
                <w:sz w:val="24"/>
                <w:szCs w:val="24"/>
              </w:rPr>
            </w:pPr>
            <w:r>
              <w:rPr>
                <w:rFonts w:hint="eastAsia" w:hAnsi="宋体" w:cs="宋体"/>
                <w:bCs/>
                <w:color w:val="auto"/>
                <w:sz w:val="24"/>
                <w:szCs w:val="24"/>
              </w:rPr>
              <w:t>（2）法定代表人（负责人）身份证明书原件和第二代身份证正反面复印件（必须提供，加盖供应商公章）；</w:t>
            </w:r>
          </w:p>
          <w:p w14:paraId="6FB39910">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（3）法定代表人（负责人）授权委托书原件和委托代理人第二代身份证正反面复印件（委托代理时必须提供，加盖供应商公章）；</w:t>
            </w:r>
          </w:p>
          <w:p w14:paraId="31F0E849">
            <w:pPr>
              <w:pStyle w:val="24"/>
              <w:spacing w:line="390" w:lineRule="exact"/>
              <w:ind w:firstLine="480" w:firstLineChars="200"/>
              <w:rPr>
                <w:rFonts w:hint="eastAsia" w:hAnsi="宋体" w:cs="宋体"/>
                <w:bCs/>
                <w:color w:val="auto"/>
                <w:sz w:val="24"/>
                <w:szCs w:val="24"/>
              </w:rPr>
            </w:pPr>
            <w:r>
              <w:rPr>
                <w:rFonts w:hint="eastAsia" w:hAnsi="宋体" w:cs="宋体"/>
                <w:bCs/>
                <w:color w:val="auto"/>
                <w:sz w:val="24"/>
                <w:szCs w:val="24"/>
              </w:rPr>
              <w:t>（</w:t>
            </w:r>
            <w:r>
              <w:rPr>
                <w:rFonts w:hint="eastAsia" w:hAnsi="宋体" w:cs="宋体"/>
                <w:bCs/>
                <w:color w:val="auto"/>
                <w:sz w:val="24"/>
                <w:szCs w:val="24"/>
                <w:lang w:val="en-US" w:eastAsia="zh-CN"/>
              </w:rPr>
              <w:t>4</w:t>
            </w:r>
            <w:r>
              <w:rPr>
                <w:rFonts w:hint="eastAsia" w:hAnsi="宋体" w:cs="宋体"/>
                <w:bCs/>
                <w:color w:val="auto"/>
                <w:sz w:val="24"/>
                <w:szCs w:val="24"/>
              </w:rPr>
              <w:t>）具备</w:t>
            </w:r>
            <w:r>
              <w:rPr>
                <w:rFonts w:hint="eastAsia" w:hAnsi="宋体" w:cs="宋体"/>
                <w:bCs/>
                <w:color w:val="auto"/>
                <w:sz w:val="24"/>
                <w:szCs w:val="24"/>
                <w:lang w:eastAsia="zh-CN"/>
              </w:rPr>
              <w:t>建筑工程施工总承包叁级及以上资质及</w:t>
            </w:r>
            <w:r>
              <w:rPr>
                <w:rFonts w:hint="eastAsia" w:hAnsi="宋体" w:cs="宋体"/>
                <w:bCs/>
                <w:color w:val="auto"/>
                <w:sz w:val="24"/>
                <w:szCs w:val="24"/>
              </w:rPr>
              <w:t>有效的安全生产许可证。</w:t>
            </w:r>
          </w:p>
          <w:p w14:paraId="5D596975">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lang w:eastAsia="zh-CN"/>
              </w:rPr>
              <w:t>（</w:t>
            </w:r>
            <w:r>
              <w:rPr>
                <w:rFonts w:hint="eastAsia" w:hAnsi="宋体" w:cs="宋体"/>
                <w:bCs/>
                <w:color w:val="auto"/>
                <w:sz w:val="24"/>
                <w:szCs w:val="24"/>
                <w:lang w:val="en-US" w:eastAsia="zh-CN"/>
              </w:rPr>
              <w:t>5</w:t>
            </w:r>
            <w:r>
              <w:rPr>
                <w:rFonts w:hint="eastAsia" w:hAnsi="宋体" w:cs="宋体"/>
                <w:bCs/>
                <w:color w:val="auto"/>
                <w:sz w:val="24"/>
                <w:szCs w:val="24"/>
                <w:lang w:eastAsia="zh-CN"/>
              </w:rPr>
              <w:t>）</w:t>
            </w:r>
            <w:r>
              <w:rPr>
                <w:rFonts w:hint="eastAsia" w:hAnsi="宋体" w:cs="宋体"/>
                <w:bCs/>
                <w:color w:val="auto"/>
                <w:sz w:val="24"/>
                <w:szCs w:val="24"/>
              </w:rPr>
              <w:t>拟派项目经理</w:t>
            </w:r>
            <w:r>
              <w:rPr>
                <w:rFonts w:hint="eastAsia" w:hAnsi="宋体" w:cs="宋体"/>
                <w:bCs/>
                <w:color w:val="auto"/>
                <w:sz w:val="24"/>
                <w:szCs w:val="24"/>
                <w:lang w:eastAsia="zh-CN"/>
              </w:rPr>
              <w:t>建筑工程专业注册建造师二级</w:t>
            </w:r>
            <w:r>
              <w:rPr>
                <w:rFonts w:hint="eastAsia" w:hAnsi="宋体" w:cs="宋体"/>
                <w:bCs/>
                <w:color w:val="auto"/>
                <w:sz w:val="24"/>
                <w:szCs w:val="24"/>
              </w:rPr>
              <w:t>及以上执业资格证书及有效的省级或省级以上建设行政主管部门颁发的安全生产考核合格证书（B</w:t>
            </w:r>
            <w:r>
              <w:rPr>
                <w:rFonts w:hint="eastAsia" w:hAnsi="宋体" w:cs="宋体"/>
                <w:bCs/>
                <w:color w:val="auto"/>
                <w:sz w:val="24"/>
                <w:szCs w:val="24"/>
                <w:lang w:eastAsia="zh-CN"/>
              </w:rPr>
              <w:t>类</w:t>
            </w:r>
            <w:r>
              <w:rPr>
                <w:rFonts w:hint="eastAsia" w:hAnsi="宋体" w:cs="宋体"/>
                <w:bCs/>
                <w:color w:val="auto"/>
                <w:sz w:val="24"/>
                <w:szCs w:val="24"/>
              </w:rPr>
              <w:t>）的扫描件；</w:t>
            </w:r>
          </w:p>
          <w:p w14:paraId="270DDF6F">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w:t>
            </w:r>
            <w:r>
              <w:rPr>
                <w:rFonts w:hint="eastAsia" w:hAnsi="宋体" w:cs="宋体"/>
                <w:bCs/>
                <w:color w:val="auto"/>
                <w:sz w:val="24"/>
                <w:szCs w:val="24"/>
                <w:lang w:val="en-US" w:eastAsia="zh-CN"/>
              </w:rPr>
              <w:t>6</w:t>
            </w:r>
            <w:r>
              <w:rPr>
                <w:rFonts w:hint="eastAsia" w:hAnsi="宋体" w:cs="宋体"/>
                <w:bCs/>
                <w:color w:val="auto"/>
                <w:sz w:val="24"/>
                <w:szCs w:val="24"/>
              </w:rPr>
              <w:t>）拟派往本项目专职安全员岗位证书扫描件及有效的省级或省级以上建设行政主管部门颁发的安全生产考核合格证书（C</w:t>
            </w:r>
            <w:r>
              <w:rPr>
                <w:rFonts w:hint="eastAsia" w:hAnsi="宋体" w:cs="宋体"/>
                <w:bCs/>
                <w:color w:val="auto"/>
                <w:sz w:val="24"/>
                <w:szCs w:val="24"/>
                <w:lang w:eastAsia="zh-CN"/>
              </w:rPr>
              <w:t>类</w:t>
            </w:r>
            <w:r>
              <w:rPr>
                <w:rFonts w:hint="eastAsia" w:hAnsi="宋体" w:cs="宋体"/>
                <w:bCs/>
                <w:color w:val="auto"/>
                <w:sz w:val="24"/>
                <w:szCs w:val="24"/>
              </w:rPr>
              <w:t>）的扫描件；</w:t>
            </w:r>
          </w:p>
          <w:p w14:paraId="11B56608">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w:t>
            </w:r>
            <w:r>
              <w:rPr>
                <w:rFonts w:hint="eastAsia" w:hAnsi="宋体" w:cs="宋体"/>
                <w:bCs/>
                <w:color w:val="auto"/>
                <w:sz w:val="24"/>
                <w:szCs w:val="24"/>
                <w:lang w:val="en-US" w:eastAsia="zh-CN"/>
              </w:rPr>
              <w:t>7</w:t>
            </w:r>
            <w:r>
              <w:rPr>
                <w:rFonts w:hint="eastAsia" w:hAnsi="宋体" w:cs="宋体"/>
                <w:bCs/>
                <w:color w:val="auto"/>
                <w:sz w:val="24"/>
                <w:szCs w:val="24"/>
              </w:rPr>
              <w:t>）磋商供应商认为必要提供的声明及文件资料。</w:t>
            </w:r>
          </w:p>
          <w:p w14:paraId="3D4CEB90">
            <w:pPr>
              <w:pStyle w:val="24"/>
              <w:spacing w:line="390" w:lineRule="exact"/>
              <w:ind w:firstLine="480" w:firstLineChars="200"/>
              <w:rPr>
                <w:rFonts w:hAnsi="宋体" w:cs="宋体"/>
                <w:b/>
                <w:color w:val="auto"/>
                <w:sz w:val="24"/>
                <w:szCs w:val="24"/>
              </w:rPr>
            </w:pPr>
            <w:r>
              <w:rPr>
                <w:rFonts w:hint="eastAsia" w:hAnsi="宋体" w:cs="宋体"/>
                <w:b/>
                <w:bCs/>
                <w:color w:val="auto"/>
                <w:sz w:val="24"/>
                <w:szCs w:val="24"/>
              </w:rPr>
              <w:t>注：</w:t>
            </w:r>
            <w:r>
              <w:rPr>
                <w:rFonts w:hint="eastAsia" w:hAnsi="宋体" w:cs="宋体"/>
                <w:b/>
                <w:bCs/>
                <w:color w:val="auto"/>
                <w:sz w:val="24"/>
                <w:szCs w:val="24"/>
                <w:u w:val="single"/>
              </w:rPr>
              <w:t>1.</w:t>
            </w:r>
            <w:r>
              <w:rPr>
                <w:rFonts w:hint="eastAsia" w:hAnsi="宋体" w:cs="宋体"/>
                <w:b/>
                <w:color w:val="auto"/>
                <w:sz w:val="24"/>
                <w:szCs w:val="24"/>
                <w:u w:val="single"/>
              </w:rPr>
              <w:t>上述材料缺少任何一项或任何一项无效均会被视为资格审查不合格，作无效磋商处理</w:t>
            </w:r>
            <w:r>
              <w:rPr>
                <w:rFonts w:hint="eastAsia" w:hAnsi="宋体" w:cs="宋体"/>
                <w:b/>
                <w:color w:val="auto"/>
                <w:sz w:val="24"/>
                <w:szCs w:val="24"/>
              </w:rPr>
              <w:t>。</w:t>
            </w:r>
          </w:p>
          <w:p w14:paraId="7FAC8E04">
            <w:pPr>
              <w:pStyle w:val="24"/>
              <w:spacing w:line="390" w:lineRule="exact"/>
              <w:ind w:firstLine="480" w:firstLineChars="200"/>
              <w:rPr>
                <w:rFonts w:hAnsi="宋体" w:cs="宋体"/>
                <w:b/>
                <w:color w:val="auto"/>
                <w:sz w:val="24"/>
                <w:szCs w:val="24"/>
              </w:rPr>
            </w:pPr>
            <w:r>
              <w:rPr>
                <w:rFonts w:hint="eastAsia" w:hAnsi="宋体"/>
                <w:b/>
                <w:color w:val="auto"/>
                <w:sz w:val="24"/>
                <w:u w:val="single"/>
              </w:rPr>
              <w:t>2.以上材料属于复印件的扫描件的，必须加盖供应商电子公章，否则响应文件按无效响应处理。</w:t>
            </w:r>
          </w:p>
        </w:tc>
      </w:tr>
      <w:tr w14:paraId="3FEB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vMerge w:val="continue"/>
            <w:noWrap/>
            <w:tcMar>
              <w:top w:w="0" w:type="dxa"/>
              <w:left w:w="57" w:type="dxa"/>
              <w:bottom w:w="0" w:type="dxa"/>
              <w:right w:w="57" w:type="dxa"/>
            </w:tcMar>
            <w:vAlign w:val="center"/>
          </w:tcPr>
          <w:p w14:paraId="6D54CE67">
            <w:pPr>
              <w:spacing w:line="400" w:lineRule="exact"/>
              <w:jc w:val="center"/>
              <w:rPr>
                <w:rFonts w:ascii="宋体" w:hAnsi="宋体" w:cs="宋体"/>
                <w:color w:val="auto"/>
                <w:sz w:val="24"/>
              </w:rPr>
            </w:pPr>
          </w:p>
        </w:tc>
        <w:tc>
          <w:tcPr>
            <w:tcW w:w="2360" w:type="dxa"/>
            <w:vMerge w:val="continue"/>
            <w:noWrap/>
            <w:tcMar>
              <w:top w:w="0" w:type="dxa"/>
              <w:left w:w="57" w:type="dxa"/>
              <w:bottom w:w="0" w:type="dxa"/>
              <w:right w:w="57" w:type="dxa"/>
            </w:tcMar>
            <w:vAlign w:val="center"/>
          </w:tcPr>
          <w:p w14:paraId="5FCE0732">
            <w:pPr>
              <w:spacing w:line="400" w:lineRule="exact"/>
              <w:jc w:val="center"/>
              <w:rPr>
                <w:rFonts w:ascii="宋体" w:hAnsi="宋体" w:cs="宋体"/>
                <w:b/>
                <w:bCs/>
                <w:color w:val="auto"/>
                <w:sz w:val="24"/>
              </w:rPr>
            </w:pPr>
          </w:p>
        </w:tc>
        <w:tc>
          <w:tcPr>
            <w:tcW w:w="6738" w:type="dxa"/>
            <w:noWrap/>
            <w:tcMar>
              <w:top w:w="0" w:type="dxa"/>
              <w:left w:w="57" w:type="dxa"/>
              <w:bottom w:w="0" w:type="dxa"/>
              <w:right w:w="57" w:type="dxa"/>
            </w:tcMar>
          </w:tcPr>
          <w:p w14:paraId="5928087A">
            <w:pPr>
              <w:spacing w:line="400" w:lineRule="exact"/>
              <w:ind w:firstLine="480" w:firstLineChars="200"/>
              <w:rPr>
                <w:rFonts w:ascii="宋体" w:hAnsi="宋体" w:cs="宋体"/>
                <w:bCs/>
                <w:color w:val="auto"/>
                <w:sz w:val="24"/>
              </w:rPr>
            </w:pPr>
            <w:r>
              <w:rPr>
                <w:rFonts w:hint="eastAsia" w:ascii="宋体" w:hAnsi="宋体" w:cs="宋体"/>
                <w:bCs/>
                <w:color w:val="auto"/>
                <w:sz w:val="24"/>
              </w:rPr>
              <w:t>报价文件</w:t>
            </w:r>
          </w:p>
          <w:p w14:paraId="70E624C7">
            <w:pPr>
              <w:pStyle w:val="69"/>
              <w:ind w:firstLine="480" w:firstLineChars="200"/>
              <w:rPr>
                <w:rFonts w:hAnsi="宋体"/>
                <w:bCs/>
                <w:color w:val="auto"/>
                <w:kern w:val="2"/>
              </w:rPr>
            </w:pPr>
            <w:r>
              <w:rPr>
                <w:rFonts w:hint="eastAsia" w:hAnsi="宋体"/>
                <w:bCs/>
                <w:color w:val="auto"/>
                <w:kern w:val="2"/>
              </w:rPr>
              <w:t>（1）磋商函及磋商函附录</w:t>
            </w:r>
          </w:p>
          <w:p w14:paraId="2EA16987">
            <w:pPr>
              <w:pStyle w:val="69"/>
              <w:ind w:firstLine="480" w:firstLineChars="200"/>
              <w:rPr>
                <w:rFonts w:hAnsi="宋体"/>
                <w:bCs/>
                <w:color w:val="auto"/>
                <w:kern w:val="2"/>
              </w:rPr>
            </w:pPr>
            <w:r>
              <w:rPr>
                <w:rFonts w:hint="eastAsia" w:hAnsi="宋体"/>
                <w:bCs/>
                <w:color w:val="auto"/>
                <w:kern w:val="2"/>
              </w:rPr>
              <w:t>（2）竞标人基本情况表</w:t>
            </w:r>
          </w:p>
          <w:p w14:paraId="1EC08046">
            <w:pPr>
              <w:pStyle w:val="69"/>
              <w:ind w:firstLine="480" w:firstLineChars="200"/>
              <w:rPr>
                <w:rFonts w:hAnsi="宋体"/>
                <w:bCs/>
                <w:color w:val="auto"/>
                <w:kern w:val="2"/>
              </w:rPr>
            </w:pPr>
            <w:r>
              <w:rPr>
                <w:rFonts w:hint="eastAsia" w:hAnsi="宋体"/>
                <w:bCs/>
                <w:color w:val="auto"/>
                <w:kern w:val="2"/>
              </w:rPr>
              <w:t>（3）已标价工程量清单</w:t>
            </w:r>
          </w:p>
          <w:p w14:paraId="6DED97F8">
            <w:pPr>
              <w:pStyle w:val="69"/>
              <w:ind w:firstLine="480" w:firstLineChars="200"/>
              <w:rPr>
                <w:color w:val="auto"/>
              </w:rPr>
            </w:pPr>
            <w:r>
              <w:rPr>
                <w:rFonts w:hint="eastAsia" w:hAnsi="宋体" w:cs="Times New Roman"/>
                <w:b/>
                <w:color w:val="auto"/>
                <w:u w:val="single"/>
              </w:rPr>
              <w:t>注：以上材料属于复印件的扫描件的，必须加盖供应商电子公章，否则响应文件按无效响应处理。</w:t>
            </w:r>
          </w:p>
        </w:tc>
      </w:tr>
      <w:tr w14:paraId="13F66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9" w:hRule="atLeast"/>
          <w:jc w:val="center"/>
        </w:trPr>
        <w:tc>
          <w:tcPr>
            <w:tcW w:w="706" w:type="dxa"/>
            <w:vMerge w:val="continue"/>
            <w:noWrap/>
            <w:tcMar>
              <w:top w:w="0" w:type="dxa"/>
              <w:left w:w="57" w:type="dxa"/>
              <w:bottom w:w="0" w:type="dxa"/>
              <w:right w:w="57" w:type="dxa"/>
            </w:tcMar>
            <w:vAlign w:val="center"/>
          </w:tcPr>
          <w:p w14:paraId="3AEFBDF8">
            <w:pPr>
              <w:spacing w:line="400" w:lineRule="exact"/>
              <w:jc w:val="center"/>
              <w:rPr>
                <w:rFonts w:ascii="宋体" w:hAnsi="宋体" w:cs="宋体"/>
                <w:color w:val="auto"/>
                <w:sz w:val="24"/>
              </w:rPr>
            </w:pPr>
          </w:p>
        </w:tc>
        <w:tc>
          <w:tcPr>
            <w:tcW w:w="2360" w:type="dxa"/>
            <w:vMerge w:val="continue"/>
            <w:noWrap/>
            <w:tcMar>
              <w:top w:w="0" w:type="dxa"/>
              <w:left w:w="57" w:type="dxa"/>
              <w:bottom w:w="0" w:type="dxa"/>
              <w:right w:w="57" w:type="dxa"/>
            </w:tcMar>
            <w:vAlign w:val="center"/>
          </w:tcPr>
          <w:p w14:paraId="50EB1E01">
            <w:pPr>
              <w:spacing w:line="400" w:lineRule="exact"/>
              <w:jc w:val="center"/>
              <w:rPr>
                <w:rFonts w:ascii="宋体" w:hAnsi="宋体" w:cs="宋体"/>
                <w:b/>
                <w:bCs/>
                <w:color w:val="auto"/>
                <w:sz w:val="24"/>
              </w:rPr>
            </w:pPr>
          </w:p>
        </w:tc>
        <w:tc>
          <w:tcPr>
            <w:tcW w:w="6738" w:type="dxa"/>
            <w:noWrap/>
            <w:tcMar>
              <w:top w:w="0" w:type="dxa"/>
              <w:left w:w="57" w:type="dxa"/>
              <w:bottom w:w="0" w:type="dxa"/>
              <w:right w:w="57" w:type="dxa"/>
            </w:tcMar>
          </w:tcPr>
          <w:p w14:paraId="1061702E">
            <w:pPr>
              <w:spacing w:line="400" w:lineRule="exact"/>
              <w:ind w:firstLine="480" w:firstLineChars="200"/>
              <w:rPr>
                <w:rFonts w:ascii="宋体" w:hAnsi="宋体" w:cs="宋体"/>
                <w:bCs/>
                <w:color w:val="auto"/>
                <w:sz w:val="24"/>
              </w:rPr>
            </w:pPr>
            <w:r>
              <w:rPr>
                <w:rFonts w:hint="eastAsia" w:ascii="宋体" w:hAnsi="宋体" w:cs="宋体"/>
                <w:bCs/>
                <w:color w:val="auto"/>
                <w:sz w:val="24"/>
              </w:rPr>
              <w:t>商务技术文件</w:t>
            </w:r>
          </w:p>
          <w:p w14:paraId="7AD16F7E">
            <w:pPr>
              <w:pStyle w:val="24"/>
              <w:spacing w:line="390" w:lineRule="exact"/>
              <w:ind w:firstLine="480" w:firstLineChars="200"/>
              <w:rPr>
                <w:color w:val="auto"/>
                <w:sz w:val="24"/>
                <w:szCs w:val="24"/>
              </w:rPr>
            </w:pPr>
            <w:r>
              <w:rPr>
                <w:rFonts w:hint="eastAsia" w:hAnsi="宋体" w:cs="宋体"/>
                <w:bCs/>
                <w:color w:val="auto"/>
                <w:sz w:val="24"/>
                <w:szCs w:val="24"/>
              </w:rPr>
              <w:t>(1)</w:t>
            </w:r>
            <w:r>
              <w:rPr>
                <w:rFonts w:ascii="Calibri" w:hAnsi="Calibri" w:cs="Calibri"/>
                <w:bCs/>
                <w:color w:val="auto"/>
                <w:sz w:val="24"/>
                <w:szCs w:val="24"/>
              </w:rPr>
              <w:t>主要管理人员表</w:t>
            </w:r>
          </w:p>
          <w:p w14:paraId="33BCCE4A">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(2)建设工程项目管理承诺书</w:t>
            </w:r>
          </w:p>
          <w:p w14:paraId="00E7CAA5">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(3)施工组织设计</w:t>
            </w:r>
          </w:p>
          <w:p w14:paraId="50F1A3DC">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(4)业绩</w:t>
            </w:r>
          </w:p>
          <w:p w14:paraId="377156FF">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(5)其他资料</w:t>
            </w:r>
          </w:p>
          <w:p w14:paraId="4ABF7443">
            <w:pPr>
              <w:pStyle w:val="69"/>
              <w:ind w:firstLine="480" w:firstLineChars="200"/>
              <w:rPr>
                <w:color w:val="auto"/>
              </w:rPr>
            </w:pPr>
            <w:r>
              <w:rPr>
                <w:rFonts w:hint="eastAsia" w:hAnsi="宋体" w:cs="Times New Roman"/>
                <w:b/>
                <w:color w:val="auto"/>
                <w:u w:val="single"/>
              </w:rPr>
              <w:t>注：以上材料属于复印件的扫描件的，必须加盖供应商电子公章，否则响应文件按无效响应处理。</w:t>
            </w:r>
          </w:p>
        </w:tc>
      </w:tr>
      <w:tr w14:paraId="79140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6520E8E7">
            <w:pPr>
              <w:spacing w:line="400" w:lineRule="exact"/>
              <w:jc w:val="center"/>
              <w:rPr>
                <w:rFonts w:ascii="宋体" w:hAnsi="宋体" w:cs="宋体"/>
                <w:color w:val="auto"/>
                <w:sz w:val="24"/>
              </w:rPr>
            </w:pPr>
            <w:r>
              <w:rPr>
                <w:rFonts w:hint="eastAsia" w:ascii="宋体" w:hAnsi="宋体" w:cs="宋体"/>
                <w:color w:val="auto"/>
                <w:sz w:val="24"/>
              </w:rPr>
              <w:t>12</w:t>
            </w:r>
          </w:p>
        </w:tc>
        <w:tc>
          <w:tcPr>
            <w:tcW w:w="2360" w:type="dxa"/>
            <w:noWrap/>
            <w:tcMar>
              <w:top w:w="0" w:type="dxa"/>
              <w:left w:w="57" w:type="dxa"/>
              <w:bottom w:w="0" w:type="dxa"/>
              <w:right w:w="57" w:type="dxa"/>
            </w:tcMar>
            <w:vAlign w:val="center"/>
          </w:tcPr>
          <w:p w14:paraId="51EA3965">
            <w:pPr>
              <w:spacing w:line="400" w:lineRule="exact"/>
              <w:jc w:val="center"/>
              <w:rPr>
                <w:rFonts w:ascii="宋体" w:hAnsi="宋体" w:cs="宋体"/>
                <w:b/>
                <w:bCs/>
                <w:color w:val="auto"/>
                <w:sz w:val="24"/>
              </w:rPr>
            </w:pPr>
            <w:r>
              <w:rPr>
                <w:rFonts w:hint="eastAsia" w:ascii="宋体" w:hAnsi="宋体" w:cs="宋体"/>
                <w:b/>
                <w:bCs/>
                <w:color w:val="auto"/>
                <w:sz w:val="24"/>
              </w:rPr>
              <w:t>《响应文件》的递交</w:t>
            </w:r>
          </w:p>
        </w:tc>
        <w:tc>
          <w:tcPr>
            <w:tcW w:w="6738" w:type="dxa"/>
            <w:noWrap/>
            <w:tcMar>
              <w:top w:w="0" w:type="dxa"/>
              <w:left w:w="57" w:type="dxa"/>
              <w:bottom w:w="0" w:type="dxa"/>
              <w:right w:w="57" w:type="dxa"/>
            </w:tcMar>
          </w:tcPr>
          <w:p w14:paraId="7B709C0E">
            <w:pPr>
              <w:spacing w:line="400" w:lineRule="exact"/>
              <w:jc w:val="left"/>
              <w:rPr>
                <w:rFonts w:hint="eastAsia" w:ascii="宋体" w:hAnsi="宋体" w:cs="宋体"/>
                <w:color w:val="auto"/>
                <w:sz w:val="24"/>
                <w:lang w:eastAsia="zh-CN"/>
              </w:rPr>
            </w:pPr>
            <w:r>
              <w:rPr>
                <w:rFonts w:hint="eastAsia" w:ascii="宋体" w:hAnsi="宋体" w:cs="宋体"/>
                <w:color w:val="auto"/>
                <w:sz w:val="24"/>
              </w:rPr>
              <w:t>递交地点：广西政府采购云平台（https://www.gcy.zfcg.gxzf.gov.cn/）</w:t>
            </w:r>
            <w:r>
              <w:rPr>
                <w:rFonts w:hint="eastAsia" w:ascii="宋体" w:hAnsi="宋体" w:cs="宋体"/>
                <w:color w:val="auto"/>
                <w:sz w:val="24"/>
                <w:lang w:eastAsia="zh-CN"/>
              </w:rPr>
              <w:t>。</w:t>
            </w:r>
          </w:p>
          <w:p w14:paraId="1C598144">
            <w:pPr>
              <w:spacing w:line="400" w:lineRule="exact"/>
              <w:rPr>
                <w:rFonts w:hint="eastAsia" w:ascii="宋体" w:hAnsi="宋体" w:eastAsia="宋体" w:cs="宋体"/>
                <w:color w:val="auto"/>
                <w:sz w:val="24"/>
                <w:lang w:eastAsia="zh-CN"/>
              </w:rPr>
            </w:pPr>
            <w:r>
              <w:rPr>
                <w:rFonts w:hint="eastAsia" w:ascii="宋体" w:hAnsi="宋体" w:cs="宋体"/>
                <w:color w:val="auto"/>
                <w:sz w:val="24"/>
              </w:rPr>
              <w:t>《响应文件》递交截止时间：2026年09月10日09时00分</w:t>
            </w:r>
          </w:p>
        </w:tc>
      </w:tr>
      <w:tr w14:paraId="4BFE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6D27A9BB">
            <w:pPr>
              <w:spacing w:line="400" w:lineRule="exact"/>
              <w:jc w:val="center"/>
              <w:rPr>
                <w:rFonts w:ascii="宋体" w:hAnsi="宋体" w:cs="宋体"/>
                <w:color w:val="auto"/>
                <w:sz w:val="24"/>
              </w:rPr>
            </w:pPr>
            <w:r>
              <w:rPr>
                <w:rFonts w:hint="eastAsia" w:ascii="宋体" w:hAnsi="宋体" w:cs="宋体"/>
                <w:color w:val="auto"/>
                <w:sz w:val="24"/>
              </w:rPr>
              <w:t>13</w:t>
            </w:r>
          </w:p>
        </w:tc>
        <w:tc>
          <w:tcPr>
            <w:tcW w:w="2360" w:type="dxa"/>
            <w:noWrap/>
            <w:tcMar>
              <w:top w:w="0" w:type="dxa"/>
              <w:left w:w="57" w:type="dxa"/>
              <w:bottom w:w="0" w:type="dxa"/>
              <w:right w:w="57" w:type="dxa"/>
            </w:tcMar>
            <w:vAlign w:val="center"/>
          </w:tcPr>
          <w:p w14:paraId="0FFB396F">
            <w:pPr>
              <w:spacing w:line="400" w:lineRule="exact"/>
              <w:jc w:val="center"/>
              <w:rPr>
                <w:rFonts w:ascii="宋体" w:hAnsi="宋体" w:cs="宋体"/>
                <w:b/>
                <w:bCs/>
                <w:color w:val="auto"/>
                <w:sz w:val="24"/>
              </w:rPr>
            </w:pPr>
            <w:r>
              <w:rPr>
                <w:rFonts w:hint="eastAsia" w:ascii="宋体" w:hAnsi="宋体" w:cs="宋体"/>
                <w:b/>
                <w:bCs/>
                <w:color w:val="auto"/>
                <w:sz w:val="24"/>
              </w:rPr>
              <w:t>开标时间</w:t>
            </w:r>
          </w:p>
        </w:tc>
        <w:tc>
          <w:tcPr>
            <w:tcW w:w="6738" w:type="dxa"/>
            <w:noWrap/>
            <w:tcMar>
              <w:top w:w="0" w:type="dxa"/>
              <w:left w:w="57" w:type="dxa"/>
              <w:bottom w:w="0" w:type="dxa"/>
              <w:right w:w="57" w:type="dxa"/>
            </w:tcMar>
          </w:tcPr>
          <w:p w14:paraId="67186EB2">
            <w:pPr>
              <w:spacing w:line="400" w:lineRule="exact"/>
              <w:jc w:val="left"/>
              <w:rPr>
                <w:rFonts w:ascii="宋体" w:hAnsi="宋体" w:cs="宋体"/>
                <w:color w:val="auto"/>
                <w:sz w:val="24"/>
              </w:rPr>
            </w:pPr>
            <w:r>
              <w:rPr>
                <w:rFonts w:hint="eastAsia" w:ascii="宋体" w:hAnsi="宋体" w:cs="宋体"/>
                <w:color w:val="auto"/>
                <w:sz w:val="24"/>
              </w:rPr>
              <w:t>开标时间：2026年09月10日09时00分截标后</w:t>
            </w:r>
          </w:p>
          <w:p w14:paraId="0DFA0025">
            <w:pPr>
              <w:spacing w:line="400" w:lineRule="exact"/>
              <w:jc w:val="left"/>
              <w:rPr>
                <w:rFonts w:hint="eastAsia" w:ascii="宋体" w:hAnsi="宋体" w:eastAsia="宋体" w:cs="宋体"/>
                <w:color w:val="auto"/>
                <w:sz w:val="24"/>
                <w:lang w:eastAsia="zh-CN"/>
              </w:rPr>
            </w:pPr>
            <w:r>
              <w:rPr>
                <w:rFonts w:hint="eastAsia" w:ascii="宋体" w:hAnsi="宋体" w:cs="宋体"/>
                <w:color w:val="auto"/>
                <w:sz w:val="24"/>
                <w:lang w:eastAsia="zh-CN"/>
              </w:rPr>
              <w:t>开</w:t>
            </w:r>
            <w:r>
              <w:rPr>
                <w:rFonts w:hint="eastAsia" w:ascii="宋体" w:hAnsi="宋体" w:cs="宋体"/>
                <w:color w:val="auto"/>
                <w:sz w:val="24"/>
              </w:rPr>
              <w:t>标地点：广西政府采购云平台（https://www.gcy.zfcg.gxzf.gov.cn/）</w:t>
            </w:r>
            <w:r>
              <w:rPr>
                <w:rFonts w:hint="eastAsia" w:ascii="宋体" w:hAnsi="宋体" w:cs="宋体"/>
                <w:color w:val="auto"/>
                <w:sz w:val="24"/>
                <w:lang w:eastAsia="zh-CN"/>
              </w:rPr>
              <w:t>。</w:t>
            </w:r>
          </w:p>
        </w:tc>
      </w:tr>
      <w:tr w14:paraId="7E868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63DB3052">
            <w:pPr>
              <w:spacing w:line="400" w:lineRule="exact"/>
              <w:jc w:val="center"/>
              <w:rPr>
                <w:rFonts w:ascii="宋体" w:hAnsi="宋体" w:cs="宋体"/>
                <w:color w:val="auto"/>
                <w:sz w:val="24"/>
              </w:rPr>
            </w:pPr>
            <w:r>
              <w:rPr>
                <w:rFonts w:hint="eastAsia" w:ascii="宋体" w:hAnsi="宋体" w:cs="宋体"/>
                <w:color w:val="auto"/>
                <w:sz w:val="24"/>
              </w:rPr>
              <w:t>14</w:t>
            </w:r>
          </w:p>
        </w:tc>
        <w:tc>
          <w:tcPr>
            <w:tcW w:w="2360" w:type="dxa"/>
            <w:noWrap/>
            <w:tcMar>
              <w:top w:w="0" w:type="dxa"/>
              <w:left w:w="57" w:type="dxa"/>
              <w:bottom w:w="0" w:type="dxa"/>
              <w:right w:w="57" w:type="dxa"/>
            </w:tcMar>
            <w:vAlign w:val="center"/>
          </w:tcPr>
          <w:p w14:paraId="03F81167">
            <w:pPr>
              <w:spacing w:line="400" w:lineRule="exact"/>
              <w:jc w:val="center"/>
              <w:rPr>
                <w:rFonts w:ascii="宋体" w:hAnsi="宋体" w:cs="宋体"/>
                <w:b/>
                <w:bCs/>
                <w:color w:val="auto"/>
                <w:sz w:val="24"/>
              </w:rPr>
            </w:pPr>
            <w:r>
              <w:rPr>
                <w:rFonts w:hint="eastAsia" w:ascii="宋体" w:hAnsi="宋体" w:cs="宋体"/>
                <w:b/>
                <w:bCs/>
                <w:color w:val="auto"/>
                <w:sz w:val="24"/>
              </w:rPr>
              <w:t>开标程序</w:t>
            </w:r>
          </w:p>
        </w:tc>
        <w:tc>
          <w:tcPr>
            <w:tcW w:w="6738" w:type="dxa"/>
            <w:noWrap/>
            <w:tcMar>
              <w:top w:w="0" w:type="dxa"/>
              <w:left w:w="57" w:type="dxa"/>
              <w:bottom w:w="0" w:type="dxa"/>
              <w:right w:w="57" w:type="dxa"/>
            </w:tcMar>
          </w:tcPr>
          <w:p w14:paraId="0C5AC4F0">
            <w:pPr>
              <w:numPr>
                <w:ilvl w:val="0"/>
                <w:numId w:val="5"/>
              </w:numPr>
              <w:spacing w:line="390" w:lineRule="exact"/>
              <w:ind w:firstLine="480" w:firstLineChars="200"/>
              <w:rPr>
                <w:rFonts w:ascii="宋体" w:hAnsi="宋体" w:cs="宋体"/>
                <w:color w:val="auto"/>
                <w:sz w:val="24"/>
              </w:rPr>
            </w:pPr>
            <w:r>
              <w:rPr>
                <w:rFonts w:hint="eastAsia" w:ascii="宋体" w:hAnsi="宋体" w:cs="宋体"/>
                <w:color w:val="auto"/>
                <w:sz w:val="24"/>
              </w:rPr>
              <w:t>签收、解密电子投标文件。</w:t>
            </w:r>
            <w:r>
              <w:rPr>
                <w:rFonts w:ascii="宋体" w:hAnsi="宋体" w:cs="宋体"/>
                <w:color w:val="auto"/>
                <w:sz w:val="24"/>
              </w:rPr>
              <w:t>采购代理机构将在“供应商须知前附表”规定的时间通过电子交易平台组织响应文件开启， 采购机构依托电子交易平台发起</w:t>
            </w:r>
            <w:r>
              <w:rPr>
                <w:rFonts w:hint="eastAsia" w:ascii="宋体" w:hAnsi="宋体" w:cs="宋体"/>
                <w:color w:val="auto"/>
                <w:sz w:val="24"/>
              </w:rPr>
              <w:t>【开始解密】</w:t>
            </w:r>
            <w:r>
              <w:rPr>
                <w:rFonts w:ascii="宋体" w:hAnsi="宋体" w:cs="宋体"/>
                <w:color w:val="auto"/>
                <w:sz w:val="24"/>
              </w:rPr>
              <w:t>指令，供应商的法定代表人或其委托代理人须携带加密时所用的 CA 锁按平台提示和采购文件的规定登录到“</w:t>
            </w:r>
            <w:r>
              <w:rPr>
                <w:rFonts w:hint="eastAsia" w:ascii="宋体" w:hAnsi="宋体" w:cs="宋体"/>
                <w:color w:val="auto"/>
                <w:sz w:val="24"/>
                <w:lang w:eastAsia="zh-CN"/>
              </w:rPr>
              <w:t>广西政府采购云平台</w:t>
            </w:r>
            <w:r>
              <w:rPr>
                <w:rFonts w:ascii="宋体" w:hAnsi="宋体" w:cs="宋体"/>
                <w:color w:val="auto"/>
                <w:sz w:val="24"/>
              </w:rPr>
              <w:t xml:space="preserve">”平台电子开标大厅签到并在发起解密指令之时起 </w:t>
            </w:r>
            <w:r>
              <w:rPr>
                <w:rFonts w:hint="eastAsia" w:ascii="宋体" w:hAnsi="宋体" w:cs="宋体"/>
                <w:color w:val="auto"/>
                <w:sz w:val="24"/>
              </w:rPr>
              <w:t>30</w:t>
            </w:r>
            <w:r>
              <w:rPr>
                <w:rFonts w:ascii="宋体" w:hAnsi="宋体" w:cs="宋体"/>
                <w:color w:val="auto"/>
                <w:sz w:val="24"/>
              </w:rPr>
              <w:t>分钟内完成对电子响应文件在线解密。发起解密指令之时起 5 分钟内供应商还未进行解密的，代理机构要通知 供应商，供应商没预留联系方式或预留联系方式无效，</w:t>
            </w:r>
            <w:r>
              <w:rPr>
                <w:rFonts w:hint="eastAsia" w:ascii="宋体" w:hAnsi="宋体" w:cs="宋体"/>
                <w:color w:val="auto"/>
                <w:sz w:val="24"/>
              </w:rPr>
              <w:t>导致代理机构无法联系到投标人在</w:t>
            </w:r>
            <w:r>
              <w:rPr>
                <w:rFonts w:ascii="宋体" w:hAnsi="宋体" w:cs="宋体"/>
                <w:color w:val="auto"/>
                <w:sz w:val="24"/>
              </w:rPr>
              <w:t xml:space="preserve">发起解密指令之时起 </w:t>
            </w:r>
            <w:r>
              <w:rPr>
                <w:rFonts w:hint="eastAsia" w:ascii="宋体" w:hAnsi="宋体" w:cs="宋体"/>
                <w:color w:val="auto"/>
                <w:sz w:val="24"/>
              </w:rPr>
              <w:t>30</w:t>
            </w:r>
            <w:r>
              <w:rPr>
                <w:rFonts w:ascii="宋体" w:hAnsi="宋体" w:cs="宋体"/>
                <w:color w:val="auto"/>
                <w:sz w:val="24"/>
              </w:rPr>
              <w:t>分钟内完成对电子响应文件在线解密</w:t>
            </w:r>
            <w:r>
              <w:rPr>
                <w:rFonts w:hint="eastAsia" w:ascii="宋体" w:hAnsi="宋体" w:cs="宋体"/>
                <w:color w:val="auto"/>
                <w:sz w:val="24"/>
              </w:rPr>
              <w:t>的，均视为无效投标</w:t>
            </w:r>
            <w:r>
              <w:rPr>
                <w:rFonts w:ascii="宋体" w:hAnsi="宋体" w:cs="宋体"/>
                <w:color w:val="auto"/>
                <w:sz w:val="24"/>
              </w:rPr>
              <w:t>。</w:t>
            </w:r>
          </w:p>
          <w:p w14:paraId="13A0B58D">
            <w:pPr>
              <w:spacing w:line="390" w:lineRule="exact"/>
              <w:ind w:firstLine="240" w:firstLineChars="100"/>
              <w:rPr>
                <w:rFonts w:ascii="宋体" w:hAnsi="宋体" w:cs="宋体"/>
                <w:color w:val="auto"/>
                <w:sz w:val="24"/>
              </w:rPr>
            </w:pPr>
            <w:r>
              <w:rPr>
                <w:rFonts w:ascii="宋体" w:hAnsi="宋体" w:cs="宋体"/>
                <w:color w:val="auto"/>
                <w:sz w:val="24"/>
              </w:rPr>
              <w:t xml:space="preserve">（解密异常情况处理：详见本章 </w:t>
            </w:r>
            <w:r>
              <w:rPr>
                <w:rFonts w:hint="eastAsia" w:ascii="宋体" w:hAnsi="宋体" w:cs="宋体"/>
                <w:color w:val="auto"/>
                <w:sz w:val="24"/>
              </w:rPr>
              <w:t>15.3</w:t>
            </w:r>
            <w:r>
              <w:rPr>
                <w:rFonts w:ascii="宋体" w:hAnsi="宋体" w:cs="宋体"/>
                <w:color w:val="auto"/>
                <w:sz w:val="24"/>
              </w:rPr>
              <w:t xml:space="preserve"> 电子交易活动的中止。） </w:t>
            </w:r>
          </w:p>
          <w:p w14:paraId="01D4C3DB">
            <w:pPr>
              <w:spacing w:line="390" w:lineRule="exact"/>
              <w:ind w:firstLine="480" w:firstLineChars="200"/>
              <w:rPr>
                <w:rFonts w:ascii="宋体" w:hAnsi="宋体" w:cs="宋体"/>
                <w:color w:val="auto"/>
                <w:sz w:val="24"/>
              </w:rPr>
            </w:pPr>
            <w:r>
              <w:rPr>
                <w:rFonts w:ascii="宋体" w:hAnsi="宋体" w:cs="宋体"/>
                <w:color w:val="auto"/>
                <w:sz w:val="24"/>
              </w:rPr>
              <w:t>如供应商成功解密响应文件，但未在“</w:t>
            </w:r>
            <w:r>
              <w:rPr>
                <w:rFonts w:hint="eastAsia" w:ascii="宋体" w:hAnsi="宋体" w:cs="宋体"/>
                <w:color w:val="auto"/>
                <w:sz w:val="24"/>
                <w:lang w:eastAsia="zh-CN"/>
              </w:rPr>
              <w:t>广西政府采购云平台</w:t>
            </w:r>
            <w:r>
              <w:rPr>
                <w:rFonts w:ascii="宋体" w:hAnsi="宋体" w:cs="宋体"/>
                <w:color w:val="auto"/>
                <w:sz w:val="24"/>
              </w:rPr>
              <w:t>”电子开标大厅参加</w:t>
            </w:r>
            <w:r>
              <w:rPr>
                <w:rFonts w:hint="eastAsia" w:ascii="宋体" w:hAnsi="宋体" w:cs="宋体"/>
                <w:color w:val="auto"/>
                <w:sz w:val="24"/>
              </w:rPr>
              <w:t>磋商</w:t>
            </w:r>
            <w:r>
              <w:rPr>
                <w:rFonts w:ascii="宋体" w:hAnsi="宋体" w:cs="宋体"/>
                <w:color w:val="auto"/>
                <w:sz w:val="24"/>
              </w:rPr>
              <w:t>的，视同认可</w:t>
            </w:r>
            <w:r>
              <w:rPr>
                <w:rFonts w:hint="eastAsia" w:ascii="宋体" w:hAnsi="宋体" w:cs="宋体"/>
                <w:color w:val="auto"/>
                <w:sz w:val="24"/>
              </w:rPr>
              <w:t>磋商</w:t>
            </w:r>
            <w:r>
              <w:rPr>
                <w:rFonts w:ascii="宋体" w:hAnsi="宋体" w:cs="宋体"/>
                <w:color w:val="auto"/>
                <w:sz w:val="24"/>
              </w:rPr>
              <w:t>过程和结果，由此产生的后果由供应商自行负责。参与</w:t>
            </w:r>
            <w:r>
              <w:rPr>
                <w:rFonts w:hint="eastAsia" w:ascii="宋体" w:hAnsi="宋体" w:cs="宋体"/>
                <w:color w:val="auto"/>
                <w:sz w:val="24"/>
              </w:rPr>
              <w:t>磋商</w:t>
            </w:r>
            <w:r>
              <w:rPr>
                <w:rFonts w:ascii="宋体" w:hAnsi="宋体" w:cs="宋体"/>
                <w:color w:val="auto"/>
                <w:sz w:val="24"/>
              </w:rPr>
              <w:t>的供应商不足3 家的，不得</w:t>
            </w:r>
            <w:r>
              <w:rPr>
                <w:rFonts w:hint="eastAsia" w:ascii="宋体" w:hAnsi="宋体" w:cs="宋体"/>
                <w:color w:val="auto"/>
                <w:sz w:val="24"/>
              </w:rPr>
              <w:t>磋商</w:t>
            </w:r>
            <w:r>
              <w:rPr>
                <w:rFonts w:ascii="宋体" w:hAnsi="宋体" w:cs="宋体"/>
                <w:color w:val="auto"/>
                <w:sz w:val="24"/>
              </w:rPr>
              <w:t>。</w:t>
            </w:r>
          </w:p>
          <w:p w14:paraId="29AF0E1C">
            <w:pPr>
              <w:spacing w:line="400" w:lineRule="exact"/>
              <w:ind w:firstLine="480" w:firstLineChars="200"/>
              <w:rPr>
                <w:rFonts w:ascii="宋体" w:hAnsi="宋体" w:cs="宋体"/>
                <w:color w:val="auto"/>
                <w:sz w:val="24"/>
              </w:rPr>
            </w:pPr>
            <w:r>
              <w:rPr>
                <w:rFonts w:hint="eastAsia" w:ascii="宋体" w:hAnsi="宋体" w:cs="宋体"/>
                <w:color w:val="auto"/>
                <w:sz w:val="24"/>
              </w:rPr>
              <w:t>（2）初步评审。投标文件解密结束后，磋商小组依据法律法规和招标文件的规定，对投标人进行线上初步评审（资格性审查、符合性审查）。</w:t>
            </w:r>
          </w:p>
          <w:p w14:paraId="7E3E3A79">
            <w:pPr>
              <w:spacing w:line="390" w:lineRule="exact"/>
              <w:ind w:firstLine="480" w:firstLineChars="200"/>
              <w:rPr>
                <w:rFonts w:ascii="宋体" w:hAnsi="宋体" w:cs="宋体"/>
                <w:color w:val="auto"/>
                <w:sz w:val="24"/>
              </w:rPr>
            </w:pPr>
            <w:r>
              <w:rPr>
                <w:rFonts w:hint="eastAsia" w:ascii="宋体" w:hAnsi="宋体" w:cs="宋体"/>
                <w:color w:val="auto"/>
                <w:sz w:val="24"/>
              </w:rPr>
              <w:t>（3）电子在线询标（开启第二轮报价）。</w:t>
            </w:r>
            <w:r>
              <w:rPr>
                <w:rFonts w:ascii="Calibri" w:hAnsi="Calibri" w:cs="Calibri"/>
                <w:color w:val="auto"/>
                <w:sz w:val="24"/>
              </w:rPr>
              <w:t>①采购代理机构将按照提交首次响应文件的顺序在线上通知，通知磋商时，若某供应商不在通知现场时，该供应商排序到最后磋商，按照签到的顺序由其下一位供应商先参与磋商</w:t>
            </w:r>
            <w:r>
              <w:rPr>
                <w:rFonts w:hint="eastAsia" w:ascii="Calibri" w:hAnsi="Calibri" w:cs="Calibri"/>
                <w:color w:val="auto"/>
                <w:sz w:val="24"/>
              </w:rPr>
              <w:t>。</w:t>
            </w:r>
            <w:r>
              <w:rPr>
                <w:rFonts w:ascii="Calibri" w:hAnsi="Calibri" w:cs="Calibri"/>
                <w:color w:val="auto"/>
                <w:sz w:val="24"/>
              </w:rPr>
              <w:t>②</w:t>
            </w:r>
            <w:r>
              <w:rPr>
                <w:rFonts w:hint="eastAsia" w:ascii="宋体" w:hAnsi="宋体" w:cs="宋体"/>
                <w:color w:val="auto"/>
                <w:sz w:val="24"/>
              </w:rPr>
              <w:t>各投标供应商在规定地点、时间提交二次报价或询标回复。</w:t>
            </w:r>
          </w:p>
          <w:p w14:paraId="4E30C899">
            <w:pPr>
              <w:spacing w:line="400" w:lineRule="exact"/>
              <w:ind w:firstLine="480" w:firstLineChars="200"/>
              <w:rPr>
                <w:rFonts w:ascii="宋体" w:hAnsi="宋体" w:cs="宋体"/>
                <w:color w:val="auto"/>
                <w:sz w:val="24"/>
              </w:rPr>
            </w:pPr>
            <w:r>
              <w:rPr>
                <w:rFonts w:hint="eastAsia" w:ascii="宋体" w:hAnsi="宋体" w:cs="宋体"/>
                <w:color w:val="auto"/>
                <w:sz w:val="24"/>
              </w:rPr>
              <w:t>（4）电子唱标。各投标供应商报价、工期等均在“</w:t>
            </w:r>
            <w:r>
              <w:rPr>
                <w:rFonts w:hint="eastAsia" w:ascii="宋体" w:hAnsi="宋体" w:cs="宋体"/>
                <w:color w:val="auto"/>
                <w:sz w:val="24"/>
                <w:lang w:eastAsia="zh-CN"/>
              </w:rPr>
              <w:t>广西政府采购云平台</w:t>
            </w:r>
            <w:r>
              <w:rPr>
                <w:rFonts w:hint="eastAsia" w:ascii="宋体" w:hAnsi="宋体" w:cs="宋体"/>
                <w:color w:val="auto"/>
                <w:sz w:val="24"/>
              </w:rPr>
              <w:t>”平台远程不见面开标大厅展示；</w:t>
            </w:r>
          </w:p>
          <w:p w14:paraId="7506E001">
            <w:pPr>
              <w:spacing w:line="400" w:lineRule="exact"/>
              <w:ind w:firstLine="480" w:firstLineChars="200"/>
              <w:rPr>
                <w:rFonts w:ascii="宋体" w:hAnsi="宋体" w:cs="宋体"/>
                <w:color w:val="auto"/>
                <w:sz w:val="24"/>
              </w:rPr>
            </w:pPr>
            <w:r>
              <w:rPr>
                <w:rFonts w:hint="eastAsia" w:ascii="宋体" w:hAnsi="宋体" w:cs="宋体"/>
                <w:color w:val="auto"/>
                <w:sz w:val="24"/>
              </w:rPr>
              <w:t>（5）开标过程由采购代理机构如实记录，并电子留痕，由参加电子开标的各投标人代表对电子开标记录在开标记录公布后10分钟内进行当场校核及勘误，并线上确认，未确认的视同认可开标结果。</w:t>
            </w:r>
          </w:p>
          <w:p w14:paraId="213B9B82">
            <w:pPr>
              <w:spacing w:line="400" w:lineRule="exact"/>
              <w:ind w:firstLine="480" w:firstLineChars="200"/>
              <w:rPr>
                <w:rFonts w:ascii="宋体" w:hAnsi="宋体" w:cs="宋体"/>
                <w:color w:val="auto"/>
                <w:sz w:val="24"/>
              </w:rPr>
            </w:pPr>
            <w:r>
              <w:rPr>
                <w:rFonts w:hint="eastAsia" w:ascii="宋体" w:hAnsi="宋体" w:cs="宋体"/>
                <w:color w:val="auto"/>
                <w:sz w:val="24"/>
              </w:rPr>
              <w:t>（6）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532D193A">
            <w:pPr>
              <w:spacing w:line="400" w:lineRule="exact"/>
              <w:ind w:firstLine="480" w:firstLineChars="200"/>
              <w:rPr>
                <w:rFonts w:ascii="宋体" w:hAnsi="宋体" w:cs="宋体"/>
                <w:color w:val="auto"/>
                <w:sz w:val="24"/>
              </w:rPr>
            </w:pPr>
            <w:r>
              <w:rPr>
                <w:rFonts w:hint="eastAsia" w:ascii="宋体" w:hAnsi="宋体" w:cs="宋体"/>
                <w:color w:val="auto"/>
                <w:sz w:val="24"/>
              </w:rPr>
              <w:t>（7）开标结束。</w:t>
            </w:r>
          </w:p>
          <w:p w14:paraId="21A6171B">
            <w:pPr>
              <w:pStyle w:val="69"/>
              <w:rPr>
                <w:b/>
                <w:bCs/>
                <w:color w:val="auto"/>
              </w:rPr>
            </w:pPr>
          </w:p>
          <w:p w14:paraId="2FB7C3CA">
            <w:pPr>
              <w:pStyle w:val="69"/>
              <w:ind w:firstLine="480" w:firstLineChars="200"/>
              <w:rPr>
                <w:color w:val="auto"/>
              </w:rPr>
            </w:pPr>
            <w:r>
              <w:rPr>
                <w:rFonts w:hint="eastAsia"/>
                <w:b/>
                <w:bCs/>
                <w:color w:val="auto"/>
              </w:rPr>
              <w:t>特别说明：如遇“</w:t>
            </w:r>
            <w:r>
              <w:rPr>
                <w:rFonts w:hint="eastAsia"/>
                <w:b/>
                <w:bCs/>
                <w:color w:val="auto"/>
                <w:lang w:eastAsia="zh-CN"/>
              </w:rPr>
              <w:t>广西政府采购云平台</w:t>
            </w:r>
            <w:r>
              <w:rPr>
                <w:rFonts w:hint="eastAsia"/>
                <w:b/>
                <w:bCs/>
                <w:color w:val="auto"/>
              </w:rPr>
              <w:t>”平台电子化开标或评审程序调整的，按调整后执行。</w:t>
            </w:r>
          </w:p>
        </w:tc>
      </w:tr>
      <w:tr w14:paraId="77EA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7B89E19A">
            <w:pPr>
              <w:spacing w:line="400" w:lineRule="exact"/>
              <w:jc w:val="center"/>
              <w:rPr>
                <w:rFonts w:ascii="宋体" w:hAnsi="宋体" w:cs="宋体"/>
                <w:color w:val="auto"/>
                <w:sz w:val="24"/>
              </w:rPr>
            </w:pPr>
            <w:r>
              <w:rPr>
                <w:rFonts w:hint="eastAsia" w:ascii="宋体" w:hAnsi="宋体" w:cs="宋体"/>
                <w:color w:val="auto"/>
                <w:sz w:val="24"/>
              </w:rPr>
              <w:t>15</w:t>
            </w:r>
          </w:p>
        </w:tc>
        <w:tc>
          <w:tcPr>
            <w:tcW w:w="2360" w:type="dxa"/>
            <w:noWrap/>
            <w:tcMar>
              <w:top w:w="0" w:type="dxa"/>
              <w:left w:w="57" w:type="dxa"/>
              <w:bottom w:w="0" w:type="dxa"/>
              <w:right w:w="57" w:type="dxa"/>
            </w:tcMar>
            <w:vAlign w:val="center"/>
          </w:tcPr>
          <w:p w14:paraId="29D8104B">
            <w:pPr>
              <w:widowControl/>
              <w:spacing w:line="400" w:lineRule="exact"/>
              <w:jc w:val="center"/>
              <w:rPr>
                <w:rFonts w:ascii="宋体" w:hAnsi="宋体" w:cs="宋体"/>
                <w:color w:val="auto"/>
                <w:sz w:val="24"/>
              </w:rPr>
            </w:pPr>
            <w:r>
              <w:rPr>
                <w:rFonts w:hint="eastAsia" w:ascii="宋体" w:hAnsi="宋体" w:cs="宋体"/>
                <w:b/>
                <w:color w:val="auto"/>
                <w:sz w:val="24"/>
              </w:rPr>
              <w:t>磋商小组的组成</w:t>
            </w:r>
          </w:p>
        </w:tc>
        <w:tc>
          <w:tcPr>
            <w:tcW w:w="6738" w:type="dxa"/>
            <w:noWrap/>
            <w:tcMar>
              <w:top w:w="0" w:type="dxa"/>
              <w:left w:w="57" w:type="dxa"/>
              <w:bottom w:w="0" w:type="dxa"/>
              <w:right w:w="57" w:type="dxa"/>
            </w:tcMar>
          </w:tcPr>
          <w:p w14:paraId="3E4E19E8">
            <w:pPr>
              <w:spacing w:line="340" w:lineRule="exact"/>
              <w:jc w:val="left"/>
              <w:rPr>
                <w:rFonts w:ascii="宋体" w:hAnsi="宋体" w:cs="宋体"/>
                <w:color w:val="auto"/>
                <w:sz w:val="24"/>
              </w:rPr>
            </w:pPr>
            <w:r>
              <w:rPr>
                <w:rFonts w:hint="eastAsia" w:ascii="宋体" w:hAnsi="宋体" w:cs="宋体"/>
                <w:b/>
                <w:bCs/>
                <w:color w:val="auto"/>
                <w:sz w:val="24"/>
              </w:rPr>
              <w:t>磋商小组构成：</w:t>
            </w:r>
            <w:r>
              <w:rPr>
                <w:rFonts w:hint="eastAsia" w:ascii="宋体" w:hAnsi="宋体" w:cs="宋体"/>
                <w:color w:val="auto"/>
                <w:sz w:val="24"/>
              </w:rPr>
              <w:t>3人，其中采购人代表1人，专家2人。</w:t>
            </w:r>
          </w:p>
          <w:p w14:paraId="644F6CAB">
            <w:pPr>
              <w:widowControl/>
              <w:spacing w:line="400" w:lineRule="exact"/>
              <w:jc w:val="left"/>
              <w:rPr>
                <w:rFonts w:ascii="宋体" w:hAnsi="宋体" w:cs="宋体"/>
                <w:color w:val="auto"/>
                <w:sz w:val="24"/>
              </w:rPr>
            </w:pPr>
            <w:r>
              <w:rPr>
                <w:rFonts w:hint="eastAsia" w:ascii="宋体" w:hAnsi="宋体" w:cs="宋体"/>
                <w:b/>
                <w:bCs/>
                <w:color w:val="auto"/>
                <w:sz w:val="24"/>
              </w:rPr>
              <w:t>评标专家确定方式：</w:t>
            </w:r>
            <w:r>
              <w:rPr>
                <w:rFonts w:hint="eastAsia" w:ascii="宋体" w:hAnsi="宋体" w:cs="宋体"/>
                <w:color w:val="auto"/>
                <w:sz w:val="24"/>
              </w:rPr>
              <w:t>开标前由采购代理机构在</w:t>
            </w:r>
            <w:r>
              <w:rPr>
                <w:rFonts w:hint="eastAsia" w:ascii="宋体" w:hAnsi="宋体" w:cs="宋体"/>
                <w:color w:val="auto"/>
                <w:sz w:val="24"/>
                <w:lang w:eastAsia="zh-CN"/>
              </w:rPr>
              <w:t>广西政府采购云平台</w:t>
            </w:r>
            <w:r>
              <w:rPr>
                <w:rFonts w:hint="eastAsia" w:ascii="宋体" w:hAnsi="宋体" w:cs="宋体"/>
                <w:color w:val="auto"/>
                <w:sz w:val="24"/>
              </w:rPr>
              <w:t>广西评审专家库随机抽取确定。</w:t>
            </w:r>
          </w:p>
        </w:tc>
      </w:tr>
      <w:tr w14:paraId="58F57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6" w:type="dxa"/>
            <w:noWrap/>
            <w:tcMar>
              <w:top w:w="0" w:type="dxa"/>
              <w:left w:w="57" w:type="dxa"/>
              <w:bottom w:w="0" w:type="dxa"/>
              <w:right w:w="57" w:type="dxa"/>
            </w:tcMar>
            <w:vAlign w:val="center"/>
          </w:tcPr>
          <w:p w14:paraId="2E68914E">
            <w:pPr>
              <w:spacing w:line="400" w:lineRule="exact"/>
              <w:jc w:val="center"/>
              <w:rPr>
                <w:rFonts w:ascii="宋体" w:hAnsi="宋体" w:cs="宋体"/>
                <w:color w:val="auto"/>
                <w:sz w:val="24"/>
              </w:rPr>
            </w:pPr>
            <w:r>
              <w:rPr>
                <w:rFonts w:hint="eastAsia" w:ascii="宋体" w:hAnsi="宋体" w:cs="宋体"/>
                <w:color w:val="auto"/>
                <w:sz w:val="24"/>
              </w:rPr>
              <w:t>16</w:t>
            </w:r>
          </w:p>
        </w:tc>
        <w:tc>
          <w:tcPr>
            <w:tcW w:w="2360" w:type="dxa"/>
            <w:noWrap/>
            <w:tcMar>
              <w:top w:w="0" w:type="dxa"/>
              <w:left w:w="57" w:type="dxa"/>
              <w:bottom w:w="0" w:type="dxa"/>
              <w:right w:w="57" w:type="dxa"/>
            </w:tcMar>
            <w:vAlign w:val="center"/>
          </w:tcPr>
          <w:p w14:paraId="3AFF89CD">
            <w:pPr>
              <w:spacing w:line="340" w:lineRule="exact"/>
              <w:jc w:val="center"/>
              <w:rPr>
                <w:rFonts w:ascii="宋体" w:hAnsi="宋体" w:cs="宋体"/>
                <w:b/>
                <w:color w:val="auto"/>
                <w:sz w:val="24"/>
              </w:rPr>
            </w:pPr>
            <w:r>
              <w:rPr>
                <w:rFonts w:hint="eastAsia" w:ascii="宋体" w:hAnsi="宋体" w:cs="宋体"/>
                <w:b/>
                <w:bCs/>
                <w:color w:val="auto"/>
                <w:sz w:val="24"/>
              </w:rPr>
              <w:t>评标办法</w:t>
            </w:r>
          </w:p>
        </w:tc>
        <w:tc>
          <w:tcPr>
            <w:tcW w:w="6738" w:type="dxa"/>
            <w:noWrap/>
            <w:tcMar>
              <w:top w:w="0" w:type="dxa"/>
              <w:left w:w="57" w:type="dxa"/>
              <w:bottom w:w="0" w:type="dxa"/>
              <w:right w:w="57" w:type="dxa"/>
            </w:tcMar>
            <w:vAlign w:val="center"/>
          </w:tcPr>
          <w:p w14:paraId="1A979F7E">
            <w:pPr>
              <w:spacing w:line="340" w:lineRule="exact"/>
              <w:rPr>
                <w:rFonts w:ascii="宋体" w:hAnsi="宋体" w:cs="宋体"/>
                <w:bCs/>
                <w:color w:val="auto"/>
                <w:sz w:val="24"/>
              </w:rPr>
            </w:pPr>
            <w:r>
              <w:rPr>
                <w:rFonts w:hint="eastAsia" w:ascii="宋体" w:hAnsi="宋体" w:cs="宋体"/>
                <w:color w:val="auto"/>
                <w:sz w:val="24"/>
              </w:rPr>
              <w:t>综合评分法</w:t>
            </w:r>
          </w:p>
        </w:tc>
      </w:tr>
      <w:tr w14:paraId="13FC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5931D8F2">
            <w:pPr>
              <w:spacing w:line="400" w:lineRule="exact"/>
              <w:jc w:val="center"/>
              <w:rPr>
                <w:rFonts w:ascii="宋体" w:hAnsi="宋体" w:cs="宋体"/>
                <w:color w:val="auto"/>
                <w:sz w:val="24"/>
              </w:rPr>
            </w:pPr>
            <w:r>
              <w:rPr>
                <w:rFonts w:hint="eastAsia" w:ascii="宋体" w:hAnsi="宋体" w:cs="宋体"/>
                <w:color w:val="auto"/>
                <w:sz w:val="24"/>
              </w:rPr>
              <w:t>17</w:t>
            </w:r>
          </w:p>
        </w:tc>
        <w:tc>
          <w:tcPr>
            <w:tcW w:w="2360" w:type="dxa"/>
            <w:noWrap/>
            <w:tcMar>
              <w:top w:w="0" w:type="dxa"/>
              <w:left w:w="57" w:type="dxa"/>
              <w:bottom w:w="0" w:type="dxa"/>
              <w:right w:w="57" w:type="dxa"/>
            </w:tcMar>
            <w:vAlign w:val="center"/>
          </w:tcPr>
          <w:p w14:paraId="1991F064">
            <w:pPr>
              <w:spacing w:line="400" w:lineRule="exact"/>
              <w:jc w:val="center"/>
              <w:rPr>
                <w:rFonts w:ascii="宋体" w:hAnsi="宋体" w:cs="宋体"/>
                <w:b/>
                <w:color w:val="auto"/>
                <w:sz w:val="24"/>
              </w:rPr>
            </w:pPr>
            <w:r>
              <w:rPr>
                <w:rFonts w:hint="eastAsia" w:ascii="宋体" w:hAnsi="宋体" w:cs="宋体"/>
                <w:b/>
                <w:color w:val="auto"/>
                <w:sz w:val="24"/>
              </w:rPr>
              <w:t>是否授权磋商小组确定成交人</w:t>
            </w:r>
          </w:p>
        </w:tc>
        <w:tc>
          <w:tcPr>
            <w:tcW w:w="6738" w:type="dxa"/>
            <w:noWrap/>
            <w:tcMar>
              <w:top w:w="0" w:type="dxa"/>
              <w:left w:w="57" w:type="dxa"/>
              <w:bottom w:w="0" w:type="dxa"/>
              <w:right w:w="57" w:type="dxa"/>
            </w:tcMar>
            <w:vAlign w:val="center"/>
          </w:tcPr>
          <w:p w14:paraId="156BA976">
            <w:pPr>
              <w:widowControl/>
              <w:spacing w:line="400" w:lineRule="exact"/>
              <w:rPr>
                <w:rFonts w:ascii="宋体" w:hAnsi="宋体" w:cs="宋体"/>
                <w:bCs/>
                <w:color w:val="auto"/>
                <w:sz w:val="24"/>
              </w:rPr>
            </w:pPr>
            <w:r>
              <w:rPr>
                <w:rFonts w:hint="eastAsia" w:ascii="宋体" w:hAnsi="宋体" w:cs="宋体"/>
                <w:bCs/>
                <w:color w:val="auto"/>
                <w:sz w:val="24"/>
              </w:rPr>
              <w:t>是。</w:t>
            </w:r>
          </w:p>
        </w:tc>
      </w:tr>
      <w:tr w14:paraId="39B7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355B715C">
            <w:pPr>
              <w:spacing w:line="400" w:lineRule="exact"/>
              <w:jc w:val="center"/>
              <w:rPr>
                <w:rFonts w:ascii="宋体" w:hAnsi="宋体" w:cs="宋体"/>
                <w:color w:val="auto"/>
                <w:sz w:val="24"/>
              </w:rPr>
            </w:pPr>
            <w:r>
              <w:rPr>
                <w:rFonts w:hint="eastAsia" w:ascii="宋体" w:hAnsi="宋体" w:cs="宋体"/>
                <w:color w:val="auto"/>
                <w:sz w:val="24"/>
              </w:rPr>
              <w:t>18</w:t>
            </w:r>
          </w:p>
        </w:tc>
        <w:tc>
          <w:tcPr>
            <w:tcW w:w="2360" w:type="dxa"/>
            <w:noWrap/>
            <w:tcMar>
              <w:top w:w="0" w:type="dxa"/>
              <w:left w:w="57" w:type="dxa"/>
              <w:bottom w:w="0" w:type="dxa"/>
              <w:right w:w="57" w:type="dxa"/>
            </w:tcMar>
            <w:vAlign w:val="center"/>
          </w:tcPr>
          <w:p w14:paraId="05C857C7">
            <w:pPr>
              <w:spacing w:line="400" w:lineRule="exact"/>
              <w:jc w:val="center"/>
              <w:rPr>
                <w:rFonts w:ascii="宋体" w:hAnsi="宋体"/>
                <w:b/>
                <w:color w:val="auto"/>
                <w:sz w:val="24"/>
              </w:rPr>
            </w:pPr>
            <w:r>
              <w:rPr>
                <w:rFonts w:hint="eastAsia" w:ascii="宋体" w:hAnsi="宋体" w:cs="宋体"/>
                <w:b/>
                <w:bCs/>
                <w:color w:val="auto"/>
                <w:sz w:val="24"/>
              </w:rPr>
              <w:t>履约保证金</w:t>
            </w:r>
          </w:p>
        </w:tc>
        <w:tc>
          <w:tcPr>
            <w:tcW w:w="6738" w:type="dxa"/>
            <w:noWrap/>
            <w:tcMar>
              <w:top w:w="0" w:type="dxa"/>
              <w:left w:w="57" w:type="dxa"/>
              <w:bottom w:w="0" w:type="dxa"/>
              <w:right w:w="57" w:type="dxa"/>
            </w:tcMar>
          </w:tcPr>
          <w:p w14:paraId="24A35430">
            <w:pPr>
              <w:widowControl/>
              <w:spacing w:line="400" w:lineRule="exact"/>
              <w:rPr>
                <w:rFonts w:ascii="宋体" w:hAnsi="宋体"/>
                <w:b/>
                <w:bCs/>
                <w:color w:val="auto"/>
                <w:sz w:val="24"/>
              </w:rPr>
            </w:pPr>
            <w:r>
              <w:rPr>
                <w:rFonts w:hint="eastAsia" w:ascii="宋体" w:hAnsi="宋体"/>
                <w:color w:val="auto"/>
                <w:sz w:val="24"/>
              </w:rPr>
              <w:t>本项目不做要求。</w:t>
            </w:r>
          </w:p>
        </w:tc>
      </w:tr>
      <w:tr w14:paraId="5CFFD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040ED872">
            <w:pPr>
              <w:spacing w:line="400" w:lineRule="exact"/>
              <w:jc w:val="center"/>
              <w:rPr>
                <w:rFonts w:ascii="宋体" w:hAnsi="宋体" w:cs="宋体"/>
                <w:color w:val="auto"/>
                <w:sz w:val="24"/>
              </w:rPr>
            </w:pPr>
            <w:r>
              <w:rPr>
                <w:rFonts w:hint="eastAsia" w:ascii="宋体" w:hAnsi="宋体" w:cs="宋体"/>
                <w:color w:val="auto"/>
                <w:sz w:val="24"/>
              </w:rPr>
              <w:t>19</w:t>
            </w:r>
          </w:p>
        </w:tc>
        <w:tc>
          <w:tcPr>
            <w:tcW w:w="2360" w:type="dxa"/>
            <w:noWrap/>
            <w:tcMar>
              <w:top w:w="0" w:type="dxa"/>
              <w:left w:w="57" w:type="dxa"/>
              <w:bottom w:w="0" w:type="dxa"/>
              <w:right w:w="57" w:type="dxa"/>
            </w:tcMar>
            <w:vAlign w:val="center"/>
          </w:tcPr>
          <w:p w14:paraId="1B8FC1C4">
            <w:pPr>
              <w:spacing w:line="400" w:lineRule="exact"/>
              <w:jc w:val="center"/>
              <w:rPr>
                <w:rFonts w:ascii="宋体" w:hAnsi="宋体" w:cs="宋体"/>
                <w:b/>
                <w:bCs/>
                <w:color w:val="auto"/>
                <w:sz w:val="24"/>
              </w:rPr>
            </w:pPr>
            <w:r>
              <w:rPr>
                <w:rFonts w:hint="eastAsia" w:ascii="宋体" w:hAnsi="宋体" w:cs="宋体"/>
                <w:b/>
                <w:bCs/>
                <w:color w:val="auto"/>
                <w:sz w:val="24"/>
              </w:rPr>
              <w:t>农民工工资保障金</w:t>
            </w:r>
          </w:p>
        </w:tc>
        <w:tc>
          <w:tcPr>
            <w:tcW w:w="6738" w:type="dxa"/>
            <w:noWrap/>
            <w:tcMar>
              <w:top w:w="0" w:type="dxa"/>
              <w:left w:w="57" w:type="dxa"/>
              <w:bottom w:w="0" w:type="dxa"/>
              <w:right w:w="57" w:type="dxa"/>
            </w:tcMar>
          </w:tcPr>
          <w:p w14:paraId="2FCAE8C6">
            <w:pPr>
              <w:widowControl/>
              <w:spacing w:line="400" w:lineRule="exact"/>
              <w:rPr>
                <w:rFonts w:ascii="宋体" w:hAnsi="宋体"/>
                <w:b/>
                <w:bCs/>
                <w:color w:val="auto"/>
                <w:sz w:val="24"/>
              </w:rPr>
            </w:pPr>
            <w:r>
              <w:rPr>
                <w:rFonts w:ascii="宋体" w:hAnsi="宋体"/>
                <w:b/>
                <w:bCs/>
                <w:color w:val="auto"/>
                <w:sz w:val="24"/>
              </w:rPr>
              <w:t>本项目不做要求。</w:t>
            </w:r>
          </w:p>
        </w:tc>
      </w:tr>
      <w:tr w14:paraId="25507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06" w:type="dxa"/>
            <w:noWrap/>
            <w:tcMar>
              <w:top w:w="0" w:type="dxa"/>
              <w:left w:w="57" w:type="dxa"/>
              <w:bottom w:w="0" w:type="dxa"/>
              <w:right w:w="57" w:type="dxa"/>
            </w:tcMar>
            <w:vAlign w:val="center"/>
          </w:tcPr>
          <w:p w14:paraId="51AADA6C">
            <w:pPr>
              <w:spacing w:line="400" w:lineRule="exact"/>
              <w:jc w:val="center"/>
              <w:rPr>
                <w:rFonts w:ascii="宋体" w:hAnsi="宋体" w:cs="宋体"/>
                <w:color w:val="auto"/>
                <w:sz w:val="24"/>
              </w:rPr>
            </w:pPr>
            <w:r>
              <w:rPr>
                <w:rFonts w:hint="eastAsia" w:ascii="宋体" w:hAnsi="宋体" w:cs="宋体"/>
                <w:color w:val="auto"/>
                <w:sz w:val="24"/>
              </w:rPr>
              <w:t>20</w:t>
            </w:r>
          </w:p>
        </w:tc>
        <w:tc>
          <w:tcPr>
            <w:tcW w:w="2360" w:type="dxa"/>
            <w:noWrap/>
            <w:tcMar>
              <w:top w:w="0" w:type="dxa"/>
              <w:left w:w="57" w:type="dxa"/>
              <w:bottom w:w="0" w:type="dxa"/>
              <w:right w:w="57" w:type="dxa"/>
            </w:tcMar>
            <w:vAlign w:val="center"/>
          </w:tcPr>
          <w:p w14:paraId="13A802D4">
            <w:pPr>
              <w:spacing w:line="400" w:lineRule="exact"/>
              <w:jc w:val="center"/>
              <w:rPr>
                <w:rFonts w:ascii="宋体" w:hAnsi="宋体" w:cs="宋体"/>
                <w:b/>
                <w:color w:val="auto"/>
                <w:sz w:val="24"/>
              </w:rPr>
            </w:pPr>
            <w:r>
              <w:rPr>
                <w:rFonts w:hint="eastAsia" w:ascii="宋体" w:hAnsi="宋体"/>
                <w:b/>
                <w:color w:val="auto"/>
                <w:sz w:val="24"/>
              </w:rPr>
              <w:t>上限控制价</w:t>
            </w:r>
          </w:p>
        </w:tc>
        <w:tc>
          <w:tcPr>
            <w:tcW w:w="6738" w:type="dxa"/>
            <w:noWrap/>
            <w:tcMar>
              <w:top w:w="0" w:type="dxa"/>
              <w:left w:w="57" w:type="dxa"/>
              <w:bottom w:w="0" w:type="dxa"/>
              <w:right w:w="57" w:type="dxa"/>
            </w:tcMar>
            <w:vAlign w:val="center"/>
          </w:tcPr>
          <w:p w14:paraId="06A0BC5F">
            <w:pPr>
              <w:widowControl/>
              <w:jc w:val="left"/>
              <w:rPr>
                <w:color w:val="auto"/>
                <w:sz w:val="24"/>
              </w:rPr>
            </w:pPr>
            <w:r>
              <w:rPr>
                <w:rFonts w:hint="eastAsia" w:ascii="宋体" w:hAnsi="宋体" w:cs="宋体"/>
                <w:b/>
                <w:bCs/>
                <w:color w:val="auto"/>
                <w:sz w:val="24"/>
              </w:rPr>
              <w:t>人民币</w:t>
            </w:r>
            <w:r>
              <w:rPr>
                <w:rFonts w:hint="eastAsia" w:ascii="宋体" w:hAnsi="宋体" w:cs="宋体"/>
                <w:b/>
                <w:bCs/>
                <w:color w:val="auto"/>
                <w:sz w:val="24"/>
                <w:lang w:eastAsia="zh-CN"/>
              </w:rPr>
              <w:t>壹佰叁拾壹万肆仟零肆拾柒元玖角柒分（¥1314047.97</w:t>
            </w:r>
            <w:r>
              <w:rPr>
                <w:rFonts w:hint="eastAsia"/>
                <w:b/>
                <w:bCs/>
                <w:color w:val="auto"/>
                <w:sz w:val="24"/>
              </w:rPr>
              <w:t>）</w:t>
            </w:r>
            <w:r>
              <w:rPr>
                <w:rFonts w:hint="eastAsia"/>
                <w:color w:val="auto"/>
                <w:sz w:val="24"/>
              </w:rPr>
              <w:t>，磋商供应商报价高于公布的控制价的，其《响应文件》（磋商）作否决磋商处理。</w:t>
            </w:r>
          </w:p>
        </w:tc>
      </w:tr>
      <w:tr w14:paraId="62700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19A6E52F">
            <w:pPr>
              <w:spacing w:line="360" w:lineRule="exact"/>
              <w:jc w:val="center"/>
              <w:rPr>
                <w:rFonts w:ascii="宋体" w:hAnsi="宋体" w:cs="宋体"/>
                <w:color w:val="auto"/>
                <w:sz w:val="24"/>
              </w:rPr>
            </w:pPr>
            <w:r>
              <w:rPr>
                <w:rFonts w:hint="eastAsia" w:ascii="宋体" w:hAnsi="宋体" w:cs="宋体"/>
                <w:color w:val="auto"/>
                <w:sz w:val="24"/>
              </w:rPr>
              <w:t>21</w:t>
            </w:r>
          </w:p>
        </w:tc>
        <w:tc>
          <w:tcPr>
            <w:tcW w:w="2360" w:type="dxa"/>
            <w:noWrap/>
            <w:tcMar>
              <w:top w:w="0" w:type="dxa"/>
              <w:left w:w="57" w:type="dxa"/>
              <w:bottom w:w="0" w:type="dxa"/>
              <w:right w:w="57" w:type="dxa"/>
            </w:tcMar>
            <w:vAlign w:val="center"/>
          </w:tcPr>
          <w:p w14:paraId="5793BA61">
            <w:pPr>
              <w:spacing w:line="360" w:lineRule="exact"/>
              <w:jc w:val="center"/>
              <w:rPr>
                <w:rFonts w:ascii="宋体" w:hAnsi="宋体" w:cs="宋体"/>
                <w:b/>
                <w:color w:val="auto"/>
                <w:sz w:val="24"/>
              </w:rPr>
            </w:pPr>
            <w:r>
              <w:rPr>
                <w:rFonts w:hint="eastAsia" w:ascii="宋体" w:hAnsi="宋体" w:cs="宋体"/>
                <w:b/>
                <w:color w:val="auto"/>
                <w:sz w:val="24"/>
              </w:rPr>
              <w:t>代理服务费</w:t>
            </w:r>
          </w:p>
        </w:tc>
        <w:tc>
          <w:tcPr>
            <w:tcW w:w="6738" w:type="dxa"/>
            <w:noWrap/>
            <w:tcMar>
              <w:top w:w="0" w:type="dxa"/>
              <w:left w:w="57" w:type="dxa"/>
              <w:bottom w:w="0" w:type="dxa"/>
              <w:right w:w="57" w:type="dxa"/>
            </w:tcMar>
            <w:vAlign w:val="center"/>
          </w:tcPr>
          <w:p w14:paraId="3887B465">
            <w:pPr>
              <w:spacing w:line="360" w:lineRule="exact"/>
              <w:ind w:firstLine="480" w:firstLineChars="200"/>
              <w:rPr>
                <w:rFonts w:ascii="宋体" w:hAnsi="宋体"/>
                <w:color w:val="auto"/>
                <w:sz w:val="24"/>
              </w:rPr>
            </w:pPr>
            <w:r>
              <w:rPr>
                <w:rFonts w:hint="eastAsia" w:ascii="宋体" w:hAnsi="宋体" w:cs="宋体"/>
                <w:color w:val="auto"/>
                <w:sz w:val="24"/>
              </w:rPr>
              <w:t>根据国家发改办【2003】857号文，代理服务费由成交单位交纳，含在磋商报价内，代理服务费金额按国家计委计价格【2002】1980号文规定的“招标代理工程收费标准”执行。由成交人在领取成交通知书时，一次性向采购代理机构支付代理服务费。</w:t>
            </w:r>
          </w:p>
        </w:tc>
      </w:tr>
      <w:tr w14:paraId="20AA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0B40A360">
            <w:pPr>
              <w:spacing w:line="360" w:lineRule="exact"/>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22</w:t>
            </w:r>
          </w:p>
        </w:tc>
        <w:tc>
          <w:tcPr>
            <w:tcW w:w="2360" w:type="dxa"/>
            <w:noWrap/>
            <w:tcMar>
              <w:top w:w="0" w:type="dxa"/>
              <w:left w:w="57" w:type="dxa"/>
              <w:bottom w:w="0" w:type="dxa"/>
              <w:right w:w="57" w:type="dxa"/>
            </w:tcMar>
            <w:vAlign w:val="center"/>
          </w:tcPr>
          <w:p w14:paraId="45E321E6">
            <w:pPr>
              <w:spacing w:line="360" w:lineRule="exact"/>
              <w:jc w:val="center"/>
              <w:rPr>
                <w:rFonts w:hint="eastAsia" w:ascii="宋体" w:hAnsi="宋体" w:cs="宋体"/>
                <w:b/>
                <w:color w:val="auto"/>
                <w:sz w:val="24"/>
              </w:rPr>
            </w:pPr>
            <w:r>
              <w:rPr>
                <w:rFonts w:hint="eastAsia" w:ascii="宋体" w:hAnsi="宋体" w:cs="宋体"/>
                <w:b/>
                <w:color w:val="auto"/>
                <w:sz w:val="24"/>
              </w:rPr>
              <w:t>采购标对应的中小企业划分标准所属行业</w:t>
            </w:r>
          </w:p>
        </w:tc>
        <w:tc>
          <w:tcPr>
            <w:tcW w:w="6738" w:type="dxa"/>
            <w:noWrap/>
            <w:tcMar>
              <w:top w:w="0" w:type="dxa"/>
              <w:left w:w="57" w:type="dxa"/>
              <w:bottom w:w="0" w:type="dxa"/>
              <w:right w:w="57" w:type="dxa"/>
            </w:tcMar>
            <w:vAlign w:val="center"/>
          </w:tcPr>
          <w:p w14:paraId="147D5107">
            <w:pPr>
              <w:spacing w:line="360" w:lineRule="exact"/>
              <w:ind w:firstLine="480" w:firstLineChars="200"/>
              <w:rPr>
                <w:rFonts w:hint="eastAsia" w:ascii="宋体" w:hAnsi="宋体" w:cs="宋体"/>
                <w:color w:val="auto"/>
                <w:sz w:val="24"/>
              </w:rPr>
            </w:pPr>
            <w:r>
              <w:rPr>
                <w:rFonts w:hint="eastAsia" w:ascii="宋体" w:hAnsi="宋体" w:cs="宋体"/>
                <w:color w:val="auto"/>
                <w:sz w:val="24"/>
              </w:rPr>
              <w:t>根据《关于印发中小企业划型标准规定的通知》（工信部联企业〔2011〕300号），本次采购标的属于</w:t>
            </w:r>
            <w:r>
              <w:rPr>
                <w:rFonts w:hint="eastAsia" w:ascii="宋体" w:hAnsi="宋体" w:cs="宋体"/>
                <w:b/>
                <w:bCs/>
                <w:color w:val="auto"/>
                <w:sz w:val="24"/>
                <w:u w:val="single"/>
              </w:rPr>
              <w:t xml:space="preserve"> 建筑业</w:t>
            </w:r>
            <w:r>
              <w:rPr>
                <w:rFonts w:hint="eastAsia" w:ascii="宋体" w:hAnsi="宋体" w:cs="宋体"/>
                <w:color w:val="auto"/>
                <w:sz w:val="24"/>
              </w:rPr>
              <w:t>。</w:t>
            </w:r>
          </w:p>
        </w:tc>
      </w:tr>
      <w:tr w14:paraId="79C0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6" w:type="dxa"/>
            <w:noWrap/>
            <w:tcMar>
              <w:top w:w="0" w:type="dxa"/>
              <w:left w:w="57" w:type="dxa"/>
              <w:bottom w:w="0" w:type="dxa"/>
              <w:right w:w="57" w:type="dxa"/>
            </w:tcMar>
            <w:vAlign w:val="center"/>
          </w:tcPr>
          <w:p w14:paraId="0E6DF37B">
            <w:pPr>
              <w:spacing w:line="360" w:lineRule="exact"/>
              <w:jc w:val="center"/>
              <w:rPr>
                <w:rFonts w:hint="eastAsia" w:ascii="宋体" w:hAnsi="宋体" w:eastAsia="宋体" w:cs="宋体"/>
                <w:color w:val="auto"/>
                <w:sz w:val="24"/>
                <w:lang w:val="en-US" w:eastAsia="zh-CN"/>
              </w:rPr>
            </w:pPr>
            <w:r>
              <w:rPr>
                <w:rFonts w:hint="eastAsia" w:ascii="宋体" w:hAnsi="宋体" w:cs="宋体"/>
                <w:color w:val="auto"/>
                <w:sz w:val="24"/>
              </w:rPr>
              <w:t>2</w:t>
            </w:r>
            <w:r>
              <w:rPr>
                <w:rFonts w:hint="eastAsia" w:ascii="宋体" w:hAnsi="宋体" w:cs="宋体"/>
                <w:color w:val="auto"/>
                <w:sz w:val="24"/>
                <w:lang w:val="en-US" w:eastAsia="zh-CN"/>
              </w:rPr>
              <w:t>3</w:t>
            </w:r>
          </w:p>
        </w:tc>
        <w:tc>
          <w:tcPr>
            <w:tcW w:w="2360" w:type="dxa"/>
            <w:noWrap/>
            <w:tcMar>
              <w:top w:w="0" w:type="dxa"/>
              <w:left w:w="57" w:type="dxa"/>
              <w:bottom w:w="0" w:type="dxa"/>
              <w:right w:w="57" w:type="dxa"/>
            </w:tcMar>
            <w:vAlign w:val="center"/>
          </w:tcPr>
          <w:p w14:paraId="104111CC">
            <w:pPr>
              <w:spacing w:line="360" w:lineRule="exact"/>
              <w:jc w:val="center"/>
              <w:rPr>
                <w:rFonts w:ascii="宋体" w:hAnsi="宋体" w:cs="宋体"/>
                <w:b/>
                <w:color w:val="auto"/>
                <w:sz w:val="24"/>
              </w:rPr>
            </w:pPr>
            <w:r>
              <w:rPr>
                <w:rFonts w:hint="eastAsia" w:ascii="宋体" w:hAnsi="宋体" w:cs="宋体"/>
                <w:b/>
                <w:color w:val="auto"/>
                <w:sz w:val="24"/>
              </w:rPr>
              <w:t>特别说明</w:t>
            </w:r>
          </w:p>
        </w:tc>
        <w:tc>
          <w:tcPr>
            <w:tcW w:w="6738" w:type="dxa"/>
            <w:noWrap/>
            <w:tcMar>
              <w:top w:w="0" w:type="dxa"/>
              <w:left w:w="57" w:type="dxa"/>
              <w:bottom w:w="0" w:type="dxa"/>
              <w:right w:w="57" w:type="dxa"/>
            </w:tcMar>
            <w:vAlign w:val="center"/>
          </w:tcPr>
          <w:p w14:paraId="045BB334">
            <w:pPr>
              <w:spacing w:line="360" w:lineRule="exact"/>
              <w:ind w:firstLine="480" w:firstLineChars="200"/>
              <w:rPr>
                <w:rFonts w:ascii="宋体" w:hAnsi="宋体" w:cs="宋体"/>
                <w:color w:val="auto"/>
                <w:sz w:val="24"/>
              </w:rPr>
            </w:pPr>
            <w:r>
              <w:rPr>
                <w:rFonts w:hint="eastAsia" w:ascii="宋体" w:hAnsi="宋体" w:cs="宋体"/>
                <w:color w:val="auto"/>
                <w:sz w:val="24"/>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26A02B92">
            <w:pPr>
              <w:spacing w:line="360" w:lineRule="exact"/>
              <w:ind w:firstLine="480" w:firstLineChars="200"/>
              <w:rPr>
                <w:rFonts w:ascii="宋体" w:hAnsi="宋体" w:cs="宋体"/>
                <w:color w:val="auto"/>
                <w:sz w:val="24"/>
              </w:rPr>
            </w:pPr>
            <w:r>
              <w:rPr>
                <w:rFonts w:hint="eastAsia" w:ascii="宋体" w:hAnsi="宋体" w:cs="宋体"/>
                <w:color w:val="auto"/>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D48F51F">
            <w:pPr>
              <w:spacing w:line="360" w:lineRule="exact"/>
              <w:ind w:firstLine="480" w:firstLineChars="200"/>
              <w:rPr>
                <w:rFonts w:ascii="宋体" w:hAnsi="宋体" w:cs="宋体"/>
                <w:color w:val="auto"/>
                <w:sz w:val="24"/>
              </w:rPr>
            </w:pPr>
            <w:r>
              <w:rPr>
                <w:rFonts w:hint="eastAsia" w:ascii="宋体" w:hAnsi="宋体" w:cs="宋体"/>
                <w:color w:val="auto"/>
                <w:sz w:val="24"/>
              </w:rPr>
              <w:t>3.本磋商文件中描述供应商的“签字”是指供应商的法定代表人或者委托代理人亲自在文件规定签署处亲笔写上个人的名字的行为，私章、签字章、印鉴、影印等其他形式均不能代替亲笔签字。</w:t>
            </w:r>
          </w:p>
          <w:p w14:paraId="7128C98D">
            <w:pPr>
              <w:spacing w:line="360" w:lineRule="exact"/>
              <w:ind w:firstLine="480" w:firstLineChars="200"/>
              <w:rPr>
                <w:rFonts w:ascii="宋体" w:hAnsi="宋体" w:cs="宋体"/>
                <w:color w:val="auto"/>
                <w:sz w:val="24"/>
              </w:rPr>
            </w:pPr>
            <w:r>
              <w:rPr>
                <w:rFonts w:hint="eastAsia" w:ascii="宋体" w:hAnsi="宋体" w:cs="宋体"/>
                <w:color w:val="auto"/>
                <w:sz w:val="24"/>
              </w:rPr>
              <w:t>4.自然人竞标的，磋商文件规定盖公章处由自然人摁手指指印。</w:t>
            </w:r>
          </w:p>
          <w:p w14:paraId="0876E10E">
            <w:pPr>
              <w:spacing w:line="360" w:lineRule="exact"/>
              <w:ind w:firstLine="480" w:firstLineChars="200"/>
              <w:rPr>
                <w:rFonts w:ascii="宋体" w:hAnsi="宋体" w:cs="宋体"/>
                <w:color w:val="auto"/>
                <w:sz w:val="24"/>
              </w:rPr>
            </w:pPr>
            <w:r>
              <w:rPr>
                <w:rFonts w:hint="eastAsia" w:ascii="宋体" w:hAnsi="宋体" w:cs="宋体"/>
                <w:color w:val="auto"/>
                <w:sz w:val="24"/>
              </w:rPr>
              <w:t>5.本磋商文件所称的“以上”“以下”“以内”“届满”，包括本数；所称的“不满”“超过”“以外”，不包括本数。</w:t>
            </w:r>
          </w:p>
        </w:tc>
      </w:tr>
    </w:tbl>
    <w:p w14:paraId="0141FFBB">
      <w:pPr>
        <w:spacing w:line="400" w:lineRule="exact"/>
        <w:jc w:val="center"/>
        <w:outlineLvl w:val="0"/>
        <w:rPr>
          <w:rFonts w:ascii="宋体" w:hAnsi="宋体"/>
          <w:color w:val="auto"/>
          <w:szCs w:val="21"/>
        </w:rPr>
      </w:pPr>
      <w:r>
        <w:rPr>
          <w:rFonts w:ascii="宋体" w:hAnsi="宋体"/>
          <w:color w:val="auto"/>
          <w:sz w:val="24"/>
        </w:rPr>
        <w:br w:type="page"/>
      </w:r>
      <w:bookmarkStart w:id="92" w:name="_Toc21440"/>
      <w:r>
        <w:rPr>
          <w:rFonts w:hint="eastAsia" w:ascii="宋体" w:hAnsi="宋体"/>
          <w:b/>
          <w:color w:val="auto"/>
          <w:sz w:val="28"/>
          <w:szCs w:val="28"/>
        </w:rPr>
        <w:t>磋商供应商须知</w:t>
      </w:r>
      <w:bookmarkEnd w:id="92"/>
      <w:bookmarkStart w:id="93" w:name="_Toc459103898"/>
    </w:p>
    <w:p w14:paraId="51F7027E">
      <w:pPr>
        <w:pStyle w:val="3"/>
        <w:spacing w:before="0" w:after="0" w:line="390" w:lineRule="exact"/>
        <w:outlineLvl w:val="0"/>
        <w:rPr>
          <w:rFonts w:ascii="宋体" w:hAnsi="宋体" w:eastAsia="宋体" w:cs="宋体"/>
          <w:color w:val="auto"/>
          <w:sz w:val="21"/>
          <w:szCs w:val="21"/>
        </w:rPr>
      </w:pPr>
      <w:bookmarkStart w:id="94" w:name="_Toc86935813"/>
      <w:bookmarkStart w:id="95" w:name="_Toc1790"/>
      <w:bookmarkStart w:id="96" w:name="_Toc21156"/>
      <w:bookmarkStart w:id="97" w:name="_Toc23133"/>
      <w:r>
        <w:rPr>
          <w:rFonts w:hint="eastAsia" w:ascii="宋体" w:hAnsi="宋体" w:eastAsia="宋体" w:cs="宋体"/>
          <w:color w:val="auto"/>
          <w:sz w:val="21"/>
          <w:szCs w:val="21"/>
        </w:rPr>
        <w:t>一、总则</w:t>
      </w:r>
      <w:bookmarkEnd w:id="93"/>
      <w:bookmarkEnd w:id="94"/>
      <w:bookmarkEnd w:id="95"/>
      <w:bookmarkEnd w:id="96"/>
      <w:bookmarkEnd w:id="97"/>
    </w:p>
    <w:p w14:paraId="1A087F3D">
      <w:pPr>
        <w:spacing w:line="390" w:lineRule="exact"/>
        <w:ind w:left="2127" w:right="-192" w:hanging="2119" w:hangingChars="883"/>
        <w:jc w:val="left"/>
        <w:rPr>
          <w:rFonts w:hint="eastAsia" w:ascii="宋体" w:hAnsi="宋体" w:eastAsia="宋体" w:cs="宋体"/>
          <w:color w:val="auto"/>
          <w:sz w:val="24"/>
          <w:lang w:eastAsia="zh-CN"/>
        </w:rPr>
      </w:pPr>
      <w:r>
        <w:rPr>
          <w:rFonts w:hint="eastAsia" w:ascii="宋体" w:hAnsi="宋体" w:cs="宋体"/>
          <w:b/>
          <w:bCs/>
          <w:color w:val="auto"/>
          <w:sz w:val="24"/>
        </w:rPr>
        <w:t>1、项目名称：</w:t>
      </w:r>
      <w:r>
        <w:rPr>
          <w:rFonts w:hint="eastAsia" w:ascii="宋体" w:hAnsi="宋体" w:cs="宋体"/>
          <w:color w:val="auto"/>
          <w:sz w:val="24"/>
          <w:lang w:eastAsia="zh-CN"/>
        </w:rPr>
        <w:t>贺州市平桂区金桂嘉园小区消防整改验收工程</w:t>
      </w:r>
    </w:p>
    <w:p w14:paraId="255519B6">
      <w:pPr>
        <w:spacing w:line="390" w:lineRule="exact"/>
        <w:ind w:firstLine="360" w:firstLineChars="150"/>
        <w:rPr>
          <w:rFonts w:hint="eastAsia" w:ascii="宋体" w:hAnsi="宋体" w:eastAsia="宋体" w:cs="宋体"/>
          <w:color w:val="auto"/>
          <w:sz w:val="24"/>
          <w:lang w:eastAsia="zh-CN"/>
        </w:rPr>
      </w:pPr>
      <w:r>
        <w:rPr>
          <w:rFonts w:hint="eastAsia" w:ascii="宋体" w:hAnsi="宋体" w:cs="宋体"/>
          <w:b/>
          <w:bCs/>
          <w:color w:val="auto"/>
          <w:sz w:val="24"/>
        </w:rPr>
        <w:t>项目编号：</w:t>
      </w:r>
      <w:r>
        <w:rPr>
          <w:rFonts w:hint="eastAsia" w:ascii="宋体" w:hAnsi="宋体" w:cs="宋体"/>
          <w:color w:val="auto"/>
          <w:sz w:val="24"/>
          <w:lang w:eastAsia="zh-CN"/>
        </w:rPr>
        <w:t>HZZC2026-C2-030043-GXYZ</w:t>
      </w:r>
    </w:p>
    <w:p w14:paraId="2BF65DE7">
      <w:pPr>
        <w:spacing w:line="390" w:lineRule="exact"/>
        <w:rPr>
          <w:rFonts w:ascii="宋体" w:hAnsi="宋体" w:cs="宋体"/>
          <w:b/>
          <w:bCs/>
          <w:color w:val="auto"/>
          <w:sz w:val="24"/>
        </w:rPr>
      </w:pPr>
      <w:r>
        <w:rPr>
          <w:rFonts w:hint="eastAsia" w:ascii="宋体" w:hAnsi="宋体" w:cs="宋体"/>
          <w:b/>
          <w:bCs/>
          <w:color w:val="auto"/>
          <w:sz w:val="24"/>
        </w:rPr>
        <w:t>2、磋商供应商资质要求：</w:t>
      </w:r>
    </w:p>
    <w:p w14:paraId="3A0C8BD6">
      <w:pPr>
        <w:spacing w:line="390" w:lineRule="exact"/>
        <w:ind w:firstLine="480" w:firstLineChars="200"/>
        <w:rPr>
          <w:rFonts w:ascii="宋体" w:hAnsi="宋体" w:cs="宋体"/>
          <w:color w:val="auto"/>
          <w:sz w:val="24"/>
        </w:rPr>
      </w:pPr>
      <w:r>
        <w:rPr>
          <w:rFonts w:hint="eastAsia" w:ascii="宋体" w:hAnsi="宋体" w:cs="宋体"/>
          <w:color w:val="auto"/>
          <w:sz w:val="24"/>
        </w:rPr>
        <w:t>2.1资质要求：</w:t>
      </w:r>
    </w:p>
    <w:p w14:paraId="7C1CA846">
      <w:pPr>
        <w:spacing w:line="400" w:lineRule="exact"/>
        <w:ind w:firstLine="480" w:firstLineChars="200"/>
        <w:rPr>
          <w:rFonts w:hint="eastAsia" w:ascii="宋体" w:hAnsi="宋体" w:cs="宋体"/>
          <w:color w:val="auto"/>
          <w:sz w:val="24"/>
        </w:rPr>
      </w:pPr>
      <w:r>
        <w:rPr>
          <w:rFonts w:hint="eastAsia" w:ascii="宋体" w:hAnsi="宋体" w:cs="宋体"/>
          <w:color w:val="auto"/>
          <w:sz w:val="24"/>
        </w:rPr>
        <w:t>2.1.1满足《中华人民共和国政府采购法》第二十二条规定；</w:t>
      </w:r>
    </w:p>
    <w:p w14:paraId="565E7168">
      <w:pPr>
        <w:spacing w:line="400" w:lineRule="exact"/>
        <w:ind w:firstLine="480" w:firstLineChars="200"/>
        <w:rPr>
          <w:rFonts w:hint="eastAsia" w:ascii="宋体" w:hAnsi="宋体" w:cs="宋体"/>
          <w:color w:val="auto"/>
          <w:sz w:val="24"/>
        </w:rPr>
      </w:pPr>
      <w:r>
        <w:rPr>
          <w:rFonts w:hint="eastAsia" w:ascii="宋体" w:hAnsi="宋体" w:cs="宋体"/>
          <w:color w:val="auto"/>
          <w:sz w:val="24"/>
        </w:rPr>
        <w:t>2.1.2落实政府采购政策需满足的资格要求：专门面向中小企业采购的项目（供应商应为中小微企业、监狱企业、残疾人福利性单位）</w:t>
      </w:r>
    </w:p>
    <w:p w14:paraId="3CCBC3C7">
      <w:pPr>
        <w:spacing w:line="400" w:lineRule="exact"/>
        <w:ind w:firstLine="480" w:firstLineChars="200"/>
        <w:rPr>
          <w:rFonts w:ascii="宋体" w:hAnsi="宋体" w:cs="宋体"/>
          <w:color w:val="auto"/>
          <w:sz w:val="24"/>
        </w:rPr>
      </w:pPr>
      <w:r>
        <w:rPr>
          <w:rFonts w:hint="eastAsia" w:ascii="宋体" w:hAnsi="宋体" w:cs="宋体"/>
          <w:color w:val="auto"/>
          <w:sz w:val="24"/>
        </w:rPr>
        <w:t>2.1.</w:t>
      </w:r>
      <w:r>
        <w:rPr>
          <w:rFonts w:hint="eastAsia" w:ascii="宋体" w:hAnsi="宋体" w:cs="宋体"/>
          <w:color w:val="auto"/>
          <w:sz w:val="24"/>
          <w:lang w:val="en-US" w:eastAsia="zh-CN"/>
        </w:rPr>
        <w:t>3</w:t>
      </w:r>
      <w:r>
        <w:rPr>
          <w:rFonts w:hint="eastAsia" w:ascii="宋体" w:hAnsi="宋体" w:cs="宋体"/>
          <w:color w:val="auto"/>
          <w:sz w:val="24"/>
        </w:rPr>
        <w:t>未被“信用中国”（www.creditchina.gov.cn）、中国政府采购网（www.ccgp.gov.cn）列入失信被执行人、重大税收违法案件当事人名单、政府采购严重违法失信行为记录名单。</w:t>
      </w:r>
    </w:p>
    <w:p w14:paraId="62A847DE">
      <w:pPr>
        <w:spacing w:line="400" w:lineRule="exact"/>
        <w:ind w:firstLine="480" w:firstLineChars="200"/>
        <w:rPr>
          <w:rFonts w:ascii="宋体" w:hAnsi="宋体" w:cs="宋体"/>
          <w:color w:val="auto"/>
          <w:sz w:val="24"/>
        </w:rPr>
      </w:pPr>
      <w:r>
        <w:rPr>
          <w:rFonts w:hint="eastAsia" w:ascii="宋体" w:hAnsi="宋体" w:cs="宋体"/>
          <w:color w:val="auto"/>
          <w:sz w:val="24"/>
        </w:rPr>
        <w:t>2.1.</w:t>
      </w:r>
      <w:r>
        <w:rPr>
          <w:rFonts w:hint="eastAsia" w:ascii="宋体" w:hAnsi="宋体" w:cs="宋体"/>
          <w:color w:val="auto"/>
          <w:sz w:val="24"/>
          <w:lang w:val="en-US" w:eastAsia="zh-CN"/>
        </w:rPr>
        <w:t>4</w:t>
      </w:r>
      <w:r>
        <w:rPr>
          <w:rFonts w:hint="eastAsia" w:ascii="宋体" w:hAnsi="宋体" w:cs="宋体"/>
          <w:color w:val="auto"/>
          <w:sz w:val="24"/>
        </w:rPr>
        <w:t>本项目的特定资格要求：</w:t>
      </w:r>
    </w:p>
    <w:p w14:paraId="286081E4">
      <w:pPr>
        <w:spacing w:line="400" w:lineRule="exact"/>
        <w:ind w:firstLine="480" w:firstLineChars="200"/>
        <w:rPr>
          <w:rFonts w:ascii="宋体" w:hAnsi="宋体" w:cs="宋体"/>
          <w:color w:val="auto"/>
          <w:sz w:val="24"/>
        </w:rPr>
      </w:pPr>
      <w:r>
        <w:rPr>
          <w:rFonts w:hint="eastAsia" w:ascii="宋体" w:hAnsi="宋体" w:cs="宋体"/>
          <w:color w:val="auto"/>
          <w:sz w:val="24"/>
        </w:rPr>
        <w:t>（1）国内注册（指按国家有关规定要求注册的），具备</w:t>
      </w:r>
      <w:r>
        <w:rPr>
          <w:rFonts w:hint="eastAsia" w:ascii="宋体" w:hAnsi="宋体" w:cs="宋体"/>
          <w:color w:val="auto"/>
          <w:sz w:val="24"/>
          <w:lang w:eastAsia="zh-CN"/>
        </w:rPr>
        <w:t>建筑工程施工总承包叁级</w:t>
      </w:r>
      <w:r>
        <w:rPr>
          <w:rFonts w:hint="eastAsia" w:ascii="宋体" w:hAnsi="宋体" w:cs="宋体"/>
          <w:color w:val="auto"/>
          <w:sz w:val="24"/>
        </w:rPr>
        <w:t>及以上资质及有效的安全生产许可证；</w:t>
      </w:r>
    </w:p>
    <w:p w14:paraId="5E3AD830">
      <w:pPr>
        <w:spacing w:line="390" w:lineRule="exact"/>
        <w:ind w:firstLine="480" w:firstLineChars="200"/>
        <w:rPr>
          <w:rFonts w:hint="eastAsia" w:ascii="宋体" w:hAnsi="宋体" w:cs="宋体"/>
          <w:color w:val="auto"/>
          <w:sz w:val="24"/>
        </w:rPr>
      </w:pPr>
      <w:r>
        <w:rPr>
          <w:rFonts w:hint="eastAsia" w:ascii="宋体" w:hAnsi="宋体" w:cs="宋体"/>
          <w:color w:val="auto"/>
          <w:sz w:val="24"/>
        </w:rPr>
        <w:t>（2）项目经理要求为本施工企业人员，须具备</w:t>
      </w:r>
      <w:r>
        <w:rPr>
          <w:rFonts w:hint="eastAsia" w:ascii="宋体" w:hAnsi="宋体" w:cs="宋体"/>
          <w:color w:val="auto"/>
          <w:sz w:val="24"/>
          <w:lang w:eastAsia="zh-CN"/>
        </w:rPr>
        <w:t>建筑工程专业注册建造师二级</w:t>
      </w:r>
      <w:r>
        <w:rPr>
          <w:rFonts w:hint="eastAsia" w:ascii="宋体" w:hAnsi="宋体" w:cs="宋体"/>
          <w:color w:val="auto"/>
          <w:sz w:val="24"/>
        </w:rPr>
        <w:t>及以上执业资格和持有有效的省级或省级以上建设行政主管部门颁发的《安全生产考核合格证书（</w:t>
      </w:r>
      <w:r>
        <w:rPr>
          <w:rFonts w:hint="eastAsia" w:ascii="宋体" w:hAnsi="宋体" w:cs="宋体"/>
          <w:color w:val="auto"/>
          <w:sz w:val="24"/>
          <w:lang w:eastAsia="zh-CN"/>
        </w:rPr>
        <w:t>B类</w:t>
      </w:r>
      <w:r>
        <w:rPr>
          <w:rFonts w:hint="eastAsia" w:ascii="宋体" w:hAnsi="宋体" w:cs="宋体"/>
          <w:color w:val="auto"/>
          <w:sz w:val="24"/>
        </w:rPr>
        <w:t>）》；拟派本项目专职安全员持有有效的省级或省级以上建设行政主管部门颁发的《安全生产考核合格证书（C类）》，人数不少于1人；</w:t>
      </w:r>
    </w:p>
    <w:p w14:paraId="30299411">
      <w:pPr>
        <w:spacing w:line="390" w:lineRule="exact"/>
        <w:ind w:firstLine="480" w:firstLineChars="200"/>
        <w:rPr>
          <w:rFonts w:hint="eastAsia" w:ascii="宋体" w:hAnsi="宋体" w:cs="宋体"/>
          <w:color w:val="auto"/>
          <w:sz w:val="24"/>
        </w:rPr>
      </w:pPr>
      <w:r>
        <w:rPr>
          <w:rFonts w:hint="eastAsia" w:ascii="宋体" w:hAnsi="宋体" w:cs="宋体"/>
          <w:color w:val="auto"/>
          <w:sz w:val="24"/>
        </w:rPr>
        <w:t>（3）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6029DAD2">
      <w:pPr>
        <w:spacing w:line="390" w:lineRule="exact"/>
        <w:ind w:firstLine="480" w:firstLineChars="200"/>
        <w:rPr>
          <w:rFonts w:hint="eastAsia" w:ascii="宋体" w:hAnsi="宋体" w:cs="宋体"/>
          <w:color w:val="auto"/>
          <w:sz w:val="24"/>
        </w:rPr>
      </w:pPr>
      <w:r>
        <w:rPr>
          <w:rFonts w:hint="eastAsia" w:ascii="宋体" w:hAnsi="宋体" w:cs="宋体"/>
          <w:color w:val="auto"/>
          <w:sz w:val="24"/>
        </w:rPr>
        <w:t>（</w:t>
      </w:r>
      <w:r>
        <w:rPr>
          <w:rFonts w:hint="eastAsia" w:ascii="宋体" w:hAnsi="宋体" w:cs="宋体"/>
          <w:color w:val="auto"/>
          <w:sz w:val="24"/>
          <w:lang w:val="en-US" w:eastAsia="zh-CN"/>
        </w:rPr>
        <w:t>4</w:t>
      </w:r>
      <w:r>
        <w:rPr>
          <w:rFonts w:hint="eastAsia" w:ascii="宋体" w:hAnsi="宋体" w:cs="宋体"/>
          <w:color w:val="auto"/>
          <w:sz w:val="24"/>
        </w:rPr>
        <w:t>）本项目不接受联合体磋商。</w:t>
      </w:r>
    </w:p>
    <w:p w14:paraId="0270B079">
      <w:pPr>
        <w:spacing w:line="390" w:lineRule="exact"/>
        <w:ind w:firstLine="480" w:firstLineChars="200"/>
        <w:rPr>
          <w:rFonts w:hint="eastAsia" w:ascii="宋体" w:hAnsi="宋体" w:cs="宋体"/>
          <w:color w:val="auto"/>
          <w:sz w:val="24"/>
        </w:rPr>
      </w:pPr>
      <w:r>
        <w:rPr>
          <w:rFonts w:hint="eastAsia" w:ascii="宋体" w:hAnsi="宋体" w:cs="宋体"/>
          <w:color w:val="auto"/>
          <w:sz w:val="24"/>
        </w:rPr>
        <w:t>（</w:t>
      </w:r>
      <w:r>
        <w:rPr>
          <w:rFonts w:hint="eastAsia" w:ascii="宋体" w:hAnsi="宋体" w:cs="宋体"/>
          <w:color w:val="auto"/>
          <w:sz w:val="24"/>
          <w:lang w:val="en-US" w:eastAsia="zh-CN"/>
        </w:rPr>
        <w:t>5</w:t>
      </w:r>
      <w:r>
        <w:rPr>
          <w:rFonts w:hint="eastAsia" w:ascii="宋体" w:hAnsi="宋体" w:cs="宋体"/>
          <w:color w:val="auto"/>
          <w:sz w:val="24"/>
        </w:rPr>
        <w:t>）是否适用本国产品标准：</w:t>
      </w:r>
      <w:r>
        <w:rPr>
          <w:rFonts w:hint="eastAsia" w:asciiTheme="minorEastAsia" w:hAnsiTheme="minorEastAsia" w:eastAsiaTheme="minorEastAsia" w:cstheme="minorEastAsia"/>
          <w:color w:val="auto"/>
          <w:sz w:val="24"/>
          <w:lang w:eastAsia="zh-CN"/>
        </w:rPr>
        <w:t>否</w:t>
      </w:r>
      <w:r>
        <w:rPr>
          <w:rFonts w:hint="eastAsia" w:ascii="宋体" w:hAnsi="宋体" w:cs="宋体"/>
          <w:color w:val="auto"/>
          <w:sz w:val="24"/>
        </w:rPr>
        <w:t>。</w:t>
      </w:r>
    </w:p>
    <w:p w14:paraId="363E5CDD">
      <w:pPr>
        <w:spacing w:line="390" w:lineRule="exact"/>
        <w:ind w:firstLine="480" w:firstLineChars="200"/>
        <w:rPr>
          <w:rFonts w:ascii="宋体" w:hAnsi="宋体" w:cs="宋体"/>
          <w:color w:val="auto"/>
          <w:sz w:val="24"/>
        </w:rPr>
      </w:pPr>
      <w:r>
        <w:rPr>
          <w:rFonts w:hint="eastAsia" w:ascii="宋体" w:hAnsi="宋体" w:cs="宋体"/>
          <w:color w:val="auto"/>
          <w:sz w:val="24"/>
        </w:rPr>
        <w:t>2.2符合磋商供应商资格的磋商供应商应承担磋商及履约中应承担的全部责任与义务。</w:t>
      </w:r>
    </w:p>
    <w:p w14:paraId="60ABD825">
      <w:pPr>
        <w:spacing w:line="390" w:lineRule="exact"/>
        <w:rPr>
          <w:rFonts w:ascii="宋体" w:hAnsi="宋体" w:cs="宋体"/>
          <w:b/>
          <w:bCs/>
          <w:color w:val="auto"/>
          <w:sz w:val="24"/>
        </w:rPr>
      </w:pPr>
      <w:r>
        <w:rPr>
          <w:rFonts w:hint="eastAsia" w:ascii="宋体" w:hAnsi="宋体" w:cs="宋体"/>
          <w:b/>
          <w:bCs/>
          <w:color w:val="auto"/>
          <w:sz w:val="24"/>
        </w:rPr>
        <w:t>3、磋商费用</w:t>
      </w:r>
    </w:p>
    <w:p w14:paraId="7176BDBA">
      <w:pPr>
        <w:spacing w:line="390" w:lineRule="exact"/>
        <w:ind w:firstLine="480" w:firstLineChars="200"/>
        <w:rPr>
          <w:rFonts w:ascii="宋体" w:hAnsi="宋体" w:cs="宋体"/>
          <w:color w:val="auto"/>
          <w:sz w:val="24"/>
        </w:rPr>
      </w:pPr>
      <w:r>
        <w:rPr>
          <w:rFonts w:hint="eastAsia" w:ascii="宋体" w:hAnsi="宋体" w:cs="宋体"/>
          <w:color w:val="auto"/>
          <w:sz w:val="24"/>
        </w:rPr>
        <w:t>3.1磋商供应商应自行承担所有与本次磋商有关的全部费用。</w:t>
      </w:r>
    </w:p>
    <w:p w14:paraId="2CAD2EA6">
      <w:pPr>
        <w:keepNext/>
        <w:keepLines/>
        <w:widowControl w:val="0"/>
        <w:spacing w:before="0" w:after="0" w:line="390" w:lineRule="exact"/>
        <w:jc w:val="center"/>
        <w:outlineLvl w:val="9"/>
        <w:rPr>
          <w:rFonts w:ascii="宋体" w:hAnsi="宋体" w:eastAsia="宋体" w:cs="宋体"/>
          <w:b/>
          <w:color w:val="auto"/>
          <w:kern w:val="2"/>
          <w:sz w:val="24"/>
          <w:szCs w:val="24"/>
          <w:lang w:val="en-US" w:eastAsia="zh-CN" w:bidi="ar-SA"/>
        </w:rPr>
      </w:pPr>
      <w:bookmarkStart w:id="98" w:name="_Toc459103899"/>
    </w:p>
    <w:p w14:paraId="001070E1">
      <w:pPr>
        <w:pStyle w:val="3"/>
        <w:spacing w:before="0" w:after="0" w:line="390" w:lineRule="exact"/>
        <w:outlineLvl w:val="0"/>
        <w:rPr>
          <w:rFonts w:ascii="宋体" w:hAnsi="宋体" w:eastAsia="宋体" w:cs="宋体"/>
          <w:color w:val="auto"/>
          <w:sz w:val="24"/>
          <w:szCs w:val="24"/>
        </w:rPr>
      </w:pPr>
      <w:bookmarkStart w:id="99" w:name="_Toc86935814"/>
      <w:bookmarkStart w:id="100" w:name="_Toc1609"/>
      <w:bookmarkStart w:id="101" w:name="_Toc11048"/>
      <w:bookmarkStart w:id="102" w:name="_Toc2375"/>
      <w:r>
        <w:rPr>
          <w:rFonts w:hint="eastAsia" w:ascii="宋体" w:hAnsi="宋体" w:eastAsia="宋体" w:cs="宋体"/>
          <w:color w:val="auto"/>
          <w:sz w:val="24"/>
          <w:szCs w:val="24"/>
        </w:rPr>
        <w:t>二、</w:t>
      </w:r>
      <w:bookmarkEnd w:id="98"/>
      <w:r>
        <w:rPr>
          <w:rFonts w:hint="eastAsia" w:ascii="宋体" w:hAnsi="宋体" w:eastAsia="宋体" w:cs="宋体"/>
          <w:color w:val="auto"/>
          <w:sz w:val="24"/>
          <w:szCs w:val="24"/>
        </w:rPr>
        <w:t>《竞争性磋商文件》</w:t>
      </w:r>
      <w:bookmarkEnd w:id="99"/>
      <w:bookmarkEnd w:id="100"/>
      <w:bookmarkEnd w:id="101"/>
      <w:bookmarkEnd w:id="102"/>
    </w:p>
    <w:p w14:paraId="09ECF78D">
      <w:pPr>
        <w:spacing w:line="390" w:lineRule="exact"/>
        <w:rPr>
          <w:rFonts w:ascii="宋体" w:hAnsi="宋体" w:cs="宋体"/>
          <w:b/>
          <w:bCs/>
          <w:color w:val="auto"/>
          <w:sz w:val="24"/>
        </w:rPr>
      </w:pPr>
      <w:r>
        <w:rPr>
          <w:rFonts w:hint="eastAsia" w:ascii="宋体" w:hAnsi="宋体" w:cs="宋体"/>
          <w:b/>
          <w:bCs/>
          <w:color w:val="auto"/>
          <w:sz w:val="24"/>
        </w:rPr>
        <w:t>4、《竞争性磋商文件》的构成</w:t>
      </w:r>
    </w:p>
    <w:p w14:paraId="26EA94A8">
      <w:pPr>
        <w:spacing w:line="390" w:lineRule="exact"/>
        <w:ind w:firstLine="480" w:firstLineChars="200"/>
        <w:rPr>
          <w:rFonts w:ascii="宋体" w:hAnsi="宋体" w:cs="宋体"/>
          <w:color w:val="auto"/>
          <w:sz w:val="24"/>
        </w:rPr>
      </w:pPr>
      <w:r>
        <w:rPr>
          <w:rFonts w:hint="eastAsia" w:ascii="宋体" w:hAnsi="宋体" w:cs="宋体"/>
          <w:color w:val="auto"/>
          <w:sz w:val="24"/>
        </w:rPr>
        <w:t>4.1磋商文件包括：</w:t>
      </w:r>
    </w:p>
    <w:p w14:paraId="2E1EC7AF">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（1）竞争性磋商公告</w:t>
      </w:r>
    </w:p>
    <w:p w14:paraId="1899E81F">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（2）磋商供应商须知及前附表</w:t>
      </w:r>
    </w:p>
    <w:p w14:paraId="5A06001E">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（3）合同条款及格式</w:t>
      </w:r>
    </w:p>
    <w:p w14:paraId="1951D939">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（4）</w:t>
      </w:r>
      <w:r>
        <w:rPr>
          <w:rFonts w:hint="eastAsia" w:hAnsi="宋体" w:cs="宋体"/>
          <w:color w:val="auto"/>
          <w:sz w:val="24"/>
          <w:szCs w:val="24"/>
        </w:rPr>
        <w:t>工程量清单</w:t>
      </w:r>
    </w:p>
    <w:p w14:paraId="73D6C952">
      <w:pPr>
        <w:pStyle w:val="24"/>
        <w:spacing w:line="390" w:lineRule="exact"/>
        <w:ind w:firstLine="480" w:firstLineChars="200"/>
        <w:rPr>
          <w:rFonts w:hAnsi="宋体" w:cs="宋体"/>
          <w:color w:val="auto"/>
          <w:sz w:val="24"/>
          <w:szCs w:val="24"/>
        </w:rPr>
      </w:pPr>
      <w:r>
        <w:rPr>
          <w:rFonts w:hint="eastAsia" w:hAnsi="宋体" w:cs="宋体"/>
          <w:color w:val="auto"/>
          <w:sz w:val="24"/>
          <w:szCs w:val="24"/>
        </w:rPr>
        <w:t>（5）图纸</w:t>
      </w:r>
    </w:p>
    <w:p w14:paraId="6FEB4F8D">
      <w:pPr>
        <w:pStyle w:val="24"/>
        <w:spacing w:line="390" w:lineRule="exact"/>
        <w:ind w:firstLine="480" w:firstLineChars="200"/>
        <w:rPr>
          <w:rFonts w:hAnsi="宋体" w:cs="宋体"/>
          <w:color w:val="auto"/>
          <w:sz w:val="24"/>
          <w:szCs w:val="24"/>
        </w:rPr>
      </w:pPr>
      <w:r>
        <w:rPr>
          <w:rFonts w:hint="eastAsia" w:hAnsi="宋体" w:cs="宋体"/>
          <w:color w:val="auto"/>
          <w:sz w:val="24"/>
          <w:szCs w:val="24"/>
        </w:rPr>
        <w:t>（6）</w:t>
      </w:r>
      <w:r>
        <w:rPr>
          <w:rFonts w:hint="eastAsia" w:hAnsi="宋体" w:cs="宋体"/>
          <w:bCs/>
          <w:color w:val="auto"/>
          <w:sz w:val="24"/>
          <w:szCs w:val="24"/>
        </w:rPr>
        <w:t>技术标准和要求</w:t>
      </w:r>
    </w:p>
    <w:p w14:paraId="2D0F67E3">
      <w:pPr>
        <w:pStyle w:val="24"/>
        <w:spacing w:line="390" w:lineRule="exact"/>
        <w:ind w:firstLine="480" w:firstLineChars="200"/>
        <w:rPr>
          <w:rFonts w:hAnsi="宋体" w:cs="宋体"/>
          <w:color w:val="auto"/>
          <w:sz w:val="24"/>
          <w:szCs w:val="24"/>
        </w:rPr>
      </w:pPr>
      <w:r>
        <w:rPr>
          <w:rFonts w:hint="eastAsia" w:hAnsi="宋体" w:cs="宋体"/>
          <w:color w:val="auto"/>
          <w:sz w:val="24"/>
          <w:szCs w:val="24"/>
        </w:rPr>
        <w:t>（7）《响应文件》格式</w:t>
      </w:r>
    </w:p>
    <w:p w14:paraId="5D702DC5">
      <w:pPr>
        <w:pStyle w:val="24"/>
        <w:spacing w:line="390" w:lineRule="exact"/>
        <w:ind w:firstLine="480" w:firstLineChars="200"/>
        <w:rPr>
          <w:rFonts w:hAnsi="宋体" w:cs="宋体"/>
          <w:color w:val="auto"/>
          <w:sz w:val="24"/>
          <w:szCs w:val="24"/>
        </w:rPr>
      </w:pPr>
      <w:r>
        <w:rPr>
          <w:rFonts w:hint="eastAsia" w:hAnsi="宋体" w:cs="宋体"/>
          <w:color w:val="auto"/>
          <w:sz w:val="24"/>
          <w:szCs w:val="24"/>
        </w:rPr>
        <w:t>（8）评标办法</w:t>
      </w:r>
    </w:p>
    <w:p w14:paraId="0EC1CB1C">
      <w:pPr>
        <w:spacing w:line="390" w:lineRule="exact"/>
        <w:rPr>
          <w:rFonts w:ascii="宋体" w:hAnsi="宋体" w:cs="宋体"/>
          <w:b/>
          <w:bCs/>
          <w:color w:val="auto"/>
          <w:sz w:val="24"/>
        </w:rPr>
      </w:pPr>
      <w:r>
        <w:rPr>
          <w:rFonts w:hint="eastAsia" w:ascii="宋体" w:hAnsi="宋体" w:cs="宋体"/>
          <w:b/>
          <w:bCs/>
          <w:color w:val="auto"/>
          <w:sz w:val="24"/>
        </w:rPr>
        <w:t>5、《竞争性磋商文件》的澄清和修改</w:t>
      </w:r>
    </w:p>
    <w:p w14:paraId="31B84ADA">
      <w:pPr>
        <w:spacing w:line="390" w:lineRule="exact"/>
        <w:ind w:firstLine="480" w:firstLineChars="200"/>
        <w:rPr>
          <w:rFonts w:ascii="宋体" w:hAnsi="宋体" w:cs="宋体"/>
          <w:color w:val="auto"/>
          <w:sz w:val="24"/>
        </w:rPr>
      </w:pPr>
      <w:r>
        <w:rPr>
          <w:rFonts w:hint="eastAsia" w:ascii="宋体" w:hAnsi="宋体" w:cs="宋体"/>
          <w:color w:val="auto"/>
          <w:sz w:val="24"/>
        </w:rPr>
        <w:t>5.1任何要求澄清《竞争性磋商文件》的磋商供应商，均应在磋商截止日期的5天前以传真、电报等书面形式通知采购代理机构，同时认定其他澄清方式为无效。采购代理机构将以书面形式予以答复。</w:t>
      </w:r>
    </w:p>
    <w:p w14:paraId="324036D6">
      <w:pPr>
        <w:spacing w:line="390" w:lineRule="exact"/>
        <w:ind w:firstLine="480" w:firstLineChars="200"/>
        <w:rPr>
          <w:rFonts w:ascii="宋体" w:hAnsi="宋体" w:cs="宋体"/>
          <w:color w:val="auto"/>
          <w:sz w:val="24"/>
        </w:rPr>
      </w:pPr>
      <w:r>
        <w:rPr>
          <w:rFonts w:hint="eastAsia" w:ascii="宋体" w:hAnsi="宋体" w:cs="宋体"/>
          <w:color w:val="auto"/>
          <w:sz w:val="24"/>
        </w:rPr>
        <w:t>5.2在磋商截止日期前的任何时候，无论出于何种原因，采购代理机构可主动地或在解答磋商供应商提出的澄清问题时对《竞争性磋商文件》进行澄清或修改。该澄清或修改的内容为《竞争性磋商文件》的组成部分。</w:t>
      </w:r>
    </w:p>
    <w:p w14:paraId="53A4ECC6">
      <w:pPr>
        <w:spacing w:line="390" w:lineRule="exact"/>
        <w:ind w:firstLine="480" w:firstLineChars="200"/>
        <w:rPr>
          <w:rFonts w:ascii="宋体" w:hAnsi="宋体" w:cs="宋体"/>
          <w:color w:val="auto"/>
          <w:sz w:val="24"/>
        </w:rPr>
      </w:pPr>
      <w:r>
        <w:rPr>
          <w:rFonts w:hint="eastAsia" w:ascii="宋体" w:hAnsi="宋体" w:cs="宋体"/>
          <w:color w:val="auto"/>
          <w:sz w:val="24"/>
        </w:rPr>
        <w:t>5.3《竞争性磋商文件》的澄清或修改将在发布竞争性磋商公告的同一媒介发布。</w:t>
      </w:r>
      <w:r>
        <w:rPr>
          <w:rFonts w:hint="eastAsia"/>
          <w:color w:val="auto"/>
          <w:sz w:val="24"/>
        </w:rPr>
        <w:t>磋商供应商未及时关注采购人在网站上发布的澄清文件造成的损失，由磋商供应商自行负责。</w:t>
      </w:r>
    </w:p>
    <w:p w14:paraId="6A95C9CE">
      <w:pPr>
        <w:spacing w:line="390" w:lineRule="exact"/>
        <w:ind w:firstLine="480" w:firstLineChars="200"/>
        <w:rPr>
          <w:rFonts w:ascii="宋体" w:hAnsi="宋体" w:cs="宋体"/>
          <w:color w:val="auto"/>
          <w:sz w:val="24"/>
        </w:rPr>
      </w:pPr>
      <w:r>
        <w:rPr>
          <w:rFonts w:hint="eastAsia" w:ascii="宋体" w:hAnsi="宋体" w:cs="宋体"/>
          <w:color w:val="auto"/>
          <w:sz w:val="24"/>
        </w:rPr>
        <w:t>5.4采购代理机构可视情况延长磋商截止日期，并将此澄清或修改发布竞争性磋商公告的同一媒介发布。</w:t>
      </w:r>
    </w:p>
    <w:p w14:paraId="7DF69C3A">
      <w:pPr>
        <w:spacing w:line="390" w:lineRule="exact"/>
        <w:rPr>
          <w:rFonts w:ascii="宋体" w:hAnsi="宋体" w:cs="宋体"/>
          <w:color w:val="auto"/>
          <w:sz w:val="24"/>
        </w:rPr>
      </w:pPr>
    </w:p>
    <w:p w14:paraId="5C0E4E5F">
      <w:pPr>
        <w:pStyle w:val="3"/>
        <w:spacing w:before="0" w:after="0" w:line="390" w:lineRule="exact"/>
        <w:outlineLvl w:val="0"/>
        <w:rPr>
          <w:rFonts w:ascii="宋体" w:hAnsi="宋体" w:eastAsia="宋体" w:cs="宋体"/>
          <w:color w:val="auto"/>
          <w:sz w:val="24"/>
          <w:szCs w:val="24"/>
        </w:rPr>
      </w:pPr>
      <w:bookmarkStart w:id="103" w:name="_Toc86935815"/>
      <w:bookmarkStart w:id="104" w:name="_Toc9108"/>
      <w:bookmarkStart w:id="105" w:name="_Toc459103900"/>
      <w:bookmarkStart w:id="106" w:name="_Toc21563"/>
      <w:bookmarkStart w:id="107" w:name="_Toc30132"/>
      <w:r>
        <w:rPr>
          <w:rFonts w:hint="eastAsia" w:ascii="宋体" w:hAnsi="宋体" w:eastAsia="宋体" w:cs="宋体"/>
          <w:color w:val="auto"/>
          <w:sz w:val="24"/>
          <w:szCs w:val="24"/>
        </w:rPr>
        <w:t>三、磋商报价说明</w:t>
      </w:r>
      <w:bookmarkEnd w:id="103"/>
      <w:bookmarkEnd w:id="104"/>
      <w:bookmarkEnd w:id="105"/>
      <w:bookmarkEnd w:id="106"/>
      <w:bookmarkEnd w:id="107"/>
    </w:p>
    <w:p w14:paraId="15C088DA">
      <w:pPr>
        <w:pStyle w:val="24"/>
        <w:spacing w:line="390" w:lineRule="exact"/>
        <w:rPr>
          <w:rFonts w:hAnsi="宋体" w:cs="宋体"/>
          <w:b/>
          <w:color w:val="auto"/>
          <w:sz w:val="24"/>
          <w:szCs w:val="24"/>
        </w:rPr>
      </w:pPr>
      <w:r>
        <w:rPr>
          <w:rFonts w:hint="eastAsia" w:hAnsi="宋体" w:cs="宋体"/>
          <w:b/>
          <w:color w:val="auto"/>
          <w:sz w:val="24"/>
          <w:szCs w:val="24"/>
        </w:rPr>
        <w:t>6、磋商报价</w:t>
      </w:r>
    </w:p>
    <w:p w14:paraId="2292FBD7">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6.1磋商报价：本项目磋商报价不允许超过采购上限控制价。</w:t>
      </w:r>
    </w:p>
    <w:p w14:paraId="6621B99D">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6.1.1具有标价的工程量清单中所报的单价和合价，以及报价汇总表中的价格应包括施工设备、劳务、管理、材料、安装、维护、保险、利润、税金、政策性文件规定及合同包含的所有风险、责任等各项应有费用。</w:t>
      </w:r>
    </w:p>
    <w:p w14:paraId="7303C6B8">
      <w:pPr>
        <w:pStyle w:val="24"/>
        <w:tabs>
          <w:tab w:val="left" w:pos="284"/>
        </w:tabs>
        <w:spacing w:line="390" w:lineRule="exact"/>
        <w:ind w:firstLine="480" w:firstLineChars="200"/>
        <w:rPr>
          <w:rFonts w:hAnsi="宋体" w:cs="宋体"/>
          <w:b/>
          <w:color w:val="auto"/>
          <w:sz w:val="24"/>
          <w:szCs w:val="24"/>
        </w:rPr>
      </w:pPr>
      <w:r>
        <w:rPr>
          <w:rFonts w:hint="eastAsia" w:hAnsi="宋体" w:cs="宋体"/>
          <w:bCs/>
          <w:color w:val="auto"/>
          <w:sz w:val="24"/>
          <w:szCs w:val="24"/>
        </w:rPr>
        <w:t xml:space="preserve">6.2 </w:t>
      </w:r>
      <w:r>
        <w:rPr>
          <w:rFonts w:hint="eastAsia" w:hAnsi="宋体" w:cs="宋体"/>
          <w:color w:val="auto"/>
          <w:sz w:val="24"/>
          <w:szCs w:val="24"/>
        </w:rPr>
        <w:t>承包方式：</w:t>
      </w:r>
      <w:r>
        <w:rPr>
          <w:rFonts w:hint="eastAsia" w:hAnsi="宋体" w:cs="宋体"/>
          <w:bCs/>
          <w:color w:val="auto"/>
          <w:sz w:val="24"/>
          <w:szCs w:val="24"/>
        </w:rPr>
        <w:t>　</w:t>
      </w:r>
    </w:p>
    <w:p w14:paraId="60C2705A">
      <w:pPr>
        <w:spacing w:line="380" w:lineRule="exact"/>
        <w:ind w:firstLine="480" w:firstLineChars="200"/>
        <w:rPr>
          <w:rFonts w:ascii="宋体" w:hAnsi="宋体" w:cs="宋体"/>
          <w:color w:val="auto"/>
          <w:sz w:val="24"/>
          <w:highlight w:val="yellow"/>
        </w:rPr>
      </w:pPr>
      <w:r>
        <w:rPr>
          <w:rFonts w:hint="eastAsia" w:ascii="宋体" w:hAnsi="宋体" w:cs="宋体"/>
          <w:bCs/>
          <w:color w:val="auto"/>
          <w:sz w:val="24"/>
        </w:rPr>
        <w:t xml:space="preserve">6.2.1 </w:t>
      </w:r>
      <w:r>
        <w:rPr>
          <w:rFonts w:hint="eastAsia" w:ascii="宋体" w:hAnsi="宋体" w:cs="宋体"/>
          <w:color w:val="auto"/>
          <w:sz w:val="24"/>
        </w:rPr>
        <w:t>本合同价款采用固定综合单价方式。</w:t>
      </w:r>
    </w:p>
    <w:p w14:paraId="582E4784">
      <w:pPr>
        <w:spacing w:line="380" w:lineRule="exact"/>
        <w:ind w:firstLine="480" w:firstLineChars="200"/>
        <w:rPr>
          <w:rFonts w:hAnsi="宋体" w:cs="宋体"/>
          <w:color w:val="auto"/>
          <w:sz w:val="24"/>
        </w:rPr>
      </w:pPr>
      <w:r>
        <w:rPr>
          <w:rFonts w:hint="eastAsia" w:ascii="宋体" w:hAnsi="宋体" w:cs="宋体"/>
          <w:color w:val="auto"/>
          <w:sz w:val="24"/>
        </w:rPr>
        <w:t>6.2.2 磋商供应商应按照采购人提供的工程量清单进行报价并对自己所填写的项目编码、项目名称、计量单位、工程数量负责。</w:t>
      </w:r>
      <w:r>
        <w:rPr>
          <w:rFonts w:hint="eastAsia" w:ascii="宋体" w:hAnsi="宋体" w:cs="宋体"/>
          <w:bCs/>
          <w:color w:val="auto"/>
          <w:sz w:val="24"/>
        </w:rPr>
        <w:t>评标时，如项目编码与项目名称不一致，以项目编码为准；如项目编码与计量单位、工程数量无法对应的，该清单项目作废，该清单项目的费用视为包含在其它清单项目中；如作废的清单项目达到3项及以上或作废的清单项目造价累计超过单位工程磋商报价的2%（含2%），视为不响应竞争性磋商文件实质性内容，作废标处理。</w:t>
      </w:r>
    </w:p>
    <w:p w14:paraId="79B8AF3A">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6.3 磋商货币：《响应文件》报价中的单价和合价全部采用人民币表示。</w:t>
      </w:r>
    </w:p>
    <w:p w14:paraId="7463AB53">
      <w:pPr>
        <w:spacing w:line="390" w:lineRule="exact"/>
        <w:jc w:val="center"/>
        <w:rPr>
          <w:rFonts w:ascii="宋体" w:hAnsi="宋体" w:cs="宋体"/>
          <w:b/>
          <w:color w:val="auto"/>
          <w:sz w:val="24"/>
        </w:rPr>
      </w:pPr>
    </w:p>
    <w:p w14:paraId="0B774CAC">
      <w:pPr>
        <w:pStyle w:val="3"/>
        <w:spacing w:before="0" w:after="0" w:line="390" w:lineRule="exact"/>
        <w:outlineLvl w:val="0"/>
        <w:rPr>
          <w:rFonts w:ascii="宋体" w:hAnsi="宋体" w:eastAsia="宋体" w:cs="宋体"/>
          <w:color w:val="auto"/>
          <w:sz w:val="24"/>
          <w:szCs w:val="24"/>
        </w:rPr>
      </w:pPr>
      <w:bookmarkStart w:id="108" w:name="_Toc86935816"/>
      <w:bookmarkStart w:id="109" w:name="_Toc459103901"/>
      <w:bookmarkStart w:id="110" w:name="_Toc20275"/>
      <w:bookmarkStart w:id="111" w:name="_Toc7174"/>
      <w:bookmarkStart w:id="112" w:name="_Toc16540"/>
      <w:r>
        <w:rPr>
          <w:rFonts w:hint="eastAsia" w:ascii="宋体" w:hAnsi="宋体" w:eastAsia="宋体" w:cs="宋体"/>
          <w:color w:val="auto"/>
          <w:sz w:val="24"/>
          <w:szCs w:val="24"/>
        </w:rPr>
        <w:t>四、《响应文件》的编制格式</w:t>
      </w:r>
      <w:bookmarkEnd w:id="108"/>
      <w:bookmarkEnd w:id="109"/>
      <w:bookmarkEnd w:id="110"/>
      <w:bookmarkEnd w:id="111"/>
      <w:bookmarkEnd w:id="112"/>
    </w:p>
    <w:p w14:paraId="26A51264">
      <w:pPr>
        <w:pStyle w:val="24"/>
        <w:spacing w:line="390" w:lineRule="exact"/>
        <w:rPr>
          <w:rFonts w:hAnsi="宋体" w:cs="宋体"/>
          <w:b/>
          <w:color w:val="auto"/>
          <w:sz w:val="24"/>
          <w:szCs w:val="24"/>
        </w:rPr>
      </w:pPr>
      <w:r>
        <w:rPr>
          <w:rFonts w:hint="eastAsia" w:hAnsi="宋体" w:cs="宋体"/>
          <w:b/>
          <w:color w:val="auto"/>
          <w:sz w:val="24"/>
          <w:szCs w:val="24"/>
        </w:rPr>
        <w:t>7、《响应文件》的语言</w:t>
      </w:r>
    </w:p>
    <w:p w14:paraId="2D313195">
      <w:pPr>
        <w:pStyle w:val="24"/>
        <w:spacing w:line="390" w:lineRule="exact"/>
        <w:ind w:firstLine="480" w:firstLineChars="200"/>
        <w:rPr>
          <w:rFonts w:hint="eastAsia" w:hAnsi="宋体" w:cs="宋体"/>
          <w:bCs/>
          <w:color w:val="auto"/>
          <w:sz w:val="24"/>
          <w:szCs w:val="24"/>
        </w:rPr>
      </w:pPr>
      <w:r>
        <w:rPr>
          <w:rFonts w:hint="eastAsia" w:hAnsi="宋体" w:cs="宋体"/>
          <w:bCs/>
          <w:color w:val="auto"/>
          <w:sz w:val="24"/>
          <w:szCs w:val="24"/>
        </w:rPr>
        <w:t>《响应文件》及磋商供应商与采购人之间与磋商有关的来往通知、函件和文件均应使用中文。</w:t>
      </w:r>
    </w:p>
    <w:p w14:paraId="21B710AE">
      <w:pPr>
        <w:rPr>
          <w:color w:val="auto"/>
        </w:rPr>
      </w:pPr>
    </w:p>
    <w:p w14:paraId="6B64B759">
      <w:pPr>
        <w:pStyle w:val="24"/>
        <w:spacing w:line="390" w:lineRule="exact"/>
        <w:rPr>
          <w:rFonts w:hAnsi="宋体" w:cs="宋体"/>
          <w:b/>
          <w:color w:val="auto"/>
          <w:sz w:val="24"/>
          <w:szCs w:val="24"/>
        </w:rPr>
      </w:pPr>
      <w:r>
        <w:rPr>
          <w:rFonts w:hint="eastAsia" w:hAnsi="宋体" w:cs="宋体"/>
          <w:b/>
          <w:color w:val="auto"/>
          <w:sz w:val="24"/>
          <w:szCs w:val="24"/>
        </w:rPr>
        <w:t>8、《响应文件》的组成</w:t>
      </w:r>
    </w:p>
    <w:p w14:paraId="085D4BCA">
      <w:pPr>
        <w:pStyle w:val="24"/>
        <w:tabs>
          <w:tab w:val="left" w:pos="426"/>
        </w:tabs>
        <w:spacing w:line="390" w:lineRule="exact"/>
        <w:ind w:firstLine="480" w:firstLineChars="200"/>
        <w:rPr>
          <w:rFonts w:hAnsi="宋体" w:cs="宋体"/>
          <w:bCs/>
          <w:color w:val="auto"/>
          <w:sz w:val="24"/>
          <w:szCs w:val="24"/>
        </w:rPr>
      </w:pPr>
      <w:r>
        <w:rPr>
          <w:rFonts w:hint="eastAsia" w:hAnsi="宋体" w:cs="宋体"/>
          <w:bCs/>
          <w:color w:val="auto"/>
          <w:sz w:val="24"/>
          <w:szCs w:val="24"/>
        </w:rPr>
        <w:t>8.1《响应文件》应包括下列内容：</w:t>
      </w:r>
    </w:p>
    <w:p w14:paraId="5FA4E743">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rPr>
        <w:t>8.1.1资格证明文件：</w:t>
      </w:r>
    </w:p>
    <w:p w14:paraId="2CF4A70F">
      <w:pPr>
        <w:pStyle w:val="24"/>
        <w:spacing w:line="390" w:lineRule="exact"/>
        <w:ind w:firstLine="480" w:firstLineChars="200"/>
        <w:rPr>
          <w:rFonts w:hint="eastAsia" w:hAnsi="宋体" w:cs="宋体"/>
          <w:color w:val="auto"/>
          <w:sz w:val="24"/>
          <w:szCs w:val="24"/>
        </w:rPr>
      </w:pPr>
      <w:r>
        <w:rPr>
          <w:rFonts w:hint="eastAsia" w:hAnsi="宋体" w:cs="宋体"/>
          <w:color w:val="auto"/>
          <w:sz w:val="24"/>
          <w:szCs w:val="24"/>
        </w:rPr>
        <w:t>根据贺财采【2023】15号文贺州市财政局关于推行政府采购领域信用承诺制度的通知，凡符合政府采购法第二十二条规定的资格条件，参加贺州市政府采购活动的供应商，在投标（响应）文件中按照采购文件约定提供信用承诺。</w:t>
      </w:r>
    </w:p>
    <w:p w14:paraId="7CF9C4E9">
      <w:pPr>
        <w:pStyle w:val="24"/>
        <w:spacing w:line="390" w:lineRule="exact"/>
        <w:ind w:firstLine="480" w:firstLineChars="200"/>
        <w:rPr>
          <w:rFonts w:hint="eastAsia" w:hAnsi="宋体" w:cs="宋体"/>
          <w:color w:val="auto"/>
          <w:sz w:val="24"/>
          <w:szCs w:val="24"/>
        </w:rPr>
      </w:pPr>
      <w:r>
        <w:rPr>
          <w:rFonts w:hint="eastAsia" w:hAnsi="宋体" w:cs="宋体"/>
          <w:color w:val="auto"/>
          <w:sz w:val="24"/>
          <w:szCs w:val="24"/>
        </w:rPr>
        <w:t>（1）</w:t>
      </w:r>
      <w:r>
        <w:rPr>
          <w:rFonts w:hint="eastAsia" w:hAnsi="宋体" w:cs="宋体"/>
          <w:color w:val="auto"/>
          <w:sz w:val="24"/>
          <w:szCs w:val="24"/>
          <w:lang w:eastAsia="zh-CN"/>
        </w:rPr>
        <w:t>贺州市平桂区政府采购供应商信用承诺函</w:t>
      </w:r>
      <w:r>
        <w:rPr>
          <w:rFonts w:hint="eastAsia" w:hAnsi="宋体" w:cs="宋体"/>
          <w:color w:val="auto"/>
          <w:sz w:val="24"/>
          <w:szCs w:val="24"/>
        </w:rPr>
        <w:t xml:space="preserve">（必须提供，加盖供应商公章，格式附后）； </w:t>
      </w:r>
    </w:p>
    <w:p w14:paraId="09793F16">
      <w:pPr>
        <w:pStyle w:val="24"/>
        <w:spacing w:line="390" w:lineRule="exact"/>
        <w:ind w:firstLine="480" w:firstLineChars="200"/>
        <w:rPr>
          <w:rFonts w:hint="eastAsia" w:hAnsi="宋体" w:cs="宋体"/>
          <w:color w:val="auto"/>
          <w:sz w:val="24"/>
          <w:szCs w:val="24"/>
        </w:rPr>
      </w:pPr>
      <w:r>
        <w:rPr>
          <w:rFonts w:hint="eastAsia" w:hAnsi="宋体" w:cs="宋体"/>
          <w:color w:val="auto"/>
          <w:sz w:val="24"/>
          <w:szCs w:val="24"/>
        </w:rPr>
        <w:t>（2）法定代表人（负责人）身份证明书原件和第二代身份证正反面复印件（必须提供，加盖供应商公章）；</w:t>
      </w:r>
    </w:p>
    <w:p w14:paraId="37A1B1BB">
      <w:pPr>
        <w:pStyle w:val="24"/>
        <w:spacing w:line="390" w:lineRule="exact"/>
        <w:ind w:firstLine="480" w:firstLineChars="200"/>
        <w:rPr>
          <w:rFonts w:hint="eastAsia" w:hAnsi="宋体" w:cs="宋体"/>
          <w:color w:val="auto"/>
          <w:sz w:val="24"/>
          <w:szCs w:val="24"/>
        </w:rPr>
      </w:pPr>
      <w:r>
        <w:rPr>
          <w:rFonts w:hint="eastAsia" w:hAnsi="宋体" w:cs="宋体"/>
          <w:color w:val="auto"/>
          <w:sz w:val="24"/>
          <w:szCs w:val="24"/>
        </w:rPr>
        <w:t>（3）法定代表人（负责人）授权委托书原件和委托代理人第二代身份证正反面复印件（委托代理时必须提供，加盖供应商公章）；</w:t>
      </w:r>
    </w:p>
    <w:p w14:paraId="0CF8BA50">
      <w:pPr>
        <w:pStyle w:val="24"/>
        <w:spacing w:line="390" w:lineRule="exact"/>
        <w:ind w:firstLine="480" w:firstLineChars="200"/>
        <w:rPr>
          <w:rFonts w:hint="eastAsia"/>
          <w:color w:val="auto"/>
          <w:sz w:val="24"/>
          <w:szCs w:val="24"/>
        </w:rPr>
      </w:pPr>
      <w:r>
        <w:rPr>
          <w:rFonts w:hint="eastAsia"/>
          <w:color w:val="auto"/>
          <w:sz w:val="24"/>
          <w:szCs w:val="24"/>
        </w:rPr>
        <w:t>（4）具备</w:t>
      </w:r>
      <w:r>
        <w:rPr>
          <w:rFonts w:hint="eastAsia"/>
          <w:color w:val="auto"/>
          <w:sz w:val="24"/>
          <w:szCs w:val="24"/>
          <w:lang w:eastAsia="zh-CN"/>
        </w:rPr>
        <w:t>建筑工程</w:t>
      </w:r>
      <w:r>
        <w:rPr>
          <w:rFonts w:hint="eastAsia"/>
          <w:color w:val="auto"/>
          <w:sz w:val="24"/>
          <w:szCs w:val="24"/>
        </w:rPr>
        <w:t>施工总承包叁级及以上资质及有效的安全生产许可证；</w:t>
      </w:r>
    </w:p>
    <w:p w14:paraId="0BD6C3F2">
      <w:pPr>
        <w:pStyle w:val="24"/>
        <w:spacing w:line="390" w:lineRule="exact"/>
        <w:ind w:firstLine="480" w:firstLineChars="200"/>
        <w:rPr>
          <w:rFonts w:hint="eastAsia"/>
          <w:color w:val="auto"/>
          <w:sz w:val="24"/>
          <w:szCs w:val="24"/>
        </w:rPr>
      </w:pPr>
      <w:r>
        <w:rPr>
          <w:rFonts w:hint="eastAsia"/>
          <w:color w:val="auto"/>
          <w:sz w:val="24"/>
          <w:szCs w:val="24"/>
        </w:rPr>
        <w:t>（5）拟派项目经理</w:t>
      </w:r>
      <w:r>
        <w:rPr>
          <w:rFonts w:hint="eastAsia"/>
          <w:color w:val="auto"/>
          <w:sz w:val="24"/>
          <w:szCs w:val="24"/>
          <w:lang w:eastAsia="zh-CN"/>
        </w:rPr>
        <w:t>建筑工程</w:t>
      </w:r>
      <w:r>
        <w:rPr>
          <w:rFonts w:hint="eastAsia"/>
          <w:color w:val="auto"/>
          <w:sz w:val="24"/>
          <w:szCs w:val="24"/>
        </w:rPr>
        <w:t>专业注册建造师二级及以上执业资格证书及有效的省级或省级以上建设行政主管部门颁发的安全生产考核合格证书（B类）的扫描件；</w:t>
      </w:r>
    </w:p>
    <w:p w14:paraId="55C45B33">
      <w:pPr>
        <w:pStyle w:val="24"/>
        <w:spacing w:line="390" w:lineRule="exact"/>
        <w:ind w:firstLine="480" w:firstLineChars="200"/>
        <w:rPr>
          <w:rFonts w:hint="eastAsia"/>
          <w:color w:val="auto"/>
          <w:sz w:val="24"/>
          <w:szCs w:val="24"/>
        </w:rPr>
      </w:pPr>
      <w:r>
        <w:rPr>
          <w:rFonts w:hint="eastAsia"/>
          <w:color w:val="auto"/>
          <w:sz w:val="24"/>
          <w:szCs w:val="24"/>
        </w:rPr>
        <w:t>（6）拟派往本项目专职安全员岗位证书扫描件及有效的省级或省级以上建设行政主管部门颁发的安全生产考核合格证书（C类）的扫描件；</w:t>
      </w:r>
    </w:p>
    <w:p w14:paraId="49C10F91">
      <w:pPr>
        <w:pStyle w:val="24"/>
        <w:spacing w:line="390" w:lineRule="exact"/>
        <w:ind w:firstLine="480" w:firstLineChars="200"/>
        <w:rPr>
          <w:color w:val="auto"/>
          <w:sz w:val="24"/>
          <w:szCs w:val="24"/>
        </w:rPr>
      </w:pPr>
      <w:r>
        <w:rPr>
          <w:rFonts w:hint="eastAsia"/>
          <w:color w:val="auto"/>
          <w:sz w:val="24"/>
          <w:szCs w:val="24"/>
        </w:rPr>
        <w:t>（7）磋商供应商认为必要提供的声明及文件资料。</w:t>
      </w:r>
    </w:p>
    <w:p w14:paraId="2A0A799A">
      <w:pPr>
        <w:pStyle w:val="24"/>
        <w:spacing w:line="390" w:lineRule="exact"/>
        <w:ind w:firstLine="480" w:firstLineChars="200"/>
        <w:rPr>
          <w:rFonts w:hAnsi="宋体" w:cs="宋体"/>
          <w:color w:val="auto"/>
          <w:kern w:val="0"/>
          <w:sz w:val="24"/>
          <w:szCs w:val="24"/>
        </w:rPr>
      </w:pPr>
      <w:r>
        <w:rPr>
          <w:rFonts w:hint="eastAsia" w:hAnsi="宋体" w:cs="宋体"/>
          <w:b/>
          <w:bCs/>
          <w:color w:val="auto"/>
          <w:sz w:val="24"/>
          <w:szCs w:val="24"/>
        </w:rPr>
        <w:t>注：</w:t>
      </w:r>
      <w:r>
        <w:rPr>
          <w:rFonts w:hint="eastAsia" w:hAnsi="宋体" w:cs="宋体"/>
          <w:b/>
          <w:bCs/>
          <w:color w:val="auto"/>
          <w:sz w:val="24"/>
          <w:szCs w:val="24"/>
          <w:u w:val="single"/>
        </w:rPr>
        <w:t>1.</w:t>
      </w:r>
      <w:r>
        <w:rPr>
          <w:rFonts w:hint="eastAsia" w:hAnsi="宋体" w:cs="宋体"/>
          <w:b/>
          <w:color w:val="auto"/>
          <w:sz w:val="24"/>
          <w:szCs w:val="24"/>
          <w:u w:val="single"/>
        </w:rPr>
        <w:t>上述材料缺少任何一项或任何一项无效均会被视为资格审查不合格，作无效磋商处理</w:t>
      </w:r>
      <w:r>
        <w:rPr>
          <w:rFonts w:hint="eastAsia" w:hAnsi="宋体" w:cs="宋体"/>
          <w:b/>
          <w:color w:val="auto"/>
          <w:sz w:val="24"/>
          <w:szCs w:val="24"/>
        </w:rPr>
        <w:t>。</w:t>
      </w:r>
      <w:r>
        <w:rPr>
          <w:rFonts w:hint="eastAsia" w:hAnsi="宋体"/>
          <w:b/>
          <w:color w:val="auto"/>
          <w:sz w:val="24"/>
          <w:u w:val="single"/>
        </w:rPr>
        <w:t>2.以上材料属于复印件的扫描件的，必须加盖供应商电子公章，否则响应文件按无效响应处理。</w:t>
      </w:r>
    </w:p>
    <w:p w14:paraId="0E5A34B4">
      <w:pPr>
        <w:pStyle w:val="24"/>
        <w:spacing w:line="390" w:lineRule="exact"/>
        <w:ind w:firstLine="480" w:firstLineChars="200"/>
        <w:rPr>
          <w:rFonts w:hAnsi="宋体" w:cs="宋体"/>
          <w:color w:val="auto"/>
          <w:kern w:val="0"/>
          <w:sz w:val="24"/>
          <w:szCs w:val="24"/>
        </w:rPr>
      </w:pPr>
      <w:r>
        <w:rPr>
          <w:rFonts w:hint="eastAsia" w:hAnsi="宋体" w:cs="宋体"/>
          <w:color w:val="auto"/>
          <w:kern w:val="0"/>
          <w:sz w:val="24"/>
          <w:szCs w:val="24"/>
        </w:rPr>
        <w:t>8.1.2报价文件</w:t>
      </w:r>
    </w:p>
    <w:p w14:paraId="697A7EA9">
      <w:pPr>
        <w:pStyle w:val="24"/>
        <w:spacing w:line="390" w:lineRule="exact"/>
        <w:ind w:firstLine="480" w:firstLineChars="200"/>
        <w:rPr>
          <w:rFonts w:hAnsi="宋体" w:cs="宋体"/>
          <w:color w:val="auto"/>
          <w:kern w:val="0"/>
          <w:sz w:val="24"/>
          <w:szCs w:val="24"/>
        </w:rPr>
      </w:pPr>
      <w:r>
        <w:rPr>
          <w:rFonts w:hint="eastAsia" w:hAnsi="宋体" w:cs="宋体"/>
          <w:color w:val="auto"/>
          <w:kern w:val="0"/>
          <w:sz w:val="24"/>
          <w:szCs w:val="24"/>
        </w:rPr>
        <w:t>（1）磋商函及磋商函附录</w:t>
      </w:r>
    </w:p>
    <w:p w14:paraId="09456102">
      <w:pPr>
        <w:pStyle w:val="24"/>
        <w:spacing w:line="390" w:lineRule="exact"/>
        <w:ind w:firstLine="480" w:firstLineChars="200"/>
        <w:rPr>
          <w:rFonts w:hAnsi="宋体" w:cs="宋体"/>
          <w:color w:val="auto"/>
          <w:kern w:val="0"/>
          <w:sz w:val="24"/>
          <w:szCs w:val="24"/>
        </w:rPr>
      </w:pPr>
      <w:r>
        <w:rPr>
          <w:rFonts w:hint="eastAsia" w:hAnsi="宋体" w:cs="宋体"/>
          <w:color w:val="auto"/>
          <w:kern w:val="0"/>
          <w:sz w:val="24"/>
          <w:szCs w:val="24"/>
        </w:rPr>
        <w:t>（2）竞标人基本情况表</w:t>
      </w:r>
    </w:p>
    <w:p w14:paraId="2BEEF9EF">
      <w:pPr>
        <w:pStyle w:val="24"/>
        <w:spacing w:line="390" w:lineRule="exact"/>
        <w:ind w:firstLine="480" w:firstLineChars="200"/>
        <w:rPr>
          <w:rFonts w:hAnsi="宋体" w:cs="宋体"/>
          <w:color w:val="auto"/>
          <w:kern w:val="0"/>
          <w:sz w:val="24"/>
          <w:szCs w:val="24"/>
        </w:rPr>
      </w:pPr>
      <w:r>
        <w:rPr>
          <w:rFonts w:hint="eastAsia" w:hAnsi="宋体" w:cs="宋体"/>
          <w:color w:val="auto"/>
          <w:kern w:val="0"/>
          <w:sz w:val="24"/>
          <w:szCs w:val="24"/>
        </w:rPr>
        <w:t>（3）已标价工程量清单</w:t>
      </w:r>
    </w:p>
    <w:p w14:paraId="5CCC6CB2">
      <w:pPr>
        <w:pStyle w:val="69"/>
        <w:rPr>
          <w:rFonts w:hAnsi="宋体"/>
          <w:bCs/>
          <w:color w:val="auto"/>
        </w:rPr>
      </w:pPr>
      <w:r>
        <w:rPr>
          <w:rFonts w:hint="eastAsia" w:hAnsi="宋体" w:cs="Times New Roman"/>
          <w:b/>
          <w:color w:val="auto"/>
          <w:u w:val="single"/>
        </w:rPr>
        <w:t>注：以上材料属于复印件的扫描件的，必须加盖供应商电子公章，否则响应文件按无效响应处理。</w:t>
      </w:r>
    </w:p>
    <w:p w14:paraId="7F305726">
      <w:pPr>
        <w:spacing w:line="400" w:lineRule="exact"/>
        <w:ind w:firstLine="480" w:firstLineChars="200"/>
        <w:rPr>
          <w:rFonts w:ascii="宋体" w:hAnsi="宋体" w:cs="宋体"/>
          <w:bCs/>
          <w:color w:val="auto"/>
          <w:sz w:val="24"/>
        </w:rPr>
      </w:pPr>
      <w:r>
        <w:rPr>
          <w:rFonts w:hint="eastAsia" w:ascii="宋体" w:hAnsi="宋体" w:cs="宋体"/>
          <w:bCs/>
          <w:color w:val="auto"/>
          <w:sz w:val="24"/>
        </w:rPr>
        <w:t>8.1.3商务技术文件</w:t>
      </w:r>
    </w:p>
    <w:p w14:paraId="00FEE654">
      <w:pPr>
        <w:pStyle w:val="24"/>
        <w:spacing w:line="390" w:lineRule="exact"/>
        <w:ind w:firstLine="480" w:firstLineChars="200"/>
        <w:rPr>
          <w:color w:val="auto"/>
          <w:sz w:val="24"/>
          <w:szCs w:val="24"/>
        </w:rPr>
      </w:pPr>
      <w:r>
        <w:rPr>
          <w:rFonts w:hint="eastAsia" w:hAnsi="宋体" w:cs="宋体"/>
          <w:bCs/>
          <w:color w:val="auto"/>
          <w:sz w:val="24"/>
          <w:szCs w:val="24"/>
          <w:lang w:eastAsia="zh-CN"/>
        </w:rPr>
        <w:t>（</w:t>
      </w:r>
      <w:r>
        <w:rPr>
          <w:rFonts w:hint="eastAsia" w:hAnsi="宋体" w:cs="宋体"/>
          <w:bCs/>
          <w:color w:val="auto"/>
          <w:sz w:val="24"/>
          <w:szCs w:val="24"/>
          <w:lang w:val="en-US" w:eastAsia="zh-CN"/>
        </w:rPr>
        <w:t>1</w:t>
      </w:r>
      <w:r>
        <w:rPr>
          <w:rFonts w:hint="eastAsia" w:hAnsi="宋体" w:cs="宋体"/>
          <w:bCs/>
          <w:color w:val="auto"/>
          <w:sz w:val="24"/>
          <w:szCs w:val="24"/>
          <w:lang w:eastAsia="zh-CN"/>
        </w:rPr>
        <w:t>）</w:t>
      </w:r>
      <w:r>
        <w:rPr>
          <w:rFonts w:ascii="Calibri" w:hAnsi="Calibri" w:cs="Calibri"/>
          <w:bCs/>
          <w:color w:val="auto"/>
          <w:sz w:val="24"/>
          <w:szCs w:val="24"/>
        </w:rPr>
        <w:t>主要管理人员表</w:t>
      </w:r>
    </w:p>
    <w:p w14:paraId="4FFB2B91">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lang w:eastAsia="zh-CN"/>
        </w:rPr>
        <w:t>（</w:t>
      </w:r>
      <w:r>
        <w:rPr>
          <w:rFonts w:hint="eastAsia" w:hAnsi="宋体" w:cs="宋体"/>
          <w:bCs/>
          <w:color w:val="auto"/>
          <w:sz w:val="24"/>
          <w:szCs w:val="24"/>
          <w:lang w:val="en-US" w:eastAsia="zh-CN"/>
        </w:rPr>
        <w:t>2</w:t>
      </w:r>
      <w:r>
        <w:rPr>
          <w:rFonts w:hint="eastAsia" w:hAnsi="宋体" w:cs="宋体"/>
          <w:bCs/>
          <w:color w:val="auto"/>
          <w:sz w:val="24"/>
          <w:szCs w:val="24"/>
          <w:lang w:eastAsia="zh-CN"/>
        </w:rPr>
        <w:t>）</w:t>
      </w:r>
      <w:r>
        <w:rPr>
          <w:rFonts w:hint="eastAsia" w:hAnsi="宋体" w:cs="宋体"/>
          <w:bCs/>
          <w:color w:val="auto"/>
          <w:sz w:val="24"/>
          <w:szCs w:val="24"/>
        </w:rPr>
        <w:t>建设工程项目管理承诺书</w:t>
      </w:r>
    </w:p>
    <w:p w14:paraId="701576FE">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lang w:eastAsia="zh-CN"/>
        </w:rPr>
        <w:t>（</w:t>
      </w:r>
      <w:r>
        <w:rPr>
          <w:rFonts w:hint="eastAsia" w:hAnsi="宋体" w:cs="宋体"/>
          <w:bCs/>
          <w:color w:val="auto"/>
          <w:sz w:val="24"/>
          <w:szCs w:val="24"/>
          <w:lang w:val="en-US" w:eastAsia="zh-CN"/>
        </w:rPr>
        <w:t>3</w:t>
      </w:r>
      <w:r>
        <w:rPr>
          <w:rFonts w:hint="eastAsia" w:hAnsi="宋体" w:cs="宋体"/>
          <w:bCs/>
          <w:color w:val="auto"/>
          <w:sz w:val="24"/>
          <w:szCs w:val="24"/>
          <w:lang w:eastAsia="zh-CN"/>
        </w:rPr>
        <w:t>）</w:t>
      </w:r>
      <w:r>
        <w:rPr>
          <w:rFonts w:hint="eastAsia" w:hAnsi="宋体" w:cs="宋体"/>
          <w:bCs/>
          <w:color w:val="auto"/>
          <w:sz w:val="24"/>
          <w:szCs w:val="24"/>
        </w:rPr>
        <w:t>施工组织设计</w:t>
      </w:r>
    </w:p>
    <w:p w14:paraId="793C1962">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lang w:eastAsia="zh-CN"/>
        </w:rPr>
        <w:t>（</w:t>
      </w:r>
      <w:r>
        <w:rPr>
          <w:rFonts w:hint="eastAsia" w:hAnsi="宋体" w:cs="宋体"/>
          <w:bCs/>
          <w:color w:val="auto"/>
          <w:sz w:val="24"/>
          <w:szCs w:val="24"/>
          <w:lang w:val="en-US" w:eastAsia="zh-CN"/>
        </w:rPr>
        <w:t>4</w:t>
      </w:r>
      <w:r>
        <w:rPr>
          <w:rFonts w:hint="eastAsia" w:hAnsi="宋体" w:cs="宋体"/>
          <w:bCs/>
          <w:color w:val="auto"/>
          <w:sz w:val="24"/>
          <w:szCs w:val="24"/>
          <w:lang w:eastAsia="zh-CN"/>
        </w:rPr>
        <w:t>）</w:t>
      </w:r>
      <w:r>
        <w:rPr>
          <w:rFonts w:hint="eastAsia" w:hAnsi="宋体" w:cs="宋体"/>
          <w:bCs/>
          <w:color w:val="auto"/>
          <w:sz w:val="24"/>
          <w:szCs w:val="24"/>
        </w:rPr>
        <w:t>业绩</w:t>
      </w:r>
    </w:p>
    <w:p w14:paraId="07880F6E">
      <w:pPr>
        <w:pStyle w:val="24"/>
        <w:spacing w:line="390" w:lineRule="exact"/>
        <w:ind w:firstLine="480" w:firstLineChars="200"/>
        <w:rPr>
          <w:rFonts w:hAnsi="宋体" w:cs="宋体"/>
          <w:bCs/>
          <w:color w:val="auto"/>
          <w:sz w:val="24"/>
          <w:szCs w:val="24"/>
        </w:rPr>
      </w:pPr>
      <w:r>
        <w:rPr>
          <w:rFonts w:hint="eastAsia" w:hAnsi="宋体" w:cs="宋体"/>
          <w:bCs/>
          <w:color w:val="auto"/>
          <w:sz w:val="24"/>
          <w:szCs w:val="24"/>
          <w:lang w:eastAsia="zh-CN"/>
        </w:rPr>
        <w:t>（</w:t>
      </w:r>
      <w:r>
        <w:rPr>
          <w:rFonts w:hint="eastAsia" w:hAnsi="宋体" w:cs="宋体"/>
          <w:bCs/>
          <w:color w:val="auto"/>
          <w:sz w:val="24"/>
          <w:szCs w:val="24"/>
          <w:lang w:val="en-US" w:eastAsia="zh-CN"/>
        </w:rPr>
        <w:t>5</w:t>
      </w:r>
      <w:r>
        <w:rPr>
          <w:rFonts w:hint="eastAsia" w:hAnsi="宋体" w:cs="宋体"/>
          <w:bCs/>
          <w:color w:val="auto"/>
          <w:sz w:val="24"/>
          <w:szCs w:val="24"/>
          <w:lang w:eastAsia="zh-CN"/>
        </w:rPr>
        <w:t>）</w:t>
      </w:r>
      <w:r>
        <w:rPr>
          <w:rFonts w:hint="eastAsia" w:hAnsi="宋体" w:cs="宋体"/>
          <w:bCs/>
          <w:color w:val="auto"/>
          <w:sz w:val="24"/>
          <w:szCs w:val="24"/>
        </w:rPr>
        <w:t>其他资料</w:t>
      </w:r>
    </w:p>
    <w:p w14:paraId="14B95D74">
      <w:pPr>
        <w:pStyle w:val="70"/>
        <w:rPr>
          <w:color w:val="auto"/>
        </w:rPr>
      </w:pPr>
      <w:r>
        <w:rPr>
          <w:rFonts w:hint="eastAsia" w:hAnsi="宋体"/>
          <w:color w:val="auto"/>
          <w:sz w:val="24"/>
          <w:u w:val="single"/>
        </w:rPr>
        <w:t>注：以上材料属于复印件的扫描件的，必须加盖供应商电子公章，否则响应文件按无效响应处理。</w:t>
      </w:r>
    </w:p>
    <w:p w14:paraId="41F6BCFF">
      <w:pPr>
        <w:spacing w:line="390" w:lineRule="exact"/>
        <w:ind w:firstLine="480" w:firstLineChars="200"/>
        <w:rPr>
          <w:rFonts w:hint="eastAsia" w:ascii="宋体" w:hAnsi="宋体" w:cs="宋体"/>
          <w:bCs/>
          <w:color w:val="auto"/>
          <w:sz w:val="24"/>
        </w:rPr>
      </w:pPr>
      <w:r>
        <w:rPr>
          <w:rFonts w:hint="eastAsia" w:ascii="宋体" w:hAnsi="宋体" w:cs="宋体"/>
          <w:bCs/>
          <w:color w:val="auto"/>
          <w:sz w:val="24"/>
        </w:rPr>
        <w:t>8.2 磋商单位应使用</w:t>
      </w:r>
      <w:r>
        <w:rPr>
          <w:rFonts w:hint="eastAsia" w:ascii="宋体" w:hAnsi="宋体" w:cs="宋体"/>
          <w:color w:val="auto"/>
          <w:sz w:val="24"/>
        </w:rPr>
        <w:t>《竞争性磋商文件》</w:t>
      </w:r>
      <w:r>
        <w:rPr>
          <w:rFonts w:hint="eastAsia" w:ascii="宋体" w:hAnsi="宋体" w:cs="宋体"/>
          <w:bCs/>
          <w:color w:val="auto"/>
          <w:sz w:val="24"/>
        </w:rPr>
        <w:t>提供的格式，但表格可以按同样格式扩展，磋商保证金、履约保证金的方式按本须知有关条款的规定可以选择。</w:t>
      </w:r>
    </w:p>
    <w:p w14:paraId="60596F8F">
      <w:pPr>
        <w:spacing w:line="390" w:lineRule="exact"/>
        <w:ind w:firstLine="480" w:firstLineChars="200"/>
        <w:rPr>
          <w:rFonts w:hint="eastAsia" w:ascii="宋体" w:hAnsi="宋体" w:cs="宋体"/>
          <w:bCs/>
          <w:color w:val="auto"/>
          <w:sz w:val="24"/>
        </w:rPr>
      </w:pPr>
    </w:p>
    <w:p w14:paraId="47173A86">
      <w:pPr>
        <w:spacing w:line="390" w:lineRule="exact"/>
        <w:rPr>
          <w:rFonts w:ascii="宋体" w:hAnsi="宋体" w:cs="宋体"/>
          <w:b/>
          <w:bCs/>
          <w:color w:val="auto"/>
          <w:sz w:val="24"/>
        </w:rPr>
      </w:pPr>
      <w:r>
        <w:rPr>
          <w:rFonts w:hint="eastAsia" w:ascii="宋体" w:hAnsi="宋体" w:cs="宋体"/>
          <w:b/>
          <w:bCs/>
          <w:color w:val="auto"/>
          <w:sz w:val="24"/>
        </w:rPr>
        <w:t>9、磋商货币</w:t>
      </w:r>
    </w:p>
    <w:p w14:paraId="2D7587FB">
      <w:pPr>
        <w:tabs>
          <w:tab w:val="left" w:pos="426"/>
        </w:tabs>
        <w:spacing w:line="390" w:lineRule="exact"/>
        <w:ind w:firstLine="480" w:firstLineChars="200"/>
        <w:rPr>
          <w:rFonts w:hint="eastAsia" w:ascii="宋体" w:hAnsi="宋体" w:cs="宋体"/>
          <w:b/>
          <w:bCs/>
          <w:color w:val="auto"/>
          <w:sz w:val="24"/>
        </w:rPr>
      </w:pPr>
      <w:r>
        <w:rPr>
          <w:rFonts w:hint="eastAsia" w:ascii="宋体" w:hAnsi="宋体" w:cs="宋体"/>
          <w:color w:val="auto"/>
          <w:sz w:val="24"/>
        </w:rPr>
        <w:t>9.1磋商应以人民币报价。</w:t>
      </w:r>
    </w:p>
    <w:p w14:paraId="25783E79">
      <w:pPr>
        <w:spacing w:line="390" w:lineRule="exact"/>
        <w:rPr>
          <w:rFonts w:ascii="宋体" w:hAnsi="宋体" w:cs="宋体"/>
          <w:b/>
          <w:bCs/>
          <w:color w:val="auto"/>
          <w:sz w:val="24"/>
        </w:rPr>
      </w:pPr>
      <w:r>
        <w:rPr>
          <w:rFonts w:hint="eastAsia" w:ascii="宋体" w:hAnsi="宋体" w:cs="宋体"/>
          <w:b/>
          <w:bCs/>
          <w:color w:val="auto"/>
          <w:sz w:val="24"/>
        </w:rPr>
        <w:t>10、磋商的有效期</w:t>
      </w:r>
    </w:p>
    <w:p w14:paraId="1F557460">
      <w:pPr>
        <w:spacing w:line="390" w:lineRule="exact"/>
        <w:ind w:firstLine="480" w:firstLineChars="200"/>
        <w:rPr>
          <w:rFonts w:ascii="宋体" w:hAnsi="宋体" w:cs="宋体"/>
          <w:color w:val="auto"/>
          <w:sz w:val="24"/>
        </w:rPr>
      </w:pPr>
      <w:r>
        <w:rPr>
          <w:rFonts w:hint="eastAsia" w:ascii="宋体" w:hAnsi="宋体" w:cs="宋体"/>
          <w:color w:val="auto"/>
          <w:sz w:val="24"/>
        </w:rPr>
        <w:t>10．1《响应文件》从磋商截止日期后60天内有效。</w:t>
      </w:r>
    </w:p>
    <w:p w14:paraId="69B62038">
      <w:pPr>
        <w:spacing w:line="390" w:lineRule="exact"/>
        <w:ind w:firstLine="480" w:firstLineChars="200"/>
        <w:rPr>
          <w:rFonts w:ascii="宋体" w:hAnsi="宋体" w:cs="宋体"/>
          <w:color w:val="auto"/>
          <w:sz w:val="24"/>
        </w:rPr>
      </w:pPr>
      <w:r>
        <w:rPr>
          <w:rFonts w:hint="eastAsia" w:ascii="宋体" w:hAnsi="宋体" w:cs="宋体"/>
          <w:color w:val="auto"/>
          <w:sz w:val="24"/>
        </w:rPr>
        <w:t>10．2在特殊情况下，采购代理机构可与磋商供应商协商延长《响应文件》的有效期。</w:t>
      </w:r>
    </w:p>
    <w:p w14:paraId="5A3C8FB1">
      <w:pPr>
        <w:spacing w:line="390" w:lineRule="exact"/>
        <w:rPr>
          <w:rFonts w:ascii="宋体" w:hAnsi="宋体" w:cs="宋体"/>
          <w:b/>
          <w:bCs/>
          <w:color w:val="auto"/>
          <w:sz w:val="24"/>
        </w:rPr>
      </w:pPr>
      <w:r>
        <w:rPr>
          <w:rFonts w:hint="eastAsia" w:ascii="宋体" w:hAnsi="宋体" w:cs="宋体"/>
          <w:b/>
          <w:bCs/>
          <w:color w:val="auto"/>
          <w:sz w:val="24"/>
        </w:rPr>
        <w:t>11、《响应文件》电子版的编制要求</w:t>
      </w:r>
    </w:p>
    <w:p w14:paraId="35AD2652">
      <w:pPr>
        <w:spacing w:line="390" w:lineRule="exact"/>
        <w:ind w:firstLine="480" w:firstLineChars="200"/>
        <w:rPr>
          <w:rFonts w:ascii="宋体" w:hAnsi="宋体" w:cs="宋体"/>
          <w:color w:val="auto"/>
          <w:sz w:val="24"/>
        </w:rPr>
      </w:pPr>
      <w:r>
        <w:rPr>
          <w:rFonts w:hint="eastAsia" w:ascii="宋体" w:hAnsi="宋体" w:cs="宋体"/>
          <w:color w:val="auto"/>
          <w:sz w:val="24"/>
        </w:rPr>
        <w:t>11.1各供应商在编制响应文件时请按照磋商文件“第七章 响应文件（格式）”规定的格式进行，第七章未附格式的，由供应商自行拟定。混乱的编排导致响应文件被误读或磋商小组查找不到有效文件是供应商的风险。不完整、编排混乱导致响应文件被误读、漏读或者查找不到相关内容的，由此引发的后果由供应商承担。</w:t>
      </w:r>
    </w:p>
    <w:p w14:paraId="7E391013">
      <w:pPr>
        <w:spacing w:line="390" w:lineRule="exact"/>
        <w:ind w:firstLine="480" w:firstLineChars="200"/>
        <w:rPr>
          <w:rFonts w:ascii="宋体" w:hAnsi="宋体" w:cs="宋体"/>
          <w:color w:val="auto"/>
          <w:sz w:val="24"/>
        </w:rPr>
      </w:pPr>
      <w:r>
        <w:rPr>
          <w:rFonts w:hint="eastAsia" w:ascii="宋体" w:hAnsi="宋体" w:cs="宋体"/>
          <w:color w:val="auto"/>
          <w:sz w:val="24"/>
        </w:rPr>
        <w:t>11.2本磋商只接受电子版响应文件，要求见本章前附表“响应文件电子版要求”。</w:t>
      </w:r>
    </w:p>
    <w:p w14:paraId="518F4D2A">
      <w:pPr>
        <w:spacing w:line="390" w:lineRule="exact"/>
        <w:ind w:firstLine="480" w:firstLineChars="200"/>
        <w:rPr>
          <w:rFonts w:ascii="宋体" w:hAnsi="宋体" w:cs="宋体"/>
          <w:bCs/>
          <w:color w:val="auto"/>
          <w:sz w:val="24"/>
        </w:rPr>
      </w:pPr>
      <w:r>
        <w:rPr>
          <w:rFonts w:hint="eastAsia" w:ascii="宋体" w:hAnsi="宋体" w:cs="宋体"/>
          <w:color w:val="auto"/>
          <w:sz w:val="24"/>
        </w:rPr>
        <w:t>11.3响应文件须由供应商在“第七章 响应文件（格式）”规定位置进行签署、盖章，否则其响应文件按无效响应处理。骑缝盖公章不视为在规定位置盖章</w:t>
      </w:r>
      <w:r>
        <w:rPr>
          <w:rFonts w:hint="eastAsia" w:ascii="宋体" w:hAnsi="宋体" w:cs="宋体"/>
          <w:bCs/>
          <w:color w:val="auto"/>
          <w:sz w:val="24"/>
        </w:rPr>
        <w:t>。</w:t>
      </w:r>
    </w:p>
    <w:p w14:paraId="65EC2CB0">
      <w:pPr>
        <w:spacing w:line="390" w:lineRule="exact"/>
        <w:ind w:firstLine="480" w:firstLineChars="200"/>
        <w:rPr>
          <w:rFonts w:ascii="宋体" w:hAnsi="宋体"/>
          <w:b/>
          <w:color w:val="auto"/>
          <w:sz w:val="24"/>
        </w:rPr>
      </w:pPr>
      <w:r>
        <w:rPr>
          <w:rFonts w:hint="eastAsia" w:ascii="宋体" w:hAnsi="宋体" w:cs="宋体"/>
          <w:bCs/>
          <w:color w:val="auto"/>
          <w:sz w:val="24"/>
        </w:rPr>
        <w:t>11.4响应文件中标注的供应商名称应与营业执照（事业单位法人证书、执业许可证、自然人身份证）及电子公章一致，否则其响应文件按无效响应处理</w:t>
      </w:r>
      <w:r>
        <w:rPr>
          <w:rFonts w:hint="eastAsia" w:ascii="宋体" w:hAnsi="宋体"/>
          <w:bCs/>
          <w:color w:val="auto"/>
          <w:sz w:val="24"/>
        </w:rPr>
        <w:t>。</w:t>
      </w:r>
    </w:p>
    <w:p w14:paraId="68FC56AA">
      <w:pPr>
        <w:spacing w:line="390" w:lineRule="exact"/>
        <w:ind w:firstLine="480" w:firstLineChars="200"/>
        <w:rPr>
          <w:rFonts w:ascii="宋体" w:hAnsi="宋体" w:cs="宋体"/>
          <w:color w:val="auto"/>
          <w:sz w:val="24"/>
        </w:rPr>
      </w:pPr>
      <w:r>
        <w:rPr>
          <w:rFonts w:hint="eastAsia" w:ascii="宋体" w:hAnsi="宋体" w:cs="宋体"/>
          <w:color w:val="auto"/>
          <w:sz w:val="24"/>
        </w:rPr>
        <w:t>11.5响应文件应避免涂改、行间插字或者删除，否则其响应文件按无效响应处理。</w:t>
      </w:r>
    </w:p>
    <w:p w14:paraId="086D315F">
      <w:pPr>
        <w:spacing w:line="390" w:lineRule="exact"/>
        <w:rPr>
          <w:rFonts w:ascii="宋体" w:hAnsi="宋体" w:cs="宋体"/>
          <w:b/>
          <w:bCs/>
          <w:color w:val="auto"/>
          <w:sz w:val="24"/>
        </w:rPr>
      </w:pPr>
      <w:r>
        <w:rPr>
          <w:rFonts w:hint="eastAsia" w:ascii="宋体" w:hAnsi="宋体" w:cs="宋体"/>
          <w:b/>
          <w:bCs/>
          <w:color w:val="auto"/>
          <w:sz w:val="24"/>
        </w:rPr>
        <w:t>12、磋商保证金</w:t>
      </w:r>
    </w:p>
    <w:p w14:paraId="24BBD707">
      <w:pPr>
        <w:spacing w:line="390" w:lineRule="exact"/>
        <w:ind w:firstLine="480" w:firstLineChars="200"/>
        <w:rPr>
          <w:rFonts w:ascii="宋体" w:hAnsi="宋体" w:cs="宋体"/>
          <w:color w:val="auto"/>
          <w:sz w:val="24"/>
        </w:rPr>
      </w:pPr>
      <w:r>
        <w:rPr>
          <w:rFonts w:hint="eastAsia" w:ascii="宋体" w:hAnsi="宋体" w:cs="宋体"/>
          <w:color w:val="auto"/>
          <w:sz w:val="24"/>
        </w:rPr>
        <w:t>12.1磋商单位应按前附表第10项规定数额、方式足额提交磋商保证金，此磋商保证金是《响应文件》的一个组成部分。</w:t>
      </w:r>
    </w:p>
    <w:p w14:paraId="17562ECD">
      <w:pPr>
        <w:spacing w:line="390" w:lineRule="exact"/>
        <w:ind w:firstLine="480" w:firstLineChars="200"/>
        <w:rPr>
          <w:rFonts w:ascii="宋体" w:hAnsi="宋体" w:cs="宋体"/>
          <w:color w:val="auto"/>
          <w:sz w:val="24"/>
        </w:rPr>
      </w:pPr>
      <w:r>
        <w:rPr>
          <w:rFonts w:hint="eastAsia" w:ascii="宋体" w:hAnsi="宋体" w:cs="宋体"/>
          <w:color w:val="auto"/>
          <w:sz w:val="24"/>
        </w:rPr>
        <w:t>12.2对于未能按要求提交磋商保证金的磋商，采购单位将视为不响应磋商而拒绝。</w:t>
      </w:r>
    </w:p>
    <w:p w14:paraId="40710891">
      <w:pPr>
        <w:spacing w:line="390" w:lineRule="exact"/>
        <w:ind w:firstLine="480" w:firstLineChars="200"/>
        <w:rPr>
          <w:rFonts w:ascii="宋体" w:hAnsi="宋体" w:cs="宋体"/>
          <w:color w:val="auto"/>
          <w:sz w:val="24"/>
        </w:rPr>
      </w:pPr>
      <w:r>
        <w:rPr>
          <w:rFonts w:hint="eastAsia" w:ascii="宋体" w:hAnsi="宋体" w:cs="宋体"/>
          <w:color w:val="auto"/>
          <w:sz w:val="24"/>
        </w:rPr>
        <w:t>12.3未成交磋商供应商的磋商保证金，将在成交通知书发出后5个工作日内予以退还，不计利息。</w:t>
      </w:r>
    </w:p>
    <w:p w14:paraId="31719AE4">
      <w:pPr>
        <w:spacing w:line="390" w:lineRule="exact"/>
        <w:ind w:firstLine="480" w:firstLineChars="200"/>
        <w:rPr>
          <w:rFonts w:ascii="宋体" w:hAnsi="宋体" w:cs="宋体"/>
          <w:color w:val="auto"/>
          <w:sz w:val="24"/>
        </w:rPr>
      </w:pPr>
      <w:r>
        <w:rPr>
          <w:rFonts w:hint="eastAsia" w:ascii="宋体" w:hAnsi="宋体" w:cs="宋体"/>
          <w:color w:val="auto"/>
          <w:sz w:val="24"/>
        </w:rPr>
        <w:t>12.4成交人按要求提交履约保证金并签署合同协议，将合同协议提交1份至采购代理机构后5个工作日内将无息退还其磋商保证金。</w:t>
      </w:r>
    </w:p>
    <w:p w14:paraId="5E066E83">
      <w:pPr>
        <w:spacing w:line="390" w:lineRule="exact"/>
        <w:ind w:firstLine="480" w:firstLineChars="200"/>
        <w:rPr>
          <w:rFonts w:ascii="宋体" w:hAnsi="宋体" w:cs="宋体"/>
          <w:color w:val="auto"/>
          <w:sz w:val="24"/>
        </w:rPr>
      </w:pPr>
      <w:r>
        <w:rPr>
          <w:rFonts w:hint="eastAsia" w:ascii="宋体" w:hAnsi="宋体" w:cs="宋体"/>
          <w:color w:val="auto"/>
          <w:sz w:val="24"/>
        </w:rPr>
        <w:t xml:space="preserve">12.5如磋商供应商有下列情况，将被没收磋商保证金：　　　  </w:t>
      </w:r>
    </w:p>
    <w:p w14:paraId="52BA834C">
      <w:pPr>
        <w:spacing w:line="390" w:lineRule="exact"/>
        <w:ind w:firstLine="480" w:firstLineChars="200"/>
        <w:rPr>
          <w:rFonts w:ascii="宋体" w:hAnsi="宋体" w:cs="宋体"/>
          <w:color w:val="auto"/>
          <w:sz w:val="24"/>
        </w:rPr>
      </w:pPr>
      <w:r>
        <w:rPr>
          <w:rFonts w:hint="eastAsia" w:ascii="宋体" w:hAnsi="宋体" w:cs="宋体"/>
          <w:color w:val="auto"/>
          <w:sz w:val="24"/>
        </w:rPr>
        <w:t>（1）磋商供应商在其磋商有效期内撤回其《响应文件》；</w:t>
      </w:r>
    </w:p>
    <w:p w14:paraId="479B17A2">
      <w:pPr>
        <w:spacing w:line="390" w:lineRule="exact"/>
        <w:ind w:firstLine="480" w:firstLineChars="200"/>
        <w:rPr>
          <w:rFonts w:ascii="宋体" w:hAnsi="宋体" w:cs="宋体"/>
          <w:color w:val="auto"/>
          <w:sz w:val="24"/>
        </w:rPr>
      </w:pPr>
      <w:r>
        <w:rPr>
          <w:rFonts w:hint="eastAsia" w:ascii="宋体" w:hAnsi="宋体" w:cs="宋体"/>
          <w:color w:val="auto"/>
          <w:sz w:val="24"/>
        </w:rPr>
        <w:t>（2）成交人未能在规定期限内提交履约保证金或签署合同协议。</w:t>
      </w:r>
      <w:bookmarkStart w:id="113" w:name="_Toc459103902"/>
    </w:p>
    <w:p w14:paraId="0F99B775">
      <w:pPr>
        <w:pStyle w:val="69"/>
        <w:rPr>
          <w:color w:val="auto"/>
        </w:rPr>
      </w:pPr>
    </w:p>
    <w:p w14:paraId="4CE8B8E7">
      <w:pPr>
        <w:pStyle w:val="3"/>
        <w:spacing w:before="0" w:after="0" w:line="390" w:lineRule="exact"/>
        <w:outlineLvl w:val="0"/>
        <w:rPr>
          <w:rFonts w:ascii="宋体" w:hAnsi="宋体" w:eastAsia="宋体" w:cs="宋体"/>
          <w:color w:val="auto"/>
          <w:sz w:val="24"/>
          <w:szCs w:val="24"/>
        </w:rPr>
      </w:pPr>
      <w:bookmarkStart w:id="114" w:name="_Toc86935817"/>
      <w:bookmarkStart w:id="115" w:name="_Toc7235"/>
      <w:bookmarkStart w:id="116" w:name="_Toc4501"/>
      <w:bookmarkStart w:id="117" w:name="_Toc31817"/>
      <w:r>
        <w:rPr>
          <w:rFonts w:hint="eastAsia" w:ascii="宋体" w:hAnsi="宋体" w:eastAsia="宋体" w:cs="宋体"/>
          <w:color w:val="auto"/>
          <w:sz w:val="24"/>
          <w:szCs w:val="24"/>
        </w:rPr>
        <w:t>五、《响应文件》的递交</w:t>
      </w:r>
      <w:bookmarkEnd w:id="113"/>
      <w:bookmarkEnd w:id="114"/>
      <w:bookmarkEnd w:id="115"/>
      <w:bookmarkEnd w:id="116"/>
      <w:bookmarkEnd w:id="117"/>
    </w:p>
    <w:p w14:paraId="4A57AC9B">
      <w:pPr>
        <w:spacing w:line="390" w:lineRule="exact"/>
        <w:rPr>
          <w:rFonts w:ascii="宋体" w:hAnsi="宋体" w:cs="宋体"/>
          <w:b/>
          <w:bCs/>
          <w:color w:val="auto"/>
          <w:sz w:val="24"/>
        </w:rPr>
      </w:pPr>
      <w:r>
        <w:rPr>
          <w:rFonts w:hint="eastAsia" w:ascii="宋体" w:hAnsi="宋体" w:cs="宋体"/>
          <w:b/>
          <w:bCs/>
          <w:color w:val="auto"/>
          <w:sz w:val="24"/>
        </w:rPr>
        <w:t>13、《响应文件》的密封与标记</w:t>
      </w:r>
    </w:p>
    <w:p w14:paraId="12551DCF">
      <w:pPr>
        <w:spacing w:line="390" w:lineRule="exact"/>
        <w:ind w:firstLine="480" w:firstLineChars="200"/>
        <w:rPr>
          <w:rFonts w:ascii="宋体" w:hAnsi="宋体" w:cs="宋体"/>
          <w:color w:val="auto"/>
          <w:sz w:val="24"/>
        </w:rPr>
      </w:pPr>
      <w:r>
        <w:rPr>
          <w:rFonts w:hint="eastAsia" w:ascii="宋体" w:hAnsi="宋体" w:cs="宋体"/>
          <w:color w:val="auto"/>
          <w:sz w:val="24"/>
        </w:rPr>
        <w:t>13.1供应商进行电子交易应安装客户端软件“</w:t>
      </w:r>
      <w:r>
        <w:rPr>
          <w:rFonts w:hint="eastAsia" w:ascii="宋体" w:hAnsi="宋体" w:cs="宋体"/>
          <w:color w:val="auto"/>
          <w:sz w:val="24"/>
          <w:lang w:eastAsia="zh-CN"/>
        </w:rPr>
        <w:t>广西政府采购云平台</w:t>
      </w:r>
      <w:r>
        <w:rPr>
          <w:rFonts w:hint="eastAsia" w:ascii="宋体" w:hAnsi="宋体" w:cs="宋体"/>
          <w:color w:val="auto"/>
          <w:sz w:val="24"/>
        </w:rPr>
        <w:t>电子交易客户端”，并按照磋商文件和电子交易平台的要求编制并加密响应文件。供应商未按规定加密的响应文件，电子交易平台 将拒收并提示。</w:t>
      </w:r>
    </w:p>
    <w:p w14:paraId="403E3D52">
      <w:pPr>
        <w:spacing w:line="390" w:lineRule="exact"/>
        <w:ind w:firstLine="480" w:firstLineChars="200"/>
        <w:rPr>
          <w:rFonts w:ascii="宋体" w:hAnsi="宋体" w:cs="宋体"/>
          <w:color w:val="auto"/>
          <w:sz w:val="24"/>
        </w:rPr>
      </w:pPr>
      <w:r>
        <w:rPr>
          <w:rFonts w:hint="eastAsia" w:ascii="宋体" w:hAnsi="宋体" w:cs="宋体"/>
          <w:color w:val="auto"/>
          <w:sz w:val="24"/>
        </w:rPr>
        <w:t>13.2使用“</w:t>
      </w:r>
      <w:r>
        <w:rPr>
          <w:rFonts w:hint="eastAsia" w:ascii="宋体" w:hAnsi="宋体" w:cs="宋体"/>
          <w:color w:val="auto"/>
          <w:sz w:val="24"/>
          <w:lang w:eastAsia="zh-CN"/>
        </w:rPr>
        <w:t>广西政府采购云平台</w:t>
      </w:r>
      <w:r>
        <w:rPr>
          <w:rFonts w:hint="eastAsia" w:ascii="宋体" w:hAnsi="宋体" w:cs="宋体"/>
          <w:color w:val="auto"/>
          <w:sz w:val="24"/>
        </w:rPr>
        <w:t>电子交易客户端”需要提前申领 CA 数字证书，申领流程见本项目采购公告。</w:t>
      </w:r>
    </w:p>
    <w:p w14:paraId="2B530838">
      <w:pPr>
        <w:spacing w:line="390" w:lineRule="exact"/>
        <w:ind w:firstLine="480" w:firstLineChars="200"/>
        <w:rPr>
          <w:rFonts w:ascii="宋体" w:hAnsi="宋体" w:cs="宋体"/>
          <w:color w:val="auto"/>
          <w:sz w:val="24"/>
        </w:rPr>
      </w:pPr>
      <w:r>
        <w:rPr>
          <w:rFonts w:hint="eastAsia" w:ascii="宋体" w:hAnsi="宋体" w:cs="宋体"/>
          <w:color w:val="auto"/>
          <w:sz w:val="24"/>
        </w:rPr>
        <w:t>13.3为确保网上操作合法、有效和安全，供应商应当在响应文件提交截止时间前完成在“政府采购云平台”的身份认证，确保在电子交易过程中能够对相关数据电文进行加密和使用电子签名。</w:t>
      </w:r>
    </w:p>
    <w:p w14:paraId="25289D6D">
      <w:pPr>
        <w:spacing w:line="390" w:lineRule="exact"/>
        <w:rPr>
          <w:rFonts w:ascii="宋体" w:hAnsi="宋体" w:cs="宋体"/>
          <w:b/>
          <w:bCs/>
          <w:color w:val="auto"/>
          <w:sz w:val="24"/>
        </w:rPr>
      </w:pPr>
      <w:r>
        <w:rPr>
          <w:rFonts w:hint="eastAsia" w:ascii="宋体" w:hAnsi="宋体" w:cs="宋体"/>
          <w:b/>
          <w:bCs/>
          <w:color w:val="auto"/>
          <w:sz w:val="24"/>
        </w:rPr>
        <w:t xml:space="preserve">14、磋商截止时间  </w:t>
      </w:r>
    </w:p>
    <w:p w14:paraId="5B842504">
      <w:pPr>
        <w:spacing w:line="390" w:lineRule="exact"/>
        <w:ind w:firstLine="480" w:firstLineChars="200"/>
        <w:rPr>
          <w:rFonts w:ascii="宋体" w:hAnsi="宋体" w:cs="宋体"/>
          <w:color w:val="auto"/>
          <w:sz w:val="24"/>
          <w:u w:val="single"/>
        </w:rPr>
      </w:pPr>
      <w:r>
        <w:rPr>
          <w:rFonts w:hint="eastAsia" w:ascii="宋体" w:hAnsi="宋体" w:cs="宋体"/>
          <w:color w:val="auto"/>
          <w:sz w:val="24"/>
        </w:rPr>
        <w:t>14.1《响应文件》的递交不得迟于本须知前附表第1</w:t>
      </w:r>
      <w:r>
        <w:rPr>
          <w:rFonts w:hint="eastAsia" w:ascii="宋体" w:hAnsi="宋体" w:cs="宋体"/>
          <w:color w:val="auto"/>
          <w:sz w:val="24"/>
          <w:lang w:val="en-US" w:eastAsia="zh-CN"/>
        </w:rPr>
        <w:t>2</w:t>
      </w:r>
      <w:r>
        <w:rPr>
          <w:rFonts w:hint="eastAsia" w:ascii="宋体" w:hAnsi="宋体" w:cs="宋体"/>
          <w:color w:val="auto"/>
          <w:sz w:val="24"/>
        </w:rPr>
        <w:t>项规定的截止时间。</w:t>
      </w:r>
    </w:p>
    <w:p w14:paraId="5F882EB1">
      <w:pPr>
        <w:spacing w:line="390" w:lineRule="exact"/>
        <w:ind w:firstLine="480" w:firstLineChars="200"/>
        <w:rPr>
          <w:rFonts w:ascii="宋体" w:hAnsi="宋体" w:cs="宋体"/>
          <w:color w:val="auto"/>
          <w:sz w:val="24"/>
        </w:rPr>
      </w:pPr>
      <w:r>
        <w:rPr>
          <w:rFonts w:hint="eastAsia" w:ascii="宋体" w:hAnsi="宋体" w:cs="宋体"/>
          <w:color w:val="auto"/>
          <w:sz w:val="24"/>
        </w:rPr>
        <w:t>14.2磋商供应商必须在规定时间内将《响应文件》送到本须知前附表第1</w:t>
      </w:r>
      <w:r>
        <w:rPr>
          <w:rFonts w:hint="eastAsia" w:ascii="宋体" w:hAnsi="宋体" w:cs="宋体"/>
          <w:color w:val="auto"/>
          <w:sz w:val="24"/>
          <w:lang w:val="en-US" w:eastAsia="zh-CN"/>
        </w:rPr>
        <w:t>2</w:t>
      </w:r>
      <w:r>
        <w:rPr>
          <w:rFonts w:hint="eastAsia" w:ascii="宋体" w:hAnsi="宋体" w:cs="宋体"/>
          <w:color w:val="auto"/>
          <w:sz w:val="24"/>
        </w:rPr>
        <w:t>项规定地点，</w:t>
      </w:r>
      <w:r>
        <w:rPr>
          <w:rFonts w:hint="eastAsia" w:hAnsi="宋体" w:cs="宋体"/>
          <w:color w:val="auto"/>
          <w:sz w:val="24"/>
        </w:rPr>
        <w:t>采购代理机构不可视情况延长提交响应文件的截止时间，</w:t>
      </w:r>
      <w:r>
        <w:rPr>
          <w:rFonts w:hint="eastAsia" w:ascii="宋体" w:hAnsi="宋体" w:cs="宋体"/>
          <w:color w:val="auto"/>
          <w:sz w:val="24"/>
        </w:rPr>
        <w:t>超过磋商截止时间送达的《响应文件》将不予受理。</w:t>
      </w:r>
    </w:p>
    <w:p w14:paraId="4BE40912">
      <w:pPr>
        <w:spacing w:line="390" w:lineRule="exact"/>
        <w:ind w:firstLine="480" w:firstLineChars="200"/>
        <w:rPr>
          <w:rFonts w:hAnsi="宋体" w:cs="宋体"/>
          <w:color w:val="auto"/>
          <w:sz w:val="24"/>
        </w:rPr>
      </w:pPr>
      <w:r>
        <w:rPr>
          <w:rFonts w:hint="eastAsia" w:ascii="宋体" w:hAnsi="宋体" w:cs="宋体"/>
          <w:color w:val="auto"/>
          <w:sz w:val="24"/>
        </w:rPr>
        <w:t>14.3磋商供应商应当在开标截止时间前，将生成的“电子加密响应文件”上传递交至</w:t>
      </w:r>
      <w:r>
        <w:rPr>
          <w:rFonts w:hint="eastAsia" w:ascii="宋体" w:hAnsi="宋体" w:cs="宋体"/>
          <w:color w:val="auto"/>
          <w:sz w:val="24"/>
          <w:lang w:eastAsia="zh-CN"/>
        </w:rPr>
        <w:t>广西政府采购云平台</w:t>
      </w:r>
      <w:r>
        <w:rPr>
          <w:rFonts w:hint="eastAsia" w:ascii="宋体" w:hAnsi="宋体" w:cs="宋体"/>
          <w:color w:val="auto"/>
          <w:sz w:val="24"/>
        </w:rPr>
        <w:t>。响应文件递交截止时间前可以补充、修改或者撤回电子磋商响应文件。补充或者修改电子磋商响应文件的，应当先行撤回原文件，补充、修改后重新传输递交，开标截止时间前未完成传输的，视为撤回响应文件，5个工作日内退还其磋商保证金。在《响应文件》提交截止时间以后，不能补充、修改响应文件。截止时间后可向采购人、采购代理机构书面申请撤回电子响应文件，但磋商保证金将被没收处理。</w:t>
      </w:r>
    </w:p>
    <w:p w14:paraId="66113873">
      <w:pPr>
        <w:spacing w:line="390" w:lineRule="exact"/>
        <w:ind w:firstLine="480" w:firstLineChars="200"/>
        <w:rPr>
          <w:rFonts w:ascii="宋体" w:hAnsi="宋体" w:cs="宋体"/>
          <w:color w:val="auto"/>
          <w:sz w:val="24"/>
        </w:rPr>
      </w:pPr>
      <w:r>
        <w:rPr>
          <w:rFonts w:hint="eastAsia" w:ascii="宋体" w:hAnsi="宋体" w:cs="宋体"/>
          <w:color w:val="auto"/>
          <w:sz w:val="24"/>
        </w:rPr>
        <w:t>14.4电子交易平台收到响应文件，将妥善保存并即时向供应商发出确认回执通知。在响应文件提交截止时间前，除供应商补充、修改或者撤回响应文件外，任何单位和个人不得解密或提取响应文件。</w:t>
      </w:r>
    </w:p>
    <w:p w14:paraId="2169941C">
      <w:pPr>
        <w:spacing w:line="390" w:lineRule="exact"/>
        <w:ind w:firstLine="480" w:firstLineChars="200"/>
        <w:rPr>
          <w:color w:val="auto"/>
        </w:rPr>
      </w:pPr>
      <w:r>
        <w:rPr>
          <w:rFonts w:hint="eastAsia" w:ascii="宋体" w:hAnsi="宋体" w:cs="宋体"/>
          <w:color w:val="auto"/>
          <w:sz w:val="24"/>
        </w:rPr>
        <w:t>14.5响应文件提交截止时间止提交响应文件的供应商不足 3 家时，电子响应文件由代理机构在“</w:t>
      </w:r>
      <w:r>
        <w:rPr>
          <w:rFonts w:hint="eastAsia" w:ascii="宋体" w:hAnsi="宋体" w:cs="宋体"/>
          <w:color w:val="auto"/>
          <w:sz w:val="24"/>
          <w:lang w:eastAsia="zh-CN"/>
        </w:rPr>
        <w:t>广西政府采购云平台</w:t>
      </w:r>
      <w:r>
        <w:rPr>
          <w:rFonts w:hint="eastAsia" w:ascii="宋体" w:hAnsi="宋体" w:cs="宋体"/>
          <w:color w:val="auto"/>
          <w:sz w:val="24"/>
        </w:rPr>
        <w:t>”平台操作退回，除此之外采购人和采购代理机构对已提交的电子响应文件概不退回。</w:t>
      </w:r>
    </w:p>
    <w:p w14:paraId="54E65D66">
      <w:pPr>
        <w:keepNext/>
        <w:keepLines/>
        <w:widowControl w:val="0"/>
        <w:spacing w:before="0" w:after="0" w:line="390" w:lineRule="exact"/>
        <w:jc w:val="center"/>
        <w:outlineLvl w:val="9"/>
        <w:rPr>
          <w:rFonts w:ascii="宋体" w:hAnsi="宋体" w:eastAsia="宋体" w:cs="宋体"/>
          <w:b/>
          <w:color w:val="auto"/>
          <w:kern w:val="2"/>
          <w:sz w:val="24"/>
          <w:szCs w:val="24"/>
          <w:lang w:val="en-US" w:eastAsia="zh-CN" w:bidi="ar-SA"/>
        </w:rPr>
      </w:pPr>
      <w:bookmarkStart w:id="118" w:name="_Toc459103903"/>
    </w:p>
    <w:p w14:paraId="56798FF0">
      <w:pPr>
        <w:pStyle w:val="3"/>
        <w:spacing w:before="0" w:after="0" w:line="390" w:lineRule="exact"/>
        <w:outlineLvl w:val="0"/>
        <w:rPr>
          <w:rFonts w:ascii="宋体" w:hAnsi="宋体" w:eastAsia="宋体" w:cs="宋体"/>
          <w:color w:val="auto"/>
          <w:sz w:val="24"/>
          <w:szCs w:val="24"/>
        </w:rPr>
      </w:pPr>
      <w:bookmarkStart w:id="119" w:name="_Toc29376"/>
      <w:bookmarkStart w:id="120" w:name="_Toc86935818"/>
      <w:bookmarkStart w:id="121" w:name="_Toc19780"/>
      <w:bookmarkStart w:id="122" w:name="_Toc19329"/>
      <w:r>
        <w:rPr>
          <w:rFonts w:hint="eastAsia" w:ascii="宋体" w:hAnsi="宋体" w:eastAsia="宋体" w:cs="宋体"/>
          <w:color w:val="auto"/>
          <w:sz w:val="24"/>
          <w:szCs w:val="24"/>
        </w:rPr>
        <w:t>六、竞争性磋商与评标</w:t>
      </w:r>
      <w:bookmarkEnd w:id="118"/>
      <w:bookmarkEnd w:id="119"/>
      <w:bookmarkEnd w:id="120"/>
      <w:bookmarkEnd w:id="121"/>
      <w:bookmarkEnd w:id="122"/>
    </w:p>
    <w:p w14:paraId="3A1322A8">
      <w:pPr>
        <w:spacing w:line="390" w:lineRule="exact"/>
        <w:rPr>
          <w:rFonts w:ascii="宋体" w:hAnsi="宋体" w:cs="宋体"/>
          <w:b/>
          <w:bCs/>
          <w:color w:val="auto"/>
          <w:sz w:val="24"/>
        </w:rPr>
      </w:pPr>
      <w:r>
        <w:rPr>
          <w:rFonts w:hint="eastAsia" w:ascii="宋体" w:hAnsi="宋体" w:cs="宋体"/>
          <w:b/>
          <w:bCs/>
          <w:color w:val="auto"/>
          <w:sz w:val="24"/>
        </w:rPr>
        <w:t>15.响应文件的开启</w:t>
      </w:r>
    </w:p>
    <w:p w14:paraId="113DA7D0">
      <w:pPr>
        <w:spacing w:line="390" w:lineRule="exact"/>
        <w:ind w:firstLine="480" w:firstLineChars="200"/>
        <w:rPr>
          <w:rFonts w:ascii="宋体" w:hAnsi="宋体" w:cs="宋体"/>
          <w:color w:val="auto"/>
          <w:sz w:val="24"/>
        </w:rPr>
      </w:pPr>
      <w:r>
        <w:rPr>
          <w:rFonts w:hint="eastAsia" w:ascii="宋体" w:hAnsi="宋体" w:cs="宋体"/>
          <w:color w:val="auto"/>
          <w:sz w:val="24"/>
        </w:rPr>
        <w:t>15.1响应文件由磋商小组或者采购代理机构在“供应商须知前附表”规定的时间开启。</w:t>
      </w:r>
    </w:p>
    <w:p w14:paraId="6773B404">
      <w:pPr>
        <w:spacing w:line="390" w:lineRule="exact"/>
        <w:ind w:firstLine="480" w:firstLineChars="200"/>
        <w:rPr>
          <w:rFonts w:ascii="宋体" w:hAnsi="宋体" w:cs="宋体"/>
          <w:color w:val="auto"/>
          <w:sz w:val="24"/>
        </w:rPr>
      </w:pPr>
      <w:r>
        <w:rPr>
          <w:rFonts w:hint="eastAsia" w:ascii="宋体" w:hAnsi="宋体" w:cs="宋体"/>
          <w:color w:val="auto"/>
          <w:sz w:val="24"/>
        </w:rPr>
        <w:t>15.2响应文件解密</w:t>
      </w:r>
    </w:p>
    <w:p w14:paraId="31D129EC">
      <w:pPr>
        <w:spacing w:line="390" w:lineRule="exact"/>
        <w:ind w:firstLine="480" w:firstLineChars="200"/>
        <w:rPr>
          <w:rFonts w:ascii="宋体" w:hAnsi="宋体" w:cs="宋体"/>
          <w:color w:val="auto"/>
          <w:sz w:val="24"/>
        </w:rPr>
      </w:pPr>
      <w:r>
        <w:rPr>
          <w:rFonts w:ascii="宋体" w:hAnsi="宋体" w:cs="宋体"/>
          <w:color w:val="auto"/>
          <w:sz w:val="24"/>
        </w:rPr>
        <w:t>采购代理机构将在“供应商须知前附表”规定的时间通过电子交易平台组织响应文件开启， 采购机构依托电子交易平台发起</w:t>
      </w:r>
      <w:r>
        <w:rPr>
          <w:rFonts w:hint="eastAsia" w:ascii="宋体" w:hAnsi="宋体" w:cs="宋体"/>
          <w:color w:val="auto"/>
          <w:sz w:val="24"/>
        </w:rPr>
        <w:t>【开始解密】</w:t>
      </w:r>
      <w:r>
        <w:rPr>
          <w:rFonts w:ascii="宋体" w:hAnsi="宋体" w:cs="宋体"/>
          <w:color w:val="auto"/>
          <w:sz w:val="24"/>
        </w:rPr>
        <w:t>指令，供应商的法定代表人或其委托代理人须携带加密时所用的 CA 锁按平台提示和采购文件的规定登录到“</w:t>
      </w:r>
      <w:r>
        <w:rPr>
          <w:rFonts w:hint="eastAsia" w:ascii="宋体" w:hAnsi="宋体" w:cs="宋体"/>
          <w:color w:val="auto"/>
          <w:sz w:val="24"/>
          <w:lang w:eastAsia="zh-CN"/>
        </w:rPr>
        <w:t>广西政府采购云平台</w:t>
      </w:r>
      <w:r>
        <w:rPr>
          <w:rFonts w:ascii="宋体" w:hAnsi="宋体" w:cs="宋体"/>
          <w:color w:val="auto"/>
          <w:sz w:val="24"/>
        </w:rPr>
        <w:t xml:space="preserve">”平台电子开标大厅签到并在发起解密指令之时起 </w:t>
      </w:r>
      <w:r>
        <w:rPr>
          <w:rFonts w:hint="eastAsia" w:ascii="宋体" w:hAnsi="宋体" w:cs="宋体"/>
          <w:color w:val="auto"/>
          <w:sz w:val="24"/>
        </w:rPr>
        <w:t>30</w:t>
      </w:r>
      <w:r>
        <w:rPr>
          <w:rFonts w:ascii="宋体" w:hAnsi="宋体" w:cs="宋体"/>
          <w:color w:val="auto"/>
          <w:sz w:val="24"/>
        </w:rPr>
        <w:t>分钟内完成对电子响应文件在线解密。发起解密指令之时起 5 分钟内供应商还未进行解密的，代理机构要通知供应商，供应商没预留联系方式或预留联系方式无效，</w:t>
      </w:r>
      <w:r>
        <w:rPr>
          <w:rFonts w:hint="eastAsia" w:ascii="宋体" w:hAnsi="宋体" w:cs="宋体"/>
          <w:color w:val="auto"/>
          <w:sz w:val="24"/>
        </w:rPr>
        <w:t>导致代理机构无法联系到投标人在</w:t>
      </w:r>
      <w:r>
        <w:rPr>
          <w:rFonts w:ascii="宋体" w:hAnsi="宋体" w:cs="宋体"/>
          <w:color w:val="auto"/>
          <w:sz w:val="24"/>
        </w:rPr>
        <w:t xml:space="preserve">发起解密指令之时起 </w:t>
      </w:r>
      <w:r>
        <w:rPr>
          <w:rFonts w:hint="eastAsia" w:ascii="宋体" w:hAnsi="宋体" w:cs="宋体"/>
          <w:color w:val="auto"/>
          <w:sz w:val="24"/>
        </w:rPr>
        <w:t>30</w:t>
      </w:r>
      <w:r>
        <w:rPr>
          <w:rFonts w:ascii="宋体" w:hAnsi="宋体" w:cs="宋体"/>
          <w:color w:val="auto"/>
          <w:sz w:val="24"/>
        </w:rPr>
        <w:t>分钟内完成对电子响应文件在线解密</w:t>
      </w:r>
      <w:r>
        <w:rPr>
          <w:rFonts w:hint="eastAsia" w:ascii="宋体" w:hAnsi="宋体" w:cs="宋体"/>
          <w:color w:val="auto"/>
          <w:sz w:val="24"/>
        </w:rPr>
        <w:t>的，均视为无效投标</w:t>
      </w:r>
      <w:r>
        <w:rPr>
          <w:rFonts w:ascii="宋体" w:hAnsi="宋体" w:cs="宋体"/>
          <w:color w:val="auto"/>
          <w:sz w:val="24"/>
        </w:rPr>
        <w:t xml:space="preserve">。（解密异常情况处理：详见本章 </w:t>
      </w:r>
      <w:r>
        <w:rPr>
          <w:rFonts w:hint="eastAsia" w:ascii="宋体" w:hAnsi="宋体" w:cs="宋体"/>
          <w:color w:val="auto"/>
          <w:sz w:val="24"/>
        </w:rPr>
        <w:t>15.3</w:t>
      </w:r>
      <w:r>
        <w:rPr>
          <w:rFonts w:ascii="宋体" w:hAnsi="宋体" w:cs="宋体"/>
          <w:color w:val="auto"/>
          <w:sz w:val="24"/>
        </w:rPr>
        <w:t xml:space="preserve"> 电子交易活动的中止。） </w:t>
      </w:r>
    </w:p>
    <w:p w14:paraId="4C04B0C8">
      <w:pPr>
        <w:spacing w:line="390" w:lineRule="exact"/>
        <w:ind w:firstLine="480" w:firstLineChars="200"/>
        <w:rPr>
          <w:rFonts w:ascii="宋体" w:hAnsi="宋体" w:cs="宋体"/>
          <w:color w:val="auto"/>
          <w:sz w:val="24"/>
        </w:rPr>
      </w:pPr>
      <w:r>
        <w:rPr>
          <w:rFonts w:ascii="宋体" w:hAnsi="宋体" w:cs="宋体"/>
          <w:color w:val="auto"/>
          <w:sz w:val="24"/>
        </w:rPr>
        <w:t>如供应商成功解密响应文件，但未在“</w:t>
      </w:r>
      <w:r>
        <w:rPr>
          <w:rFonts w:hint="eastAsia" w:ascii="宋体" w:hAnsi="宋体" w:cs="宋体"/>
          <w:color w:val="auto"/>
          <w:sz w:val="24"/>
          <w:lang w:eastAsia="zh-CN"/>
        </w:rPr>
        <w:t>广西政府采购云平台</w:t>
      </w:r>
      <w:r>
        <w:rPr>
          <w:rFonts w:ascii="宋体" w:hAnsi="宋体" w:cs="宋体"/>
          <w:color w:val="auto"/>
          <w:sz w:val="24"/>
        </w:rPr>
        <w:t>”电子开标大厅参加谈判的，视同认可</w:t>
      </w:r>
      <w:r>
        <w:rPr>
          <w:rFonts w:hint="eastAsia" w:ascii="宋体" w:hAnsi="宋体" w:cs="宋体"/>
          <w:color w:val="auto"/>
          <w:sz w:val="24"/>
        </w:rPr>
        <w:t>磋商</w:t>
      </w:r>
      <w:r>
        <w:rPr>
          <w:rFonts w:ascii="宋体" w:hAnsi="宋体" w:cs="宋体"/>
          <w:color w:val="auto"/>
          <w:sz w:val="24"/>
        </w:rPr>
        <w:t>过程和结果，由此产生的后果由供应商自行负责。参与</w:t>
      </w:r>
      <w:r>
        <w:rPr>
          <w:rFonts w:hint="eastAsia" w:ascii="宋体" w:hAnsi="宋体" w:cs="宋体"/>
          <w:color w:val="auto"/>
          <w:sz w:val="24"/>
        </w:rPr>
        <w:t>磋商</w:t>
      </w:r>
      <w:r>
        <w:rPr>
          <w:rFonts w:ascii="宋体" w:hAnsi="宋体" w:cs="宋体"/>
          <w:color w:val="auto"/>
          <w:sz w:val="24"/>
        </w:rPr>
        <w:t>的供应商不足3 家的，不得</w:t>
      </w:r>
      <w:r>
        <w:rPr>
          <w:rFonts w:hint="eastAsia" w:ascii="宋体" w:hAnsi="宋体" w:cs="宋体"/>
          <w:color w:val="auto"/>
          <w:sz w:val="24"/>
        </w:rPr>
        <w:t>继续磋商</w:t>
      </w:r>
      <w:r>
        <w:rPr>
          <w:rFonts w:ascii="宋体" w:hAnsi="宋体" w:cs="宋体"/>
          <w:color w:val="auto"/>
          <w:sz w:val="24"/>
        </w:rPr>
        <w:t>。</w:t>
      </w:r>
    </w:p>
    <w:p w14:paraId="3B99A4CC">
      <w:pPr>
        <w:spacing w:line="390" w:lineRule="exact"/>
        <w:ind w:firstLine="480" w:firstLineChars="200"/>
        <w:rPr>
          <w:rFonts w:ascii="宋体" w:hAnsi="宋体" w:cs="宋体"/>
          <w:color w:val="auto"/>
          <w:sz w:val="24"/>
        </w:rPr>
      </w:pPr>
    </w:p>
    <w:p w14:paraId="4DF0CFED">
      <w:pPr>
        <w:spacing w:line="390" w:lineRule="exact"/>
        <w:ind w:firstLine="480" w:firstLineChars="200"/>
        <w:rPr>
          <w:rFonts w:ascii="宋体" w:hAnsi="宋体" w:cs="宋体"/>
          <w:color w:val="auto"/>
          <w:sz w:val="24"/>
        </w:rPr>
      </w:pPr>
      <w:r>
        <w:rPr>
          <w:rFonts w:hint="eastAsia" w:ascii="宋体" w:hAnsi="宋体" w:cs="宋体"/>
          <w:color w:val="auto"/>
          <w:sz w:val="24"/>
        </w:rPr>
        <w:t>15.3电子交易活动的中止</w:t>
      </w:r>
    </w:p>
    <w:p w14:paraId="6313D61B">
      <w:pPr>
        <w:spacing w:line="390" w:lineRule="exact"/>
        <w:ind w:firstLine="480" w:firstLineChars="200"/>
        <w:rPr>
          <w:rFonts w:ascii="宋体" w:hAnsi="宋体" w:cs="宋体"/>
          <w:color w:val="auto"/>
          <w:sz w:val="24"/>
        </w:rPr>
      </w:pPr>
      <w:r>
        <w:rPr>
          <w:rFonts w:hint="eastAsia" w:ascii="宋体" w:hAnsi="宋体" w:cs="宋体"/>
          <w:color w:val="auto"/>
          <w:sz w:val="24"/>
        </w:rPr>
        <w:t>采购过程中出现以下情形，导致电子交易平台无法正常运行</w:t>
      </w:r>
      <w:r>
        <w:rPr>
          <w:rFonts w:hint="eastAsia" w:ascii="宋体" w:hAnsi="宋体" w:cs="宋体"/>
          <w:color w:val="auto"/>
          <w:sz w:val="24"/>
          <w:lang w:eastAsia="zh-CN"/>
        </w:rPr>
        <w:t>，</w:t>
      </w:r>
      <w:r>
        <w:rPr>
          <w:rFonts w:hint="eastAsia" w:ascii="宋体" w:hAnsi="宋体" w:cs="宋体"/>
          <w:color w:val="auto"/>
          <w:sz w:val="24"/>
        </w:rPr>
        <w:t xml:space="preserve">或者无法保证电子交易的公平、公正和安全时，采购机构可中止电子交易活动： </w:t>
      </w:r>
    </w:p>
    <w:p w14:paraId="57FD41A2">
      <w:pPr>
        <w:spacing w:line="390" w:lineRule="exact"/>
        <w:ind w:firstLine="480" w:firstLineChars="200"/>
        <w:rPr>
          <w:rFonts w:ascii="宋体" w:hAnsi="宋体" w:cs="宋体"/>
          <w:color w:val="auto"/>
          <w:sz w:val="24"/>
        </w:rPr>
      </w:pPr>
      <w:r>
        <w:rPr>
          <w:rFonts w:hint="eastAsia" w:ascii="宋体" w:hAnsi="宋体" w:cs="宋体"/>
          <w:color w:val="auto"/>
          <w:sz w:val="24"/>
        </w:rPr>
        <w:t xml:space="preserve">（1）电子交易平台发生故障而无法登录访问的； </w:t>
      </w:r>
    </w:p>
    <w:p w14:paraId="48B0067E">
      <w:pPr>
        <w:spacing w:line="390" w:lineRule="exact"/>
        <w:ind w:firstLine="480" w:firstLineChars="200"/>
        <w:rPr>
          <w:rFonts w:ascii="宋体" w:hAnsi="宋体" w:cs="宋体"/>
          <w:color w:val="auto"/>
          <w:sz w:val="24"/>
        </w:rPr>
      </w:pPr>
      <w:r>
        <w:rPr>
          <w:rFonts w:hint="eastAsia" w:ascii="宋体" w:hAnsi="宋体" w:cs="宋体"/>
          <w:color w:val="auto"/>
          <w:sz w:val="24"/>
        </w:rPr>
        <w:t xml:space="preserve">（2）电子交易平台应用或数据库出现错误，不能进行正常操作的； </w:t>
      </w:r>
    </w:p>
    <w:p w14:paraId="5938F5BB">
      <w:pPr>
        <w:spacing w:line="390" w:lineRule="exact"/>
        <w:ind w:firstLine="480" w:firstLineChars="200"/>
        <w:rPr>
          <w:rFonts w:ascii="宋体" w:hAnsi="宋体" w:cs="宋体"/>
          <w:color w:val="auto"/>
          <w:sz w:val="24"/>
        </w:rPr>
      </w:pPr>
      <w:r>
        <w:rPr>
          <w:rFonts w:hint="eastAsia" w:ascii="宋体" w:hAnsi="宋体" w:cs="宋体"/>
          <w:color w:val="auto"/>
          <w:sz w:val="24"/>
        </w:rPr>
        <w:t xml:space="preserve">（3）电子交易平台发现严重安全漏洞，有潜在泄密危险的； </w:t>
      </w:r>
    </w:p>
    <w:p w14:paraId="6F0BB9D5">
      <w:pPr>
        <w:spacing w:line="390" w:lineRule="exact"/>
        <w:ind w:firstLine="480" w:firstLineChars="200"/>
        <w:rPr>
          <w:rFonts w:ascii="宋体" w:hAnsi="宋体" w:cs="宋体"/>
          <w:color w:val="auto"/>
          <w:sz w:val="24"/>
        </w:rPr>
      </w:pPr>
      <w:r>
        <w:rPr>
          <w:rFonts w:hint="eastAsia" w:ascii="宋体" w:hAnsi="宋体" w:cs="宋体"/>
          <w:color w:val="auto"/>
          <w:sz w:val="24"/>
        </w:rPr>
        <w:t xml:space="preserve">（4）病毒发作导致不能进行正常操作的； </w:t>
      </w:r>
    </w:p>
    <w:p w14:paraId="7759A12D">
      <w:pPr>
        <w:spacing w:line="390" w:lineRule="exact"/>
        <w:ind w:firstLine="480" w:firstLineChars="200"/>
        <w:rPr>
          <w:rFonts w:ascii="宋体" w:hAnsi="宋体" w:cs="宋体"/>
          <w:color w:val="auto"/>
          <w:sz w:val="24"/>
        </w:rPr>
      </w:pPr>
      <w:r>
        <w:rPr>
          <w:rFonts w:hint="eastAsia" w:ascii="宋体" w:hAnsi="宋体" w:cs="宋体"/>
          <w:color w:val="auto"/>
          <w:sz w:val="24"/>
        </w:rPr>
        <w:t xml:space="preserve">（5）其他无法保证电子交易的公平、公正和安全的情况 </w:t>
      </w:r>
    </w:p>
    <w:p w14:paraId="6DB5E9F2">
      <w:pPr>
        <w:spacing w:line="390" w:lineRule="exact"/>
        <w:ind w:firstLine="480" w:firstLineChars="200"/>
        <w:rPr>
          <w:color w:val="auto"/>
        </w:rPr>
      </w:pPr>
      <w:r>
        <w:rPr>
          <w:rFonts w:hint="eastAsia" w:ascii="宋体" w:hAnsi="宋体" w:cs="宋体"/>
          <w:color w:val="auto"/>
          <w:sz w:val="24"/>
        </w:rPr>
        <w:t>15.4 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监管部门备案。</w:t>
      </w:r>
    </w:p>
    <w:p w14:paraId="19BA0A9C">
      <w:pPr>
        <w:spacing w:line="390" w:lineRule="exact"/>
        <w:rPr>
          <w:rFonts w:ascii="宋体" w:hAnsi="宋体" w:cs="宋体"/>
          <w:b/>
          <w:bCs/>
          <w:color w:val="auto"/>
          <w:sz w:val="24"/>
        </w:rPr>
      </w:pPr>
      <w:r>
        <w:rPr>
          <w:rFonts w:hint="eastAsia" w:ascii="宋体" w:hAnsi="宋体" w:cs="宋体"/>
          <w:b/>
          <w:bCs/>
          <w:color w:val="auto"/>
          <w:sz w:val="24"/>
        </w:rPr>
        <w:t>16、磋商</w:t>
      </w:r>
    </w:p>
    <w:p w14:paraId="13D62341">
      <w:pPr>
        <w:spacing w:line="400" w:lineRule="exact"/>
        <w:ind w:firstLine="480" w:firstLineChars="200"/>
        <w:rPr>
          <w:rFonts w:ascii="宋体" w:hAnsi="宋体" w:cs="宋体"/>
          <w:color w:val="auto"/>
          <w:sz w:val="24"/>
        </w:rPr>
      </w:pPr>
      <w:r>
        <w:rPr>
          <w:rFonts w:hint="eastAsia" w:ascii="宋体" w:hAnsi="宋体" w:cs="宋体"/>
          <w:color w:val="auto"/>
          <w:sz w:val="24"/>
        </w:rPr>
        <w:t>16.1磋商时间及地点：截标后为与磋商供应商的磋商时间：</w:t>
      </w:r>
      <w:r>
        <w:rPr>
          <w:rFonts w:hint="eastAsia" w:ascii="宋体" w:hAnsi="宋体" w:cs="宋体"/>
          <w:color w:val="auto"/>
          <w:sz w:val="24"/>
          <w:lang w:eastAsia="zh-CN"/>
        </w:rPr>
        <w:t>202</w:t>
      </w:r>
      <w:r>
        <w:rPr>
          <w:rFonts w:hint="eastAsia" w:ascii="宋体" w:hAnsi="宋体" w:cs="宋体"/>
          <w:color w:val="auto"/>
          <w:sz w:val="24"/>
          <w:lang w:val="en-US" w:eastAsia="zh-CN"/>
        </w:rPr>
        <w:t>6</w:t>
      </w:r>
      <w:r>
        <w:rPr>
          <w:rFonts w:hint="eastAsia" w:ascii="宋体" w:hAnsi="宋体" w:cs="宋体"/>
          <w:color w:val="auto"/>
          <w:sz w:val="24"/>
          <w:lang w:eastAsia="zh-CN"/>
        </w:rPr>
        <w:t>年0</w:t>
      </w:r>
      <w:r>
        <w:rPr>
          <w:rFonts w:hint="eastAsia" w:ascii="宋体" w:hAnsi="宋体" w:cs="宋体"/>
          <w:color w:val="auto"/>
          <w:sz w:val="24"/>
          <w:lang w:val="en-US" w:eastAsia="zh-CN"/>
        </w:rPr>
        <w:t>9</w:t>
      </w:r>
      <w:r>
        <w:rPr>
          <w:rFonts w:hint="eastAsia" w:ascii="宋体" w:hAnsi="宋体" w:cs="宋体"/>
          <w:color w:val="auto"/>
          <w:sz w:val="24"/>
          <w:lang w:eastAsia="zh-CN"/>
        </w:rPr>
        <w:t>月</w:t>
      </w:r>
      <w:r>
        <w:rPr>
          <w:rFonts w:hint="eastAsia" w:ascii="宋体" w:hAnsi="宋体" w:cs="宋体"/>
          <w:color w:val="auto"/>
          <w:sz w:val="24"/>
          <w:lang w:val="en-US" w:eastAsia="zh-CN"/>
        </w:rPr>
        <w:t>10</w:t>
      </w:r>
      <w:r>
        <w:rPr>
          <w:rFonts w:hint="eastAsia" w:ascii="宋体" w:hAnsi="宋体" w:cs="宋体"/>
          <w:color w:val="auto"/>
          <w:sz w:val="24"/>
          <w:lang w:eastAsia="zh-CN"/>
        </w:rPr>
        <w:t>日09时00分</w:t>
      </w:r>
      <w:r>
        <w:rPr>
          <w:rFonts w:hint="eastAsia" w:ascii="宋体" w:hAnsi="宋体" w:cs="宋体"/>
          <w:color w:val="auto"/>
          <w:sz w:val="24"/>
        </w:rPr>
        <w:t xml:space="preserve"> ，磋商地点为</w:t>
      </w:r>
      <w:r>
        <w:rPr>
          <w:rFonts w:ascii="宋体" w:hAnsi="宋体" w:eastAsia="宋体" w:cs="宋体"/>
          <w:color w:val="auto"/>
          <w:sz w:val="24"/>
          <w:szCs w:val="24"/>
        </w:rPr>
        <w:t>主会场：</w:t>
      </w:r>
      <w:r>
        <w:rPr>
          <w:rFonts w:hint="eastAsia" w:ascii="宋体" w:hAnsi="宋体" w:eastAsia="宋体" w:cs="宋体"/>
          <w:color w:val="auto"/>
          <w:sz w:val="24"/>
          <w:szCs w:val="24"/>
        </w:rPr>
        <w:t>贺州市公共资源交易中心（（贺州市太白西路161号（办公区：贺州市政务服务中心四楼C区；交易大厅：贺州市政务服务中心东侧附属楼），详见现场评标室安排；</w:t>
      </w:r>
      <w:r>
        <w:rPr>
          <w:rFonts w:hint="eastAsia" w:ascii="宋体" w:hAnsi="宋体" w:cs="宋体"/>
          <w:bCs/>
          <w:color w:val="auto"/>
          <w:sz w:val="24"/>
          <w:lang w:eastAsia="zh-CN"/>
        </w:rPr>
        <w:t>评标副会场地址：玉林市玉州区公共资源交易中心（金港路388号）</w:t>
      </w:r>
      <w:r>
        <w:rPr>
          <w:rFonts w:hint="eastAsia" w:ascii="宋体" w:hAnsi="宋体" w:eastAsia="宋体" w:cs="宋体"/>
          <w:color w:val="auto"/>
          <w:sz w:val="24"/>
          <w:szCs w:val="24"/>
        </w:rPr>
        <w:t>，详见现场电子评标室安排</w:t>
      </w:r>
      <w:r>
        <w:rPr>
          <w:rFonts w:hint="eastAsia" w:ascii="宋体" w:hAnsi="宋体" w:cs="宋体"/>
          <w:color w:val="auto"/>
          <w:sz w:val="24"/>
        </w:rPr>
        <w:t>。</w:t>
      </w:r>
    </w:p>
    <w:p w14:paraId="719EC57B">
      <w:pPr>
        <w:spacing w:line="390" w:lineRule="exact"/>
        <w:ind w:firstLine="480" w:firstLineChars="200"/>
        <w:rPr>
          <w:rFonts w:ascii="宋体" w:hAnsi="宋体" w:cs="宋体"/>
          <w:color w:val="auto"/>
          <w:sz w:val="24"/>
        </w:rPr>
      </w:pPr>
      <w:r>
        <w:rPr>
          <w:rFonts w:hint="eastAsia" w:ascii="宋体" w:hAnsi="宋体" w:cs="宋体"/>
          <w:color w:val="auto"/>
          <w:sz w:val="24"/>
        </w:rPr>
        <w:t>16.2采购人根据要求依法组建竞争性磋商小组（以下简称磋商小组），磋商小组由采购人代表和评审专家共三人以上（含三人）单数组成，其中评审专家人数不少于磋商小组成员总数的2/3。评审专家由采购代理机构在</w:t>
      </w:r>
      <w:r>
        <w:rPr>
          <w:rFonts w:hint="eastAsia" w:ascii="宋体" w:hAnsi="宋体" w:cs="宋体"/>
          <w:color w:val="auto"/>
          <w:sz w:val="24"/>
          <w:lang w:eastAsia="zh-CN"/>
        </w:rPr>
        <w:t>广西政府采购云平台</w:t>
      </w:r>
      <w:r>
        <w:rPr>
          <w:rFonts w:hint="eastAsia" w:ascii="宋体" w:hAnsi="宋体" w:cs="宋体"/>
          <w:color w:val="auto"/>
          <w:sz w:val="24"/>
        </w:rPr>
        <w:t>广西评审专家库内相关专业技术、经济等方面的专家名单中随机抽取。</w:t>
      </w:r>
    </w:p>
    <w:p w14:paraId="23C8BE5D">
      <w:pPr>
        <w:pStyle w:val="32"/>
        <w:ind w:firstLine="480" w:firstLineChars="200"/>
        <w:rPr>
          <w:color w:val="auto"/>
          <w:sz w:val="24"/>
          <w:szCs w:val="24"/>
        </w:rPr>
      </w:pPr>
      <w:r>
        <w:rPr>
          <w:rFonts w:hint="eastAsia" w:ascii="宋体" w:hAnsi="宋体" w:cs="宋体"/>
          <w:color w:val="auto"/>
          <w:sz w:val="24"/>
          <w:szCs w:val="24"/>
        </w:rPr>
        <w:t>16.3</w:t>
      </w:r>
      <w:r>
        <w:rPr>
          <w:rFonts w:hint="eastAsia"/>
          <w:color w:val="auto"/>
          <w:sz w:val="24"/>
          <w:szCs w:val="24"/>
        </w:rPr>
        <w:t>评审专家应当遵守评审工作纪律，不得泄露评审情况和评审中获悉的商业秘密。</w:t>
      </w:r>
    </w:p>
    <w:p w14:paraId="46C652B4">
      <w:pPr>
        <w:spacing w:line="390" w:lineRule="exact"/>
        <w:ind w:firstLine="480" w:firstLineChars="200"/>
        <w:rPr>
          <w:color w:val="auto"/>
          <w:sz w:val="24"/>
        </w:rPr>
      </w:pPr>
      <w:r>
        <w:rPr>
          <w:rFonts w:hint="eastAsia" w:ascii="宋体" w:hAnsi="宋体" w:cs="宋体"/>
          <w:color w:val="auto"/>
          <w:sz w:val="24"/>
        </w:rPr>
        <w:t>16.4</w:t>
      </w:r>
      <w:r>
        <w:rPr>
          <w:rFonts w:hint="eastAsia"/>
          <w:color w:val="auto"/>
          <w:sz w:val="24"/>
        </w:rPr>
        <w:t>磋商小组成员应当按照客观、公正、审慎的原则，根据磋商文件规定的评审程序、评审方法和评审标准进行独立评审，</w:t>
      </w:r>
      <w:r>
        <w:rPr>
          <w:rFonts w:hint="eastAsia" w:ascii="宋体" w:hAnsi="宋体" w:cs="宋体"/>
          <w:color w:val="auto"/>
          <w:sz w:val="24"/>
        </w:rPr>
        <w:t>在整个磋商过程中，磋商小组将负责对全部《响应文件》进行审查、磋商及评标工作。</w:t>
      </w:r>
    </w:p>
    <w:p w14:paraId="1BAFD6A9">
      <w:pPr>
        <w:spacing w:line="390" w:lineRule="exact"/>
        <w:ind w:firstLine="480" w:firstLineChars="200"/>
        <w:rPr>
          <w:rFonts w:ascii="宋体" w:hAnsi="宋体" w:cs="宋体"/>
          <w:color w:val="auto"/>
          <w:sz w:val="24"/>
        </w:rPr>
      </w:pPr>
      <w:r>
        <w:rPr>
          <w:rFonts w:hint="eastAsia" w:ascii="宋体" w:hAnsi="宋体" w:cs="宋体"/>
          <w:color w:val="auto"/>
          <w:sz w:val="24"/>
        </w:rPr>
        <w:t xml:space="preserve">16.5采购代理机构将按照提交首次响应文件的顺序在线上通知，通知磋商时，若某供应商不在通知现场时，该供应商排序到最后磋商，按照签到的顺序由其下一位供应商先参与磋商。 </w:t>
      </w:r>
    </w:p>
    <w:p w14:paraId="7255C63C">
      <w:pPr>
        <w:spacing w:line="390" w:lineRule="exact"/>
        <w:ind w:firstLine="480" w:firstLineChars="200"/>
        <w:rPr>
          <w:rFonts w:ascii="宋体" w:hAnsi="宋体" w:cs="宋体"/>
          <w:color w:val="auto"/>
          <w:sz w:val="24"/>
        </w:rPr>
      </w:pPr>
      <w:r>
        <w:rPr>
          <w:rFonts w:hint="eastAsia" w:ascii="宋体" w:hAnsi="宋体" w:cs="宋体"/>
          <w:color w:val="auto"/>
          <w:sz w:val="24"/>
        </w:rPr>
        <w:t>16.6磋商的内容包括技术性条件、商务性条件以及磋商小组认为需要磋商的内容。当《响应文件》有实质性变动的，磋商小组以在线询标通知所有参加磋商的磋商供应商。磋商供应商应在规定的地点、时间内在线回复询标函。磋商供应商就商务和技术条件作出的包含补充、修改、承诺、重新报价等内容的询标回复函或第二轮报价，询标回复函必须由磋商供应商的法定代表人或委托代理人签名或盖电子公章，询标回复函构成《响应文件》的一部分。</w:t>
      </w:r>
    </w:p>
    <w:p w14:paraId="66840AA5">
      <w:pPr>
        <w:spacing w:line="390" w:lineRule="exact"/>
        <w:ind w:firstLine="480" w:firstLineChars="200"/>
        <w:rPr>
          <w:rFonts w:ascii="宋体" w:hAnsi="宋体" w:cs="宋体"/>
          <w:color w:val="auto"/>
          <w:sz w:val="24"/>
        </w:rPr>
      </w:pPr>
      <w:r>
        <w:rPr>
          <w:rFonts w:hint="eastAsia" w:ascii="宋体" w:hAnsi="宋体" w:cs="宋体"/>
          <w:color w:val="auto"/>
          <w:sz w:val="24"/>
        </w:rPr>
        <w:t>16.7磋商小组对各磋商供应商递交的询标回复函或响应文件统一开启，并进行评审后，认为有必要再次进行磋商的，可再次与磋商供应商进行磋商，磋商程序和要求按本须知17.4规定执行，直至磋商小组认为没有必要再进行磋商，磋商方可结束。对最后一轮磋商，磋商小组应明确告知磋商供应商，并要求所有磋商供应商在规定的时间、地点以在线回复形式递交最终的询标回复函。</w:t>
      </w:r>
    </w:p>
    <w:p w14:paraId="3657E7B6">
      <w:pPr>
        <w:spacing w:line="390" w:lineRule="exact"/>
        <w:ind w:firstLine="480" w:firstLineChars="200"/>
        <w:rPr>
          <w:rFonts w:ascii="宋体" w:hAnsi="宋体" w:cs="宋体"/>
          <w:color w:val="auto"/>
          <w:sz w:val="24"/>
        </w:rPr>
      </w:pPr>
      <w:r>
        <w:rPr>
          <w:rFonts w:hint="eastAsia" w:ascii="宋体" w:hAnsi="宋体" w:cs="宋体"/>
          <w:color w:val="auto"/>
          <w:sz w:val="24"/>
        </w:rPr>
        <w:t>16.8最终磋商结束后，磋商小组不得再与磋商供应商进行任何形式的商谈。</w:t>
      </w:r>
    </w:p>
    <w:p w14:paraId="5A5B9182">
      <w:pPr>
        <w:spacing w:line="390" w:lineRule="exact"/>
        <w:ind w:firstLine="480" w:firstLineChars="200"/>
        <w:rPr>
          <w:rFonts w:ascii="宋体" w:hAnsi="宋体" w:cs="宋体"/>
          <w:color w:val="auto"/>
          <w:sz w:val="24"/>
        </w:rPr>
      </w:pPr>
      <w:r>
        <w:rPr>
          <w:rFonts w:hint="eastAsia" w:ascii="宋体" w:hAnsi="宋体" w:cs="宋体"/>
          <w:color w:val="auto"/>
          <w:sz w:val="24"/>
        </w:rPr>
        <w:t>16.9磋商的任何一方不得透露与磋商有关的其他磋商供应商的技术资料、价格和其他信息。</w:t>
      </w:r>
    </w:p>
    <w:p w14:paraId="72D7A038">
      <w:pPr>
        <w:spacing w:line="390" w:lineRule="exact"/>
        <w:rPr>
          <w:rFonts w:ascii="宋体" w:hAnsi="宋体" w:cs="宋体"/>
          <w:b/>
          <w:bCs/>
          <w:color w:val="auto"/>
          <w:sz w:val="24"/>
        </w:rPr>
      </w:pPr>
      <w:r>
        <w:rPr>
          <w:rFonts w:hint="eastAsia" w:ascii="宋体" w:hAnsi="宋体" w:cs="宋体"/>
          <w:b/>
          <w:bCs/>
          <w:color w:val="auto"/>
          <w:sz w:val="24"/>
        </w:rPr>
        <w:t>17、评标</w:t>
      </w:r>
    </w:p>
    <w:p w14:paraId="7C720E05">
      <w:pPr>
        <w:spacing w:line="390" w:lineRule="exact"/>
        <w:ind w:firstLine="480" w:firstLineChars="200"/>
        <w:rPr>
          <w:rFonts w:ascii="宋体" w:hAnsi="宋体" w:cs="宋体"/>
          <w:color w:val="auto"/>
          <w:sz w:val="24"/>
        </w:rPr>
      </w:pPr>
      <w:r>
        <w:rPr>
          <w:rFonts w:hint="eastAsia" w:ascii="宋体" w:hAnsi="宋体" w:cs="宋体"/>
          <w:color w:val="auto"/>
          <w:sz w:val="24"/>
        </w:rPr>
        <w:t>17.1本采购项目的评标依据为《竞争性磋商文件》和《响应文件》。</w:t>
      </w:r>
    </w:p>
    <w:p w14:paraId="4EBC33A6">
      <w:pPr>
        <w:spacing w:line="390" w:lineRule="exact"/>
        <w:ind w:firstLine="480" w:firstLineChars="200"/>
        <w:rPr>
          <w:rFonts w:ascii="宋体" w:hAnsi="宋体" w:cs="宋体"/>
          <w:color w:val="auto"/>
          <w:sz w:val="24"/>
        </w:rPr>
      </w:pPr>
      <w:r>
        <w:rPr>
          <w:rFonts w:hint="eastAsia" w:ascii="宋体" w:hAnsi="宋体" w:cs="宋体"/>
          <w:color w:val="auto"/>
          <w:sz w:val="24"/>
        </w:rPr>
        <w:t>17.2评标工作将采取</w:t>
      </w:r>
      <w:r>
        <w:rPr>
          <w:rFonts w:hint="eastAsia" w:ascii="宋体" w:hAnsi="宋体" w:cs="宋体"/>
          <w:color w:val="auto"/>
          <w:sz w:val="24"/>
          <w:u w:val="single"/>
        </w:rPr>
        <w:t>封闭方式</w:t>
      </w:r>
      <w:r>
        <w:rPr>
          <w:rFonts w:hint="eastAsia" w:ascii="宋体" w:hAnsi="宋体" w:cs="宋体"/>
          <w:color w:val="auto"/>
          <w:sz w:val="24"/>
        </w:rPr>
        <w:t>进行，磋商小组成员和有关工作人员不得透露对《响应文件》的评审、比较和成交人的确定情况以及与评标有关的其他情况。</w:t>
      </w:r>
    </w:p>
    <w:p w14:paraId="7910C952">
      <w:pPr>
        <w:spacing w:line="390" w:lineRule="exact"/>
        <w:ind w:firstLine="480" w:firstLineChars="200"/>
        <w:rPr>
          <w:rFonts w:ascii="宋体" w:hAnsi="宋体" w:cs="宋体"/>
          <w:color w:val="auto"/>
          <w:sz w:val="24"/>
        </w:rPr>
      </w:pPr>
      <w:r>
        <w:rPr>
          <w:rFonts w:hint="eastAsia" w:ascii="宋体" w:hAnsi="宋体" w:cs="宋体"/>
          <w:color w:val="auto"/>
          <w:sz w:val="24"/>
        </w:rPr>
        <w:t>17.3磋商供应商在评标过程中，所进行的力图影响评标结果公正性的活动，将可能导致其成交资格被取消。</w:t>
      </w:r>
    </w:p>
    <w:p w14:paraId="6F6B9EAB">
      <w:pPr>
        <w:spacing w:line="390" w:lineRule="exact"/>
        <w:ind w:firstLine="480" w:firstLineChars="200"/>
        <w:rPr>
          <w:rFonts w:ascii="宋体" w:hAnsi="宋体" w:cs="宋体"/>
          <w:color w:val="auto"/>
          <w:sz w:val="24"/>
        </w:rPr>
      </w:pPr>
      <w:r>
        <w:rPr>
          <w:rFonts w:hint="eastAsia" w:ascii="宋体" w:hAnsi="宋体" w:cs="宋体"/>
          <w:color w:val="auto"/>
          <w:sz w:val="24"/>
        </w:rPr>
        <w:t>17.4磋商小组成员按照客观、公正、审慎的原则，根据磋商文件规定的评审程序、评审方法和评审标准进行独立评审。</w:t>
      </w:r>
    </w:p>
    <w:p w14:paraId="6BE3A438">
      <w:pPr>
        <w:spacing w:line="390" w:lineRule="exact"/>
        <w:ind w:firstLine="480" w:firstLineChars="200"/>
        <w:rPr>
          <w:rFonts w:ascii="宋体" w:hAnsi="宋体" w:cs="宋体"/>
          <w:color w:val="auto"/>
          <w:sz w:val="24"/>
        </w:rPr>
      </w:pPr>
      <w:r>
        <w:rPr>
          <w:rFonts w:hint="eastAsia" w:ascii="宋体" w:hAnsi="宋体" w:cs="宋体"/>
          <w:color w:val="auto"/>
          <w:sz w:val="24"/>
        </w:rPr>
        <w:t>17.4.1响应文件线上资格评审。资格评审分为资格性审查和符合性审查。</w:t>
      </w:r>
    </w:p>
    <w:p w14:paraId="211E68F6">
      <w:pPr>
        <w:spacing w:line="390" w:lineRule="exact"/>
        <w:ind w:firstLine="480" w:firstLineChars="200"/>
        <w:rPr>
          <w:rFonts w:ascii="宋体" w:hAnsi="宋体" w:cs="宋体"/>
          <w:color w:val="auto"/>
          <w:sz w:val="24"/>
        </w:rPr>
      </w:pPr>
      <w:r>
        <w:rPr>
          <w:rFonts w:hint="eastAsia" w:ascii="宋体" w:hAnsi="宋体" w:cs="宋体"/>
          <w:color w:val="auto"/>
          <w:sz w:val="24"/>
        </w:rPr>
        <w:t>(1) 资格性检查。依据法律法规和竞争性磋商文件的规定对响应文件的资质证明、磋商保证金等进行审查，以确定供应商是否具备竞标资格。它所涉及到的主要文件和内容为磋商文件供应商须知第8条、第11条所述的资格证明文件内容和签署、盖章的合格性、合法性等（注：其中信用查询规则见“供应商须知前附表”，“</w:t>
      </w:r>
      <w:r>
        <w:rPr>
          <w:rFonts w:hint="eastAsia" w:ascii="宋体" w:hAnsi="宋体" w:cs="宋体"/>
          <w:color w:val="auto"/>
          <w:sz w:val="24"/>
          <w:lang w:eastAsia="zh-CN"/>
        </w:rPr>
        <w:t>广西政府采购云平台</w:t>
      </w:r>
      <w:r>
        <w:rPr>
          <w:rFonts w:hint="eastAsia" w:ascii="宋体" w:hAnsi="宋体" w:cs="宋体"/>
          <w:color w:val="auto"/>
          <w:sz w:val="24"/>
        </w:rPr>
        <w:t>”平台已与“信用中国”和“中国政府采购网”平台做接口，磋商小组可直接在线查询）。如果供应商不具备竞标资格，不满足磋商文件所规定的资格标准或提供资格证明文件不全的，其竞标将被拒绝。</w:t>
      </w:r>
    </w:p>
    <w:p w14:paraId="5781EA1C">
      <w:pPr>
        <w:spacing w:line="390" w:lineRule="exact"/>
        <w:ind w:firstLine="480" w:firstLineChars="200"/>
        <w:rPr>
          <w:rFonts w:ascii="宋体" w:hAnsi="宋体" w:cs="宋体"/>
          <w:color w:val="auto"/>
          <w:sz w:val="24"/>
        </w:rPr>
      </w:pPr>
      <w:r>
        <w:rPr>
          <w:rFonts w:hint="eastAsia" w:ascii="宋体" w:hAnsi="宋体" w:cs="宋体"/>
          <w:color w:val="auto"/>
          <w:sz w:val="24"/>
        </w:rPr>
        <w:t>(2) 符合性检查。依据磋商文件的规定，从响应文件的有效性、完整性和对磋商文件的响应程度进行审查，以确定是否符合对磋商文件的实质性要求作出响应（采购人可根据具体项目的情况对实质性要求作特别的规定）。实质性偏离是指：(1)实质性影响合同的范围、质量和履行；(2)实质性违背磋商文件，限制了采购人的权利和成交人合同项下的义务；(3)不公正地影响了其它作出实质性响应的供应商的竞争地位。对没有实质性响应的响应文件将不进行评审，其竞标将被拒绝。</w:t>
      </w:r>
    </w:p>
    <w:p w14:paraId="77FBC524">
      <w:pPr>
        <w:spacing w:line="390" w:lineRule="exact"/>
        <w:ind w:firstLine="480" w:firstLineChars="200"/>
        <w:rPr>
          <w:rFonts w:ascii="宋体" w:hAnsi="宋体" w:cs="宋体"/>
          <w:color w:val="auto"/>
          <w:sz w:val="24"/>
        </w:rPr>
      </w:pPr>
      <w:r>
        <w:rPr>
          <w:rFonts w:hint="eastAsia" w:ascii="宋体" w:hAnsi="宋体" w:cs="宋体"/>
          <w:color w:val="auto"/>
          <w:sz w:val="24"/>
        </w:rPr>
        <w:t>(3) 出现下列情况之一的，视为未实质性响应磋商文件的响应文件，按无效响应处理。</w:t>
      </w:r>
    </w:p>
    <w:p w14:paraId="748573AE">
      <w:pPr>
        <w:spacing w:line="390" w:lineRule="exact"/>
        <w:ind w:firstLine="480" w:firstLineChars="200"/>
        <w:rPr>
          <w:rFonts w:ascii="宋体" w:hAnsi="宋体" w:cs="宋体"/>
          <w:color w:val="auto"/>
          <w:sz w:val="24"/>
        </w:rPr>
      </w:pPr>
      <w:r>
        <w:rPr>
          <w:rFonts w:hint="eastAsia" w:ascii="宋体" w:hAnsi="宋体" w:cs="宋体"/>
          <w:color w:val="auto"/>
          <w:sz w:val="24"/>
        </w:rPr>
        <w:t>① 响应文件未按本须知第8条、第11条规定进行编制、签署、盖章的；</w:t>
      </w:r>
    </w:p>
    <w:p w14:paraId="5A5E1B38">
      <w:pPr>
        <w:spacing w:line="390" w:lineRule="exact"/>
        <w:ind w:firstLine="480" w:firstLineChars="200"/>
        <w:rPr>
          <w:rFonts w:ascii="宋体" w:hAnsi="宋体" w:cs="宋体"/>
          <w:color w:val="auto"/>
          <w:sz w:val="24"/>
        </w:rPr>
      </w:pPr>
      <w:r>
        <w:rPr>
          <w:rFonts w:hint="eastAsia" w:ascii="宋体" w:hAnsi="宋体" w:cs="宋体"/>
          <w:color w:val="auto"/>
          <w:sz w:val="24"/>
        </w:rPr>
        <w:t>② 未按本须知第8条规定提交必须提供且有效的证明文件的；</w:t>
      </w:r>
    </w:p>
    <w:p w14:paraId="1ACC100A">
      <w:pPr>
        <w:spacing w:line="390" w:lineRule="exact"/>
        <w:ind w:firstLine="480" w:firstLineChars="200"/>
        <w:rPr>
          <w:rFonts w:ascii="宋体" w:hAnsi="宋体" w:cs="宋体"/>
          <w:color w:val="auto"/>
          <w:sz w:val="24"/>
        </w:rPr>
      </w:pPr>
      <w:r>
        <w:rPr>
          <w:rFonts w:hint="eastAsia" w:ascii="宋体" w:hAnsi="宋体" w:cs="宋体"/>
          <w:color w:val="auto"/>
          <w:sz w:val="24"/>
        </w:rPr>
        <w:t>③ 未按有关要求提交或足额提交磋商保证金的；</w:t>
      </w:r>
    </w:p>
    <w:p w14:paraId="451D5FED">
      <w:pPr>
        <w:spacing w:line="390" w:lineRule="exact"/>
        <w:ind w:firstLine="480" w:firstLineChars="200"/>
        <w:rPr>
          <w:rFonts w:ascii="宋体" w:hAnsi="宋体" w:cs="宋体"/>
          <w:color w:val="auto"/>
          <w:sz w:val="24"/>
        </w:rPr>
      </w:pPr>
      <w:r>
        <w:rPr>
          <w:rFonts w:hint="eastAsia" w:ascii="宋体" w:hAnsi="宋体" w:cs="宋体"/>
          <w:color w:val="auto"/>
          <w:sz w:val="24"/>
        </w:rPr>
        <w:t>④ 磋商有效期不满足磋商文件要求的；</w:t>
      </w:r>
    </w:p>
    <w:p w14:paraId="24AE2EE4">
      <w:pPr>
        <w:spacing w:line="390" w:lineRule="exact"/>
        <w:ind w:firstLine="480" w:firstLineChars="200"/>
        <w:rPr>
          <w:rFonts w:ascii="宋体" w:hAnsi="宋体" w:cs="宋体"/>
          <w:color w:val="auto"/>
          <w:sz w:val="24"/>
        </w:rPr>
      </w:pPr>
      <w:r>
        <w:rPr>
          <w:rFonts w:hint="eastAsia" w:ascii="宋体" w:hAnsi="宋体" w:cs="宋体"/>
          <w:color w:val="auto"/>
          <w:sz w:val="24"/>
        </w:rPr>
        <w:t>⑤ 响应文件的关键内容字迹模糊、无法辨认的；</w:t>
      </w:r>
    </w:p>
    <w:p w14:paraId="20A9145B">
      <w:pPr>
        <w:spacing w:line="390" w:lineRule="exact"/>
        <w:ind w:firstLine="480" w:firstLineChars="200"/>
        <w:rPr>
          <w:rFonts w:ascii="宋体" w:hAnsi="宋体" w:cs="宋体"/>
          <w:color w:val="auto"/>
          <w:sz w:val="24"/>
        </w:rPr>
      </w:pPr>
      <w:r>
        <w:rPr>
          <w:rFonts w:hint="eastAsia" w:ascii="宋体" w:hAnsi="宋体" w:cs="宋体"/>
          <w:color w:val="auto"/>
          <w:sz w:val="24"/>
        </w:rPr>
        <w:t>⑥供应商提交的是可选择的报价的，或最后报价超过采购预算价的；</w:t>
      </w:r>
    </w:p>
    <w:p w14:paraId="11D5273C">
      <w:pPr>
        <w:spacing w:line="390" w:lineRule="exact"/>
        <w:ind w:firstLine="480" w:firstLineChars="200"/>
        <w:rPr>
          <w:rFonts w:ascii="宋体" w:hAnsi="宋体" w:cs="宋体"/>
          <w:color w:val="auto"/>
          <w:sz w:val="24"/>
        </w:rPr>
      </w:pPr>
      <w:r>
        <w:rPr>
          <w:rFonts w:hint="eastAsia" w:ascii="宋体" w:hAnsi="宋体" w:cs="宋体"/>
          <w:color w:val="auto"/>
          <w:sz w:val="24"/>
        </w:rPr>
        <w:t>⑦竞标内容与采购内容及要求存在重大偏离或保留的（如严重背离采购需求、合同协议要求等）；</w:t>
      </w:r>
    </w:p>
    <w:p w14:paraId="642823D4">
      <w:pPr>
        <w:spacing w:line="390" w:lineRule="exact"/>
        <w:ind w:firstLine="480" w:firstLineChars="200"/>
        <w:rPr>
          <w:rFonts w:ascii="宋体" w:hAnsi="宋体" w:cs="宋体"/>
          <w:color w:val="auto"/>
          <w:sz w:val="24"/>
        </w:rPr>
      </w:pPr>
      <w:r>
        <w:rPr>
          <w:rFonts w:hint="eastAsia" w:ascii="宋体" w:hAnsi="宋体" w:cs="宋体"/>
          <w:color w:val="auto"/>
          <w:sz w:val="24"/>
        </w:rPr>
        <w:t>⑧ 响应文件中提供虚假或失实资料的；</w:t>
      </w:r>
    </w:p>
    <w:p w14:paraId="4404E987">
      <w:pPr>
        <w:spacing w:line="390" w:lineRule="exact"/>
        <w:ind w:firstLine="480" w:firstLineChars="200"/>
        <w:rPr>
          <w:rFonts w:ascii="宋体" w:hAnsi="宋体" w:cs="宋体"/>
          <w:color w:val="auto"/>
          <w:sz w:val="24"/>
        </w:rPr>
      </w:pPr>
      <w:r>
        <w:rPr>
          <w:rFonts w:hint="eastAsia" w:ascii="宋体" w:hAnsi="宋体" w:cs="宋体"/>
          <w:color w:val="auto"/>
          <w:sz w:val="24"/>
        </w:rPr>
        <w:t>⑨ 不符合有关法律、法规和磋商文件中规定的其他实质性条款。</w:t>
      </w:r>
    </w:p>
    <w:p w14:paraId="785443F3">
      <w:pPr>
        <w:spacing w:line="390" w:lineRule="exact"/>
        <w:ind w:firstLine="480" w:firstLineChars="200"/>
        <w:rPr>
          <w:rFonts w:ascii="宋体" w:hAnsi="宋体" w:cs="宋体"/>
          <w:color w:val="auto"/>
          <w:sz w:val="24"/>
        </w:rPr>
      </w:pPr>
      <w:r>
        <w:rPr>
          <w:rFonts w:hint="eastAsia" w:ascii="宋体" w:hAnsi="宋体" w:cs="宋体"/>
          <w:color w:val="auto"/>
          <w:sz w:val="24"/>
        </w:rPr>
        <w:t>17.4.2澄清有关问题。</w:t>
      </w:r>
    </w:p>
    <w:p w14:paraId="56A2F929">
      <w:pPr>
        <w:spacing w:line="390" w:lineRule="exact"/>
        <w:ind w:firstLine="480" w:firstLineChars="200"/>
        <w:rPr>
          <w:rFonts w:ascii="宋体" w:hAnsi="宋体" w:cs="宋体"/>
          <w:color w:val="auto"/>
          <w:sz w:val="24"/>
        </w:rPr>
      </w:pPr>
      <w:r>
        <w:rPr>
          <w:rFonts w:hint="eastAsia" w:ascii="宋体" w:hAnsi="宋体" w:cs="宋体"/>
          <w:color w:val="auto"/>
          <w:sz w:val="24"/>
        </w:rPr>
        <w:t>(1)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FE89196">
      <w:pPr>
        <w:spacing w:line="390" w:lineRule="exact"/>
        <w:ind w:firstLine="480" w:firstLineChars="200"/>
        <w:rPr>
          <w:rFonts w:ascii="宋体" w:hAnsi="宋体" w:cs="宋体"/>
          <w:color w:val="auto"/>
          <w:sz w:val="24"/>
        </w:rPr>
      </w:pPr>
      <w:r>
        <w:rPr>
          <w:rFonts w:hint="eastAsia" w:ascii="宋体" w:hAnsi="宋体" w:cs="宋体"/>
          <w:color w:val="auto"/>
          <w:sz w:val="24"/>
        </w:rPr>
        <w:t>(2)磋商小组要求供应商澄清、说明或者更正响应文件应当以在线询标形式作出。供应商的澄清、说明或者更正应当由法定代表人或委托代理人签名或盖电子公章。由授权代表签字的，应当附法定代表人授权书。</w:t>
      </w:r>
    </w:p>
    <w:p w14:paraId="33AA52B6">
      <w:pPr>
        <w:spacing w:line="390" w:lineRule="exact"/>
        <w:ind w:firstLine="480" w:firstLineChars="200"/>
        <w:rPr>
          <w:rFonts w:ascii="宋体" w:hAnsi="宋体" w:cs="宋体"/>
          <w:color w:val="auto"/>
          <w:sz w:val="24"/>
        </w:rPr>
      </w:pPr>
      <w:r>
        <w:rPr>
          <w:rFonts w:hint="eastAsia" w:ascii="宋体" w:hAnsi="宋体" w:cs="宋体"/>
          <w:color w:val="auto"/>
          <w:sz w:val="24"/>
        </w:rPr>
        <w:t>(3)响应文件如果出现计算或表达上的错误，修正错误的原则如下：</w:t>
      </w:r>
    </w:p>
    <w:p w14:paraId="03F3A42B">
      <w:pPr>
        <w:spacing w:line="390" w:lineRule="exact"/>
        <w:ind w:firstLine="480" w:firstLineChars="200"/>
        <w:rPr>
          <w:rFonts w:ascii="宋体" w:hAnsi="宋体" w:cs="宋体"/>
          <w:color w:val="auto"/>
          <w:sz w:val="24"/>
        </w:rPr>
      </w:pPr>
      <w:r>
        <w:rPr>
          <w:rFonts w:hint="eastAsia" w:ascii="宋体" w:hAnsi="宋体" w:cs="宋体"/>
          <w:color w:val="auto"/>
          <w:sz w:val="24"/>
        </w:rPr>
        <w:t>① 响应文件中《竞标函附录》与《竞标函》内容不一致的，以《竞标函附录》为准。</w:t>
      </w:r>
    </w:p>
    <w:p w14:paraId="0AB816E1">
      <w:pPr>
        <w:spacing w:line="390" w:lineRule="exact"/>
        <w:ind w:firstLine="480" w:firstLineChars="200"/>
        <w:rPr>
          <w:rFonts w:ascii="宋体" w:hAnsi="宋体" w:cs="宋体"/>
          <w:color w:val="auto"/>
          <w:sz w:val="24"/>
        </w:rPr>
      </w:pPr>
      <w:r>
        <w:rPr>
          <w:rFonts w:hint="eastAsia" w:ascii="宋体" w:hAnsi="宋体" w:cs="宋体"/>
          <w:color w:val="auto"/>
          <w:sz w:val="24"/>
        </w:rPr>
        <w:t>② 响应文件的大写金额和小写金额不一致的，以大写金额为准；</w:t>
      </w:r>
    </w:p>
    <w:p w14:paraId="4A1CA9FF">
      <w:pPr>
        <w:spacing w:line="390" w:lineRule="exact"/>
        <w:ind w:firstLine="480" w:firstLineChars="200"/>
        <w:rPr>
          <w:rFonts w:ascii="宋体" w:hAnsi="宋体" w:cs="宋体"/>
          <w:color w:val="auto"/>
          <w:sz w:val="24"/>
        </w:rPr>
      </w:pPr>
      <w:r>
        <w:rPr>
          <w:rFonts w:hint="eastAsia" w:ascii="宋体" w:hAnsi="宋体" w:cs="宋体"/>
          <w:color w:val="auto"/>
          <w:sz w:val="24"/>
        </w:rPr>
        <w:t>③ 总价金额与按单价汇总金额不一致的，以单价金额计算结果为准；</w:t>
      </w:r>
    </w:p>
    <w:p w14:paraId="2DE02921">
      <w:pPr>
        <w:spacing w:line="390" w:lineRule="exact"/>
        <w:ind w:firstLine="480" w:firstLineChars="200"/>
        <w:rPr>
          <w:rFonts w:ascii="宋体" w:hAnsi="宋体" w:cs="宋体"/>
          <w:color w:val="auto"/>
          <w:sz w:val="24"/>
        </w:rPr>
      </w:pPr>
      <w:r>
        <w:rPr>
          <w:rFonts w:hint="eastAsia" w:ascii="宋体" w:hAnsi="宋体" w:cs="宋体"/>
          <w:color w:val="auto"/>
          <w:sz w:val="24"/>
        </w:rPr>
        <w:t>④ 单价金额小数点有明显错位的，应以总价为准，并修改单价；</w:t>
      </w:r>
    </w:p>
    <w:p w14:paraId="0F7AD8DF">
      <w:pPr>
        <w:spacing w:line="390" w:lineRule="exact"/>
        <w:ind w:firstLine="480" w:firstLineChars="200"/>
        <w:rPr>
          <w:rFonts w:ascii="宋体" w:hAnsi="宋体" w:cs="宋体"/>
          <w:color w:val="auto"/>
          <w:sz w:val="24"/>
        </w:rPr>
      </w:pPr>
      <w:r>
        <w:rPr>
          <w:rFonts w:hint="eastAsia" w:ascii="宋体" w:hAnsi="宋体" w:cs="宋体"/>
          <w:color w:val="auto"/>
          <w:sz w:val="24"/>
        </w:rPr>
        <w:t>⑤ 对不同文字文本响应文件的解释发生异议的，以中文文本为准。</w:t>
      </w:r>
    </w:p>
    <w:p w14:paraId="5E3396B4">
      <w:pPr>
        <w:spacing w:line="390" w:lineRule="exact"/>
        <w:ind w:firstLine="480" w:firstLineChars="200"/>
        <w:rPr>
          <w:rFonts w:ascii="宋体" w:hAnsi="宋体" w:cs="宋体"/>
          <w:color w:val="auto"/>
          <w:sz w:val="24"/>
        </w:rPr>
      </w:pPr>
      <w:r>
        <w:rPr>
          <w:rFonts w:hint="eastAsia" w:ascii="宋体" w:hAnsi="宋体" w:cs="宋体"/>
          <w:color w:val="auto"/>
          <w:sz w:val="24"/>
        </w:rPr>
        <w:t>⑥ 按上述修正错误的原则及方法调整或修正响应文件的磋商报价，在供应商确认后，调整后的磋商报价对供应商起约束作用。如果供应商拒绝确认，不接受修正后的价格或报价，则其响应文件将不予评审，其竞标将被拒绝，采购人有权没收其磋商保证金。</w:t>
      </w:r>
    </w:p>
    <w:p w14:paraId="0DE70BC1">
      <w:pPr>
        <w:spacing w:line="390" w:lineRule="exact"/>
        <w:ind w:firstLine="480" w:firstLineChars="200"/>
        <w:rPr>
          <w:rFonts w:ascii="宋体" w:hAnsi="宋体" w:cs="宋体"/>
          <w:color w:val="auto"/>
          <w:sz w:val="24"/>
        </w:rPr>
      </w:pPr>
      <w:r>
        <w:rPr>
          <w:rFonts w:hint="eastAsia" w:ascii="宋体" w:hAnsi="宋体" w:cs="宋体"/>
          <w:color w:val="auto"/>
          <w:sz w:val="24"/>
        </w:rPr>
        <w:t>17.4.3磋商过程。</w:t>
      </w:r>
    </w:p>
    <w:p w14:paraId="0B37C4A7">
      <w:pPr>
        <w:spacing w:line="390" w:lineRule="exact"/>
        <w:ind w:firstLine="480" w:firstLineChars="200"/>
        <w:rPr>
          <w:rFonts w:ascii="宋体" w:hAnsi="宋体" w:cs="宋体"/>
          <w:color w:val="auto"/>
          <w:sz w:val="24"/>
        </w:rPr>
      </w:pPr>
      <w:r>
        <w:rPr>
          <w:rFonts w:hint="eastAsia" w:ascii="宋体" w:hAnsi="宋体" w:cs="宋体"/>
          <w:color w:val="auto"/>
          <w:sz w:val="24"/>
        </w:rPr>
        <w:t>(1)磋商小组所有成员集中与单一供应商分别进行磋商（最多三轮），磋商的内容包括技术条件、商务性条件及磋商小组认为需要磋商的内容。</w:t>
      </w:r>
    </w:p>
    <w:p w14:paraId="3EF372FB">
      <w:pPr>
        <w:spacing w:line="390" w:lineRule="exact"/>
        <w:ind w:firstLine="480" w:firstLineChars="200"/>
        <w:rPr>
          <w:rFonts w:ascii="宋体" w:hAnsi="宋体" w:cs="宋体"/>
          <w:color w:val="auto"/>
          <w:sz w:val="24"/>
        </w:rPr>
      </w:pPr>
      <w:r>
        <w:rPr>
          <w:rFonts w:hint="eastAsia" w:ascii="宋体" w:hAnsi="宋体" w:cs="宋体"/>
          <w:color w:val="auto"/>
          <w:sz w:val="24"/>
        </w:rPr>
        <w:t>(2)在磋商过程中，磋商小组可以根据磋商文件和磋商情况实质性变动项目需求中的技术、服务要求以及合同草案条款，但不得变动磋商文件中的其他内容。实质性变动的内容，须经采购人代表确认。</w:t>
      </w:r>
    </w:p>
    <w:p w14:paraId="1C85E2E7">
      <w:pPr>
        <w:spacing w:line="390" w:lineRule="exact"/>
        <w:ind w:firstLine="480" w:firstLineChars="200"/>
        <w:rPr>
          <w:rFonts w:ascii="宋体" w:hAnsi="宋体" w:cs="宋体"/>
          <w:color w:val="auto"/>
          <w:sz w:val="24"/>
        </w:rPr>
      </w:pPr>
      <w:r>
        <w:rPr>
          <w:rFonts w:hint="eastAsia" w:ascii="宋体" w:hAnsi="宋体" w:cs="宋体"/>
          <w:color w:val="auto"/>
          <w:sz w:val="24"/>
        </w:rPr>
        <w:t>(3)对磋商文件作出的实质性变动是磋商文件的有效组成部分，磋商小组应当及时以在线询标/澄清形式同时通知所有参加磋商的供应商。</w:t>
      </w:r>
    </w:p>
    <w:p w14:paraId="68243247">
      <w:pPr>
        <w:spacing w:line="390" w:lineRule="exact"/>
        <w:ind w:firstLine="480" w:firstLineChars="200"/>
        <w:rPr>
          <w:rFonts w:ascii="宋体" w:hAnsi="宋体" w:cs="宋体"/>
          <w:color w:val="auto"/>
          <w:sz w:val="24"/>
        </w:rPr>
      </w:pPr>
      <w:r>
        <w:rPr>
          <w:rFonts w:hint="eastAsia" w:ascii="宋体" w:hAnsi="宋体" w:cs="宋体"/>
          <w:color w:val="auto"/>
          <w:sz w:val="24"/>
        </w:rPr>
        <w:t>(4)供应商应当按照磋商文件的变动情况和磋商小组的要求重新提交应答文件，并由其法定代表人或委托代理人签名或盖电子公章。由授权代表签字的，应当附法定代表人授权书。</w:t>
      </w:r>
    </w:p>
    <w:p w14:paraId="1C400B0A">
      <w:pPr>
        <w:spacing w:line="390" w:lineRule="exact"/>
        <w:ind w:firstLine="480" w:firstLineChars="200"/>
        <w:rPr>
          <w:rFonts w:ascii="宋体" w:hAnsi="宋体" w:cs="宋体"/>
          <w:color w:val="auto"/>
          <w:sz w:val="24"/>
        </w:rPr>
      </w:pPr>
      <w:r>
        <w:rPr>
          <w:rFonts w:hint="eastAsia" w:ascii="宋体" w:hAnsi="宋体" w:cs="宋体"/>
          <w:color w:val="auto"/>
          <w:sz w:val="24"/>
        </w:rPr>
        <w:t>(5)供应商未在通知的时间内到达现场参加磋商的，或未提交书面说明退出磋商的，或未在规定时间内提交在线应答文件和最后报价的，视为供应商自动放弃磋商。</w:t>
      </w:r>
    </w:p>
    <w:p w14:paraId="1BC0D43E">
      <w:pPr>
        <w:spacing w:line="390" w:lineRule="exact"/>
        <w:ind w:firstLine="480" w:firstLineChars="200"/>
        <w:rPr>
          <w:rFonts w:ascii="宋体" w:hAnsi="宋体" w:cs="宋体"/>
          <w:color w:val="auto"/>
          <w:sz w:val="24"/>
        </w:rPr>
      </w:pPr>
      <w:r>
        <w:rPr>
          <w:rFonts w:hint="eastAsia" w:ascii="宋体" w:hAnsi="宋体" w:cs="宋体"/>
          <w:color w:val="auto"/>
          <w:sz w:val="24"/>
        </w:rPr>
        <w:t>(6)最终磋商结束后，磋商小组不得再与供应商进行任何形式的商谈。磋商的任何一方不得透露与磋商有关的其他供应商的技术资料、价格和其他信息。</w:t>
      </w:r>
    </w:p>
    <w:p w14:paraId="09B9C27E">
      <w:pPr>
        <w:spacing w:line="390" w:lineRule="exact"/>
        <w:ind w:firstLine="480" w:firstLineChars="200"/>
        <w:rPr>
          <w:rFonts w:ascii="宋体" w:hAnsi="宋体" w:cs="宋体"/>
          <w:color w:val="auto"/>
          <w:sz w:val="24"/>
        </w:rPr>
      </w:pPr>
      <w:r>
        <w:rPr>
          <w:rFonts w:hint="eastAsia" w:ascii="宋体" w:hAnsi="宋体" w:cs="宋体"/>
          <w:color w:val="auto"/>
          <w:sz w:val="24"/>
        </w:rPr>
        <w:t>17.4.4磋商小组对竞标人资格性和竞标文件符合性审查。磋商小组只接受通过资格性和符合性审查竞标人在规定时间（</w:t>
      </w:r>
      <w:r>
        <w:rPr>
          <w:rFonts w:hint="eastAsia" w:ascii="宋体" w:hAnsi="宋体" w:cs="宋体"/>
          <w:color w:val="auto"/>
          <w:sz w:val="24"/>
          <w:lang w:val="en-US" w:eastAsia="zh-CN"/>
        </w:rPr>
        <w:t>3</w:t>
      </w:r>
      <w:r>
        <w:rPr>
          <w:rFonts w:hint="eastAsia" w:ascii="宋体" w:hAnsi="宋体" w:cs="宋体"/>
          <w:color w:val="auto"/>
          <w:sz w:val="24"/>
        </w:rPr>
        <w:t>0分钟）内进行磋商最终总报价。</w:t>
      </w:r>
    </w:p>
    <w:p w14:paraId="13598610">
      <w:pPr>
        <w:spacing w:line="390" w:lineRule="exact"/>
        <w:ind w:firstLine="480" w:firstLineChars="200"/>
        <w:rPr>
          <w:rFonts w:ascii="宋体" w:hAnsi="宋体" w:cs="宋体"/>
          <w:color w:val="auto"/>
          <w:sz w:val="24"/>
        </w:rPr>
      </w:pPr>
      <w:r>
        <w:rPr>
          <w:rFonts w:hint="eastAsia" w:ascii="宋体" w:hAnsi="宋体" w:cs="宋体"/>
          <w:color w:val="auto"/>
          <w:sz w:val="24"/>
        </w:rPr>
        <w:t>17.4.5比较与评价。经磋商确定最终采购需求和提交最后报价的供应商后，由磋商小组采用综合评分法（详见第八章）对提交最后报价的供应商的响应文件和最后报价进行综合评分。</w:t>
      </w:r>
    </w:p>
    <w:p w14:paraId="049226D3">
      <w:pPr>
        <w:spacing w:line="390" w:lineRule="exact"/>
        <w:ind w:firstLine="480" w:firstLineChars="200"/>
        <w:rPr>
          <w:rFonts w:ascii="宋体" w:hAnsi="宋体" w:cs="宋体"/>
          <w:color w:val="auto"/>
          <w:sz w:val="24"/>
        </w:rPr>
      </w:pPr>
      <w:r>
        <w:rPr>
          <w:rFonts w:hint="eastAsia" w:ascii="宋体" w:hAnsi="宋体" w:cs="宋体"/>
          <w:color w:val="auto"/>
          <w:sz w:val="24"/>
        </w:rPr>
        <w:t>17.4.6推荐成交候选人名单及编写评审报告。磋商小组根据综合评分情况，按照评分办法的成交标准及成交候选人推荐原则依次推荐成交候选人名单，并根据磋商过程和结果编写评审报告。</w:t>
      </w:r>
    </w:p>
    <w:p w14:paraId="2CB819EE">
      <w:pPr>
        <w:spacing w:line="390" w:lineRule="exact"/>
        <w:ind w:firstLine="480" w:firstLineChars="200"/>
        <w:rPr>
          <w:rFonts w:ascii="宋体" w:hAnsi="宋体" w:cs="宋体"/>
          <w:color w:val="auto"/>
          <w:sz w:val="24"/>
        </w:rPr>
      </w:pPr>
      <w:r>
        <w:rPr>
          <w:rFonts w:hint="eastAsia" w:ascii="宋体" w:hAnsi="宋体" w:cs="宋体"/>
          <w:color w:val="auto"/>
          <w:sz w:val="24"/>
        </w:rPr>
        <w:t>17.5评审会纪律</w:t>
      </w:r>
    </w:p>
    <w:p w14:paraId="299E3A50">
      <w:pPr>
        <w:spacing w:line="390" w:lineRule="exact"/>
        <w:ind w:firstLine="480" w:firstLineChars="200"/>
        <w:rPr>
          <w:rFonts w:ascii="宋体" w:hAnsi="宋体" w:cs="宋体"/>
          <w:color w:val="auto"/>
          <w:sz w:val="24"/>
        </w:rPr>
      </w:pPr>
      <w:r>
        <w:rPr>
          <w:rFonts w:hint="eastAsia" w:ascii="宋体" w:hAnsi="宋体" w:cs="宋体"/>
          <w:color w:val="auto"/>
          <w:sz w:val="24"/>
        </w:rPr>
        <w:t>17.5.1评审过程的保密性。磋商小组成员、有关工作人员及其他知情人不得透露对响应文件评审、比较、成交候选人的推荐情况以及与评审有关的其他情况。</w:t>
      </w:r>
    </w:p>
    <w:p w14:paraId="6EAD486F">
      <w:pPr>
        <w:spacing w:line="390" w:lineRule="exact"/>
        <w:ind w:firstLine="480" w:firstLineChars="200"/>
        <w:rPr>
          <w:rFonts w:ascii="宋体" w:hAnsi="宋体" w:cs="宋体"/>
          <w:color w:val="auto"/>
          <w:sz w:val="24"/>
        </w:rPr>
      </w:pPr>
      <w:r>
        <w:rPr>
          <w:rFonts w:hint="eastAsia" w:ascii="宋体" w:hAnsi="宋体" w:cs="宋体"/>
          <w:color w:val="auto"/>
          <w:sz w:val="24"/>
        </w:rPr>
        <w:t>17.5.2在磋商评审期间，供应商试图影响采购人和磋商小组的任何活动，将导致其报价被拒绝，并承担相应的法律责任。</w:t>
      </w:r>
    </w:p>
    <w:p w14:paraId="1F3928CA">
      <w:pPr>
        <w:pStyle w:val="24"/>
        <w:spacing w:line="400" w:lineRule="exact"/>
        <w:rPr>
          <w:rFonts w:hAnsi="宋体" w:cs="宋体"/>
          <w:b/>
          <w:bCs/>
          <w:color w:val="auto"/>
          <w:sz w:val="24"/>
          <w:szCs w:val="24"/>
        </w:rPr>
      </w:pPr>
      <w:r>
        <w:rPr>
          <w:rFonts w:hint="eastAsia" w:hAnsi="宋体" w:cs="宋体"/>
          <w:b/>
          <w:bCs/>
          <w:color w:val="auto"/>
          <w:sz w:val="24"/>
          <w:szCs w:val="24"/>
        </w:rPr>
        <w:t>18、拒绝接收</w:t>
      </w:r>
    </w:p>
    <w:p w14:paraId="5AB2954A">
      <w:pPr>
        <w:pStyle w:val="24"/>
        <w:spacing w:line="400" w:lineRule="exact"/>
        <w:ind w:firstLine="480" w:firstLineChars="200"/>
        <w:rPr>
          <w:rFonts w:hAnsi="宋体" w:cs="宋体"/>
          <w:color w:val="auto"/>
          <w:sz w:val="24"/>
          <w:szCs w:val="24"/>
        </w:rPr>
      </w:pPr>
      <w:r>
        <w:rPr>
          <w:rFonts w:hint="eastAsia" w:hAnsi="宋体" w:cs="宋体"/>
          <w:color w:val="auto"/>
          <w:sz w:val="24"/>
          <w:szCs w:val="24"/>
        </w:rPr>
        <w:t>18.1属下列情形之一的，采购机构应当拒绝接收磋商供应商的响应文件：</w:t>
      </w:r>
    </w:p>
    <w:p w14:paraId="658DA674">
      <w:pPr>
        <w:pStyle w:val="24"/>
        <w:spacing w:line="400" w:lineRule="exact"/>
        <w:ind w:firstLine="480" w:firstLineChars="200"/>
        <w:rPr>
          <w:rFonts w:hAnsi="宋体" w:cs="宋体"/>
          <w:color w:val="auto"/>
          <w:sz w:val="24"/>
          <w:szCs w:val="24"/>
        </w:rPr>
      </w:pPr>
      <w:r>
        <w:rPr>
          <w:rFonts w:hint="eastAsia" w:hAnsi="宋体" w:cs="宋体"/>
          <w:color w:val="auto"/>
          <w:sz w:val="24"/>
          <w:szCs w:val="24"/>
        </w:rPr>
        <w:t>（1）在本章第14.1项规定的投标截止时间之后送达的；</w:t>
      </w:r>
    </w:p>
    <w:p w14:paraId="38360487">
      <w:pPr>
        <w:pStyle w:val="24"/>
        <w:spacing w:line="400" w:lineRule="exact"/>
        <w:ind w:firstLine="480" w:firstLineChars="200"/>
        <w:rPr>
          <w:rFonts w:hAnsi="宋体" w:cs="宋体"/>
          <w:color w:val="auto"/>
          <w:sz w:val="24"/>
          <w:szCs w:val="24"/>
        </w:rPr>
      </w:pPr>
      <w:r>
        <w:rPr>
          <w:rFonts w:hint="eastAsia" w:hAnsi="宋体" w:cs="宋体"/>
          <w:color w:val="auto"/>
          <w:sz w:val="24"/>
          <w:szCs w:val="24"/>
        </w:rPr>
        <w:t>（2）未送达至本章第14.1项指定的递交响应文件地点的；</w:t>
      </w:r>
    </w:p>
    <w:p w14:paraId="6A910445">
      <w:pPr>
        <w:pStyle w:val="86"/>
        <w:spacing w:line="400" w:lineRule="exact"/>
        <w:outlineLvl w:val="9"/>
        <w:rPr>
          <w:rFonts w:hAnsi="宋体" w:cs="宋体"/>
          <w:b/>
          <w:color w:val="auto"/>
          <w:sz w:val="24"/>
          <w:szCs w:val="24"/>
        </w:rPr>
      </w:pPr>
      <w:r>
        <w:rPr>
          <w:rFonts w:hint="eastAsia" w:hAnsi="宋体" w:cs="宋体"/>
          <w:b/>
          <w:color w:val="auto"/>
          <w:sz w:val="24"/>
          <w:szCs w:val="24"/>
        </w:rPr>
        <w:t>19、无效的响应文件</w:t>
      </w:r>
    </w:p>
    <w:p w14:paraId="5BF2C188">
      <w:pPr>
        <w:widowControl/>
        <w:spacing w:line="400" w:lineRule="exact"/>
        <w:ind w:firstLine="420"/>
        <w:jc w:val="left"/>
        <w:rPr>
          <w:rFonts w:ascii="宋体" w:hAnsi="宋体" w:cs="宋体"/>
          <w:color w:val="auto"/>
          <w:sz w:val="24"/>
        </w:rPr>
      </w:pPr>
      <w:r>
        <w:rPr>
          <w:rFonts w:hint="eastAsia" w:ascii="宋体" w:hAnsi="宋体" w:cs="宋体"/>
          <w:color w:val="auto"/>
          <w:sz w:val="24"/>
        </w:rPr>
        <w:t>19.1响应文件如有下列情况之一，将会在评标中视为无效文件处理：</w:t>
      </w:r>
    </w:p>
    <w:p w14:paraId="18FC6F6D">
      <w:pPr>
        <w:widowControl/>
        <w:numPr>
          <w:ilvl w:val="0"/>
          <w:numId w:val="6"/>
        </w:numPr>
        <w:spacing w:line="400" w:lineRule="exact"/>
        <w:jc w:val="left"/>
        <w:rPr>
          <w:rFonts w:ascii="宋体" w:hAnsi="宋体" w:cs="宋体"/>
          <w:bCs/>
          <w:color w:val="auto"/>
          <w:sz w:val="24"/>
        </w:rPr>
      </w:pPr>
      <w:r>
        <w:rPr>
          <w:rFonts w:hint="eastAsia" w:ascii="宋体" w:hAnsi="宋体" w:cs="宋体"/>
          <w:bCs/>
          <w:color w:val="auto"/>
          <w:sz w:val="24"/>
        </w:rPr>
        <w:t>未按照磋商文件规定要求密封、签署、盖章的；</w:t>
      </w:r>
    </w:p>
    <w:p w14:paraId="3F3E334A">
      <w:pPr>
        <w:widowControl/>
        <w:numPr>
          <w:ilvl w:val="0"/>
          <w:numId w:val="6"/>
        </w:numPr>
        <w:spacing w:line="400" w:lineRule="exact"/>
        <w:jc w:val="left"/>
        <w:rPr>
          <w:rFonts w:ascii="宋体" w:hAnsi="宋体" w:cs="宋体"/>
          <w:bCs/>
          <w:color w:val="auto"/>
          <w:sz w:val="24"/>
        </w:rPr>
      </w:pPr>
      <w:r>
        <w:rPr>
          <w:rFonts w:hint="eastAsia" w:ascii="宋体" w:hAnsi="宋体" w:cs="宋体"/>
          <w:bCs/>
          <w:color w:val="auto"/>
          <w:sz w:val="24"/>
        </w:rPr>
        <w:t>不具备磋商文件中规定资格要求的；</w:t>
      </w:r>
    </w:p>
    <w:p w14:paraId="331C8122">
      <w:pPr>
        <w:widowControl/>
        <w:numPr>
          <w:ilvl w:val="0"/>
          <w:numId w:val="6"/>
        </w:numPr>
        <w:spacing w:line="400" w:lineRule="exact"/>
        <w:jc w:val="left"/>
        <w:rPr>
          <w:rFonts w:ascii="宋体" w:hAnsi="宋体" w:cs="宋体"/>
          <w:bCs/>
          <w:color w:val="auto"/>
          <w:sz w:val="24"/>
        </w:rPr>
      </w:pPr>
      <w:r>
        <w:rPr>
          <w:rFonts w:hint="eastAsia" w:ascii="宋体" w:hAnsi="宋体" w:cs="宋体"/>
          <w:bCs/>
          <w:color w:val="auto"/>
          <w:sz w:val="24"/>
        </w:rPr>
        <w:t>未交应交磋商保证金的或未按磋商文件要求缴纳磋商保证金的；</w:t>
      </w:r>
    </w:p>
    <w:p w14:paraId="273DC3D8">
      <w:pPr>
        <w:widowControl/>
        <w:numPr>
          <w:ilvl w:val="0"/>
          <w:numId w:val="6"/>
        </w:numPr>
        <w:spacing w:line="400" w:lineRule="exact"/>
        <w:jc w:val="left"/>
        <w:rPr>
          <w:rFonts w:ascii="宋体" w:hAnsi="宋体" w:cs="宋体"/>
          <w:bCs/>
          <w:color w:val="auto"/>
          <w:sz w:val="24"/>
        </w:rPr>
      </w:pPr>
      <w:r>
        <w:rPr>
          <w:rFonts w:hint="eastAsia" w:ascii="宋体" w:hAnsi="宋体" w:cs="宋体"/>
          <w:bCs/>
          <w:color w:val="auto"/>
          <w:sz w:val="24"/>
        </w:rPr>
        <w:t>磋商供应商报价超出了采购预算价的；</w:t>
      </w:r>
    </w:p>
    <w:p w14:paraId="40862ACD">
      <w:pPr>
        <w:widowControl/>
        <w:numPr>
          <w:ilvl w:val="0"/>
          <w:numId w:val="6"/>
        </w:numPr>
        <w:spacing w:line="400" w:lineRule="exact"/>
        <w:jc w:val="left"/>
        <w:rPr>
          <w:rFonts w:ascii="宋体" w:hAnsi="宋体" w:cs="宋体"/>
          <w:bCs/>
          <w:color w:val="auto"/>
          <w:sz w:val="24"/>
        </w:rPr>
      </w:pPr>
      <w:r>
        <w:rPr>
          <w:rFonts w:hint="eastAsia" w:ascii="宋体" w:hAnsi="宋体" w:cs="宋体"/>
          <w:bCs/>
          <w:color w:val="auto"/>
          <w:sz w:val="24"/>
        </w:rPr>
        <w:t>不符磋商文件中规定的其它实质性要求并且在磋商规定内时间无法说明和补充的；</w:t>
      </w:r>
    </w:p>
    <w:p w14:paraId="1905873C">
      <w:pPr>
        <w:widowControl/>
        <w:numPr>
          <w:ilvl w:val="0"/>
          <w:numId w:val="6"/>
        </w:numPr>
        <w:spacing w:line="400" w:lineRule="exact"/>
        <w:jc w:val="left"/>
        <w:rPr>
          <w:rFonts w:ascii="宋体" w:hAnsi="宋体" w:cs="宋体"/>
          <w:bCs/>
          <w:color w:val="auto"/>
          <w:sz w:val="24"/>
        </w:rPr>
      </w:pPr>
      <w:r>
        <w:rPr>
          <w:rFonts w:hint="eastAsia" w:ascii="宋体" w:hAnsi="宋体" w:cs="宋体"/>
          <w:bCs/>
          <w:color w:val="auto"/>
          <w:sz w:val="24"/>
        </w:rPr>
        <w:t>未按磋商文件中提出实质性要求和条件作出完全响应的；</w:t>
      </w:r>
    </w:p>
    <w:p w14:paraId="3D18C961">
      <w:pPr>
        <w:widowControl/>
        <w:numPr>
          <w:ilvl w:val="0"/>
          <w:numId w:val="6"/>
        </w:numPr>
        <w:spacing w:line="400" w:lineRule="exact"/>
        <w:jc w:val="left"/>
        <w:rPr>
          <w:rFonts w:ascii="宋体" w:hAnsi="宋体" w:cs="宋体"/>
          <w:bCs/>
          <w:color w:val="auto"/>
          <w:sz w:val="24"/>
        </w:rPr>
      </w:pPr>
      <w:r>
        <w:rPr>
          <w:rFonts w:hint="eastAsia" w:ascii="宋体" w:hAnsi="宋体" w:cs="宋体"/>
          <w:bCs/>
          <w:color w:val="auto"/>
          <w:sz w:val="24"/>
        </w:rPr>
        <w:t>不同供应商的响应文件由同一单位或者个人编制的；或不同投标人报名的IP地址一致的</w:t>
      </w:r>
      <w:r>
        <w:rPr>
          <w:rFonts w:hint="eastAsia" w:ascii="宋体" w:hAnsi="宋体" w:cs="宋体"/>
          <w:bCs/>
          <w:color w:val="auto"/>
          <w:sz w:val="24"/>
          <w:lang w:eastAsia="zh-CN"/>
        </w:rPr>
        <w:t>；</w:t>
      </w:r>
      <w:r>
        <w:rPr>
          <w:rFonts w:hint="eastAsia" w:ascii="宋体" w:hAnsi="宋体" w:cs="宋体"/>
          <w:bCs/>
          <w:color w:val="auto"/>
          <w:sz w:val="24"/>
        </w:rPr>
        <w:t>此类投标供应商将视为无效</w:t>
      </w:r>
      <w:r>
        <w:rPr>
          <w:rFonts w:hint="eastAsia" w:ascii="宋体" w:hAnsi="宋体" w:cs="宋体"/>
          <w:bCs/>
          <w:color w:val="auto"/>
          <w:sz w:val="24"/>
          <w:lang w:eastAsia="zh-CN"/>
        </w:rPr>
        <w:t>，并视为投标人相互串通投标，响应文件将被视为无效。</w:t>
      </w:r>
    </w:p>
    <w:p w14:paraId="2A48D233">
      <w:pPr>
        <w:widowControl/>
        <w:numPr>
          <w:ilvl w:val="0"/>
          <w:numId w:val="6"/>
        </w:numPr>
        <w:spacing w:line="400" w:lineRule="exact"/>
        <w:jc w:val="left"/>
        <w:rPr>
          <w:rFonts w:ascii="宋体" w:hAnsi="宋体" w:cs="宋体"/>
          <w:bCs/>
          <w:color w:val="auto"/>
          <w:sz w:val="24"/>
        </w:rPr>
      </w:pPr>
      <w:r>
        <w:rPr>
          <w:rFonts w:hint="eastAsia" w:ascii="宋体" w:hAnsi="宋体" w:cs="宋体"/>
          <w:bCs/>
          <w:color w:val="auto"/>
          <w:sz w:val="24"/>
        </w:rPr>
        <w:t>不同供应商委托同一单位或者个人办理竞标事宜的；</w:t>
      </w:r>
    </w:p>
    <w:p w14:paraId="4BBC3C85">
      <w:pPr>
        <w:widowControl/>
        <w:numPr>
          <w:ilvl w:val="0"/>
          <w:numId w:val="6"/>
        </w:numPr>
        <w:spacing w:line="400" w:lineRule="exact"/>
        <w:jc w:val="left"/>
        <w:rPr>
          <w:rFonts w:ascii="宋体" w:hAnsi="宋体" w:cs="宋体"/>
          <w:bCs/>
          <w:color w:val="auto"/>
          <w:sz w:val="24"/>
        </w:rPr>
      </w:pPr>
      <w:r>
        <w:rPr>
          <w:rFonts w:hint="eastAsia" w:ascii="宋体" w:hAnsi="宋体" w:cs="宋体"/>
          <w:bCs/>
          <w:color w:val="auto"/>
          <w:sz w:val="24"/>
        </w:rPr>
        <w:t>不同供应商的响应文件异常一致或者磋商报价呈规律性差异；</w:t>
      </w:r>
    </w:p>
    <w:p w14:paraId="40998FE4">
      <w:pPr>
        <w:widowControl/>
        <w:numPr>
          <w:ilvl w:val="0"/>
          <w:numId w:val="6"/>
        </w:numPr>
        <w:spacing w:line="400" w:lineRule="exact"/>
        <w:jc w:val="left"/>
        <w:rPr>
          <w:rFonts w:ascii="宋体" w:hAnsi="宋体" w:cs="宋体"/>
          <w:bCs/>
          <w:color w:val="auto"/>
          <w:sz w:val="24"/>
        </w:rPr>
      </w:pPr>
      <w:r>
        <w:rPr>
          <w:rFonts w:hint="eastAsia" w:ascii="宋体" w:hAnsi="宋体" w:cs="宋体"/>
          <w:bCs/>
          <w:color w:val="auto"/>
          <w:sz w:val="24"/>
        </w:rPr>
        <w:t>不同供应商的磋商保证金从同一单位或者个人的银行账户转；</w:t>
      </w:r>
    </w:p>
    <w:p w14:paraId="5B9800DE">
      <w:pPr>
        <w:pStyle w:val="86"/>
        <w:spacing w:line="400" w:lineRule="exact"/>
        <w:outlineLvl w:val="9"/>
        <w:rPr>
          <w:rFonts w:hAnsi="宋体" w:cs="宋体"/>
          <w:b/>
          <w:color w:val="auto"/>
          <w:sz w:val="24"/>
          <w:szCs w:val="24"/>
        </w:rPr>
      </w:pPr>
      <w:r>
        <w:rPr>
          <w:rFonts w:hint="eastAsia" w:hAnsi="宋体" w:cs="宋体"/>
          <w:b/>
          <w:color w:val="auto"/>
          <w:sz w:val="24"/>
          <w:szCs w:val="24"/>
        </w:rPr>
        <w:t>20、废标</w:t>
      </w:r>
    </w:p>
    <w:p w14:paraId="1DB0052D">
      <w:pPr>
        <w:pStyle w:val="24"/>
        <w:spacing w:line="400" w:lineRule="exact"/>
        <w:rPr>
          <w:rFonts w:hAnsi="宋体" w:cs="宋体"/>
          <w:color w:val="auto"/>
          <w:sz w:val="24"/>
          <w:szCs w:val="24"/>
        </w:rPr>
      </w:pPr>
      <w:r>
        <w:rPr>
          <w:rFonts w:hint="eastAsia" w:hAnsi="宋体" w:cs="宋体"/>
          <w:color w:val="auto"/>
          <w:kern w:val="0"/>
          <w:sz w:val="24"/>
          <w:szCs w:val="24"/>
        </w:rPr>
        <w:t>　　</w:t>
      </w:r>
      <w:r>
        <w:rPr>
          <w:rFonts w:hint="eastAsia" w:hAnsi="宋体" w:cs="宋体"/>
          <w:b/>
          <w:bCs/>
          <w:color w:val="auto"/>
          <w:sz w:val="24"/>
          <w:szCs w:val="24"/>
        </w:rPr>
        <w:t>20.1磋商采购项目出现下列情形之一的，采购代理机构将予以废标：</w:t>
      </w:r>
    </w:p>
    <w:p w14:paraId="2AB3F21F">
      <w:pPr>
        <w:pStyle w:val="24"/>
        <w:spacing w:line="440" w:lineRule="exact"/>
        <w:ind w:firstLine="420"/>
        <w:rPr>
          <w:rFonts w:hAnsi="宋体" w:cs="宋体"/>
          <w:color w:val="auto"/>
          <w:sz w:val="24"/>
          <w:szCs w:val="24"/>
        </w:rPr>
      </w:pPr>
      <w:r>
        <w:rPr>
          <w:rFonts w:hint="eastAsia" w:hAnsi="宋体" w:cs="宋体"/>
          <w:color w:val="auto"/>
          <w:sz w:val="24"/>
          <w:szCs w:val="24"/>
        </w:rPr>
        <w:t>(1)出现影响采购公正的违法、违规行为的；</w:t>
      </w:r>
    </w:p>
    <w:p w14:paraId="032AB04C">
      <w:pPr>
        <w:pStyle w:val="24"/>
        <w:spacing w:line="440" w:lineRule="exact"/>
        <w:ind w:firstLine="420"/>
        <w:rPr>
          <w:rFonts w:hAnsi="宋体" w:cs="宋体"/>
          <w:color w:val="auto"/>
          <w:sz w:val="24"/>
          <w:szCs w:val="24"/>
        </w:rPr>
      </w:pPr>
      <w:r>
        <w:rPr>
          <w:rFonts w:hint="eastAsia" w:hAnsi="宋体" w:cs="宋体"/>
          <w:color w:val="auto"/>
          <w:sz w:val="24"/>
          <w:szCs w:val="24"/>
        </w:rPr>
        <w:t>(2)所有</w:t>
      </w:r>
      <w:r>
        <w:rPr>
          <w:rFonts w:hint="eastAsia" w:hAnsi="宋体" w:cs="宋体"/>
          <w:color w:val="auto"/>
          <w:sz w:val="24"/>
          <w:szCs w:val="24"/>
          <w:lang w:eastAsia="zh-CN"/>
        </w:rPr>
        <w:t>供应</w:t>
      </w:r>
      <w:r>
        <w:rPr>
          <w:rFonts w:hint="eastAsia" w:hAnsi="宋体" w:cs="宋体"/>
          <w:color w:val="auto"/>
          <w:sz w:val="24"/>
          <w:szCs w:val="24"/>
        </w:rPr>
        <w:t>商的报价均超过了采购预算，采购人不能支付的；</w:t>
      </w:r>
    </w:p>
    <w:p w14:paraId="75C7C1E8">
      <w:pPr>
        <w:pStyle w:val="24"/>
        <w:spacing w:line="440" w:lineRule="exact"/>
        <w:ind w:firstLine="420"/>
        <w:rPr>
          <w:rFonts w:hAnsi="宋体" w:cs="宋体"/>
          <w:color w:val="auto"/>
          <w:sz w:val="24"/>
          <w:szCs w:val="24"/>
        </w:rPr>
      </w:pPr>
      <w:r>
        <w:rPr>
          <w:rFonts w:hint="eastAsia" w:hAnsi="宋体" w:cs="宋体"/>
          <w:color w:val="auto"/>
          <w:sz w:val="24"/>
          <w:szCs w:val="24"/>
        </w:rPr>
        <w:t>(3)因重大变故，采购任务取消的；</w:t>
      </w:r>
    </w:p>
    <w:p w14:paraId="66EE4005">
      <w:pPr>
        <w:pStyle w:val="24"/>
        <w:spacing w:line="440" w:lineRule="exact"/>
        <w:ind w:firstLine="420"/>
        <w:rPr>
          <w:rFonts w:hAnsi="宋体" w:cs="宋体"/>
          <w:color w:val="auto"/>
          <w:sz w:val="24"/>
          <w:szCs w:val="24"/>
        </w:rPr>
      </w:pPr>
      <w:r>
        <w:rPr>
          <w:rFonts w:hint="eastAsia" w:hAnsi="宋体" w:cs="宋体"/>
          <w:color w:val="auto"/>
          <w:sz w:val="24"/>
          <w:szCs w:val="24"/>
        </w:rPr>
        <w:t>(4)磋商文件存在不合理条款的，竞争性磋商公告时间及程序不符合规定的；</w:t>
      </w:r>
    </w:p>
    <w:p w14:paraId="330C986D">
      <w:pPr>
        <w:pStyle w:val="24"/>
        <w:spacing w:line="400" w:lineRule="exact"/>
        <w:ind w:firstLine="420"/>
        <w:rPr>
          <w:rFonts w:hAnsi="宋体" w:cs="宋体"/>
          <w:color w:val="auto"/>
          <w:sz w:val="24"/>
          <w:szCs w:val="24"/>
        </w:rPr>
      </w:pPr>
      <w:r>
        <w:rPr>
          <w:rFonts w:hint="eastAsia" w:hAnsi="宋体" w:cs="宋体"/>
          <w:color w:val="auto"/>
          <w:sz w:val="24"/>
          <w:szCs w:val="24"/>
        </w:rPr>
        <w:t>20.2如本次项目废标后，采购代理机构将把废标理由通知所有磋商供应商。</w:t>
      </w:r>
    </w:p>
    <w:p w14:paraId="6C6FE8E8">
      <w:pPr>
        <w:pStyle w:val="86"/>
        <w:spacing w:line="400" w:lineRule="exact"/>
        <w:outlineLvl w:val="9"/>
        <w:rPr>
          <w:rFonts w:hAnsi="宋体" w:cs="宋体"/>
          <w:b/>
          <w:color w:val="auto"/>
          <w:sz w:val="24"/>
          <w:szCs w:val="24"/>
        </w:rPr>
      </w:pPr>
      <w:r>
        <w:rPr>
          <w:rFonts w:hint="eastAsia" w:hAnsi="宋体" w:cs="宋体"/>
          <w:b/>
          <w:color w:val="auto"/>
          <w:sz w:val="24"/>
          <w:szCs w:val="24"/>
        </w:rPr>
        <w:t>21、重新招标</w:t>
      </w:r>
    </w:p>
    <w:p w14:paraId="7A61E361">
      <w:pPr>
        <w:pStyle w:val="24"/>
        <w:spacing w:line="400" w:lineRule="exact"/>
        <w:ind w:firstLine="480" w:firstLineChars="200"/>
        <w:rPr>
          <w:rFonts w:hAnsi="宋体" w:cs="宋体"/>
          <w:color w:val="auto"/>
          <w:sz w:val="24"/>
          <w:szCs w:val="24"/>
        </w:rPr>
      </w:pPr>
      <w:r>
        <w:rPr>
          <w:rFonts w:hint="eastAsia" w:hAnsi="宋体" w:cs="宋体"/>
          <w:color w:val="auto"/>
          <w:sz w:val="24"/>
          <w:szCs w:val="24"/>
        </w:rPr>
        <w:t>21</w:t>
      </w:r>
      <w:r>
        <w:rPr>
          <w:rFonts w:hAnsi="宋体" w:cs="宋体"/>
          <w:color w:val="auto"/>
          <w:sz w:val="24"/>
          <w:szCs w:val="24"/>
        </w:rPr>
        <w:t>.1 经磋商小组评审后，认为所有竞标均不符合竞争性磋商采购文件要求，可以否决所有竞标。所有竞标被否决后，采购人将依法重新招标。</w:t>
      </w:r>
    </w:p>
    <w:p w14:paraId="15D0B794">
      <w:pPr>
        <w:spacing w:line="390" w:lineRule="exact"/>
        <w:ind w:firstLine="480" w:firstLineChars="200"/>
        <w:rPr>
          <w:rFonts w:hint="eastAsia" w:hAnsi="宋体" w:cs="宋体"/>
          <w:color w:val="auto"/>
          <w:sz w:val="24"/>
        </w:rPr>
      </w:pPr>
      <w:r>
        <w:rPr>
          <w:rFonts w:hint="eastAsia" w:hAnsi="宋体" w:cs="宋体"/>
          <w:color w:val="auto"/>
          <w:sz w:val="24"/>
        </w:rPr>
        <w:t>21</w:t>
      </w:r>
      <w:r>
        <w:rPr>
          <w:rFonts w:hAnsi="宋体" w:cs="宋体"/>
          <w:color w:val="auto"/>
          <w:sz w:val="24"/>
        </w:rPr>
        <w:t>.2重新招标后竞标人仍少于三个或者所有竞标被否决的，属于必须审批或核准的工程建设项目，经原审批或核准部门批准后不再进行招标</w:t>
      </w:r>
      <w:bookmarkStart w:id="123" w:name="_Toc459103904"/>
      <w:r>
        <w:rPr>
          <w:rFonts w:hint="eastAsia" w:hAnsi="宋体" w:cs="宋体"/>
          <w:color w:val="auto"/>
          <w:sz w:val="24"/>
        </w:rPr>
        <w:t>。</w:t>
      </w:r>
      <w:bookmarkStart w:id="124" w:name="_Toc86935819"/>
    </w:p>
    <w:p w14:paraId="39AED827">
      <w:pPr>
        <w:pStyle w:val="3"/>
        <w:spacing w:before="0" w:after="0" w:line="390" w:lineRule="exact"/>
        <w:jc w:val="center"/>
        <w:outlineLvl w:val="0"/>
        <w:rPr>
          <w:rFonts w:ascii="宋体" w:hAnsi="宋体" w:eastAsia="宋体" w:cs="宋体"/>
          <w:color w:val="auto"/>
          <w:sz w:val="24"/>
          <w:szCs w:val="24"/>
        </w:rPr>
      </w:pPr>
      <w:bookmarkStart w:id="125" w:name="_Toc28127"/>
      <w:bookmarkStart w:id="126" w:name="_Toc2488"/>
      <w:bookmarkStart w:id="127" w:name="_Toc699"/>
      <w:r>
        <w:rPr>
          <w:rFonts w:hint="eastAsia" w:ascii="宋体" w:hAnsi="宋体" w:eastAsia="宋体" w:cs="宋体"/>
          <w:color w:val="auto"/>
          <w:sz w:val="24"/>
          <w:szCs w:val="24"/>
        </w:rPr>
        <w:t>七、签订合同</w:t>
      </w:r>
      <w:bookmarkEnd w:id="123"/>
      <w:bookmarkEnd w:id="124"/>
      <w:bookmarkEnd w:id="125"/>
      <w:bookmarkEnd w:id="126"/>
      <w:bookmarkEnd w:id="127"/>
    </w:p>
    <w:p w14:paraId="2A1A0981">
      <w:pPr>
        <w:pStyle w:val="24"/>
        <w:spacing w:line="400" w:lineRule="exact"/>
        <w:outlineLvl w:val="9"/>
        <w:rPr>
          <w:rFonts w:hAnsi="宋体" w:cs="宋体"/>
          <w:b/>
          <w:color w:val="auto"/>
          <w:sz w:val="24"/>
          <w:szCs w:val="24"/>
        </w:rPr>
      </w:pPr>
      <w:bookmarkStart w:id="128" w:name="_Toc7205"/>
      <w:bookmarkStart w:id="129" w:name="_Toc86935820"/>
      <w:r>
        <w:rPr>
          <w:rFonts w:hint="eastAsia" w:hAnsi="宋体" w:cs="宋体"/>
          <w:b/>
          <w:color w:val="auto"/>
          <w:sz w:val="24"/>
          <w:szCs w:val="24"/>
        </w:rPr>
        <w:t>22.成交结果</w:t>
      </w:r>
      <w:bookmarkEnd w:id="128"/>
      <w:r>
        <w:rPr>
          <w:rFonts w:hint="eastAsia" w:hAnsi="宋体" w:cs="宋体"/>
          <w:b/>
          <w:color w:val="auto"/>
          <w:sz w:val="24"/>
          <w:szCs w:val="24"/>
        </w:rPr>
        <w:t>公告</w:t>
      </w:r>
      <w:bookmarkEnd w:id="129"/>
    </w:p>
    <w:p w14:paraId="0029C20B">
      <w:pPr>
        <w:pStyle w:val="24"/>
        <w:spacing w:line="400" w:lineRule="exact"/>
        <w:ind w:firstLine="480" w:firstLineChars="200"/>
        <w:outlineLvl w:val="9"/>
        <w:rPr>
          <w:rFonts w:hAnsi="宋体" w:cs="宋体"/>
          <w:bCs/>
          <w:color w:val="auto"/>
          <w:sz w:val="24"/>
          <w:szCs w:val="24"/>
        </w:rPr>
      </w:pPr>
      <w:bookmarkStart w:id="130" w:name="_Toc86935821"/>
      <w:bookmarkStart w:id="131" w:name="_Toc5678"/>
      <w:r>
        <w:rPr>
          <w:rFonts w:hint="eastAsia" w:hAnsi="宋体" w:cs="宋体"/>
          <w:bCs/>
          <w:color w:val="auto"/>
          <w:sz w:val="24"/>
          <w:szCs w:val="24"/>
        </w:rPr>
        <w:t>22.1采购代理机构在磋商工作完成后2日内将磋商报告送采购人，采购人确认后，成交结果公告将在发布本项目竞争性磋商公告的同一网站上发布。</w:t>
      </w:r>
      <w:bookmarkEnd w:id="130"/>
      <w:bookmarkEnd w:id="131"/>
    </w:p>
    <w:p w14:paraId="6CDC7324">
      <w:pPr>
        <w:pStyle w:val="24"/>
        <w:spacing w:line="400" w:lineRule="exact"/>
        <w:ind w:firstLine="420"/>
        <w:rPr>
          <w:rFonts w:hAnsi="宋体" w:cs="宋体"/>
          <w:bCs/>
          <w:color w:val="auto"/>
          <w:sz w:val="24"/>
          <w:szCs w:val="24"/>
        </w:rPr>
      </w:pPr>
      <w:bookmarkStart w:id="132" w:name="_Toc29884"/>
      <w:r>
        <w:rPr>
          <w:rFonts w:hint="eastAsia" w:hAnsi="宋体" w:cs="宋体"/>
          <w:bCs/>
          <w:color w:val="auto"/>
          <w:sz w:val="24"/>
          <w:szCs w:val="24"/>
        </w:rPr>
        <w:t>22.2成交结果公告期限为1个工作日，发布成交结果公告的同时向成交供应商发出成交通知书。采购代理机构发出成交通知书前，应当对成交人信用进行核实，对列入失信被执行人、重大税收违法案件当事人名单、政府采购严重违法失信行为记录名单及其他不符合《中华人民共和国政府采购法》第二十二条规定条件的竞标人，取消其成交资格，并确定排名第二的成交候选人为成交人。排名第二的成交候选人因前款规定的同样原因被取消成交资格的，授权的磋商小组可以确定排名第三的成交候选人为成交人，以此类推。以上信息查询记录及相关证据与采购文件一并保存。</w:t>
      </w:r>
    </w:p>
    <w:p w14:paraId="5062BF72">
      <w:pPr>
        <w:pStyle w:val="24"/>
        <w:spacing w:line="400" w:lineRule="exact"/>
        <w:ind w:firstLine="420"/>
        <w:rPr>
          <w:rFonts w:hAnsi="宋体" w:cs="宋体"/>
          <w:bCs/>
          <w:color w:val="auto"/>
          <w:sz w:val="24"/>
          <w:szCs w:val="24"/>
        </w:rPr>
      </w:pPr>
      <w:r>
        <w:rPr>
          <w:rFonts w:hint="eastAsia" w:hAnsi="宋体" w:cs="宋体"/>
          <w:bCs/>
          <w:color w:val="auto"/>
          <w:sz w:val="24"/>
          <w:szCs w:val="24"/>
        </w:rPr>
        <w:t>22.3中小企业在政府采购活动过程中，请根据企业的真实情况出具《中小企业声明函》。依法享受中小企业优惠政策的，采购人或者采购代理机构在公告成交结果时，同时公告其《中小企业声明函》，接受社会监督。</w:t>
      </w:r>
    </w:p>
    <w:p w14:paraId="46970673">
      <w:pPr>
        <w:pStyle w:val="24"/>
        <w:spacing w:line="400" w:lineRule="exact"/>
        <w:ind w:firstLine="420"/>
        <w:rPr>
          <w:rFonts w:hAnsi="宋体" w:cs="宋体"/>
          <w:bCs/>
          <w:color w:val="auto"/>
          <w:sz w:val="24"/>
          <w:szCs w:val="24"/>
        </w:rPr>
      </w:pPr>
      <w:r>
        <w:rPr>
          <w:rFonts w:hint="eastAsia" w:hAnsi="宋体" w:cs="宋体"/>
          <w:color w:val="auto"/>
          <w:sz w:val="24"/>
          <w:szCs w:val="24"/>
        </w:rPr>
        <w:t>22.4磋商供应商认为成交结果使自己的权益受到损害的，可以在成交结果公告期限届满之日起7个工作日内以书面形式向采购人或受托代理机构提出质疑，逾期将不再受理</w:t>
      </w:r>
      <w:r>
        <w:rPr>
          <w:rFonts w:hint="eastAsia" w:hAnsi="宋体" w:cs="宋体"/>
          <w:bCs/>
          <w:color w:val="auto"/>
          <w:sz w:val="24"/>
          <w:szCs w:val="24"/>
        </w:rPr>
        <w:t>。</w:t>
      </w:r>
      <w:r>
        <w:rPr>
          <w:rFonts w:hint="eastAsia" w:hAnsi="宋体" w:cs="宋体"/>
          <w:color w:val="auto"/>
          <w:sz w:val="24"/>
          <w:szCs w:val="24"/>
        </w:rPr>
        <w:t>采购人或受托代理机构</w:t>
      </w:r>
      <w:r>
        <w:rPr>
          <w:rFonts w:hint="eastAsia" w:hAnsi="宋体" w:cs="宋体"/>
          <w:bCs/>
          <w:color w:val="auto"/>
          <w:sz w:val="24"/>
          <w:szCs w:val="24"/>
        </w:rPr>
        <w:t>在收到磋商供应商的书面质疑后7个工作日内做出答复，但答复的内容不得涉及商业秘密。</w:t>
      </w:r>
      <w:bookmarkEnd w:id="132"/>
    </w:p>
    <w:p w14:paraId="0EAC7178">
      <w:pPr>
        <w:pStyle w:val="24"/>
        <w:spacing w:line="400" w:lineRule="exact"/>
        <w:ind w:firstLine="420"/>
        <w:rPr>
          <w:rFonts w:hAnsi="宋体" w:cs="宋体"/>
          <w:color w:val="auto"/>
          <w:sz w:val="24"/>
          <w:szCs w:val="24"/>
        </w:rPr>
      </w:pPr>
      <w:r>
        <w:rPr>
          <w:rFonts w:hint="eastAsia" w:hAnsi="宋体" w:cs="宋体"/>
          <w:color w:val="auto"/>
          <w:sz w:val="24"/>
          <w:szCs w:val="24"/>
        </w:rPr>
        <w:t>22.5质疑和投诉书面要求:</w:t>
      </w:r>
    </w:p>
    <w:p w14:paraId="4C230B46">
      <w:pPr>
        <w:pStyle w:val="24"/>
        <w:numPr>
          <w:ilvl w:val="0"/>
          <w:numId w:val="7"/>
        </w:numPr>
        <w:spacing w:line="400" w:lineRule="exact"/>
        <w:ind w:firstLine="420"/>
        <w:rPr>
          <w:rFonts w:hAnsi="宋体" w:cs="宋体"/>
          <w:color w:val="auto"/>
          <w:sz w:val="24"/>
          <w:szCs w:val="24"/>
        </w:rPr>
      </w:pPr>
      <w:r>
        <w:rPr>
          <w:rFonts w:hint="eastAsia" w:hAnsi="宋体" w:cs="宋体"/>
          <w:color w:val="auto"/>
          <w:sz w:val="24"/>
          <w:szCs w:val="24"/>
        </w:rPr>
        <w:t>质疑人或投诉人的单位名称或姓名、详细地址、邮政编码、联系电话等；</w:t>
      </w:r>
    </w:p>
    <w:p w14:paraId="67C04606">
      <w:pPr>
        <w:pStyle w:val="24"/>
        <w:numPr>
          <w:ilvl w:val="0"/>
          <w:numId w:val="7"/>
        </w:numPr>
        <w:spacing w:line="400" w:lineRule="exact"/>
        <w:ind w:firstLine="420"/>
        <w:rPr>
          <w:rFonts w:hAnsi="宋体" w:cs="宋体"/>
          <w:color w:val="auto"/>
          <w:sz w:val="24"/>
          <w:szCs w:val="24"/>
        </w:rPr>
      </w:pPr>
      <w:r>
        <w:rPr>
          <w:rFonts w:hint="eastAsia" w:hAnsi="宋体" w:cs="宋体"/>
          <w:color w:val="auto"/>
          <w:sz w:val="24"/>
          <w:szCs w:val="24"/>
        </w:rPr>
        <w:t>被质疑人或被投诉人的单位名称或姓名等；</w:t>
      </w:r>
    </w:p>
    <w:p w14:paraId="50C5FE1E">
      <w:pPr>
        <w:pStyle w:val="24"/>
        <w:numPr>
          <w:ilvl w:val="0"/>
          <w:numId w:val="7"/>
        </w:numPr>
        <w:spacing w:line="400" w:lineRule="exact"/>
        <w:ind w:firstLine="420"/>
        <w:rPr>
          <w:rFonts w:hAnsi="宋体" w:cs="宋体"/>
          <w:color w:val="auto"/>
          <w:sz w:val="24"/>
          <w:szCs w:val="24"/>
        </w:rPr>
      </w:pPr>
      <w:r>
        <w:rPr>
          <w:rFonts w:hint="eastAsia" w:hAnsi="宋体" w:cs="宋体"/>
          <w:color w:val="auto"/>
          <w:sz w:val="24"/>
          <w:szCs w:val="24"/>
        </w:rPr>
        <w:t>质疑或投诉的事实及理由；</w:t>
      </w:r>
    </w:p>
    <w:p w14:paraId="7A5EFB70">
      <w:pPr>
        <w:pStyle w:val="24"/>
        <w:numPr>
          <w:ilvl w:val="0"/>
          <w:numId w:val="7"/>
        </w:numPr>
        <w:spacing w:line="400" w:lineRule="exact"/>
        <w:ind w:firstLine="420"/>
        <w:rPr>
          <w:rFonts w:hAnsi="宋体" w:cs="宋体"/>
          <w:color w:val="auto"/>
          <w:sz w:val="24"/>
          <w:szCs w:val="24"/>
        </w:rPr>
      </w:pPr>
      <w:r>
        <w:rPr>
          <w:rFonts w:hint="eastAsia" w:hAnsi="宋体" w:cs="宋体"/>
          <w:color w:val="auto"/>
          <w:sz w:val="24"/>
          <w:szCs w:val="24"/>
        </w:rPr>
        <w:t>有关违规违法的情况和有效证明材料；</w:t>
      </w:r>
    </w:p>
    <w:p w14:paraId="5B417A68">
      <w:pPr>
        <w:pStyle w:val="24"/>
        <w:numPr>
          <w:ilvl w:val="0"/>
          <w:numId w:val="7"/>
        </w:numPr>
        <w:spacing w:line="400" w:lineRule="exact"/>
        <w:ind w:firstLine="420"/>
        <w:rPr>
          <w:rFonts w:hAnsi="宋体" w:cs="宋体"/>
          <w:color w:val="auto"/>
          <w:sz w:val="24"/>
          <w:szCs w:val="24"/>
        </w:rPr>
      </w:pPr>
      <w:r>
        <w:rPr>
          <w:rFonts w:hint="eastAsia" w:hAnsi="宋体" w:cs="宋体"/>
          <w:color w:val="auto"/>
          <w:sz w:val="24"/>
          <w:szCs w:val="24"/>
        </w:rPr>
        <w:t>质疑人或投诉人的签章及质疑或投诉时间；</w:t>
      </w:r>
    </w:p>
    <w:p w14:paraId="2BF126DD">
      <w:pPr>
        <w:pStyle w:val="24"/>
        <w:numPr>
          <w:ilvl w:val="0"/>
          <w:numId w:val="7"/>
        </w:numPr>
        <w:spacing w:line="400" w:lineRule="exact"/>
        <w:ind w:firstLine="420"/>
        <w:rPr>
          <w:rFonts w:hAnsi="宋体" w:cs="宋体"/>
          <w:color w:val="auto"/>
          <w:sz w:val="24"/>
          <w:szCs w:val="24"/>
        </w:rPr>
      </w:pPr>
      <w:r>
        <w:rPr>
          <w:rFonts w:hint="eastAsia" w:hAnsi="宋体" w:cs="宋体"/>
          <w:color w:val="auto"/>
          <w:sz w:val="24"/>
          <w:szCs w:val="24"/>
        </w:rPr>
        <w:t>质疑书递交方式：质疑人的法定代表人凭本人身份证原件或授权委托代理人凭法定代表人授权委托书原件和本人身份证原件同时持质疑书原件递交至</w:t>
      </w:r>
      <w:r>
        <w:rPr>
          <w:rFonts w:hint="eastAsia" w:hAnsi="宋体" w:cs="宋体"/>
          <w:color w:val="auto"/>
          <w:sz w:val="24"/>
          <w:szCs w:val="24"/>
          <w:lang w:eastAsia="zh-CN"/>
        </w:rPr>
        <w:t>广西云泽项目管理有限公司</w:t>
      </w:r>
      <w:r>
        <w:rPr>
          <w:rFonts w:hint="eastAsia" w:hAnsi="宋体" w:cs="宋体"/>
          <w:color w:val="auto"/>
          <w:sz w:val="24"/>
          <w:szCs w:val="24"/>
        </w:rPr>
        <w:t>。</w:t>
      </w:r>
    </w:p>
    <w:p w14:paraId="2ED9C5CA">
      <w:pPr>
        <w:pStyle w:val="24"/>
        <w:numPr>
          <w:ilvl w:val="0"/>
          <w:numId w:val="7"/>
        </w:numPr>
        <w:spacing w:line="400" w:lineRule="exact"/>
        <w:ind w:firstLine="420"/>
        <w:rPr>
          <w:rFonts w:hAnsi="宋体" w:cs="宋体"/>
          <w:bCs/>
          <w:color w:val="auto"/>
          <w:sz w:val="24"/>
          <w:szCs w:val="24"/>
        </w:rPr>
      </w:pPr>
      <w:r>
        <w:rPr>
          <w:rFonts w:hint="eastAsia" w:hAnsi="宋体" w:cs="宋体"/>
          <w:color w:val="auto"/>
          <w:sz w:val="24"/>
          <w:szCs w:val="24"/>
        </w:rPr>
        <w:t>如不按规定质疑或投诉的，视为无效投诉，不予采理。</w:t>
      </w:r>
    </w:p>
    <w:p w14:paraId="7A1B8378">
      <w:pPr>
        <w:pStyle w:val="24"/>
        <w:spacing w:line="400" w:lineRule="exact"/>
        <w:ind w:firstLine="480" w:firstLineChars="200"/>
        <w:outlineLvl w:val="9"/>
        <w:rPr>
          <w:rFonts w:hAnsi="宋体" w:cs="宋体"/>
          <w:b/>
          <w:bCs/>
          <w:color w:val="auto"/>
          <w:sz w:val="24"/>
          <w:szCs w:val="24"/>
        </w:rPr>
      </w:pPr>
      <w:bookmarkStart w:id="133" w:name="_Toc86935822"/>
      <w:bookmarkStart w:id="134" w:name="_Toc15621"/>
      <w:r>
        <w:rPr>
          <w:rFonts w:hint="eastAsia" w:hAnsi="宋体" w:cs="宋体"/>
          <w:bCs/>
          <w:color w:val="auto"/>
          <w:sz w:val="24"/>
          <w:szCs w:val="24"/>
        </w:rPr>
        <w:t>22.6质疑磋商供应商必须首先经过质疑程序，在对采购代理机构的答复不满意或者采购代理机构未在规定的时间内做出答复的，可以在答复期满后15个工作日内书面向同级政府采购监督管理部门投诉。</w:t>
      </w:r>
      <w:bookmarkEnd w:id="133"/>
      <w:bookmarkEnd w:id="134"/>
    </w:p>
    <w:p w14:paraId="407209B3">
      <w:pPr>
        <w:spacing w:line="390" w:lineRule="exact"/>
        <w:rPr>
          <w:rFonts w:ascii="宋体" w:hAnsi="宋体" w:cs="宋体"/>
          <w:b/>
          <w:bCs/>
          <w:color w:val="auto"/>
          <w:sz w:val="24"/>
        </w:rPr>
      </w:pPr>
      <w:r>
        <w:rPr>
          <w:rFonts w:hint="eastAsia" w:ascii="宋体" w:hAnsi="宋体" w:cs="宋体"/>
          <w:b/>
          <w:bCs/>
          <w:color w:val="auto"/>
          <w:sz w:val="24"/>
        </w:rPr>
        <w:t>23、成交通知</w:t>
      </w:r>
    </w:p>
    <w:p w14:paraId="4E0F1F5E">
      <w:pPr>
        <w:pStyle w:val="24"/>
        <w:spacing w:line="400" w:lineRule="exact"/>
        <w:ind w:firstLine="480" w:firstLineChars="200"/>
        <w:outlineLvl w:val="9"/>
        <w:rPr>
          <w:rFonts w:hAnsi="宋体" w:cs="宋体"/>
          <w:bCs/>
          <w:color w:val="auto"/>
          <w:sz w:val="24"/>
          <w:szCs w:val="24"/>
        </w:rPr>
      </w:pPr>
      <w:bookmarkStart w:id="135" w:name="_Toc86935823"/>
      <w:bookmarkStart w:id="136" w:name="_Toc30837"/>
      <w:r>
        <w:rPr>
          <w:rFonts w:hint="eastAsia" w:hAnsi="宋体" w:cs="宋体"/>
          <w:bCs/>
          <w:color w:val="auto"/>
          <w:sz w:val="24"/>
          <w:szCs w:val="24"/>
        </w:rPr>
        <w:t>23.1采购代理机构在发布成交公告的同时，采购代理机构向成交人通过“</w:t>
      </w:r>
      <w:r>
        <w:rPr>
          <w:rFonts w:hint="eastAsia" w:hAnsi="宋体" w:cs="宋体"/>
          <w:bCs/>
          <w:color w:val="auto"/>
          <w:sz w:val="24"/>
          <w:szCs w:val="24"/>
          <w:lang w:eastAsia="zh-CN"/>
        </w:rPr>
        <w:t>广西政府采购云平台</w:t>
      </w:r>
      <w:r>
        <w:rPr>
          <w:rFonts w:hint="eastAsia" w:hAnsi="宋体" w:cs="宋体"/>
          <w:bCs/>
          <w:color w:val="auto"/>
          <w:sz w:val="24"/>
          <w:szCs w:val="24"/>
        </w:rPr>
        <w:t>”平台发出电子</w:t>
      </w:r>
      <w:r>
        <w:rPr>
          <w:rFonts w:hint="eastAsia" w:hAnsi="宋体" w:cs="宋体"/>
          <w:bCs/>
          <w:color w:val="auto"/>
          <w:sz w:val="24"/>
          <w:szCs w:val="24"/>
          <w:lang w:eastAsia="zh-CN"/>
        </w:rPr>
        <w:t>成交</w:t>
      </w:r>
      <w:r>
        <w:rPr>
          <w:rFonts w:hint="eastAsia" w:hAnsi="宋体" w:cs="宋体"/>
          <w:bCs/>
          <w:color w:val="auto"/>
          <w:sz w:val="24"/>
          <w:szCs w:val="24"/>
        </w:rPr>
        <w:t>通知书。</w:t>
      </w:r>
      <w:bookmarkEnd w:id="135"/>
      <w:bookmarkEnd w:id="136"/>
    </w:p>
    <w:p w14:paraId="532C77E4">
      <w:pPr>
        <w:pStyle w:val="24"/>
        <w:spacing w:line="400" w:lineRule="exact"/>
        <w:ind w:firstLine="480" w:firstLineChars="200"/>
        <w:outlineLvl w:val="9"/>
        <w:rPr>
          <w:rFonts w:hAnsi="宋体" w:cs="宋体"/>
          <w:bCs/>
          <w:color w:val="auto"/>
          <w:sz w:val="24"/>
          <w:szCs w:val="24"/>
        </w:rPr>
      </w:pPr>
      <w:bookmarkStart w:id="137" w:name="_Toc86935824"/>
      <w:bookmarkStart w:id="138" w:name="_Toc28429"/>
      <w:r>
        <w:rPr>
          <w:rFonts w:hint="eastAsia" w:hAnsi="宋体" w:cs="宋体"/>
          <w:bCs/>
          <w:color w:val="auto"/>
          <w:sz w:val="24"/>
          <w:szCs w:val="24"/>
        </w:rPr>
        <w:t>23.2对未通过资格审查的竞标人，采购人或采购机构应当告知其未通过的原因；采用综合评分办法评审的，采购人或采购机构还应当告知未成交人本人的评审得分与排序。</w:t>
      </w:r>
      <w:bookmarkEnd w:id="137"/>
    </w:p>
    <w:p w14:paraId="710E9D1D">
      <w:pPr>
        <w:pStyle w:val="24"/>
        <w:spacing w:line="400" w:lineRule="exact"/>
        <w:ind w:firstLine="480" w:firstLineChars="200"/>
        <w:outlineLvl w:val="9"/>
        <w:rPr>
          <w:rFonts w:hAnsi="宋体" w:cs="宋体"/>
          <w:bCs/>
          <w:color w:val="auto"/>
          <w:sz w:val="24"/>
          <w:szCs w:val="24"/>
        </w:rPr>
      </w:pPr>
      <w:bookmarkStart w:id="139" w:name="_Toc86935825"/>
      <w:r>
        <w:rPr>
          <w:rFonts w:hint="eastAsia" w:hAnsi="宋体" w:cs="宋体"/>
          <w:bCs/>
          <w:color w:val="auto"/>
          <w:sz w:val="24"/>
          <w:szCs w:val="24"/>
        </w:rPr>
        <w:t>23.3采购代理机构无义务向落标的磋商供应商解释落标原因和退还《响应文件》。</w:t>
      </w:r>
      <w:bookmarkEnd w:id="138"/>
      <w:bookmarkEnd w:id="139"/>
    </w:p>
    <w:p w14:paraId="34414DBD">
      <w:pPr>
        <w:pStyle w:val="24"/>
        <w:spacing w:line="400" w:lineRule="exact"/>
        <w:outlineLvl w:val="9"/>
        <w:rPr>
          <w:rFonts w:hAnsi="宋体" w:cs="宋体"/>
          <w:bCs/>
          <w:color w:val="auto"/>
          <w:sz w:val="24"/>
          <w:szCs w:val="24"/>
        </w:rPr>
      </w:pPr>
      <w:bookmarkStart w:id="140" w:name="_Toc86935826"/>
      <w:bookmarkStart w:id="141" w:name="_Toc16088"/>
      <w:bookmarkStart w:id="142" w:name="_Toc17903"/>
      <w:r>
        <w:rPr>
          <w:rFonts w:hint="eastAsia" w:hAnsi="宋体" w:cs="宋体"/>
          <w:b/>
          <w:color w:val="auto"/>
          <w:sz w:val="24"/>
          <w:szCs w:val="24"/>
        </w:rPr>
        <w:t>24.合同授予标准</w:t>
      </w:r>
      <w:bookmarkEnd w:id="140"/>
      <w:bookmarkEnd w:id="141"/>
    </w:p>
    <w:p w14:paraId="1995E659">
      <w:pPr>
        <w:pStyle w:val="24"/>
        <w:spacing w:line="400" w:lineRule="exact"/>
        <w:ind w:firstLine="480" w:firstLineChars="200"/>
        <w:outlineLvl w:val="9"/>
        <w:rPr>
          <w:rFonts w:hAnsi="宋体" w:cs="宋体"/>
          <w:bCs/>
          <w:color w:val="auto"/>
          <w:sz w:val="24"/>
          <w:szCs w:val="24"/>
        </w:rPr>
      </w:pPr>
      <w:bookmarkStart w:id="143" w:name="_Toc86935827"/>
      <w:r>
        <w:rPr>
          <w:rFonts w:hint="eastAsia" w:hAnsi="宋体" w:cs="宋体"/>
          <w:bCs/>
          <w:color w:val="auto"/>
          <w:sz w:val="24"/>
          <w:szCs w:val="24"/>
        </w:rPr>
        <w:t>24.1合同将授予被确定为实质上响应《竞争性磋商文件》要求，评标认为具备履行合同能力，获得综合评分最高的磋商供应商。</w:t>
      </w:r>
      <w:bookmarkEnd w:id="142"/>
      <w:bookmarkEnd w:id="143"/>
    </w:p>
    <w:p w14:paraId="33086F32">
      <w:pPr>
        <w:pStyle w:val="24"/>
        <w:spacing w:line="400" w:lineRule="exact"/>
        <w:ind w:firstLine="480" w:firstLineChars="200"/>
        <w:outlineLvl w:val="9"/>
        <w:rPr>
          <w:rFonts w:hAnsi="宋体" w:cs="宋体"/>
          <w:bCs/>
          <w:color w:val="auto"/>
          <w:sz w:val="24"/>
          <w:szCs w:val="24"/>
        </w:rPr>
      </w:pPr>
      <w:bookmarkStart w:id="144" w:name="_Toc22962"/>
      <w:bookmarkStart w:id="145" w:name="_Toc86935828"/>
      <w:r>
        <w:rPr>
          <w:rFonts w:hint="eastAsia" w:hAnsi="宋体" w:cs="宋体"/>
          <w:bCs/>
          <w:color w:val="auto"/>
          <w:sz w:val="24"/>
          <w:szCs w:val="24"/>
        </w:rPr>
        <w:t>24.2采购人应按照评标报告中推荐的成交候选人顺序确定成交人，也可授权磋商小组直接确定成交人。</w:t>
      </w:r>
      <w:bookmarkEnd w:id="144"/>
      <w:r>
        <w:rPr>
          <w:rFonts w:hint="eastAsia" w:hAnsi="宋体" w:cs="宋体"/>
          <w:bCs/>
          <w:color w:val="auto"/>
          <w:sz w:val="24"/>
          <w:szCs w:val="24"/>
        </w:rPr>
        <w:t>本项目授权磋商小组直接确定成交供应商。</w:t>
      </w:r>
      <w:bookmarkEnd w:id="145"/>
    </w:p>
    <w:p w14:paraId="767160FD">
      <w:pPr>
        <w:spacing w:line="390" w:lineRule="exact"/>
        <w:rPr>
          <w:rFonts w:ascii="宋体" w:hAnsi="宋体" w:cs="宋体"/>
          <w:b/>
          <w:bCs/>
          <w:color w:val="auto"/>
          <w:sz w:val="24"/>
        </w:rPr>
      </w:pPr>
      <w:r>
        <w:rPr>
          <w:rFonts w:hint="eastAsia" w:ascii="宋体" w:hAnsi="宋体" w:cs="宋体"/>
          <w:b/>
          <w:bCs/>
          <w:color w:val="auto"/>
          <w:sz w:val="24"/>
        </w:rPr>
        <w:t>25、签订合同</w:t>
      </w:r>
    </w:p>
    <w:p w14:paraId="5CB52A1B">
      <w:pPr>
        <w:pStyle w:val="24"/>
        <w:spacing w:line="360" w:lineRule="exact"/>
        <w:ind w:firstLine="480" w:firstLineChars="200"/>
        <w:rPr>
          <w:rFonts w:hAnsi="宋体" w:cs="宋体"/>
          <w:color w:val="auto"/>
          <w:sz w:val="24"/>
          <w:szCs w:val="24"/>
        </w:rPr>
      </w:pPr>
      <w:bookmarkStart w:id="146" w:name="_Toc459103905"/>
      <w:r>
        <w:rPr>
          <w:rFonts w:hint="eastAsia" w:hAnsi="宋体" w:cs="宋体"/>
          <w:color w:val="auto"/>
          <w:sz w:val="24"/>
          <w:szCs w:val="24"/>
        </w:rPr>
        <w:t>25.1成交人领取电子成交通知书后，按成交通知书中规定的时间、地点与采购人签订合同。</w:t>
      </w:r>
    </w:p>
    <w:p w14:paraId="242A6B42">
      <w:pPr>
        <w:pStyle w:val="24"/>
        <w:spacing w:line="400" w:lineRule="exact"/>
        <w:ind w:firstLine="480" w:firstLineChars="200"/>
        <w:rPr>
          <w:rFonts w:hAnsi="宋体" w:cs="宋体"/>
          <w:color w:val="auto"/>
          <w:sz w:val="24"/>
          <w:szCs w:val="24"/>
        </w:rPr>
      </w:pPr>
      <w:r>
        <w:rPr>
          <w:rFonts w:hint="eastAsia" w:hAnsi="宋体" w:cs="宋体"/>
          <w:color w:val="auto"/>
          <w:sz w:val="24"/>
          <w:szCs w:val="24"/>
        </w:rPr>
        <w:t>25.2如成交人不按成交通知书的规定签订合同（采购人原因除外），则按成交人违约处理，本代理将取消该成交决定，不予退还该成交人的磋商保证金，成交人应当依法承担法律责任。如采购人无正当理由拒签合同的，给成交供应商造成损失的，成交供应商可追究采购人承担相应的法律责任。</w:t>
      </w:r>
    </w:p>
    <w:p w14:paraId="4FE22746">
      <w:pPr>
        <w:pStyle w:val="24"/>
        <w:spacing w:line="400" w:lineRule="exact"/>
        <w:ind w:firstLine="480" w:firstLineChars="200"/>
        <w:rPr>
          <w:rFonts w:hAnsi="宋体" w:cs="宋体"/>
          <w:color w:val="auto"/>
          <w:sz w:val="24"/>
          <w:szCs w:val="24"/>
        </w:rPr>
      </w:pPr>
      <w:r>
        <w:rPr>
          <w:rFonts w:hint="eastAsia" w:hAnsi="宋体" w:cs="宋体"/>
          <w:color w:val="auto"/>
          <w:sz w:val="24"/>
          <w:szCs w:val="24"/>
        </w:rPr>
        <w:t>25.3成交人因不可抗力或者自身原因不能履行政府采购合同的，采购人可以确定排名第二位的成交候选人并与其签订政府采购合同，以此类推，也可以重新开展政府采购活动。</w:t>
      </w:r>
    </w:p>
    <w:p w14:paraId="02B7B3F5">
      <w:pPr>
        <w:pStyle w:val="24"/>
        <w:spacing w:line="400" w:lineRule="exact"/>
        <w:ind w:firstLine="480" w:firstLineChars="200"/>
        <w:rPr>
          <w:rFonts w:hAnsi="宋体" w:cs="宋体"/>
          <w:color w:val="auto"/>
          <w:sz w:val="24"/>
          <w:szCs w:val="24"/>
        </w:rPr>
      </w:pPr>
      <w:r>
        <w:rPr>
          <w:rFonts w:hint="eastAsia" w:hAnsi="宋体" w:cs="宋体"/>
          <w:color w:val="auto"/>
          <w:sz w:val="24"/>
          <w:szCs w:val="24"/>
        </w:rPr>
        <w:t>25.4由于成交人放弃成交或未按规定签订合同，造成本项目的合同成交价提高（指采购人选择第二成交候选人或重新采购导致成交金额高于违约单位的成交价），所超出违约供应的成交价部分由违约单位承担赔偿责任。</w:t>
      </w:r>
    </w:p>
    <w:p w14:paraId="493837B2">
      <w:pPr>
        <w:spacing w:line="400" w:lineRule="exact"/>
        <w:ind w:firstLine="480" w:firstLineChars="200"/>
        <w:rPr>
          <w:rFonts w:ascii="宋体" w:hAnsi="宋体" w:cs="宋体"/>
          <w:color w:val="auto"/>
          <w:sz w:val="24"/>
        </w:rPr>
      </w:pPr>
      <w:r>
        <w:rPr>
          <w:rFonts w:hint="eastAsia" w:ascii="宋体" w:hAnsi="宋体" w:cs="宋体"/>
          <w:color w:val="auto"/>
          <w:sz w:val="24"/>
        </w:rPr>
        <w:t>25.5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082C3BD">
      <w:pPr>
        <w:spacing w:line="400" w:lineRule="exact"/>
        <w:ind w:firstLine="480" w:firstLineChars="200"/>
        <w:rPr>
          <w:rFonts w:ascii="宋体" w:hAnsi="宋体" w:cs="宋体"/>
          <w:b/>
          <w:bCs/>
          <w:color w:val="auto"/>
          <w:sz w:val="24"/>
        </w:rPr>
      </w:pPr>
      <w:r>
        <w:rPr>
          <w:rFonts w:hint="eastAsia" w:ascii="宋体" w:hAnsi="宋体" w:cs="宋体"/>
          <w:color w:val="auto"/>
          <w:sz w:val="24"/>
        </w:rPr>
        <w:t>25.6</w:t>
      </w:r>
      <w:r>
        <w:rPr>
          <w:rFonts w:hint="eastAsia" w:ascii="宋体" w:hAnsi="宋体" w:cs="宋体"/>
          <w:b/>
          <w:bCs/>
          <w:color w:val="auto"/>
          <w:sz w:val="24"/>
        </w:rPr>
        <w:t>采购人和成交人应当在竞标有效期内以及《成交通知书》发出之日起7日内，最长不超过9日，根据《竞争性磋商文件》和成交人的《响应文件》等内容通过政府采购电子交易平台在线签订，自动备案，在线签订须携带有效 CA 证书加盖单位电子公章。</w:t>
      </w:r>
    </w:p>
    <w:p w14:paraId="4441121E">
      <w:pPr>
        <w:spacing w:line="400" w:lineRule="exact"/>
        <w:ind w:firstLine="480" w:firstLineChars="200"/>
        <w:rPr>
          <w:rFonts w:ascii="宋体" w:hAnsi="宋体" w:cs="宋体"/>
          <w:color w:val="auto"/>
          <w:sz w:val="24"/>
        </w:rPr>
      </w:pPr>
      <w:r>
        <w:rPr>
          <w:rFonts w:hint="eastAsia" w:ascii="宋体" w:hAnsi="宋体" w:cs="宋体"/>
          <w:color w:val="auto"/>
          <w:sz w:val="24"/>
        </w:rPr>
        <w:t>25.7采购单位自采购合同签订之日起在2个工作日内（争取1个工作日内），将政府采购合同通过委托的政府采购代理机构在财政部门指定的媒体上公告，但政府采购合同中涉及国家秘密、商业秘密的内容除外。</w:t>
      </w:r>
    </w:p>
    <w:p w14:paraId="7498F1A9">
      <w:pPr>
        <w:pStyle w:val="24"/>
        <w:spacing w:line="400" w:lineRule="exact"/>
        <w:outlineLvl w:val="9"/>
        <w:rPr>
          <w:rFonts w:hAnsi="宋体" w:cs="宋体"/>
          <w:b/>
          <w:color w:val="auto"/>
          <w:sz w:val="24"/>
          <w:szCs w:val="24"/>
        </w:rPr>
      </w:pPr>
      <w:bookmarkStart w:id="147" w:name="_Toc86935829"/>
      <w:bookmarkStart w:id="148" w:name="_Toc8743"/>
      <w:r>
        <w:rPr>
          <w:rFonts w:hint="eastAsia" w:hAnsi="宋体" w:cs="宋体"/>
          <w:b/>
          <w:color w:val="auto"/>
          <w:sz w:val="24"/>
          <w:szCs w:val="24"/>
        </w:rPr>
        <w:t>26.合同履行中的追加</w:t>
      </w:r>
      <w:bookmarkEnd w:id="147"/>
      <w:bookmarkEnd w:id="148"/>
    </w:p>
    <w:p w14:paraId="75EB4007">
      <w:pPr>
        <w:pStyle w:val="24"/>
        <w:spacing w:line="400" w:lineRule="exact"/>
        <w:ind w:firstLine="480" w:firstLineChars="200"/>
        <w:rPr>
          <w:rFonts w:hAnsi="宋体" w:cs="宋体"/>
          <w:color w:val="auto"/>
          <w:sz w:val="24"/>
          <w:szCs w:val="24"/>
        </w:rPr>
      </w:pPr>
      <w:r>
        <w:rPr>
          <w:rFonts w:hint="eastAsia" w:hAnsi="宋体" w:cs="宋体"/>
          <w:color w:val="auto"/>
          <w:sz w:val="24"/>
          <w:szCs w:val="24"/>
        </w:rPr>
        <w:t>26.1政府采购合同履行中，采购单位需追加与合同标的相同的货物、工程和服务的，在不改变合同其他条款的前提下，可以与成交人协商签订补充的合同。但补充的合同涉及的采购金额不得超过原合同采购金额的10%。</w:t>
      </w:r>
    </w:p>
    <w:p w14:paraId="6CD28B58">
      <w:pPr>
        <w:numPr>
          <w:ilvl w:val="0"/>
          <w:numId w:val="8"/>
        </w:numPr>
        <w:spacing w:line="390" w:lineRule="exact"/>
        <w:rPr>
          <w:rFonts w:hint="eastAsia" w:ascii="宋体" w:hAnsi="宋体" w:cs="宋体"/>
          <w:b/>
          <w:bCs/>
          <w:color w:val="auto"/>
          <w:sz w:val="24"/>
        </w:rPr>
      </w:pPr>
      <w:r>
        <w:rPr>
          <w:rFonts w:hint="eastAsia" w:ascii="宋体" w:hAnsi="宋体" w:cs="宋体"/>
          <w:b/>
          <w:bCs/>
          <w:color w:val="auto"/>
          <w:sz w:val="24"/>
        </w:rPr>
        <w:t>农民工工资保障金</w:t>
      </w:r>
      <w:bookmarkStart w:id="149" w:name="_Toc86935830"/>
    </w:p>
    <w:p w14:paraId="3C080FC2">
      <w:pPr>
        <w:numPr>
          <w:ilvl w:val="0"/>
          <w:numId w:val="0"/>
        </w:numPr>
        <w:spacing w:line="390" w:lineRule="exact"/>
        <w:ind w:firstLine="480" w:firstLineChars="200"/>
        <w:rPr>
          <w:rFonts w:ascii="宋体" w:hAnsi="宋体" w:eastAsia="宋体" w:cs="宋体"/>
          <w:b w:val="0"/>
          <w:color w:val="auto"/>
          <w:sz w:val="24"/>
          <w:szCs w:val="24"/>
        </w:rPr>
      </w:pPr>
      <w:r>
        <w:rPr>
          <w:rFonts w:hint="eastAsia" w:ascii="宋体" w:hAnsi="宋体" w:eastAsia="宋体" w:cs="宋体"/>
          <w:b w:val="0"/>
          <w:color w:val="auto"/>
          <w:sz w:val="24"/>
          <w:szCs w:val="24"/>
        </w:rPr>
        <w:t>27.1本项目不做要求。</w:t>
      </w:r>
      <w:bookmarkEnd w:id="149"/>
    </w:p>
    <w:p w14:paraId="57C3447C">
      <w:pPr>
        <w:pStyle w:val="3"/>
        <w:spacing w:before="0" w:after="0" w:line="390" w:lineRule="exact"/>
        <w:outlineLvl w:val="0"/>
        <w:rPr>
          <w:rFonts w:ascii="宋体" w:hAnsi="宋体" w:eastAsia="宋体" w:cs="宋体"/>
          <w:color w:val="auto"/>
          <w:sz w:val="24"/>
          <w:szCs w:val="24"/>
        </w:rPr>
      </w:pPr>
      <w:bookmarkStart w:id="150" w:name="_Toc86935831"/>
      <w:bookmarkStart w:id="151" w:name="_Toc13360"/>
      <w:bookmarkStart w:id="152" w:name="_Toc32149"/>
      <w:bookmarkStart w:id="153" w:name="_Toc3020"/>
      <w:r>
        <w:rPr>
          <w:rFonts w:hint="eastAsia" w:ascii="宋体" w:hAnsi="宋体" w:eastAsia="宋体" w:cs="宋体"/>
          <w:color w:val="auto"/>
          <w:sz w:val="24"/>
          <w:szCs w:val="24"/>
        </w:rPr>
        <w:t>八、其他事项</w:t>
      </w:r>
      <w:bookmarkEnd w:id="146"/>
      <w:bookmarkEnd w:id="150"/>
      <w:bookmarkEnd w:id="151"/>
      <w:bookmarkEnd w:id="152"/>
      <w:bookmarkEnd w:id="153"/>
    </w:p>
    <w:p w14:paraId="2E9C0C15">
      <w:pPr>
        <w:spacing w:line="390" w:lineRule="exact"/>
        <w:rPr>
          <w:rFonts w:ascii="宋体" w:hAnsi="宋体" w:cs="宋体"/>
          <w:b/>
          <w:bCs/>
          <w:color w:val="auto"/>
          <w:sz w:val="24"/>
        </w:rPr>
      </w:pPr>
      <w:r>
        <w:rPr>
          <w:rFonts w:hint="eastAsia" w:ascii="宋体" w:hAnsi="宋体" w:cs="宋体"/>
          <w:b/>
          <w:bCs/>
          <w:color w:val="auto"/>
          <w:sz w:val="24"/>
        </w:rPr>
        <w:t>28、解释权</w:t>
      </w:r>
    </w:p>
    <w:p w14:paraId="239C7043">
      <w:pPr>
        <w:spacing w:line="390" w:lineRule="exact"/>
        <w:ind w:firstLine="480" w:firstLineChars="200"/>
        <w:rPr>
          <w:rFonts w:ascii="宋体" w:hAnsi="宋体" w:cs="宋体"/>
          <w:color w:val="auto"/>
          <w:sz w:val="24"/>
        </w:rPr>
      </w:pPr>
      <w:r>
        <w:rPr>
          <w:rFonts w:hint="eastAsia" w:ascii="宋体" w:hAnsi="宋体" w:cs="宋体"/>
          <w:color w:val="auto"/>
          <w:sz w:val="24"/>
        </w:rPr>
        <w:t>28.1本《竞争性磋商文件》是根据国家有关法律、法规以及政府采购管理有关规定和参照国际惯例编制，解释权属本采购代理机构。</w:t>
      </w:r>
    </w:p>
    <w:p w14:paraId="002A047F">
      <w:pPr>
        <w:spacing w:line="390" w:lineRule="exact"/>
        <w:rPr>
          <w:rFonts w:ascii="宋体" w:hAnsi="宋体" w:cs="宋体"/>
          <w:b/>
          <w:color w:val="auto"/>
          <w:sz w:val="24"/>
        </w:rPr>
      </w:pPr>
      <w:r>
        <w:rPr>
          <w:rFonts w:hint="eastAsia" w:ascii="宋体" w:hAnsi="宋体" w:cs="宋体"/>
          <w:b/>
          <w:color w:val="auto"/>
          <w:sz w:val="24"/>
        </w:rPr>
        <w:t>29、代理服务费</w:t>
      </w:r>
    </w:p>
    <w:p w14:paraId="6EE2F795">
      <w:pPr>
        <w:spacing w:line="390" w:lineRule="exact"/>
        <w:ind w:firstLine="480" w:firstLineChars="200"/>
        <w:rPr>
          <w:rFonts w:hint="eastAsia" w:ascii="宋体" w:hAnsi="宋体" w:eastAsia="宋体" w:cs="宋体"/>
          <w:color w:val="auto"/>
          <w:sz w:val="24"/>
          <w:lang w:eastAsia="zh-CN"/>
        </w:rPr>
      </w:pPr>
      <w:r>
        <w:rPr>
          <w:rFonts w:hint="eastAsia" w:ascii="宋体" w:hAnsi="宋体" w:cs="宋体"/>
          <w:color w:val="auto"/>
          <w:sz w:val="24"/>
        </w:rPr>
        <w:t>29.1代理服务费：根据国家发改办【2003】857号文，代理服务费由成交单位交纳，含在磋商报价内，代理服务费金额按国家计委计价格【2002】1980号文规定的“招标代理工程收费标准”执行。由成交人在领取成交通知书时，一次性向采购代理机构支付代理服务费</w:t>
      </w:r>
      <w:r>
        <w:rPr>
          <w:rFonts w:hint="eastAsia" w:ascii="宋体" w:hAnsi="宋体" w:cs="宋体"/>
          <w:color w:val="auto"/>
          <w:sz w:val="24"/>
          <w:lang w:eastAsia="zh-CN"/>
        </w:rPr>
        <w:t>。</w:t>
      </w:r>
    </w:p>
    <w:p w14:paraId="37608124">
      <w:pPr>
        <w:spacing w:line="390" w:lineRule="exact"/>
        <w:rPr>
          <w:rFonts w:ascii="宋体" w:hAnsi="宋体" w:cs="宋体"/>
          <w:b/>
          <w:bCs/>
          <w:color w:val="auto"/>
          <w:sz w:val="24"/>
        </w:rPr>
      </w:pPr>
      <w:r>
        <w:rPr>
          <w:rFonts w:hint="eastAsia" w:ascii="宋体" w:hAnsi="宋体" w:cs="宋体"/>
          <w:b/>
          <w:color w:val="auto"/>
          <w:sz w:val="24"/>
        </w:rPr>
        <w:t>30、</w:t>
      </w:r>
      <w:r>
        <w:rPr>
          <w:rFonts w:hint="eastAsia" w:ascii="宋体" w:hAnsi="宋体" w:cs="宋体"/>
          <w:b/>
          <w:bCs/>
          <w:color w:val="auto"/>
          <w:sz w:val="24"/>
        </w:rPr>
        <w:t>有关事宜</w:t>
      </w:r>
    </w:p>
    <w:p w14:paraId="779B134B">
      <w:pPr>
        <w:spacing w:line="390" w:lineRule="exact"/>
        <w:ind w:firstLine="480" w:firstLineChars="200"/>
        <w:rPr>
          <w:rFonts w:ascii="宋体" w:hAnsi="宋体" w:cs="宋体"/>
          <w:color w:val="auto"/>
          <w:sz w:val="24"/>
        </w:rPr>
      </w:pPr>
      <w:r>
        <w:rPr>
          <w:rFonts w:hint="eastAsia" w:ascii="宋体" w:hAnsi="宋体" w:cs="宋体"/>
          <w:color w:val="auto"/>
          <w:sz w:val="24"/>
        </w:rPr>
        <w:t>30.1所有与本磋商文件有关的函电请按下列通讯地址联系：</w:t>
      </w:r>
    </w:p>
    <w:p w14:paraId="0E4650F8">
      <w:pPr>
        <w:spacing w:line="390" w:lineRule="exact"/>
        <w:ind w:firstLine="480" w:firstLineChars="200"/>
        <w:rPr>
          <w:rFonts w:ascii="宋体" w:hAnsi="宋体" w:cs="宋体"/>
          <w:color w:val="auto"/>
          <w:sz w:val="24"/>
        </w:rPr>
      </w:pPr>
      <w:r>
        <w:rPr>
          <w:rFonts w:hint="eastAsia" w:ascii="宋体" w:hAnsi="宋体" w:cs="宋体"/>
          <w:color w:val="auto"/>
          <w:sz w:val="24"/>
        </w:rPr>
        <w:t>30.1.1采购代理机构：</w:t>
      </w:r>
    </w:p>
    <w:p w14:paraId="3665B7E5">
      <w:pPr>
        <w:spacing w:line="390" w:lineRule="exact"/>
        <w:ind w:firstLine="480" w:firstLineChars="200"/>
        <w:rPr>
          <w:rFonts w:hint="eastAsia" w:ascii="宋体" w:hAnsi="宋体" w:eastAsia="宋体" w:cs="宋体"/>
          <w:color w:val="auto"/>
          <w:sz w:val="24"/>
          <w:lang w:eastAsia="zh-CN"/>
        </w:rPr>
      </w:pPr>
      <w:r>
        <w:rPr>
          <w:rFonts w:hint="eastAsia" w:ascii="宋体" w:hAnsi="宋体" w:cs="宋体"/>
          <w:color w:val="auto"/>
          <w:sz w:val="24"/>
        </w:rPr>
        <w:t>采购代理机构：</w:t>
      </w:r>
      <w:r>
        <w:rPr>
          <w:rFonts w:hint="eastAsia" w:ascii="宋体" w:hAnsi="宋体" w:cs="宋体"/>
          <w:color w:val="auto"/>
          <w:sz w:val="24"/>
          <w:lang w:eastAsia="zh-CN"/>
        </w:rPr>
        <w:t>广西云泽项目管理有限公司</w:t>
      </w:r>
    </w:p>
    <w:p w14:paraId="410D3BC3">
      <w:pPr>
        <w:spacing w:line="390" w:lineRule="exact"/>
        <w:ind w:right="-192" w:firstLine="480" w:firstLineChars="200"/>
        <w:rPr>
          <w:rFonts w:ascii="宋体" w:hAnsi="宋体" w:cs="宋体"/>
          <w:color w:val="auto"/>
          <w:sz w:val="24"/>
        </w:rPr>
      </w:pPr>
      <w:r>
        <w:rPr>
          <w:rFonts w:hint="eastAsia" w:ascii="宋体" w:hAnsi="宋体" w:cs="宋体"/>
          <w:color w:val="auto"/>
          <w:sz w:val="24"/>
        </w:rPr>
        <w:t>地 址：</w:t>
      </w:r>
      <w:r>
        <w:rPr>
          <w:rFonts w:hint="eastAsia" w:asciiTheme="minorEastAsia" w:hAnsiTheme="minorEastAsia" w:eastAsiaTheme="minorEastAsia" w:cstheme="minorEastAsia"/>
          <w:color w:val="auto"/>
          <w:sz w:val="24"/>
        </w:rPr>
        <w:t>贺州市八步区松木岭路122号8栋23层</w:t>
      </w:r>
    </w:p>
    <w:p w14:paraId="08AD26EA">
      <w:pPr>
        <w:spacing w:line="390" w:lineRule="exact"/>
        <w:ind w:right="-192" w:firstLine="480" w:firstLineChars="200"/>
        <w:rPr>
          <w:rFonts w:hint="eastAsia" w:ascii="宋体" w:hAnsi="宋体" w:eastAsia="宋体" w:cs="宋体"/>
          <w:color w:val="auto"/>
          <w:sz w:val="24"/>
          <w:lang w:val="en-US" w:eastAsia="zh-CN"/>
        </w:rPr>
      </w:pPr>
      <w:r>
        <w:rPr>
          <w:rFonts w:hint="eastAsia" w:ascii="宋体" w:hAnsi="宋体" w:cs="宋体"/>
          <w:color w:val="auto"/>
          <w:sz w:val="24"/>
        </w:rPr>
        <w:t>联系人：</w:t>
      </w:r>
      <w:r>
        <w:rPr>
          <w:rFonts w:hint="eastAsia" w:ascii="宋体" w:hAnsi="宋体" w:cs="宋体"/>
          <w:color w:val="auto"/>
          <w:sz w:val="24"/>
          <w:lang w:eastAsia="zh-CN"/>
        </w:rPr>
        <w:t>杜悦</w:t>
      </w:r>
    </w:p>
    <w:p w14:paraId="1ED871BB">
      <w:pPr>
        <w:spacing w:line="390" w:lineRule="exact"/>
        <w:ind w:right="-192" w:firstLine="480" w:firstLineChars="200"/>
        <w:rPr>
          <w:rFonts w:ascii="宋体" w:hAnsi="宋体" w:cs="宋体"/>
          <w:color w:val="auto"/>
          <w:sz w:val="24"/>
        </w:rPr>
      </w:pPr>
      <w:r>
        <w:rPr>
          <w:rFonts w:hint="eastAsia" w:ascii="宋体" w:hAnsi="宋体" w:cs="宋体"/>
          <w:color w:val="auto"/>
          <w:sz w:val="24"/>
        </w:rPr>
        <w:t>电 话：0774-512</w:t>
      </w:r>
      <w:r>
        <w:rPr>
          <w:rFonts w:hint="eastAsia" w:ascii="宋体" w:hAnsi="宋体" w:cs="宋体"/>
          <w:color w:val="auto"/>
          <w:sz w:val="24"/>
          <w:lang w:val="en-US" w:eastAsia="zh-CN"/>
        </w:rPr>
        <w:t>90</w:t>
      </w:r>
      <w:r>
        <w:rPr>
          <w:rFonts w:hint="eastAsia" w:ascii="宋体" w:hAnsi="宋体" w:cs="宋体"/>
          <w:color w:val="auto"/>
          <w:sz w:val="24"/>
        </w:rPr>
        <w:t>33　　</w:t>
      </w:r>
    </w:p>
    <w:p w14:paraId="143EC389">
      <w:pPr>
        <w:spacing w:line="390" w:lineRule="exact"/>
        <w:ind w:right="-192" w:firstLine="480" w:firstLineChars="200"/>
        <w:rPr>
          <w:rFonts w:ascii="宋体" w:hAnsi="宋体" w:cs="宋体"/>
          <w:color w:val="auto"/>
          <w:sz w:val="24"/>
        </w:rPr>
      </w:pPr>
      <w:r>
        <w:rPr>
          <w:rFonts w:hint="eastAsia" w:ascii="宋体" w:hAnsi="宋体" w:cs="宋体"/>
          <w:color w:val="auto"/>
          <w:sz w:val="24"/>
        </w:rPr>
        <w:t>30.1.2监督机构</w:t>
      </w:r>
    </w:p>
    <w:p w14:paraId="548D619E">
      <w:pPr>
        <w:spacing w:line="390" w:lineRule="exact"/>
        <w:ind w:right="-192" w:firstLine="480" w:firstLineChars="200"/>
        <w:rPr>
          <w:rFonts w:ascii="宋体" w:hAnsi="宋体" w:cs="宋体"/>
          <w:color w:val="auto"/>
          <w:sz w:val="24"/>
        </w:rPr>
      </w:pPr>
      <w:r>
        <w:rPr>
          <w:rFonts w:hint="eastAsia" w:ascii="宋体" w:hAnsi="宋体" w:cs="宋体"/>
          <w:color w:val="auto"/>
          <w:sz w:val="24"/>
        </w:rPr>
        <w:t>监督单位全称：贺州市平桂区政府采购管理办公室</w:t>
      </w:r>
    </w:p>
    <w:p w14:paraId="1B1A96A8">
      <w:pPr>
        <w:spacing w:line="390" w:lineRule="exact"/>
        <w:ind w:right="-192" w:firstLine="480" w:firstLineChars="200"/>
        <w:jc w:val="left"/>
        <w:rPr>
          <w:rFonts w:ascii="宋体" w:hAnsi="宋体" w:cs="宋体"/>
          <w:color w:val="auto"/>
          <w:sz w:val="24"/>
        </w:rPr>
      </w:pPr>
      <w:r>
        <w:rPr>
          <w:rFonts w:hint="eastAsia" w:ascii="宋体" w:hAnsi="宋体" w:cs="宋体"/>
          <w:color w:val="auto"/>
          <w:sz w:val="24"/>
        </w:rPr>
        <w:t>电话：</w:t>
      </w:r>
      <w:r>
        <w:rPr>
          <w:rFonts w:ascii="宋体" w:hAnsi="宋体" w:cs="宋体"/>
          <w:color w:val="auto"/>
          <w:sz w:val="24"/>
        </w:rPr>
        <w:t>0774-8832896</w:t>
      </w:r>
      <w:bookmarkStart w:id="154" w:name="_Toc439163592"/>
      <w:bookmarkStart w:id="155" w:name="_Toc389065255"/>
      <w:bookmarkStart w:id="156" w:name="_Toc430095341"/>
      <w:bookmarkStart w:id="157" w:name="_Toc406071080"/>
      <w:bookmarkStart w:id="158" w:name="_Toc296503025"/>
      <w:bookmarkStart w:id="159" w:name="_Toc296890982"/>
      <w:bookmarkStart w:id="160" w:name="_Toc351203480"/>
      <w:bookmarkStart w:id="161" w:name="_Toc373227552"/>
      <w:bookmarkStart w:id="162" w:name="_Toc440877583"/>
      <w:bookmarkStart w:id="163" w:name="_Toc373478199"/>
    </w:p>
    <w:p w14:paraId="1CAA2AF1">
      <w:pPr>
        <w:rPr>
          <w:rFonts w:ascii="宋体" w:hAnsi="宋体" w:cs="宋体"/>
          <w:color w:val="auto"/>
          <w:sz w:val="24"/>
        </w:rPr>
      </w:pPr>
      <w:r>
        <w:rPr>
          <w:rFonts w:ascii="宋体" w:hAnsi="宋体" w:cs="宋体"/>
          <w:color w:val="auto"/>
          <w:sz w:val="24"/>
        </w:rPr>
        <w:br w:type="page"/>
      </w:r>
    </w:p>
    <w:p w14:paraId="0073494F">
      <w:pPr>
        <w:widowControl/>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附</w:t>
      </w:r>
      <w:r>
        <w:rPr>
          <w:rFonts w:hint="eastAsia" w:ascii="宋体" w:hAnsi="宋体" w:eastAsia="宋体" w:cs="宋体"/>
          <w:b/>
          <w:bCs/>
          <w:color w:val="auto"/>
          <w:sz w:val="24"/>
          <w:highlight w:val="none"/>
          <w:lang w:eastAsia="zh-CN"/>
        </w:rPr>
        <w:t>件</w:t>
      </w:r>
      <w:r>
        <w:rPr>
          <w:rFonts w:hint="eastAsia" w:ascii="宋体" w:hAnsi="宋体" w:eastAsia="宋体" w:cs="宋体"/>
          <w:b/>
          <w:bCs/>
          <w:color w:val="auto"/>
          <w:sz w:val="24"/>
          <w:highlight w:val="none"/>
        </w:rPr>
        <w:t>：</w:t>
      </w:r>
    </w:p>
    <w:p w14:paraId="6E5B6F03">
      <w:pPr>
        <w:widowControl/>
        <w:spacing w:before="165" w:beforeLines="50" w:after="165" w:afterLines="50" w:line="300" w:lineRule="exact"/>
        <w:jc w:val="center"/>
        <w:rPr>
          <w:rFonts w:hint="eastAsia" w:ascii="宋体" w:hAnsi="宋体" w:eastAsia="宋体" w:cs="宋体"/>
          <w:color w:val="auto"/>
          <w:kern w:val="0"/>
          <w:sz w:val="28"/>
          <w:szCs w:val="28"/>
          <w:highlight w:val="none"/>
        </w:rPr>
      </w:pPr>
      <w:r>
        <w:rPr>
          <w:rFonts w:hint="eastAsia" w:ascii="宋体" w:hAnsi="宋体" w:eastAsia="宋体" w:cs="宋体"/>
          <w:b/>
          <w:color w:val="auto"/>
          <w:szCs w:val="20"/>
          <w:highlight w:val="none"/>
        </w:rPr>
        <w:t>大中小微型企业划分标准</w:t>
      </w:r>
    </w:p>
    <w:tbl>
      <w:tblPr>
        <w:tblStyle w:val="48"/>
        <w:tblW w:w="9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531"/>
        <w:gridCol w:w="993"/>
        <w:gridCol w:w="1118"/>
        <w:gridCol w:w="1676"/>
        <w:gridCol w:w="1618"/>
        <w:gridCol w:w="852"/>
      </w:tblGrid>
      <w:tr w14:paraId="34574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jc w:val="center"/>
        </w:trPr>
        <w:tc>
          <w:tcPr>
            <w:tcW w:w="1951" w:type="dxa"/>
            <w:shd w:val="clear" w:color="auto" w:fill="D7D7D7"/>
            <w:vAlign w:val="center"/>
          </w:tcPr>
          <w:p w14:paraId="2B4904A3">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行业名称</w:t>
            </w:r>
          </w:p>
        </w:tc>
        <w:tc>
          <w:tcPr>
            <w:tcW w:w="1531" w:type="dxa"/>
            <w:shd w:val="clear" w:color="auto" w:fill="D7D7D7"/>
            <w:vAlign w:val="center"/>
          </w:tcPr>
          <w:p w14:paraId="5276D2E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指标名称</w:t>
            </w:r>
          </w:p>
        </w:tc>
        <w:tc>
          <w:tcPr>
            <w:tcW w:w="993" w:type="dxa"/>
            <w:shd w:val="clear" w:color="auto" w:fill="D7D7D7"/>
            <w:vAlign w:val="center"/>
          </w:tcPr>
          <w:p w14:paraId="1CD1DB0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计量单位</w:t>
            </w:r>
          </w:p>
        </w:tc>
        <w:tc>
          <w:tcPr>
            <w:tcW w:w="1118" w:type="dxa"/>
            <w:shd w:val="clear" w:color="auto" w:fill="D7D7D7"/>
            <w:vAlign w:val="center"/>
          </w:tcPr>
          <w:p w14:paraId="3281231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大型</w:t>
            </w:r>
          </w:p>
        </w:tc>
        <w:tc>
          <w:tcPr>
            <w:tcW w:w="1676" w:type="dxa"/>
            <w:shd w:val="clear" w:color="auto" w:fill="D7D7D7"/>
            <w:vAlign w:val="center"/>
          </w:tcPr>
          <w:p w14:paraId="7EC015D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中型</w:t>
            </w:r>
          </w:p>
        </w:tc>
        <w:tc>
          <w:tcPr>
            <w:tcW w:w="1618" w:type="dxa"/>
            <w:shd w:val="clear" w:color="auto" w:fill="D7D7D7"/>
            <w:vAlign w:val="center"/>
          </w:tcPr>
          <w:p w14:paraId="2F98751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小型</w:t>
            </w:r>
          </w:p>
        </w:tc>
        <w:tc>
          <w:tcPr>
            <w:tcW w:w="852" w:type="dxa"/>
            <w:shd w:val="clear" w:color="auto" w:fill="D7D7D7"/>
            <w:vAlign w:val="center"/>
          </w:tcPr>
          <w:p w14:paraId="43EDF2C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微型</w:t>
            </w:r>
          </w:p>
        </w:tc>
      </w:tr>
      <w:tr w14:paraId="7498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Align w:val="center"/>
          </w:tcPr>
          <w:p w14:paraId="31D6CCC3">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农、林、牧、渔业</w:t>
            </w:r>
          </w:p>
        </w:tc>
        <w:tc>
          <w:tcPr>
            <w:tcW w:w="1531" w:type="dxa"/>
            <w:vAlign w:val="center"/>
          </w:tcPr>
          <w:p w14:paraId="610D1BC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120912F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24A0DEF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676" w:type="dxa"/>
            <w:vAlign w:val="center"/>
          </w:tcPr>
          <w:p w14:paraId="2F74BE2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618" w:type="dxa"/>
            <w:vAlign w:val="center"/>
          </w:tcPr>
          <w:p w14:paraId="466AA57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852" w:type="dxa"/>
            <w:vAlign w:val="center"/>
          </w:tcPr>
          <w:p w14:paraId="277F5A8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6B946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7F676E71">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工业 *</w:t>
            </w:r>
          </w:p>
        </w:tc>
        <w:tc>
          <w:tcPr>
            <w:tcW w:w="1531" w:type="dxa"/>
            <w:vAlign w:val="center"/>
          </w:tcPr>
          <w:p w14:paraId="261C943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7CB0F5F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74E881D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676" w:type="dxa"/>
            <w:vAlign w:val="center"/>
          </w:tcPr>
          <w:p w14:paraId="4CAC630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618" w:type="dxa"/>
            <w:vAlign w:val="center"/>
          </w:tcPr>
          <w:p w14:paraId="41ECBE7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852" w:type="dxa"/>
            <w:vAlign w:val="center"/>
          </w:tcPr>
          <w:p w14:paraId="508CC5D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11A70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27ACFDE5">
            <w:pPr>
              <w:widowControl/>
              <w:jc w:val="left"/>
              <w:rPr>
                <w:rFonts w:hint="eastAsia" w:ascii="宋体" w:hAnsi="宋体" w:eastAsia="宋体" w:cs="宋体"/>
                <w:color w:val="auto"/>
                <w:kern w:val="0"/>
                <w:sz w:val="18"/>
                <w:szCs w:val="18"/>
                <w:highlight w:val="none"/>
              </w:rPr>
            </w:pPr>
          </w:p>
        </w:tc>
        <w:tc>
          <w:tcPr>
            <w:tcW w:w="1531" w:type="dxa"/>
            <w:vAlign w:val="center"/>
          </w:tcPr>
          <w:p w14:paraId="3F2B6845">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6EBE35A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4E8D882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676" w:type="dxa"/>
            <w:vAlign w:val="center"/>
          </w:tcPr>
          <w:p w14:paraId="41D24C7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618" w:type="dxa"/>
            <w:vAlign w:val="center"/>
          </w:tcPr>
          <w:p w14:paraId="2F58D95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852" w:type="dxa"/>
            <w:vAlign w:val="center"/>
          </w:tcPr>
          <w:p w14:paraId="617BD37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279D7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52BEAB8B">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建筑业</w:t>
            </w:r>
          </w:p>
        </w:tc>
        <w:tc>
          <w:tcPr>
            <w:tcW w:w="1531" w:type="dxa"/>
            <w:vAlign w:val="center"/>
          </w:tcPr>
          <w:p w14:paraId="7EC23C7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6D38148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3948773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Y≥80000</w:t>
            </w:r>
          </w:p>
        </w:tc>
        <w:tc>
          <w:tcPr>
            <w:tcW w:w="1676" w:type="dxa"/>
            <w:vAlign w:val="center"/>
          </w:tcPr>
          <w:p w14:paraId="6838EFA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618" w:type="dxa"/>
            <w:vAlign w:val="center"/>
          </w:tcPr>
          <w:p w14:paraId="2E00341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300≤Y＜6000</w:t>
            </w:r>
          </w:p>
        </w:tc>
        <w:tc>
          <w:tcPr>
            <w:tcW w:w="852" w:type="dxa"/>
            <w:vAlign w:val="center"/>
          </w:tcPr>
          <w:p w14:paraId="5465496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6F86B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08DBD80C">
            <w:pPr>
              <w:widowControl/>
              <w:jc w:val="left"/>
              <w:rPr>
                <w:rFonts w:hint="eastAsia" w:ascii="宋体" w:hAnsi="宋体" w:eastAsia="宋体" w:cs="宋体"/>
                <w:color w:val="auto"/>
                <w:kern w:val="0"/>
                <w:sz w:val="18"/>
                <w:szCs w:val="18"/>
                <w:highlight w:val="none"/>
              </w:rPr>
            </w:pPr>
          </w:p>
        </w:tc>
        <w:tc>
          <w:tcPr>
            <w:tcW w:w="1531" w:type="dxa"/>
            <w:vAlign w:val="center"/>
          </w:tcPr>
          <w:p w14:paraId="615CAC0F">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993" w:type="dxa"/>
            <w:vAlign w:val="center"/>
          </w:tcPr>
          <w:p w14:paraId="4939941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77F767D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Z≥80000</w:t>
            </w:r>
          </w:p>
        </w:tc>
        <w:tc>
          <w:tcPr>
            <w:tcW w:w="1676" w:type="dxa"/>
            <w:vAlign w:val="center"/>
          </w:tcPr>
          <w:p w14:paraId="32A50DE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618" w:type="dxa"/>
            <w:vAlign w:val="center"/>
          </w:tcPr>
          <w:p w14:paraId="26A3324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852" w:type="dxa"/>
            <w:vAlign w:val="center"/>
          </w:tcPr>
          <w:p w14:paraId="0406D33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686B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17F28936">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批发业</w:t>
            </w:r>
          </w:p>
        </w:tc>
        <w:tc>
          <w:tcPr>
            <w:tcW w:w="1531" w:type="dxa"/>
            <w:vAlign w:val="center"/>
          </w:tcPr>
          <w:p w14:paraId="30FB51F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625D945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58C13F9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676" w:type="dxa"/>
            <w:vAlign w:val="center"/>
          </w:tcPr>
          <w:p w14:paraId="46764B1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618" w:type="dxa"/>
            <w:vAlign w:val="center"/>
          </w:tcPr>
          <w:p w14:paraId="43D84D0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5≤X＜20</w:t>
            </w:r>
          </w:p>
        </w:tc>
        <w:tc>
          <w:tcPr>
            <w:tcW w:w="852" w:type="dxa"/>
            <w:vAlign w:val="center"/>
          </w:tcPr>
          <w:p w14:paraId="3333BC1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2A6C1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1419ECB9">
            <w:pPr>
              <w:widowControl/>
              <w:jc w:val="left"/>
              <w:rPr>
                <w:rFonts w:hint="eastAsia" w:ascii="宋体" w:hAnsi="宋体" w:eastAsia="宋体" w:cs="宋体"/>
                <w:color w:val="auto"/>
                <w:kern w:val="0"/>
                <w:sz w:val="18"/>
                <w:szCs w:val="18"/>
                <w:highlight w:val="none"/>
              </w:rPr>
            </w:pPr>
          </w:p>
        </w:tc>
        <w:tc>
          <w:tcPr>
            <w:tcW w:w="1531" w:type="dxa"/>
            <w:vAlign w:val="center"/>
          </w:tcPr>
          <w:p w14:paraId="2DE618E8">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75AEBB3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57BA012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676" w:type="dxa"/>
            <w:vAlign w:val="center"/>
          </w:tcPr>
          <w:p w14:paraId="134488F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618" w:type="dxa"/>
            <w:vAlign w:val="center"/>
          </w:tcPr>
          <w:p w14:paraId="5124C017">
            <w:pPr>
              <w:widowControl/>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852" w:type="dxa"/>
            <w:vAlign w:val="center"/>
          </w:tcPr>
          <w:p w14:paraId="33F4426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6142E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61BD8BC2">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零售业</w:t>
            </w:r>
          </w:p>
        </w:tc>
        <w:tc>
          <w:tcPr>
            <w:tcW w:w="1531" w:type="dxa"/>
            <w:vAlign w:val="center"/>
          </w:tcPr>
          <w:p w14:paraId="24B421F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358A78D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1D6118E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76" w:type="dxa"/>
            <w:vAlign w:val="center"/>
          </w:tcPr>
          <w:p w14:paraId="44192CF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618" w:type="dxa"/>
            <w:vAlign w:val="center"/>
          </w:tcPr>
          <w:p w14:paraId="3378BF5E">
            <w:pPr>
              <w:widowControl/>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10≤X＜50 </w:t>
            </w:r>
          </w:p>
        </w:tc>
        <w:tc>
          <w:tcPr>
            <w:tcW w:w="852" w:type="dxa"/>
            <w:vAlign w:val="center"/>
          </w:tcPr>
          <w:p w14:paraId="538B157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1C55F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7AAF9F8B">
            <w:pPr>
              <w:widowControl/>
              <w:jc w:val="left"/>
              <w:rPr>
                <w:rFonts w:hint="eastAsia" w:ascii="宋体" w:hAnsi="宋体" w:eastAsia="宋体" w:cs="宋体"/>
                <w:color w:val="auto"/>
                <w:kern w:val="0"/>
                <w:sz w:val="18"/>
                <w:szCs w:val="18"/>
                <w:highlight w:val="none"/>
              </w:rPr>
            </w:pPr>
          </w:p>
        </w:tc>
        <w:tc>
          <w:tcPr>
            <w:tcW w:w="1531" w:type="dxa"/>
            <w:vAlign w:val="center"/>
          </w:tcPr>
          <w:p w14:paraId="27B1ADC0">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40C8512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01B13B6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676" w:type="dxa"/>
            <w:vAlign w:val="center"/>
          </w:tcPr>
          <w:p w14:paraId="2D8F375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618" w:type="dxa"/>
            <w:vAlign w:val="center"/>
          </w:tcPr>
          <w:p w14:paraId="0A8EA61A">
            <w:pPr>
              <w:widowControl/>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852" w:type="dxa"/>
            <w:vAlign w:val="center"/>
          </w:tcPr>
          <w:p w14:paraId="48648BB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065BE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3F38C0D3">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交通运输业 *</w:t>
            </w:r>
          </w:p>
        </w:tc>
        <w:tc>
          <w:tcPr>
            <w:tcW w:w="1531" w:type="dxa"/>
            <w:vAlign w:val="center"/>
          </w:tcPr>
          <w:p w14:paraId="1A2B0E6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3C71977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6B23BA4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676" w:type="dxa"/>
            <w:vAlign w:val="center"/>
          </w:tcPr>
          <w:p w14:paraId="79F825F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618" w:type="dxa"/>
            <w:vAlign w:val="center"/>
          </w:tcPr>
          <w:p w14:paraId="773A285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852" w:type="dxa"/>
            <w:vAlign w:val="center"/>
          </w:tcPr>
          <w:p w14:paraId="5F5AF1D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72EB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6E171482">
            <w:pPr>
              <w:widowControl/>
              <w:jc w:val="left"/>
              <w:rPr>
                <w:rFonts w:hint="eastAsia" w:ascii="宋体" w:hAnsi="宋体" w:eastAsia="宋体" w:cs="宋体"/>
                <w:color w:val="auto"/>
                <w:kern w:val="0"/>
                <w:sz w:val="18"/>
                <w:szCs w:val="18"/>
                <w:highlight w:val="none"/>
              </w:rPr>
            </w:pPr>
          </w:p>
        </w:tc>
        <w:tc>
          <w:tcPr>
            <w:tcW w:w="1531" w:type="dxa"/>
            <w:vAlign w:val="center"/>
          </w:tcPr>
          <w:p w14:paraId="3E994214">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69DC4BE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2D79369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676" w:type="dxa"/>
            <w:vAlign w:val="center"/>
          </w:tcPr>
          <w:p w14:paraId="6F956D8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618" w:type="dxa"/>
            <w:vAlign w:val="center"/>
          </w:tcPr>
          <w:p w14:paraId="2C18B45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852" w:type="dxa"/>
            <w:vAlign w:val="center"/>
          </w:tcPr>
          <w:p w14:paraId="21709FE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151AE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77354785">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仓储业*</w:t>
            </w:r>
          </w:p>
        </w:tc>
        <w:tc>
          <w:tcPr>
            <w:tcW w:w="1531" w:type="dxa"/>
            <w:vAlign w:val="center"/>
          </w:tcPr>
          <w:p w14:paraId="2CDA8FA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4A2F3CE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75889FA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676" w:type="dxa"/>
            <w:vAlign w:val="center"/>
          </w:tcPr>
          <w:p w14:paraId="11E4A865">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618" w:type="dxa"/>
            <w:vAlign w:val="center"/>
          </w:tcPr>
          <w:p w14:paraId="449F123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20≤X＜100</w:t>
            </w:r>
          </w:p>
        </w:tc>
        <w:tc>
          <w:tcPr>
            <w:tcW w:w="852" w:type="dxa"/>
            <w:vAlign w:val="center"/>
          </w:tcPr>
          <w:p w14:paraId="61FEC46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3BCB3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1DC07063">
            <w:pPr>
              <w:widowControl/>
              <w:jc w:val="left"/>
              <w:rPr>
                <w:rFonts w:hint="eastAsia" w:ascii="宋体" w:hAnsi="宋体" w:eastAsia="宋体" w:cs="宋体"/>
                <w:color w:val="auto"/>
                <w:kern w:val="0"/>
                <w:sz w:val="18"/>
                <w:szCs w:val="18"/>
                <w:highlight w:val="none"/>
              </w:rPr>
            </w:pPr>
          </w:p>
        </w:tc>
        <w:tc>
          <w:tcPr>
            <w:tcW w:w="1531" w:type="dxa"/>
            <w:vAlign w:val="center"/>
          </w:tcPr>
          <w:p w14:paraId="5F23C33F">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04692D8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6EFB31F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676" w:type="dxa"/>
            <w:vAlign w:val="center"/>
          </w:tcPr>
          <w:p w14:paraId="020C61C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618" w:type="dxa"/>
            <w:vAlign w:val="center"/>
          </w:tcPr>
          <w:p w14:paraId="05C3B3A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852" w:type="dxa"/>
            <w:vAlign w:val="center"/>
          </w:tcPr>
          <w:p w14:paraId="07066C2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18EA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2206AE45">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邮政业</w:t>
            </w:r>
          </w:p>
        </w:tc>
        <w:tc>
          <w:tcPr>
            <w:tcW w:w="1531" w:type="dxa"/>
            <w:vAlign w:val="center"/>
          </w:tcPr>
          <w:p w14:paraId="4500055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6D85733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1D77F8D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676" w:type="dxa"/>
            <w:vAlign w:val="center"/>
          </w:tcPr>
          <w:p w14:paraId="1FB4E96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618" w:type="dxa"/>
            <w:vAlign w:val="center"/>
          </w:tcPr>
          <w:p w14:paraId="3B8F032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852" w:type="dxa"/>
            <w:vAlign w:val="center"/>
          </w:tcPr>
          <w:p w14:paraId="481F010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5F99F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727800CC">
            <w:pPr>
              <w:widowControl/>
              <w:jc w:val="left"/>
              <w:rPr>
                <w:rFonts w:hint="eastAsia" w:ascii="宋体" w:hAnsi="宋体" w:eastAsia="宋体" w:cs="宋体"/>
                <w:color w:val="auto"/>
                <w:kern w:val="0"/>
                <w:sz w:val="18"/>
                <w:szCs w:val="18"/>
                <w:highlight w:val="none"/>
              </w:rPr>
            </w:pPr>
          </w:p>
        </w:tc>
        <w:tc>
          <w:tcPr>
            <w:tcW w:w="1531" w:type="dxa"/>
            <w:vAlign w:val="center"/>
          </w:tcPr>
          <w:p w14:paraId="45A7DB98">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5DEF607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7860F15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676" w:type="dxa"/>
            <w:vAlign w:val="center"/>
          </w:tcPr>
          <w:p w14:paraId="574E1BA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618" w:type="dxa"/>
            <w:vAlign w:val="center"/>
          </w:tcPr>
          <w:p w14:paraId="1F34AB8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852" w:type="dxa"/>
            <w:vAlign w:val="center"/>
          </w:tcPr>
          <w:p w14:paraId="391BC58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0E8E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466AE252">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住宿业</w:t>
            </w:r>
          </w:p>
        </w:tc>
        <w:tc>
          <w:tcPr>
            <w:tcW w:w="1531" w:type="dxa"/>
            <w:vAlign w:val="center"/>
          </w:tcPr>
          <w:p w14:paraId="1560A11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22DD018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6D81A05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76" w:type="dxa"/>
            <w:vAlign w:val="center"/>
          </w:tcPr>
          <w:p w14:paraId="54C41936">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618" w:type="dxa"/>
            <w:vAlign w:val="center"/>
          </w:tcPr>
          <w:p w14:paraId="7FBB913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852" w:type="dxa"/>
            <w:vAlign w:val="center"/>
          </w:tcPr>
          <w:p w14:paraId="4C85ECF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11DB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0B5E5AC1">
            <w:pPr>
              <w:widowControl/>
              <w:jc w:val="left"/>
              <w:rPr>
                <w:rFonts w:hint="eastAsia" w:ascii="宋体" w:hAnsi="宋体" w:eastAsia="宋体" w:cs="宋体"/>
                <w:color w:val="auto"/>
                <w:kern w:val="0"/>
                <w:sz w:val="18"/>
                <w:szCs w:val="18"/>
                <w:highlight w:val="none"/>
              </w:rPr>
            </w:pPr>
          </w:p>
        </w:tc>
        <w:tc>
          <w:tcPr>
            <w:tcW w:w="1531" w:type="dxa"/>
            <w:vAlign w:val="center"/>
          </w:tcPr>
          <w:p w14:paraId="50647FD2">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502D130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6A10BB9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676" w:type="dxa"/>
            <w:vAlign w:val="center"/>
          </w:tcPr>
          <w:p w14:paraId="6A27C74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618" w:type="dxa"/>
            <w:vAlign w:val="center"/>
          </w:tcPr>
          <w:p w14:paraId="7601D51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852" w:type="dxa"/>
            <w:vAlign w:val="center"/>
          </w:tcPr>
          <w:p w14:paraId="59B7DF1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5FA2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086908A9">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餐饮业</w:t>
            </w:r>
          </w:p>
        </w:tc>
        <w:tc>
          <w:tcPr>
            <w:tcW w:w="1531" w:type="dxa"/>
            <w:vAlign w:val="center"/>
          </w:tcPr>
          <w:p w14:paraId="565B00A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49D8D84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63388E5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76" w:type="dxa"/>
            <w:vAlign w:val="center"/>
          </w:tcPr>
          <w:p w14:paraId="16412BCA">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618" w:type="dxa"/>
            <w:vAlign w:val="center"/>
          </w:tcPr>
          <w:p w14:paraId="0239924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852" w:type="dxa"/>
            <w:vAlign w:val="center"/>
          </w:tcPr>
          <w:p w14:paraId="5EA7DDC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71895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3A63055F">
            <w:pPr>
              <w:widowControl/>
              <w:jc w:val="left"/>
              <w:rPr>
                <w:rFonts w:hint="eastAsia" w:ascii="宋体" w:hAnsi="宋体" w:eastAsia="宋体" w:cs="宋体"/>
                <w:color w:val="auto"/>
                <w:kern w:val="0"/>
                <w:sz w:val="18"/>
                <w:szCs w:val="18"/>
                <w:highlight w:val="none"/>
              </w:rPr>
            </w:pPr>
          </w:p>
        </w:tc>
        <w:tc>
          <w:tcPr>
            <w:tcW w:w="1531" w:type="dxa"/>
            <w:vAlign w:val="center"/>
          </w:tcPr>
          <w:p w14:paraId="0FEB244E">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1A9B22F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1035FBA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676" w:type="dxa"/>
            <w:vAlign w:val="center"/>
          </w:tcPr>
          <w:p w14:paraId="15AB48D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618" w:type="dxa"/>
            <w:vAlign w:val="center"/>
          </w:tcPr>
          <w:p w14:paraId="7AB6F64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852" w:type="dxa"/>
            <w:vAlign w:val="center"/>
          </w:tcPr>
          <w:p w14:paraId="0FCB2C1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DDC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1EBD2162">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信息传输业 *</w:t>
            </w:r>
          </w:p>
        </w:tc>
        <w:tc>
          <w:tcPr>
            <w:tcW w:w="1531" w:type="dxa"/>
            <w:vAlign w:val="center"/>
          </w:tcPr>
          <w:p w14:paraId="59812D7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32D2B42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542A37B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X≥2000</w:t>
            </w:r>
          </w:p>
        </w:tc>
        <w:tc>
          <w:tcPr>
            <w:tcW w:w="1676" w:type="dxa"/>
            <w:vAlign w:val="center"/>
          </w:tcPr>
          <w:p w14:paraId="43CA554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618" w:type="dxa"/>
            <w:vAlign w:val="center"/>
          </w:tcPr>
          <w:p w14:paraId="2908439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852" w:type="dxa"/>
            <w:vAlign w:val="center"/>
          </w:tcPr>
          <w:p w14:paraId="7C60E7D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14F0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07469932">
            <w:pPr>
              <w:widowControl/>
              <w:jc w:val="left"/>
              <w:rPr>
                <w:rFonts w:hint="eastAsia" w:ascii="宋体" w:hAnsi="宋体" w:eastAsia="宋体" w:cs="宋体"/>
                <w:color w:val="auto"/>
                <w:kern w:val="0"/>
                <w:sz w:val="18"/>
                <w:szCs w:val="18"/>
                <w:highlight w:val="none"/>
              </w:rPr>
            </w:pPr>
          </w:p>
        </w:tc>
        <w:tc>
          <w:tcPr>
            <w:tcW w:w="1531" w:type="dxa"/>
            <w:vAlign w:val="center"/>
          </w:tcPr>
          <w:p w14:paraId="7D11FAB7">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63CFD92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0DB6896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Y≥100000</w:t>
            </w:r>
          </w:p>
        </w:tc>
        <w:tc>
          <w:tcPr>
            <w:tcW w:w="1676" w:type="dxa"/>
            <w:vAlign w:val="center"/>
          </w:tcPr>
          <w:p w14:paraId="79903B5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618" w:type="dxa"/>
            <w:vAlign w:val="center"/>
          </w:tcPr>
          <w:p w14:paraId="527E1BD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852" w:type="dxa"/>
            <w:vAlign w:val="center"/>
          </w:tcPr>
          <w:p w14:paraId="76D5EBF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922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2017697A">
            <w:pPr>
              <w:widowControl/>
              <w:spacing w:line="240" w:lineRule="exact"/>
              <w:jc w:val="left"/>
              <w:rPr>
                <w:rFonts w:hint="eastAsia" w:ascii="宋体" w:hAnsi="宋体" w:eastAsia="宋体" w:cs="宋体"/>
                <w:color w:val="auto"/>
                <w:spacing w:val="-12"/>
                <w:kern w:val="0"/>
                <w:sz w:val="18"/>
                <w:szCs w:val="18"/>
                <w:highlight w:val="none"/>
              </w:rPr>
            </w:pPr>
            <w:r>
              <w:rPr>
                <w:rFonts w:hint="eastAsia" w:ascii="宋体" w:hAnsi="宋体" w:eastAsia="宋体" w:cs="宋体"/>
                <w:color w:val="auto"/>
                <w:spacing w:val="-12"/>
                <w:kern w:val="0"/>
                <w:sz w:val="18"/>
                <w:szCs w:val="18"/>
                <w:highlight w:val="none"/>
              </w:rPr>
              <w:t>软件和信息技术服</w:t>
            </w:r>
            <w:r>
              <w:rPr>
                <w:rFonts w:hint="eastAsia" w:ascii="宋体" w:hAnsi="宋体" w:eastAsia="宋体" w:cs="宋体"/>
                <w:color w:val="auto"/>
                <w:kern w:val="0"/>
                <w:sz w:val="18"/>
                <w:szCs w:val="18"/>
                <w:highlight w:val="none"/>
              </w:rPr>
              <w:t>务业</w:t>
            </w:r>
          </w:p>
        </w:tc>
        <w:tc>
          <w:tcPr>
            <w:tcW w:w="1531" w:type="dxa"/>
            <w:vAlign w:val="center"/>
          </w:tcPr>
          <w:p w14:paraId="1E15C0A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14FF912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2AFAE80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76" w:type="dxa"/>
            <w:vAlign w:val="center"/>
          </w:tcPr>
          <w:p w14:paraId="06300D3B">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618" w:type="dxa"/>
            <w:vAlign w:val="center"/>
          </w:tcPr>
          <w:p w14:paraId="3A6A2B0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852" w:type="dxa"/>
            <w:vAlign w:val="center"/>
          </w:tcPr>
          <w:p w14:paraId="3AA856E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3322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2DD75D45">
            <w:pPr>
              <w:widowControl/>
              <w:jc w:val="left"/>
              <w:rPr>
                <w:rFonts w:hint="eastAsia" w:ascii="宋体" w:hAnsi="宋体" w:eastAsia="宋体" w:cs="宋体"/>
                <w:color w:val="auto"/>
                <w:spacing w:val="-12"/>
                <w:kern w:val="0"/>
                <w:sz w:val="18"/>
                <w:szCs w:val="18"/>
                <w:highlight w:val="none"/>
              </w:rPr>
            </w:pPr>
          </w:p>
        </w:tc>
        <w:tc>
          <w:tcPr>
            <w:tcW w:w="1531" w:type="dxa"/>
            <w:vAlign w:val="center"/>
          </w:tcPr>
          <w:p w14:paraId="4097D98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1DFDD93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13D9661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676" w:type="dxa"/>
            <w:vAlign w:val="center"/>
          </w:tcPr>
          <w:p w14:paraId="4726A90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618" w:type="dxa"/>
            <w:vAlign w:val="center"/>
          </w:tcPr>
          <w:p w14:paraId="537C05B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852" w:type="dxa"/>
            <w:vAlign w:val="center"/>
          </w:tcPr>
          <w:p w14:paraId="7EC8C09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7A70C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3FE22ACC">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房地产开发经营</w:t>
            </w:r>
          </w:p>
        </w:tc>
        <w:tc>
          <w:tcPr>
            <w:tcW w:w="1531" w:type="dxa"/>
            <w:vAlign w:val="center"/>
          </w:tcPr>
          <w:p w14:paraId="5505C2B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630BD21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487B590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Y≥200000</w:t>
            </w:r>
          </w:p>
        </w:tc>
        <w:tc>
          <w:tcPr>
            <w:tcW w:w="1676" w:type="dxa"/>
            <w:vAlign w:val="center"/>
          </w:tcPr>
          <w:p w14:paraId="040EED7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618" w:type="dxa"/>
            <w:vAlign w:val="center"/>
          </w:tcPr>
          <w:p w14:paraId="412FA93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852" w:type="dxa"/>
            <w:vAlign w:val="center"/>
          </w:tcPr>
          <w:p w14:paraId="668C9F2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2F72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7A0D49E1">
            <w:pPr>
              <w:widowControl/>
              <w:jc w:val="left"/>
              <w:rPr>
                <w:rFonts w:hint="eastAsia" w:ascii="宋体" w:hAnsi="宋体" w:eastAsia="宋体" w:cs="宋体"/>
                <w:color w:val="auto"/>
                <w:kern w:val="0"/>
                <w:sz w:val="18"/>
                <w:szCs w:val="18"/>
                <w:highlight w:val="none"/>
              </w:rPr>
            </w:pPr>
          </w:p>
        </w:tc>
        <w:tc>
          <w:tcPr>
            <w:tcW w:w="1531" w:type="dxa"/>
            <w:vAlign w:val="center"/>
          </w:tcPr>
          <w:p w14:paraId="06DB99C3">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993" w:type="dxa"/>
            <w:vAlign w:val="center"/>
          </w:tcPr>
          <w:p w14:paraId="0A0EB1E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1FD9C22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Z≥10000</w:t>
            </w:r>
          </w:p>
        </w:tc>
        <w:tc>
          <w:tcPr>
            <w:tcW w:w="1676" w:type="dxa"/>
            <w:vAlign w:val="center"/>
          </w:tcPr>
          <w:p w14:paraId="21548D1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618" w:type="dxa"/>
            <w:vAlign w:val="center"/>
          </w:tcPr>
          <w:p w14:paraId="74E8EBE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2000≤Z＜5000</w:t>
            </w:r>
          </w:p>
        </w:tc>
        <w:tc>
          <w:tcPr>
            <w:tcW w:w="852" w:type="dxa"/>
            <w:vAlign w:val="center"/>
          </w:tcPr>
          <w:p w14:paraId="510B947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Z＜2000</w:t>
            </w:r>
          </w:p>
        </w:tc>
      </w:tr>
      <w:tr w14:paraId="5D84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29530077">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物业管理</w:t>
            </w:r>
          </w:p>
        </w:tc>
        <w:tc>
          <w:tcPr>
            <w:tcW w:w="1531" w:type="dxa"/>
            <w:vAlign w:val="center"/>
          </w:tcPr>
          <w:p w14:paraId="4F09B95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2DBD230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3C07D1D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676" w:type="dxa"/>
            <w:vAlign w:val="center"/>
          </w:tcPr>
          <w:p w14:paraId="6EED9D3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618" w:type="dxa"/>
            <w:vAlign w:val="center"/>
          </w:tcPr>
          <w:p w14:paraId="1269E01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852" w:type="dxa"/>
            <w:vAlign w:val="center"/>
          </w:tcPr>
          <w:p w14:paraId="5C1F68A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1EA6A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3001F4FA">
            <w:pPr>
              <w:widowControl/>
              <w:jc w:val="left"/>
              <w:rPr>
                <w:rFonts w:hint="eastAsia" w:ascii="宋体" w:hAnsi="宋体" w:eastAsia="宋体" w:cs="宋体"/>
                <w:color w:val="auto"/>
                <w:kern w:val="0"/>
                <w:sz w:val="18"/>
                <w:szCs w:val="18"/>
                <w:highlight w:val="none"/>
              </w:rPr>
            </w:pPr>
          </w:p>
        </w:tc>
        <w:tc>
          <w:tcPr>
            <w:tcW w:w="1531" w:type="dxa"/>
            <w:vAlign w:val="center"/>
          </w:tcPr>
          <w:p w14:paraId="1BD92EF6">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993" w:type="dxa"/>
            <w:vAlign w:val="center"/>
          </w:tcPr>
          <w:p w14:paraId="0D09F34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7541AC9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Y≥5000</w:t>
            </w:r>
          </w:p>
        </w:tc>
        <w:tc>
          <w:tcPr>
            <w:tcW w:w="1676" w:type="dxa"/>
            <w:vAlign w:val="center"/>
          </w:tcPr>
          <w:p w14:paraId="63EADE34">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618" w:type="dxa"/>
            <w:vAlign w:val="center"/>
          </w:tcPr>
          <w:p w14:paraId="41DDC13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852" w:type="dxa"/>
            <w:vAlign w:val="center"/>
          </w:tcPr>
          <w:p w14:paraId="56FF2BB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67A6D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restart"/>
            <w:vAlign w:val="center"/>
          </w:tcPr>
          <w:p w14:paraId="270EE4C6">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租赁和商务服务业</w:t>
            </w:r>
          </w:p>
        </w:tc>
        <w:tc>
          <w:tcPr>
            <w:tcW w:w="1531" w:type="dxa"/>
            <w:vAlign w:val="center"/>
          </w:tcPr>
          <w:p w14:paraId="23ABB1E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3F25E8D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67D3C7C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76" w:type="dxa"/>
            <w:vAlign w:val="center"/>
          </w:tcPr>
          <w:p w14:paraId="783C49D3">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618" w:type="dxa"/>
            <w:vAlign w:val="center"/>
          </w:tcPr>
          <w:p w14:paraId="2B3E61F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852" w:type="dxa"/>
            <w:vAlign w:val="center"/>
          </w:tcPr>
          <w:p w14:paraId="53C93F8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21AC2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Merge w:val="continue"/>
            <w:vAlign w:val="center"/>
          </w:tcPr>
          <w:p w14:paraId="2A94E204">
            <w:pPr>
              <w:widowControl/>
              <w:jc w:val="left"/>
              <w:rPr>
                <w:rFonts w:hint="eastAsia" w:ascii="宋体" w:hAnsi="宋体" w:eastAsia="宋体" w:cs="宋体"/>
                <w:color w:val="auto"/>
                <w:kern w:val="0"/>
                <w:sz w:val="18"/>
                <w:szCs w:val="18"/>
                <w:highlight w:val="none"/>
              </w:rPr>
            </w:pPr>
          </w:p>
        </w:tc>
        <w:tc>
          <w:tcPr>
            <w:tcW w:w="1531" w:type="dxa"/>
            <w:vAlign w:val="center"/>
          </w:tcPr>
          <w:p w14:paraId="0FA7F2A0">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993" w:type="dxa"/>
            <w:vAlign w:val="center"/>
          </w:tcPr>
          <w:p w14:paraId="082F6C3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18" w:type="dxa"/>
            <w:vAlign w:val="center"/>
          </w:tcPr>
          <w:p w14:paraId="09ACED5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Z≥120000</w:t>
            </w:r>
          </w:p>
        </w:tc>
        <w:tc>
          <w:tcPr>
            <w:tcW w:w="1676" w:type="dxa"/>
            <w:vAlign w:val="center"/>
          </w:tcPr>
          <w:p w14:paraId="141DEB8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618" w:type="dxa"/>
            <w:vAlign w:val="center"/>
          </w:tcPr>
          <w:p w14:paraId="0FEBBA7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852" w:type="dxa"/>
            <w:vAlign w:val="center"/>
          </w:tcPr>
          <w:p w14:paraId="47CC320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w:t>
            </w:r>
          </w:p>
        </w:tc>
      </w:tr>
      <w:tr w14:paraId="12A6F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951" w:type="dxa"/>
            <w:vAlign w:val="center"/>
          </w:tcPr>
          <w:p w14:paraId="7B1797AB">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其他未列明行业 *</w:t>
            </w:r>
          </w:p>
        </w:tc>
        <w:tc>
          <w:tcPr>
            <w:tcW w:w="1531" w:type="dxa"/>
            <w:vAlign w:val="center"/>
          </w:tcPr>
          <w:p w14:paraId="0265934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993" w:type="dxa"/>
            <w:vAlign w:val="center"/>
          </w:tcPr>
          <w:p w14:paraId="3271B4C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18" w:type="dxa"/>
            <w:vAlign w:val="center"/>
          </w:tcPr>
          <w:p w14:paraId="5380B95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676" w:type="dxa"/>
            <w:vAlign w:val="center"/>
          </w:tcPr>
          <w:p w14:paraId="71749E72">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618" w:type="dxa"/>
            <w:vAlign w:val="center"/>
          </w:tcPr>
          <w:p w14:paraId="4716FDF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852" w:type="dxa"/>
            <w:vAlign w:val="center"/>
          </w:tcPr>
          <w:p w14:paraId="620B8E9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56589040">
      <w:pPr>
        <w:widowControl/>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rPr>
        <w:t>说明：</w:t>
      </w:r>
      <w:r>
        <w:rPr>
          <w:rFonts w:hint="eastAsia" w:ascii="宋体" w:hAnsi="宋体" w:eastAsia="宋体" w:cs="宋体"/>
          <w:color w:val="auto"/>
          <w:sz w:val="18"/>
          <w:szCs w:val="18"/>
          <w:highlight w:val="none"/>
        </w:rPr>
        <w:t>1.大型、中型和小型企业应同时满足所列指标的下限，否则下划一档；微型企业只需满足所列指标中的一项即可。</w:t>
      </w:r>
    </w:p>
    <w:p w14:paraId="381913D3">
      <w:pPr>
        <w:pStyle w:val="24"/>
        <w:adjustRightInd w:val="0"/>
        <w:ind w:firstLine="360" w:firstLineChars="200"/>
        <w:contextualSpacing/>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1E5BCFEA">
      <w:pPr>
        <w:spacing w:line="390" w:lineRule="exact"/>
        <w:ind w:right="-192" w:firstLine="360" w:firstLineChars="200"/>
        <w:jc w:val="left"/>
        <w:rPr>
          <w:rFonts w:ascii="宋体" w:hAnsi="宋体" w:cs="宋体"/>
          <w:color w:val="auto"/>
          <w:sz w:val="24"/>
        </w:rPr>
      </w:pPr>
      <w:r>
        <w:rPr>
          <w:rFonts w:hint="eastAsia" w:ascii="宋体" w:hAnsi="宋体" w:eastAsia="宋体" w:cs="宋体"/>
          <w:color w:val="auto"/>
          <w:sz w:val="18"/>
          <w:szCs w:val="18"/>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517AAE0">
      <w:pPr>
        <w:pStyle w:val="69"/>
        <w:rPr>
          <w:color w:val="auto"/>
        </w:rPr>
      </w:pPr>
      <w:r>
        <w:rPr>
          <w:color w:val="auto"/>
        </w:rPr>
        <w:br w:type="page"/>
      </w:r>
    </w:p>
    <w:p w14:paraId="3F6CAD93">
      <w:pPr>
        <w:spacing w:line="390" w:lineRule="exact"/>
        <w:jc w:val="center"/>
        <w:outlineLvl w:val="0"/>
        <w:rPr>
          <w:rFonts w:hAnsi="宋体" w:eastAsia="黑体"/>
          <w:color w:val="auto"/>
          <w:szCs w:val="21"/>
        </w:rPr>
      </w:pPr>
      <w:bookmarkStart w:id="164" w:name="_Toc19499"/>
      <w:r>
        <w:rPr>
          <w:rFonts w:hAnsi="宋体"/>
          <w:b/>
          <w:color w:val="auto"/>
          <w:sz w:val="28"/>
          <w:szCs w:val="28"/>
        </w:rPr>
        <w:t>第</w:t>
      </w:r>
      <w:r>
        <w:rPr>
          <w:rFonts w:hint="eastAsia" w:hAnsi="宋体"/>
          <w:b/>
          <w:color w:val="auto"/>
          <w:sz w:val="28"/>
          <w:szCs w:val="28"/>
        </w:rPr>
        <w:t>三</w:t>
      </w:r>
      <w:r>
        <w:rPr>
          <w:rFonts w:hAnsi="宋体"/>
          <w:b/>
          <w:color w:val="auto"/>
          <w:sz w:val="28"/>
          <w:szCs w:val="28"/>
        </w:rPr>
        <w:t>章  合同条款及格式</w:t>
      </w:r>
      <w:bookmarkEnd w:id="154"/>
      <w:bookmarkEnd w:id="164"/>
    </w:p>
    <w:bookmarkEnd w:id="155"/>
    <w:bookmarkEnd w:id="156"/>
    <w:bookmarkEnd w:id="157"/>
    <w:bookmarkEnd w:id="158"/>
    <w:bookmarkEnd w:id="159"/>
    <w:bookmarkEnd w:id="160"/>
    <w:bookmarkEnd w:id="161"/>
    <w:bookmarkEnd w:id="162"/>
    <w:bookmarkEnd w:id="163"/>
    <w:p w14:paraId="690A9A4A">
      <w:pPr>
        <w:keepNext/>
        <w:keepLines/>
        <w:spacing w:before="340" w:after="330" w:line="400" w:lineRule="exact"/>
        <w:jc w:val="center"/>
        <w:outlineLvl w:val="0"/>
        <w:rPr>
          <w:rFonts w:ascii="宋体" w:hAnsi="宋体"/>
          <w:b/>
          <w:bCs/>
          <w:color w:val="auto"/>
          <w:kern w:val="44"/>
          <w:sz w:val="44"/>
          <w:szCs w:val="21"/>
        </w:rPr>
      </w:pPr>
      <w:bookmarkStart w:id="165" w:name="_Toc86935832"/>
      <w:bookmarkStart w:id="166" w:name="_Toc22332"/>
      <w:bookmarkStart w:id="167" w:name="_Toc24547"/>
      <w:bookmarkStart w:id="168" w:name="_Toc32550"/>
      <w:bookmarkStart w:id="169" w:name="_Toc12427"/>
      <w:bookmarkStart w:id="170" w:name="_Toc351203652"/>
      <w:r>
        <w:rPr>
          <w:rFonts w:hint="eastAsia" w:ascii="黑体" w:hAnsi="宋体"/>
          <w:b/>
          <w:bCs/>
          <w:color w:val="auto"/>
          <w:kern w:val="44"/>
          <w:sz w:val="28"/>
          <w:szCs w:val="28"/>
        </w:rPr>
        <w:t>第一部分 合同协议书</w:t>
      </w:r>
      <w:bookmarkEnd w:id="165"/>
      <w:bookmarkEnd w:id="166"/>
      <w:bookmarkEnd w:id="167"/>
      <w:bookmarkEnd w:id="168"/>
      <w:bookmarkEnd w:id="169"/>
    </w:p>
    <w:p w14:paraId="2B54D051">
      <w:pPr>
        <w:spacing w:line="360" w:lineRule="auto"/>
        <w:rPr>
          <w:rFonts w:ascii="宋体" w:hAnsi="宋体"/>
          <w:color w:val="auto"/>
          <w:szCs w:val="21"/>
          <w:u w:val="single"/>
        </w:rPr>
      </w:pPr>
      <w:r>
        <w:rPr>
          <w:rFonts w:ascii="宋体" w:hAnsi="宋体"/>
          <w:color w:val="auto"/>
          <w:szCs w:val="21"/>
        </w:rPr>
        <w:t>发包人（全称）：</w:t>
      </w:r>
      <w:r>
        <w:rPr>
          <w:rFonts w:hint="eastAsia" w:ascii="MingLiU_HKSCS" w:hAnsi="MingLiU_HKSCS" w:cs="MingLiU_HKSCS"/>
          <w:color w:val="auto"/>
          <w:szCs w:val="21"/>
          <w:u w:val="single"/>
        </w:rPr>
        <w:t>_____________________</w:t>
      </w:r>
    </w:p>
    <w:p w14:paraId="64A09139">
      <w:pPr>
        <w:spacing w:line="360" w:lineRule="auto"/>
        <w:rPr>
          <w:rFonts w:hint="eastAsia" w:asciiTheme="majorEastAsia" w:hAnsiTheme="majorEastAsia" w:eastAsiaTheme="majorEastAsia" w:cstheme="majorEastAsia"/>
          <w:color w:val="auto"/>
          <w:szCs w:val="21"/>
          <w:u w:val="single"/>
        </w:rPr>
      </w:pPr>
      <w:r>
        <w:rPr>
          <w:rFonts w:ascii="宋体" w:hAnsi="宋体"/>
          <w:color w:val="auto"/>
          <w:szCs w:val="21"/>
        </w:rPr>
        <w:t>承包人（全称）：</w:t>
      </w:r>
      <w:r>
        <w:rPr>
          <w:rFonts w:hint="eastAsia" w:asciiTheme="majorEastAsia" w:hAnsiTheme="majorEastAsia" w:eastAsiaTheme="majorEastAsia" w:cstheme="majorEastAsia"/>
          <w:color w:val="auto"/>
          <w:szCs w:val="21"/>
          <w:u w:val="single"/>
        </w:rPr>
        <w:t>_____________________</w:t>
      </w:r>
    </w:p>
    <w:p w14:paraId="596B988B">
      <w:pPr>
        <w:spacing w:line="360" w:lineRule="auto"/>
        <w:ind w:firstLine="420" w:firstLineChars="200"/>
        <w:rPr>
          <w:rFonts w:ascii="宋体" w:hAnsi="宋体"/>
          <w:color w:val="auto"/>
          <w:szCs w:val="21"/>
        </w:rPr>
      </w:pPr>
      <w:r>
        <w:rPr>
          <w:rFonts w:ascii="宋体" w:hAnsi="宋体"/>
          <w:color w:val="auto"/>
          <w:szCs w:val="21"/>
        </w:rPr>
        <w:t>根据《中华人民共和国</w:t>
      </w:r>
      <w:r>
        <w:rPr>
          <w:rFonts w:hint="eastAsia" w:ascii="宋体" w:hAnsi="宋体"/>
          <w:color w:val="auto"/>
          <w:szCs w:val="21"/>
          <w:lang w:eastAsia="zh-CN"/>
        </w:rPr>
        <w:t>民法典</w:t>
      </w:r>
      <w:r>
        <w:rPr>
          <w:rFonts w:ascii="宋体" w:hAnsi="宋体"/>
          <w:color w:val="auto"/>
          <w:szCs w:val="21"/>
        </w:rPr>
        <w:t>》、《中华人民共和国建筑法》及有关法律规定，遵循平等、自愿、公平和诚实信用的原则，双方就工程施工及有关事项协商一致，共同达成如下协议：</w:t>
      </w:r>
      <w:bookmarkStart w:id="171" w:name="_Toc351203481"/>
    </w:p>
    <w:p w14:paraId="02D7B5D0">
      <w:pPr>
        <w:spacing w:line="360" w:lineRule="auto"/>
        <w:ind w:firstLine="420" w:firstLineChars="200"/>
        <w:outlineLvl w:val="0"/>
        <w:rPr>
          <w:rFonts w:ascii="宋体" w:hAnsi="宋体"/>
          <w:b/>
          <w:bCs/>
          <w:color w:val="auto"/>
          <w:szCs w:val="21"/>
        </w:rPr>
      </w:pPr>
      <w:bookmarkStart w:id="172" w:name="_Toc10846"/>
      <w:r>
        <w:rPr>
          <w:rFonts w:ascii="宋体" w:hAnsi="宋体"/>
          <w:b/>
          <w:bCs/>
          <w:color w:val="auto"/>
          <w:szCs w:val="21"/>
        </w:rPr>
        <w:t>一、工程概况</w:t>
      </w:r>
      <w:bookmarkEnd w:id="171"/>
      <w:bookmarkEnd w:id="172"/>
    </w:p>
    <w:p w14:paraId="61F067A0">
      <w:pPr>
        <w:spacing w:line="360" w:lineRule="auto"/>
        <w:ind w:firstLine="411" w:firstLineChars="196"/>
        <w:rPr>
          <w:rFonts w:ascii="宋体" w:hAnsi="宋体"/>
          <w:color w:val="auto"/>
          <w:szCs w:val="21"/>
          <w:u w:val="single"/>
        </w:rPr>
      </w:pPr>
      <w:r>
        <w:rPr>
          <w:rFonts w:ascii="宋体" w:hAnsi="宋体"/>
          <w:bCs/>
          <w:color w:val="auto"/>
          <w:szCs w:val="21"/>
        </w:rPr>
        <w:t>1.工程名称</w:t>
      </w:r>
      <w:r>
        <w:rPr>
          <w:rFonts w:ascii="宋体" w:hAnsi="宋体"/>
          <w:color w:val="auto"/>
          <w:szCs w:val="21"/>
        </w:rPr>
        <w:t>：</w:t>
      </w:r>
      <w:r>
        <w:rPr>
          <w:rFonts w:hint="eastAsia" w:ascii="宋体" w:hAnsi="宋体"/>
          <w:color w:val="auto"/>
          <w:szCs w:val="21"/>
          <w:u w:val="single"/>
        </w:rPr>
        <w:t xml:space="preserve">                       </w:t>
      </w:r>
      <w:r>
        <w:rPr>
          <w:rFonts w:ascii="宋体" w:hAnsi="宋体"/>
          <w:color w:val="auto"/>
          <w:szCs w:val="21"/>
        </w:rPr>
        <w:t>。</w:t>
      </w:r>
    </w:p>
    <w:p w14:paraId="0D8623BA">
      <w:pPr>
        <w:spacing w:line="360" w:lineRule="auto"/>
        <w:ind w:firstLine="411" w:firstLineChars="196"/>
        <w:rPr>
          <w:rFonts w:ascii="宋体" w:hAnsi="宋体"/>
          <w:bCs/>
          <w:color w:val="auto"/>
          <w:szCs w:val="21"/>
        </w:rPr>
      </w:pPr>
      <w:r>
        <w:rPr>
          <w:rFonts w:ascii="宋体" w:hAnsi="宋体"/>
          <w:bCs/>
          <w:color w:val="auto"/>
          <w:szCs w:val="21"/>
        </w:rPr>
        <w:t>2.工程地点：</w:t>
      </w:r>
      <w:r>
        <w:rPr>
          <w:rFonts w:hint="eastAsia" w:ascii="宋体" w:hAnsi="宋体"/>
          <w:color w:val="auto"/>
          <w:szCs w:val="21"/>
          <w:u w:val="single"/>
        </w:rPr>
        <w:t xml:space="preserve">                       </w:t>
      </w:r>
      <w:r>
        <w:rPr>
          <w:rFonts w:ascii="宋体" w:hAnsi="宋体"/>
          <w:color w:val="auto"/>
          <w:szCs w:val="21"/>
        </w:rPr>
        <w:t>。</w:t>
      </w:r>
    </w:p>
    <w:p w14:paraId="05B7FE73">
      <w:pPr>
        <w:spacing w:line="360" w:lineRule="auto"/>
        <w:ind w:firstLine="411" w:firstLineChars="196"/>
        <w:rPr>
          <w:rFonts w:ascii="宋体" w:hAnsi="宋体"/>
          <w:bCs/>
          <w:color w:val="auto"/>
          <w:szCs w:val="21"/>
        </w:rPr>
      </w:pPr>
      <w:r>
        <w:rPr>
          <w:rFonts w:ascii="宋体" w:hAnsi="宋体"/>
          <w:bCs/>
          <w:color w:val="auto"/>
          <w:szCs w:val="21"/>
        </w:rPr>
        <w:t>3.工程立项批准文号：</w:t>
      </w:r>
      <w:r>
        <w:rPr>
          <w:rFonts w:hint="eastAsia" w:ascii="宋体" w:hAnsi="宋体"/>
          <w:color w:val="auto"/>
          <w:szCs w:val="21"/>
          <w:u w:val="single"/>
        </w:rPr>
        <w:t xml:space="preserve">                       </w:t>
      </w:r>
      <w:r>
        <w:rPr>
          <w:rFonts w:ascii="宋体" w:hAnsi="宋体"/>
          <w:bCs/>
          <w:color w:val="auto"/>
          <w:szCs w:val="21"/>
        </w:rPr>
        <w:t>。</w:t>
      </w:r>
    </w:p>
    <w:p w14:paraId="08380E21">
      <w:pPr>
        <w:spacing w:line="360" w:lineRule="auto"/>
        <w:ind w:firstLine="411" w:firstLineChars="196"/>
        <w:rPr>
          <w:rFonts w:ascii="宋体" w:hAnsi="宋体"/>
          <w:bCs/>
          <w:color w:val="auto"/>
          <w:szCs w:val="21"/>
        </w:rPr>
      </w:pPr>
      <w:r>
        <w:rPr>
          <w:rFonts w:ascii="宋体" w:hAnsi="宋体"/>
          <w:bCs/>
          <w:color w:val="auto"/>
          <w:szCs w:val="21"/>
        </w:rPr>
        <w:t>4.资金来源：</w:t>
      </w:r>
      <w:r>
        <w:rPr>
          <w:rFonts w:hint="eastAsia" w:ascii="宋体" w:hAnsi="宋体"/>
          <w:color w:val="auto"/>
          <w:szCs w:val="21"/>
          <w:u w:val="single"/>
        </w:rPr>
        <w:t xml:space="preserve">                       </w:t>
      </w:r>
      <w:r>
        <w:rPr>
          <w:rFonts w:ascii="宋体" w:hAnsi="宋体"/>
          <w:bCs/>
          <w:color w:val="auto"/>
          <w:szCs w:val="21"/>
        </w:rPr>
        <w:t>。</w:t>
      </w:r>
    </w:p>
    <w:p w14:paraId="2C3E9742">
      <w:pPr>
        <w:spacing w:line="360" w:lineRule="auto"/>
        <w:ind w:firstLine="411" w:firstLineChars="196"/>
        <w:rPr>
          <w:rFonts w:ascii="宋体" w:hAnsi="宋体"/>
          <w:bCs/>
          <w:color w:val="auto"/>
          <w:szCs w:val="21"/>
        </w:rPr>
      </w:pPr>
      <w:r>
        <w:rPr>
          <w:rFonts w:ascii="宋体" w:hAnsi="宋体"/>
          <w:bCs/>
          <w:color w:val="auto"/>
          <w:szCs w:val="21"/>
        </w:rPr>
        <w:t>5.工程内容：</w:t>
      </w:r>
      <w:r>
        <w:rPr>
          <w:rFonts w:hint="eastAsia" w:ascii="宋体" w:hAnsi="宋体"/>
          <w:color w:val="auto"/>
          <w:szCs w:val="21"/>
          <w:u w:val="single"/>
        </w:rPr>
        <w:t xml:space="preserve">                       </w:t>
      </w:r>
      <w:r>
        <w:rPr>
          <w:rFonts w:ascii="宋体" w:hAnsi="宋体"/>
          <w:bCs/>
          <w:color w:val="auto"/>
          <w:szCs w:val="21"/>
        </w:rPr>
        <w:t>。</w:t>
      </w:r>
    </w:p>
    <w:p w14:paraId="057E6959">
      <w:pPr>
        <w:spacing w:line="360" w:lineRule="auto"/>
        <w:ind w:firstLine="411" w:firstLineChars="196"/>
        <w:rPr>
          <w:rFonts w:ascii="宋体" w:hAnsi="宋体"/>
          <w:bCs/>
          <w:color w:val="auto"/>
          <w:szCs w:val="21"/>
        </w:rPr>
      </w:pPr>
      <w:r>
        <w:rPr>
          <w:rFonts w:ascii="宋体" w:hAnsi="宋体"/>
          <w:color w:val="auto"/>
          <w:szCs w:val="21"/>
        </w:rPr>
        <w:t>群体工程应附《承包人承揽工程项目一览表》（附件1）。</w:t>
      </w:r>
    </w:p>
    <w:p w14:paraId="46268731">
      <w:pPr>
        <w:spacing w:line="360" w:lineRule="auto"/>
        <w:ind w:firstLine="411" w:firstLineChars="196"/>
        <w:rPr>
          <w:rFonts w:ascii="宋体" w:hAnsi="宋体"/>
          <w:color w:val="auto"/>
          <w:szCs w:val="21"/>
        </w:rPr>
      </w:pPr>
      <w:r>
        <w:rPr>
          <w:rFonts w:ascii="宋体" w:hAnsi="宋体"/>
          <w:bCs/>
          <w:color w:val="auto"/>
          <w:szCs w:val="21"/>
        </w:rPr>
        <w:t>6.工程承包范围：</w:t>
      </w:r>
      <w:r>
        <w:rPr>
          <w:rFonts w:hint="eastAsia" w:ascii="宋体" w:hAnsi="宋体"/>
          <w:color w:val="auto"/>
          <w:szCs w:val="21"/>
          <w:u w:val="single"/>
        </w:rPr>
        <w:t xml:space="preserve">                       </w:t>
      </w:r>
      <w:r>
        <w:rPr>
          <w:rFonts w:ascii="宋体" w:hAnsi="宋体"/>
          <w:color w:val="auto"/>
          <w:szCs w:val="21"/>
        </w:rPr>
        <w:t>。</w:t>
      </w:r>
    </w:p>
    <w:p w14:paraId="16415655">
      <w:pPr>
        <w:spacing w:line="360" w:lineRule="auto"/>
        <w:ind w:firstLine="405" w:firstLineChars="193"/>
        <w:outlineLvl w:val="0"/>
        <w:rPr>
          <w:rFonts w:ascii="宋体" w:hAnsi="宋体"/>
          <w:b/>
          <w:bCs/>
          <w:color w:val="auto"/>
          <w:szCs w:val="21"/>
        </w:rPr>
      </w:pPr>
      <w:bookmarkStart w:id="173" w:name="_Toc351203482"/>
      <w:bookmarkStart w:id="174" w:name="_Toc16829"/>
      <w:r>
        <w:rPr>
          <w:rFonts w:ascii="宋体" w:hAnsi="宋体"/>
          <w:b/>
          <w:bCs/>
          <w:color w:val="auto"/>
          <w:szCs w:val="21"/>
        </w:rPr>
        <w:t>二、合同工期</w:t>
      </w:r>
      <w:bookmarkEnd w:id="173"/>
      <w:bookmarkEnd w:id="174"/>
    </w:p>
    <w:p w14:paraId="5CAF0568">
      <w:pPr>
        <w:spacing w:line="360" w:lineRule="auto"/>
        <w:ind w:firstLine="459"/>
        <w:rPr>
          <w:rFonts w:ascii="宋体" w:hAnsi="宋体"/>
          <w:color w:val="auto"/>
          <w:szCs w:val="21"/>
        </w:rPr>
      </w:pPr>
      <w:r>
        <w:rPr>
          <w:rFonts w:ascii="宋体" w:hAnsi="宋体"/>
          <w:color w:val="auto"/>
          <w:szCs w:val="21"/>
        </w:rPr>
        <w:t>计划开工日期：  年  月  日。</w:t>
      </w:r>
    </w:p>
    <w:p w14:paraId="0C024976">
      <w:pPr>
        <w:spacing w:line="360" w:lineRule="auto"/>
        <w:ind w:firstLine="459"/>
        <w:rPr>
          <w:rFonts w:ascii="宋体" w:hAnsi="宋体"/>
          <w:color w:val="auto"/>
          <w:szCs w:val="21"/>
        </w:rPr>
      </w:pPr>
      <w:r>
        <w:rPr>
          <w:rFonts w:ascii="宋体" w:hAnsi="宋体"/>
          <w:color w:val="auto"/>
          <w:szCs w:val="21"/>
        </w:rPr>
        <w:t>计划竣工日期：  年  月  日。</w:t>
      </w:r>
    </w:p>
    <w:p w14:paraId="0291BD64">
      <w:pPr>
        <w:spacing w:line="360" w:lineRule="auto"/>
        <w:ind w:firstLine="459"/>
        <w:rPr>
          <w:rFonts w:ascii="宋体" w:hAnsi="宋体"/>
          <w:color w:val="auto"/>
          <w:szCs w:val="21"/>
        </w:rPr>
      </w:pPr>
      <w:r>
        <w:rPr>
          <w:rFonts w:ascii="宋体" w:hAnsi="宋体"/>
          <w:color w:val="auto"/>
          <w:szCs w:val="21"/>
        </w:rPr>
        <w:t>工期总日历天数：</w:t>
      </w:r>
      <w:r>
        <w:rPr>
          <w:rFonts w:hint="eastAsia" w:ascii="宋体" w:hAnsi="宋体"/>
          <w:color w:val="auto"/>
          <w:szCs w:val="21"/>
          <w:u w:val="single"/>
        </w:rPr>
        <w:t xml:space="preserve">       </w:t>
      </w:r>
      <w:r>
        <w:rPr>
          <w:rFonts w:ascii="宋体" w:hAnsi="宋体"/>
          <w:color w:val="auto"/>
          <w:szCs w:val="21"/>
        </w:rPr>
        <w:t>天。工期总日历天数与根据前述计划开竣工日期计算的工期天数不一致的，以工期总日历天数为准。</w:t>
      </w:r>
    </w:p>
    <w:p w14:paraId="277070A0">
      <w:pPr>
        <w:spacing w:line="360" w:lineRule="auto"/>
        <w:ind w:firstLine="459" w:firstLineChars="0"/>
        <w:outlineLvl w:val="0"/>
        <w:rPr>
          <w:rFonts w:ascii="宋体" w:hAnsi="宋体"/>
          <w:b/>
          <w:bCs/>
          <w:color w:val="auto"/>
          <w:szCs w:val="21"/>
        </w:rPr>
      </w:pPr>
      <w:bookmarkStart w:id="175" w:name="_Toc351203483"/>
      <w:bookmarkStart w:id="176" w:name="_Toc16392"/>
      <w:r>
        <w:rPr>
          <w:rFonts w:ascii="宋体" w:hAnsi="宋体"/>
          <w:b/>
          <w:bCs/>
          <w:color w:val="auto"/>
          <w:szCs w:val="21"/>
        </w:rPr>
        <w:t>三、质量标准</w:t>
      </w:r>
      <w:bookmarkEnd w:id="175"/>
      <w:bookmarkEnd w:id="176"/>
    </w:p>
    <w:p w14:paraId="510C9476">
      <w:pPr>
        <w:spacing w:line="360" w:lineRule="auto"/>
        <w:ind w:firstLine="459"/>
        <w:rPr>
          <w:rFonts w:ascii="宋体" w:hAnsi="宋体"/>
          <w:color w:val="auto"/>
          <w:szCs w:val="21"/>
        </w:rPr>
      </w:pPr>
      <w:r>
        <w:rPr>
          <w:rFonts w:ascii="宋体" w:hAnsi="宋体"/>
          <w:color w:val="auto"/>
          <w:szCs w:val="21"/>
        </w:rPr>
        <w:t>工程质量符合标准。</w:t>
      </w:r>
    </w:p>
    <w:p w14:paraId="7B7C5C8B">
      <w:pPr>
        <w:spacing w:line="360" w:lineRule="auto"/>
        <w:ind w:firstLine="459" w:firstLineChars="0"/>
        <w:outlineLvl w:val="0"/>
        <w:rPr>
          <w:rFonts w:ascii="宋体" w:hAnsi="宋体"/>
          <w:b/>
          <w:bCs/>
          <w:color w:val="auto"/>
          <w:szCs w:val="21"/>
        </w:rPr>
      </w:pPr>
      <w:bookmarkStart w:id="177" w:name="_Toc351203484"/>
      <w:bookmarkStart w:id="178" w:name="_Toc16159"/>
      <w:r>
        <w:rPr>
          <w:rFonts w:ascii="宋体" w:hAnsi="宋体"/>
          <w:b/>
          <w:bCs/>
          <w:color w:val="auto"/>
          <w:szCs w:val="21"/>
        </w:rPr>
        <w:t>四、签约合同价与合同价格形式</w:t>
      </w:r>
      <w:bookmarkEnd w:id="177"/>
      <w:bookmarkEnd w:id="178"/>
    </w:p>
    <w:p w14:paraId="24C5D350">
      <w:pPr>
        <w:spacing w:line="360" w:lineRule="auto"/>
        <w:ind w:firstLine="459" w:firstLineChars="0"/>
        <w:outlineLvl w:val="9"/>
        <w:rPr>
          <w:rFonts w:ascii="宋体" w:hAnsi="宋体"/>
          <w:color w:val="auto"/>
          <w:szCs w:val="21"/>
        </w:rPr>
      </w:pPr>
      <w:r>
        <w:rPr>
          <w:rFonts w:ascii="宋体" w:hAnsi="宋体"/>
          <w:color w:val="auto"/>
          <w:szCs w:val="21"/>
        </w:rPr>
        <w:t>1.签约合同价为：</w:t>
      </w:r>
    </w:p>
    <w:p w14:paraId="450F32FF">
      <w:pPr>
        <w:spacing w:line="360" w:lineRule="auto"/>
        <w:ind w:firstLine="525" w:firstLineChars="250"/>
        <w:rPr>
          <w:rFonts w:ascii="宋体" w:hAnsi="宋体"/>
          <w:color w:val="auto"/>
          <w:szCs w:val="21"/>
        </w:rPr>
      </w:pPr>
      <w:r>
        <w:rPr>
          <w:rFonts w:ascii="宋体" w:hAnsi="宋体"/>
          <w:color w:val="auto"/>
          <w:szCs w:val="21"/>
        </w:rPr>
        <w:t>人民币（大写）</w:t>
      </w:r>
      <w:r>
        <w:rPr>
          <w:rFonts w:ascii="宋体" w:hAnsi="宋体"/>
          <w:color w:val="auto"/>
          <w:szCs w:val="21"/>
          <w:u w:val="single"/>
        </w:rPr>
        <w:t xml:space="preserve">             （¥          ）</w:t>
      </w:r>
      <w:r>
        <w:rPr>
          <w:rFonts w:ascii="宋体" w:hAnsi="宋体"/>
          <w:color w:val="auto"/>
          <w:szCs w:val="21"/>
        </w:rPr>
        <w:t>；</w:t>
      </w:r>
    </w:p>
    <w:p w14:paraId="24B6BC19">
      <w:pPr>
        <w:spacing w:line="360" w:lineRule="auto"/>
        <w:ind w:firstLine="525" w:firstLineChars="250"/>
        <w:rPr>
          <w:rFonts w:ascii="宋体" w:hAnsi="宋体"/>
          <w:color w:val="auto"/>
          <w:szCs w:val="21"/>
        </w:rPr>
      </w:pPr>
      <w:r>
        <w:rPr>
          <w:rFonts w:ascii="宋体" w:hAnsi="宋体"/>
          <w:color w:val="auto"/>
          <w:szCs w:val="21"/>
        </w:rPr>
        <w:t>其中：</w:t>
      </w:r>
      <w:r>
        <w:rPr>
          <w:rFonts w:hint="eastAsia" w:ascii="宋体" w:hAnsi="宋体"/>
          <w:color w:val="auto"/>
          <w:szCs w:val="21"/>
          <w:highlight w:val="none"/>
          <w:lang w:eastAsia="zh-CN"/>
        </w:rPr>
        <w:t>不含税金额为</w:t>
      </w:r>
      <w:r>
        <w:rPr>
          <w:rFonts w:ascii="宋体" w:hAnsi="宋体"/>
          <w:color w:val="auto"/>
          <w:szCs w:val="21"/>
          <w:highlight w:val="none"/>
        </w:rPr>
        <w:t>人民币（大写）</w:t>
      </w:r>
      <w:r>
        <w:rPr>
          <w:rFonts w:ascii="宋体" w:hAnsi="宋体"/>
          <w:color w:val="auto"/>
          <w:szCs w:val="21"/>
          <w:highlight w:val="none"/>
          <w:u w:val="single"/>
        </w:rPr>
        <w:t xml:space="preserve">             （¥          ）</w:t>
      </w:r>
      <w:r>
        <w:rPr>
          <w:rFonts w:hint="eastAsia" w:ascii="宋体" w:hAnsi="宋体"/>
          <w:color w:val="auto"/>
          <w:szCs w:val="21"/>
          <w:highlight w:val="none"/>
          <w:u w:val="single"/>
          <w:lang w:eastAsia="zh-CN"/>
        </w:rPr>
        <w:t>，税率为</w:t>
      </w:r>
      <w:r>
        <w:rPr>
          <w:rFonts w:hint="eastAsia" w:ascii="宋体" w:hAnsi="宋体"/>
          <w:color w:val="auto"/>
          <w:szCs w:val="21"/>
          <w:highlight w:val="none"/>
          <w:u w:val="single"/>
          <w:lang w:val="en-US" w:eastAsia="zh-CN"/>
        </w:rPr>
        <w:t xml:space="preserve">    ，税额为</w:t>
      </w:r>
      <w:r>
        <w:rPr>
          <w:rFonts w:ascii="宋体" w:hAnsi="宋体"/>
          <w:color w:val="auto"/>
          <w:szCs w:val="21"/>
          <w:highlight w:val="none"/>
        </w:rPr>
        <w:t>人民币（大写）</w:t>
      </w:r>
      <w:r>
        <w:rPr>
          <w:rFonts w:ascii="宋体" w:hAnsi="宋体"/>
          <w:color w:val="auto"/>
          <w:szCs w:val="21"/>
          <w:highlight w:val="none"/>
          <w:u w:val="single"/>
        </w:rPr>
        <w:t xml:space="preserve">             （¥          ）</w:t>
      </w:r>
    </w:p>
    <w:p w14:paraId="433FE1AC">
      <w:pPr>
        <w:spacing w:line="360" w:lineRule="auto"/>
        <w:ind w:firstLine="420" w:firstLineChars="200"/>
        <w:outlineLvl w:val="1"/>
        <w:rPr>
          <w:rFonts w:ascii="宋体" w:hAnsi="宋体"/>
          <w:color w:val="auto"/>
          <w:szCs w:val="21"/>
        </w:rPr>
      </w:pPr>
      <w:bookmarkStart w:id="179" w:name="_Toc15971"/>
      <w:r>
        <w:rPr>
          <w:rFonts w:hint="eastAsia" w:ascii="宋体" w:hAnsi="宋体"/>
          <w:color w:val="auto"/>
          <w:szCs w:val="21"/>
        </w:rPr>
        <w:t>（1）</w:t>
      </w:r>
      <w:r>
        <w:rPr>
          <w:rFonts w:ascii="宋体" w:hAnsi="宋体"/>
          <w:color w:val="auto"/>
          <w:szCs w:val="21"/>
        </w:rPr>
        <w:t>安全文明施工费：</w:t>
      </w:r>
      <w:bookmarkEnd w:id="179"/>
    </w:p>
    <w:p w14:paraId="24270B38">
      <w:pPr>
        <w:spacing w:line="360" w:lineRule="auto"/>
        <w:ind w:left="420" w:leftChars="200" w:firstLine="525" w:firstLineChars="250"/>
        <w:rPr>
          <w:rFonts w:ascii="宋体" w:hAnsi="宋体"/>
          <w:color w:val="auto"/>
          <w:szCs w:val="21"/>
        </w:rPr>
      </w:pPr>
      <w:r>
        <w:rPr>
          <w:rFonts w:ascii="宋体" w:hAnsi="宋体"/>
          <w:color w:val="auto"/>
          <w:szCs w:val="21"/>
        </w:rPr>
        <w:t>人民币（大写）</w:t>
      </w:r>
      <w:r>
        <w:rPr>
          <w:rFonts w:ascii="宋体" w:hAnsi="宋体"/>
          <w:color w:val="auto"/>
          <w:szCs w:val="21"/>
          <w:u w:val="single"/>
        </w:rPr>
        <w:t xml:space="preserve">             （¥          ）</w:t>
      </w:r>
      <w:r>
        <w:rPr>
          <w:rFonts w:ascii="宋体" w:hAnsi="宋体"/>
          <w:color w:val="auto"/>
          <w:szCs w:val="21"/>
        </w:rPr>
        <w:t>；</w:t>
      </w:r>
    </w:p>
    <w:p w14:paraId="5864A21A">
      <w:pPr>
        <w:spacing w:line="360" w:lineRule="auto"/>
        <w:ind w:firstLine="420" w:firstLineChars="200"/>
        <w:outlineLvl w:val="1"/>
        <w:rPr>
          <w:rFonts w:ascii="宋体" w:hAnsi="宋体"/>
          <w:color w:val="auto"/>
          <w:szCs w:val="21"/>
        </w:rPr>
      </w:pPr>
      <w:bookmarkStart w:id="180" w:name="_Toc19374"/>
      <w:r>
        <w:rPr>
          <w:rFonts w:ascii="宋体" w:hAnsi="宋体"/>
          <w:color w:val="auto"/>
          <w:szCs w:val="21"/>
        </w:rPr>
        <w:t>（2）建安劳保费：</w:t>
      </w:r>
      <w:bookmarkEnd w:id="180"/>
    </w:p>
    <w:p w14:paraId="0EBE58C9">
      <w:pPr>
        <w:spacing w:line="360" w:lineRule="auto"/>
        <w:ind w:left="420" w:leftChars="200" w:firstLine="525" w:firstLineChars="250"/>
        <w:rPr>
          <w:rFonts w:ascii="宋体" w:hAnsi="宋体"/>
          <w:color w:val="auto"/>
          <w:szCs w:val="21"/>
        </w:rPr>
      </w:pPr>
      <w:r>
        <w:rPr>
          <w:rFonts w:ascii="宋体" w:hAnsi="宋体"/>
          <w:color w:val="auto"/>
          <w:szCs w:val="21"/>
        </w:rPr>
        <w:t>人民币（大写）</w:t>
      </w:r>
      <w:r>
        <w:rPr>
          <w:rFonts w:ascii="宋体" w:hAnsi="宋体"/>
          <w:color w:val="auto"/>
          <w:szCs w:val="21"/>
          <w:u w:val="single"/>
        </w:rPr>
        <w:t xml:space="preserve">             （¥          ）</w:t>
      </w:r>
      <w:r>
        <w:rPr>
          <w:rFonts w:ascii="宋体" w:hAnsi="宋体"/>
          <w:color w:val="auto"/>
          <w:szCs w:val="21"/>
        </w:rPr>
        <w:t>；</w:t>
      </w:r>
    </w:p>
    <w:p w14:paraId="59032CE7">
      <w:pPr>
        <w:spacing w:line="360" w:lineRule="auto"/>
        <w:ind w:firstLine="420" w:firstLineChars="200"/>
        <w:outlineLvl w:val="1"/>
        <w:rPr>
          <w:rFonts w:ascii="宋体" w:hAnsi="宋体"/>
          <w:color w:val="auto"/>
          <w:szCs w:val="21"/>
        </w:rPr>
      </w:pPr>
      <w:bookmarkStart w:id="181" w:name="_Toc16505"/>
      <w:r>
        <w:rPr>
          <w:rFonts w:ascii="宋体" w:hAnsi="宋体"/>
          <w:color w:val="auto"/>
          <w:szCs w:val="21"/>
        </w:rPr>
        <w:t>（3）材料和工程设备暂估价金额：</w:t>
      </w:r>
      <w:bookmarkEnd w:id="181"/>
    </w:p>
    <w:p w14:paraId="3065594E">
      <w:pPr>
        <w:spacing w:line="360" w:lineRule="auto"/>
        <w:ind w:firstLine="945" w:firstLineChars="450"/>
        <w:rPr>
          <w:rFonts w:ascii="宋体" w:hAnsi="宋体"/>
          <w:color w:val="auto"/>
          <w:szCs w:val="21"/>
        </w:rPr>
      </w:pPr>
      <w:r>
        <w:rPr>
          <w:rFonts w:ascii="宋体" w:hAnsi="宋体"/>
          <w:color w:val="auto"/>
          <w:szCs w:val="21"/>
        </w:rPr>
        <w:t>人民币（大写）</w:t>
      </w:r>
      <w:r>
        <w:rPr>
          <w:rFonts w:ascii="宋体" w:hAnsi="宋体"/>
          <w:color w:val="auto"/>
          <w:szCs w:val="21"/>
          <w:u w:val="single"/>
        </w:rPr>
        <w:t xml:space="preserve">             （¥          ）</w:t>
      </w:r>
      <w:r>
        <w:rPr>
          <w:rFonts w:ascii="宋体" w:hAnsi="宋体"/>
          <w:color w:val="auto"/>
          <w:szCs w:val="21"/>
        </w:rPr>
        <w:t>；</w:t>
      </w:r>
    </w:p>
    <w:p w14:paraId="05B44C5A">
      <w:pPr>
        <w:spacing w:line="360" w:lineRule="auto"/>
        <w:ind w:firstLine="420" w:firstLineChars="200"/>
        <w:outlineLvl w:val="1"/>
        <w:rPr>
          <w:rFonts w:ascii="宋体" w:hAnsi="宋体"/>
          <w:color w:val="auto"/>
          <w:szCs w:val="21"/>
        </w:rPr>
      </w:pPr>
      <w:bookmarkStart w:id="182" w:name="_Toc4675"/>
      <w:r>
        <w:rPr>
          <w:rFonts w:ascii="宋体" w:hAnsi="宋体"/>
          <w:color w:val="auto"/>
          <w:szCs w:val="21"/>
        </w:rPr>
        <w:t>（4）专业工程暂估价金额：</w:t>
      </w:r>
      <w:bookmarkEnd w:id="182"/>
    </w:p>
    <w:p w14:paraId="4767752A">
      <w:pPr>
        <w:spacing w:line="360" w:lineRule="auto"/>
        <w:ind w:firstLine="945" w:firstLineChars="450"/>
        <w:rPr>
          <w:rFonts w:ascii="宋体" w:hAnsi="宋体"/>
          <w:color w:val="auto"/>
          <w:szCs w:val="21"/>
        </w:rPr>
      </w:pPr>
      <w:r>
        <w:rPr>
          <w:rFonts w:ascii="宋体" w:hAnsi="宋体"/>
          <w:color w:val="auto"/>
          <w:szCs w:val="21"/>
        </w:rPr>
        <w:t>人民币（大写）</w:t>
      </w:r>
      <w:r>
        <w:rPr>
          <w:rFonts w:ascii="宋体" w:hAnsi="宋体"/>
          <w:color w:val="auto"/>
          <w:szCs w:val="21"/>
          <w:u w:val="single"/>
        </w:rPr>
        <w:t xml:space="preserve">             （¥          ）</w:t>
      </w:r>
      <w:r>
        <w:rPr>
          <w:rFonts w:ascii="宋体" w:hAnsi="宋体"/>
          <w:color w:val="auto"/>
          <w:szCs w:val="21"/>
        </w:rPr>
        <w:t>；</w:t>
      </w:r>
    </w:p>
    <w:p w14:paraId="39BCBBAD">
      <w:pPr>
        <w:spacing w:line="360" w:lineRule="auto"/>
        <w:ind w:firstLine="420" w:firstLineChars="200"/>
        <w:outlineLvl w:val="1"/>
        <w:rPr>
          <w:rFonts w:ascii="宋体" w:hAnsi="宋体"/>
          <w:color w:val="auto"/>
          <w:szCs w:val="21"/>
        </w:rPr>
      </w:pPr>
      <w:bookmarkStart w:id="183" w:name="_Toc14800"/>
      <w:r>
        <w:rPr>
          <w:rFonts w:ascii="宋体" w:hAnsi="宋体"/>
          <w:color w:val="auto"/>
          <w:szCs w:val="21"/>
        </w:rPr>
        <w:t>（5）暂列金额：</w:t>
      </w:r>
      <w:bookmarkEnd w:id="183"/>
    </w:p>
    <w:p w14:paraId="13B3F96E">
      <w:pPr>
        <w:spacing w:line="360" w:lineRule="auto"/>
        <w:ind w:firstLine="945" w:firstLineChars="450"/>
        <w:rPr>
          <w:rFonts w:ascii="宋体" w:hAnsi="宋体"/>
          <w:color w:val="auto"/>
          <w:szCs w:val="21"/>
        </w:rPr>
      </w:pPr>
      <w:r>
        <w:rPr>
          <w:rFonts w:ascii="宋体" w:hAnsi="宋体"/>
          <w:color w:val="auto"/>
          <w:szCs w:val="21"/>
        </w:rPr>
        <w:t>人民币（大写）</w:t>
      </w:r>
      <w:r>
        <w:rPr>
          <w:rFonts w:ascii="宋体" w:hAnsi="宋体"/>
          <w:color w:val="auto"/>
          <w:szCs w:val="21"/>
          <w:u w:val="single"/>
        </w:rPr>
        <w:t xml:space="preserve">             （¥          ）</w:t>
      </w:r>
      <w:r>
        <w:rPr>
          <w:rFonts w:ascii="宋体" w:hAnsi="宋体"/>
          <w:color w:val="auto"/>
          <w:szCs w:val="21"/>
        </w:rPr>
        <w:t>。</w:t>
      </w:r>
    </w:p>
    <w:p w14:paraId="73F2A3D8">
      <w:pPr>
        <w:spacing w:line="360" w:lineRule="auto"/>
        <w:ind w:firstLine="420" w:firstLineChars="200"/>
        <w:outlineLvl w:val="9"/>
        <w:rPr>
          <w:rFonts w:ascii="宋体" w:hAnsi="宋体"/>
          <w:color w:val="auto"/>
          <w:szCs w:val="21"/>
        </w:rPr>
      </w:pPr>
      <w:r>
        <w:rPr>
          <w:rFonts w:ascii="宋体" w:hAnsi="宋体"/>
          <w:color w:val="auto"/>
          <w:szCs w:val="21"/>
        </w:rPr>
        <w:t>2.合同价格形式：</w:t>
      </w:r>
      <w:r>
        <w:rPr>
          <w:rFonts w:hint="eastAsia" w:ascii="宋体" w:hAnsi="宋体"/>
          <w:color w:val="auto"/>
          <w:szCs w:val="21"/>
          <w:u w:val="single"/>
        </w:rPr>
        <w:t xml:space="preserve">                              </w:t>
      </w:r>
      <w:r>
        <w:rPr>
          <w:rFonts w:ascii="宋体" w:hAnsi="宋体"/>
          <w:color w:val="auto"/>
          <w:szCs w:val="21"/>
        </w:rPr>
        <w:t>。</w:t>
      </w:r>
    </w:p>
    <w:p w14:paraId="0BFA6E7D">
      <w:pPr>
        <w:spacing w:line="360" w:lineRule="auto"/>
        <w:ind w:firstLine="420" w:firstLineChars="200"/>
        <w:outlineLvl w:val="0"/>
        <w:rPr>
          <w:rFonts w:ascii="宋体" w:hAnsi="宋体"/>
          <w:b/>
          <w:bCs/>
          <w:color w:val="auto"/>
          <w:szCs w:val="21"/>
        </w:rPr>
      </w:pPr>
      <w:bookmarkStart w:id="184" w:name="_Toc351203485"/>
      <w:bookmarkStart w:id="185" w:name="_Toc9244"/>
      <w:r>
        <w:rPr>
          <w:rFonts w:ascii="宋体" w:hAnsi="宋体"/>
          <w:b/>
          <w:bCs/>
          <w:color w:val="auto"/>
          <w:szCs w:val="21"/>
        </w:rPr>
        <w:t>五、</w:t>
      </w:r>
      <w:bookmarkEnd w:id="184"/>
      <w:r>
        <w:rPr>
          <w:rFonts w:ascii="宋体" w:hAnsi="宋体"/>
          <w:b/>
          <w:bCs/>
          <w:color w:val="auto"/>
          <w:szCs w:val="21"/>
        </w:rPr>
        <w:t>项目经理</w:t>
      </w:r>
      <w:bookmarkEnd w:id="185"/>
    </w:p>
    <w:p w14:paraId="773242A7">
      <w:pPr>
        <w:spacing w:line="360" w:lineRule="auto"/>
        <w:ind w:firstLine="420" w:firstLineChars="200"/>
        <w:rPr>
          <w:rFonts w:ascii="宋体" w:hAnsi="宋体"/>
          <w:color w:val="auto"/>
          <w:szCs w:val="21"/>
        </w:rPr>
      </w:pPr>
      <w:r>
        <w:rPr>
          <w:rFonts w:ascii="宋体" w:hAnsi="宋体"/>
          <w:color w:val="auto"/>
          <w:szCs w:val="21"/>
        </w:rPr>
        <w:t>承包人项目经理：</w:t>
      </w:r>
      <w:r>
        <w:rPr>
          <w:rFonts w:hint="eastAsia" w:ascii="宋体" w:hAnsi="宋体"/>
          <w:color w:val="auto"/>
          <w:szCs w:val="21"/>
          <w:u w:val="single"/>
        </w:rPr>
        <w:t xml:space="preserve">                              </w:t>
      </w:r>
      <w:r>
        <w:rPr>
          <w:rFonts w:ascii="宋体" w:hAnsi="宋体"/>
          <w:color w:val="auto"/>
          <w:szCs w:val="21"/>
        </w:rPr>
        <w:t>。</w:t>
      </w:r>
    </w:p>
    <w:p w14:paraId="3EB8159D">
      <w:pPr>
        <w:spacing w:line="360" w:lineRule="auto"/>
        <w:ind w:firstLine="420" w:firstLineChars="200"/>
        <w:outlineLvl w:val="0"/>
        <w:rPr>
          <w:rFonts w:ascii="宋体" w:hAnsi="宋体"/>
          <w:b/>
          <w:bCs/>
          <w:color w:val="auto"/>
          <w:szCs w:val="21"/>
        </w:rPr>
      </w:pPr>
      <w:bookmarkStart w:id="186" w:name="_Toc351203486"/>
      <w:bookmarkStart w:id="187" w:name="_Toc23377"/>
      <w:r>
        <w:rPr>
          <w:rFonts w:ascii="宋体" w:hAnsi="宋体"/>
          <w:b/>
          <w:bCs/>
          <w:color w:val="auto"/>
          <w:szCs w:val="21"/>
        </w:rPr>
        <w:t>六、合同文件构成</w:t>
      </w:r>
      <w:bookmarkEnd w:id="186"/>
      <w:bookmarkEnd w:id="187"/>
    </w:p>
    <w:p w14:paraId="54D6AD29">
      <w:pPr>
        <w:spacing w:line="360" w:lineRule="auto"/>
        <w:ind w:firstLine="420" w:firstLineChars="200"/>
        <w:rPr>
          <w:rFonts w:ascii="宋体" w:hAnsi="宋体"/>
          <w:bCs/>
          <w:color w:val="auto"/>
          <w:szCs w:val="21"/>
        </w:rPr>
      </w:pPr>
      <w:r>
        <w:rPr>
          <w:rFonts w:ascii="宋体" w:hAnsi="宋体"/>
          <w:bCs/>
          <w:color w:val="auto"/>
          <w:szCs w:val="21"/>
        </w:rPr>
        <w:t>本协议书与下列文件一起构成合同文件：</w:t>
      </w:r>
    </w:p>
    <w:p w14:paraId="7768DCD1">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（1）</w:t>
      </w:r>
      <w:r>
        <w:rPr>
          <w:rFonts w:hint="eastAsia" w:ascii="宋体" w:hAnsi="宋体"/>
          <w:color w:val="auto"/>
          <w:szCs w:val="21"/>
          <w:lang w:eastAsia="zh-CN"/>
        </w:rPr>
        <w:t>成交</w:t>
      </w:r>
      <w:r>
        <w:rPr>
          <w:rFonts w:ascii="宋体" w:hAnsi="宋体"/>
          <w:color w:val="auto"/>
          <w:szCs w:val="21"/>
        </w:rPr>
        <w:t>通知书（如果有）；</w:t>
      </w:r>
    </w:p>
    <w:p w14:paraId="2855760D">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（2）</w:t>
      </w:r>
      <w:r>
        <w:rPr>
          <w:rFonts w:hint="eastAsia" w:ascii="宋体" w:hAnsi="宋体"/>
          <w:color w:val="auto"/>
          <w:szCs w:val="21"/>
          <w:lang w:eastAsia="zh-CN"/>
        </w:rPr>
        <w:t>磋商</w:t>
      </w:r>
      <w:r>
        <w:rPr>
          <w:rFonts w:ascii="宋体" w:hAnsi="宋体"/>
          <w:color w:val="auto"/>
          <w:szCs w:val="21"/>
        </w:rPr>
        <w:t xml:space="preserve">函及其附录（如果有）； </w:t>
      </w:r>
    </w:p>
    <w:p w14:paraId="449033C1">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（3）专用合同条款及其附件；</w:t>
      </w:r>
    </w:p>
    <w:p w14:paraId="1A1774AB">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（4）通用合同条款；</w:t>
      </w:r>
    </w:p>
    <w:p w14:paraId="27032FE5">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（5）技术标准和要求；</w:t>
      </w:r>
    </w:p>
    <w:p w14:paraId="3A2C623A">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 xml:space="preserve">（6）图纸； </w:t>
      </w:r>
    </w:p>
    <w:p w14:paraId="233E16BE">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（7）已标价工程量清单或预算书；</w:t>
      </w:r>
    </w:p>
    <w:p w14:paraId="5F55FD52">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（8）其他合同文件。</w:t>
      </w:r>
    </w:p>
    <w:p w14:paraId="47D46483">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在合同订立及履行过程中形成的与合同有关的文件均构成合同文件组成部分。</w:t>
      </w:r>
    </w:p>
    <w:p w14:paraId="301677D9">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上述各项合同文件包括合同当事人就该项合同文件所作出的补充和修改，属于同一类内容的文件，应以最新签署的为准。专用合同条款及其附件须经合同当事人签字或盖章。</w:t>
      </w:r>
    </w:p>
    <w:p w14:paraId="3A1471C7">
      <w:pPr>
        <w:autoSpaceDE w:val="0"/>
        <w:autoSpaceDN w:val="0"/>
        <w:adjustRightInd w:val="0"/>
        <w:spacing w:line="360" w:lineRule="auto"/>
        <w:ind w:firstLine="420" w:firstLineChars="200"/>
        <w:jc w:val="left"/>
        <w:outlineLvl w:val="0"/>
        <w:rPr>
          <w:rFonts w:ascii="宋体" w:hAnsi="宋体"/>
          <w:b/>
          <w:bCs/>
          <w:color w:val="auto"/>
          <w:szCs w:val="21"/>
        </w:rPr>
      </w:pPr>
      <w:bookmarkStart w:id="188" w:name="_Toc351203487"/>
      <w:bookmarkStart w:id="189" w:name="_Toc18576"/>
      <w:r>
        <w:rPr>
          <w:rFonts w:ascii="宋体" w:hAnsi="宋体"/>
          <w:b/>
          <w:bCs/>
          <w:color w:val="auto"/>
          <w:szCs w:val="21"/>
        </w:rPr>
        <w:t>七、承诺</w:t>
      </w:r>
      <w:bookmarkEnd w:id="188"/>
      <w:bookmarkEnd w:id="189"/>
    </w:p>
    <w:p w14:paraId="3A48F1D5">
      <w:pPr>
        <w:spacing w:line="360" w:lineRule="auto"/>
        <w:ind w:firstLine="420" w:firstLineChars="200"/>
        <w:rPr>
          <w:rFonts w:ascii="宋体" w:hAnsi="宋体"/>
          <w:bCs/>
          <w:color w:val="auto"/>
          <w:szCs w:val="21"/>
        </w:rPr>
      </w:pPr>
      <w:r>
        <w:rPr>
          <w:rFonts w:ascii="宋体" w:hAnsi="宋体"/>
          <w:bCs/>
          <w:color w:val="auto"/>
          <w:szCs w:val="21"/>
        </w:rPr>
        <w:t>1.发包人承诺按照法律规定履行项目审批手续、筹集工程建设资金并按照合同约定的期限和方式支付合同价款。</w:t>
      </w:r>
    </w:p>
    <w:p w14:paraId="7383236B">
      <w:pPr>
        <w:spacing w:line="360" w:lineRule="auto"/>
        <w:ind w:firstLine="420" w:firstLineChars="200"/>
        <w:rPr>
          <w:rFonts w:ascii="宋体" w:hAnsi="宋体"/>
          <w:bCs/>
          <w:color w:val="auto"/>
          <w:szCs w:val="21"/>
        </w:rPr>
      </w:pPr>
      <w:r>
        <w:rPr>
          <w:rFonts w:ascii="宋体" w:hAnsi="宋体"/>
          <w:bCs/>
          <w:color w:val="auto"/>
          <w:szCs w:val="21"/>
        </w:rPr>
        <w:t>2.承包人承诺按照法律规定及合同约定组织完成工程施工，确保工程质量和安全，不进行转包及违法分包，并在缺陷责任期及保修期内承担相应的工程维修责任。</w:t>
      </w:r>
    </w:p>
    <w:p w14:paraId="2C0737AC">
      <w:pPr>
        <w:spacing w:line="360" w:lineRule="auto"/>
        <w:ind w:firstLine="420" w:firstLineChars="200"/>
        <w:rPr>
          <w:rFonts w:ascii="宋体" w:hAnsi="宋体"/>
          <w:bCs/>
          <w:color w:val="auto"/>
          <w:szCs w:val="21"/>
        </w:rPr>
      </w:pPr>
      <w:r>
        <w:rPr>
          <w:rFonts w:ascii="宋体" w:hAnsi="宋体"/>
          <w:bCs/>
          <w:color w:val="auto"/>
          <w:szCs w:val="21"/>
        </w:rPr>
        <w:t>3.发包人和承包人通过招投标形式签订合同的，双方理解并承诺不再就同一工程另行签订与合同实质性内容相背离的协议。</w:t>
      </w:r>
      <w:bookmarkStart w:id="190" w:name="_Toc351203488"/>
    </w:p>
    <w:p w14:paraId="50B542A9">
      <w:pPr>
        <w:spacing w:line="360" w:lineRule="auto"/>
        <w:ind w:firstLine="420" w:firstLineChars="200"/>
        <w:outlineLvl w:val="0"/>
        <w:rPr>
          <w:rFonts w:ascii="宋体" w:hAnsi="宋体"/>
          <w:b/>
          <w:bCs/>
          <w:color w:val="auto"/>
          <w:szCs w:val="21"/>
        </w:rPr>
      </w:pPr>
      <w:bookmarkStart w:id="191" w:name="_Toc10413"/>
      <w:r>
        <w:rPr>
          <w:rFonts w:ascii="宋体" w:hAnsi="宋体"/>
          <w:b/>
          <w:bCs/>
          <w:color w:val="auto"/>
          <w:szCs w:val="21"/>
        </w:rPr>
        <w:t>八、词语含义</w:t>
      </w:r>
      <w:bookmarkEnd w:id="190"/>
      <w:bookmarkEnd w:id="191"/>
    </w:p>
    <w:p w14:paraId="59F2D6B2">
      <w:pPr>
        <w:spacing w:line="360" w:lineRule="auto"/>
        <w:ind w:firstLine="420" w:firstLineChars="200"/>
        <w:rPr>
          <w:rFonts w:ascii="宋体" w:hAnsi="宋体"/>
          <w:bCs/>
          <w:color w:val="auto"/>
          <w:szCs w:val="21"/>
        </w:rPr>
      </w:pPr>
      <w:r>
        <w:rPr>
          <w:rFonts w:ascii="宋体" w:hAnsi="宋体"/>
          <w:bCs/>
          <w:color w:val="auto"/>
          <w:szCs w:val="21"/>
        </w:rPr>
        <w:t>本协议书中词语含义与第二部分通用合同条款中赋予的含义相同。</w:t>
      </w:r>
    </w:p>
    <w:p w14:paraId="05825E38">
      <w:pPr>
        <w:spacing w:line="360" w:lineRule="auto"/>
        <w:ind w:firstLine="420" w:firstLineChars="200"/>
        <w:outlineLvl w:val="0"/>
        <w:rPr>
          <w:rFonts w:ascii="宋体" w:hAnsi="宋体"/>
          <w:b/>
          <w:bCs/>
          <w:color w:val="auto"/>
          <w:szCs w:val="21"/>
        </w:rPr>
      </w:pPr>
      <w:bookmarkStart w:id="192" w:name="_Toc351203489"/>
      <w:bookmarkStart w:id="193" w:name="_Toc12158"/>
      <w:r>
        <w:rPr>
          <w:rFonts w:ascii="宋体" w:hAnsi="宋体"/>
          <w:b/>
          <w:bCs/>
          <w:color w:val="auto"/>
          <w:szCs w:val="21"/>
        </w:rPr>
        <w:t>九、签订时间</w:t>
      </w:r>
      <w:bookmarkEnd w:id="192"/>
      <w:bookmarkEnd w:id="193"/>
    </w:p>
    <w:p w14:paraId="306E1F36">
      <w:pPr>
        <w:spacing w:line="360" w:lineRule="auto"/>
        <w:ind w:firstLine="420" w:firstLineChars="200"/>
        <w:rPr>
          <w:rFonts w:ascii="宋体" w:hAnsi="宋体"/>
          <w:bCs/>
          <w:color w:val="auto"/>
          <w:szCs w:val="21"/>
        </w:rPr>
      </w:pPr>
      <w:r>
        <w:rPr>
          <w:rFonts w:ascii="宋体" w:hAnsi="宋体"/>
          <w:bCs/>
          <w:color w:val="auto"/>
          <w:szCs w:val="21"/>
        </w:rPr>
        <w:t>本合同于</w:t>
      </w:r>
      <w:r>
        <w:rPr>
          <w:rFonts w:hint="eastAsia" w:ascii="宋体" w:hAnsi="宋体"/>
          <w:bCs/>
          <w:color w:val="auto"/>
          <w:szCs w:val="21"/>
          <w:u w:val="single"/>
        </w:rPr>
        <w:t xml:space="preserve">     </w:t>
      </w:r>
      <w:r>
        <w:rPr>
          <w:rFonts w:ascii="宋体" w:hAnsi="宋体"/>
          <w:bCs/>
          <w:color w:val="auto"/>
          <w:szCs w:val="21"/>
        </w:rPr>
        <w:t>年</w:t>
      </w:r>
      <w:r>
        <w:rPr>
          <w:rFonts w:ascii="宋体" w:hAnsi="宋体"/>
          <w:bCs/>
          <w:color w:val="auto"/>
          <w:szCs w:val="21"/>
          <w:u w:val="single"/>
        </w:rPr>
        <w:t xml:space="preserve">  </w:t>
      </w:r>
      <w:r>
        <w:rPr>
          <w:rFonts w:ascii="宋体" w:hAnsi="宋体"/>
          <w:bCs/>
          <w:color w:val="auto"/>
          <w:szCs w:val="21"/>
        </w:rPr>
        <w:t>月</w:t>
      </w:r>
      <w:r>
        <w:rPr>
          <w:rFonts w:ascii="宋体" w:hAnsi="宋体"/>
          <w:bCs/>
          <w:color w:val="auto"/>
          <w:szCs w:val="21"/>
          <w:u w:val="single"/>
        </w:rPr>
        <w:t xml:space="preserve">  </w:t>
      </w:r>
      <w:r>
        <w:rPr>
          <w:rFonts w:ascii="宋体" w:hAnsi="宋体"/>
          <w:bCs/>
          <w:color w:val="auto"/>
          <w:szCs w:val="21"/>
        </w:rPr>
        <w:t>日签订。</w:t>
      </w:r>
    </w:p>
    <w:p w14:paraId="6D19E669">
      <w:pPr>
        <w:spacing w:line="360" w:lineRule="auto"/>
        <w:ind w:firstLine="420" w:firstLineChars="200"/>
        <w:outlineLvl w:val="0"/>
        <w:rPr>
          <w:rFonts w:ascii="宋体" w:hAnsi="宋体"/>
          <w:b/>
          <w:bCs/>
          <w:color w:val="auto"/>
          <w:szCs w:val="21"/>
        </w:rPr>
      </w:pPr>
      <w:bookmarkStart w:id="194" w:name="_Toc351203490"/>
      <w:bookmarkStart w:id="195" w:name="_Toc2432"/>
      <w:r>
        <w:rPr>
          <w:rFonts w:ascii="宋体" w:hAnsi="宋体"/>
          <w:b/>
          <w:bCs/>
          <w:color w:val="auto"/>
          <w:szCs w:val="21"/>
        </w:rPr>
        <w:t>十、签订地点</w:t>
      </w:r>
      <w:bookmarkEnd w:id="194"/>
      <w:bookmarkEnd w:id="195"/>
    </w:p>
    <w:p w14:paraId="62B9C5CB">
      <w:pPr>
        <w:spacing w:line="360" w:lineRule="auto"/>
        <w:ind w:firstLine="420" w:firstLineChars="200"/>
        <w:rPr>
          <w:rFonts w:ascii="宋体" w:hAnsi="宋体"/>
          <w:bCs/>
          <w:color w:val="auto"/>
          <w:szCs w:val="21"/>
        </w:rPr>
      </w:pPr>
      <w:r>
        <w:rPr>
          <w:rFonts w:ascii="宋体" w:hAnsi="宋体"/>
          <w:bCs/>
          <w:color w:val="auto"/>
          <w:szCs w:val="21"/>
        </w:rPr>
        <w:t>本合同在签订。</w:t>
      </w:r>
    </w:p>
    <w:p w14:paraId="079228F0">
      <w:pPr>
        <w:spacing w:line="360" w:lineRule="auto"/>
        <w:ind w:firstLine="420" w:firstLineChars="200"/>
        <w:outlineLvl w:val="0"/>
        <w:rPr>
          <w:rFonts w:ascii="宋体" w:hAnsi="宋体"/>
          <w:b/>
          <w:bCs/>
          <w:color w:val="auto"/>
          <w:szCs w:val="21"/>
        </w:rPr>
      </w:pPr>
      <w:bookmarkStart w:id="196" w:name="_Toc351203491"/>
      <w:bookmarkStart w:id="197" w:name="_Toc17476"/>
      <w:r>
        <w:rPr>
          <w:rFonts w:ascii="宋体" w:hAnsi="宋体"/>
          <w:b/>
          <w:bCs/>
          <w:color w:val="auto"/>
          <w:szCs w:val="21"/>
        </w:rPr>
        <w:t>十一、补充协议</w:t>
      </w:r>
      <w:bookmarkEnd w:id="196"/>
      <w:bookmarkEnd w:id="197"/>
    </w:p>
    <w:p w14:paraId="5524A2D7">
      <w:pPr>
        <w:spacing w:line="360" w:lineRule="auto"/>
        <w:ind w:firstLine="420" w:firstLineChars="200"/>
        <w:rPr>
          <w:rFonts w:ascii="宋体" w:hAnsi="宋体"/>
          <w:bCs/>
          <w:color w:val="auto"/>
          <w:szCs w:val="21"/>
        </w:rPr>
      </w:pPr>
      <w:r>
        <w:rPr>
          <w:rFonts w:ascii="宋体" w:hAnsi="宋体"/>
          <w:bCs/>
          <w:color w:val="auto"/>
          <w:szCs w:val="21"/>
        </w:rPr>
        <w:t>合同未尽事宜，合同当事人另行签订补充协议，补充协议是合同的组成部分。</w:t>
      </w:r>
    </w:p>
    <w:p w14:paraId="64033023">
      <w:pPr>
        <w:spacing w:line="360" w:lineRule="auto"/>
        <w:ind w:firstLine="420" w:firstLineChars="200"/>
        <w:outlineLvl w:val="0"/>
        <w:rPr>
          <w:rFonts w:ascii="宋体" w:hAnsi="宋体"/>
          <w:b/>
          <w:bCs/>
          <w:color w:val="auto"/>
          <w:szCs w:val="21"/>
        </w:rPr>
      </w:pPr>
      <w:bookmarkStart w:id="198" w:name="_Toc351203492"/>
      <w:bookmarkStart w:id="199" w:name="_Toc15626"/>
      <w:r>
        <w:rPr>
          <w:rFonts w:ascii="宋体" w:hAnsi="宋体"/>
          <w:b/>
          <w:bCs/>
          <w:color w:val="auto"/>
          <w:szCs w:val="21"/>
        </w:rPr>
        <w:t>十二、合同生效</w:t>
      </w:r>
      <w:bookmarkEnd w:id="198"/>
      <w:bookmarkEnd w:id="199"/>
    </w:p>
    <w:p w14:paraId="7784DC99">
      <w:pPr>
        <w:spacing w:line="360" w:lineRule="auto"/>
        <w:ind w:firstLine="420" w:firstLineChars="200"/>
        <w:rPr>
          <w:rFonts w:ascii="宋体" w:hAnsi="宋体"/>
          <w:bCs/>
          <w:color w:val="auto"/>
          <w:szCs w:val="21"/>
        </w:rPr>
      </w:pPr>
      <w:r>
        <w:rPr>
          <w:rFonts w:ascii="宋体" w:hAnsi="宋体"/>
          <w:bCs/>
          <w:color w:val="auto"/>
          <w:szCs w:val="21"/>
        </w:rPr>
        <w:t>本合同自生效。</w:t>
      </w:r>
    </w:p>
    <w:p w14:paraId="0B7C56C0">
      <w:pPr>
        <w:spacing w:line="360" w:lineRule="auto"/>
        <w:ind w:firstLine="420" w:firstLineChars="200"/>
        <w:outlineLvl w:val="0"/>
        <w:rPr>
          <w:rFonts w:ascii="宋体" w:hAnsi="宋体"/>
          <w:b/>
          <w:bCs/>
          <w:color w:val="auto"/>
          <w:szCs w:val="21"/>
        </w:rPr>
      </w:pPr>
      <w:bookmarkStart w:id="200" w:name="_Toc351203493"/>
      <w:bookmarkStart w:id="201" w:name="_Toc3379"/>
      <w:r>
        <w:rPr>
          <w:rFonts w:ascii="宋体" w:hAnsi="宋体"/>
          <w:b/>
          <w:bCs/>
          <w:color w:val="auto"/>
          <w:szCs w:val="21"/>
        </w:rPr>
        <w:t>十三、合同份数</w:t>
      </w:r>
      <w:bookmarkEnd w:id="200"/>
      <w:bookmarkEnd w:id="201"/>
    </w:p>
    <w:p w14:paraId="6A394C76">
      <w:pPr>
        <w:spacing w:line="360" w:lineRule="auto"/>
        <w:ind w:firstLine="420" w:firstLineChars="200"/>
        <w:rPr>
          <w:rFonts w:ascii="宋体" w:hAnsi="宋体"/>
          <w:bCs/>
          <w:color w:val="auto"/>
          <w:szCs w:val="21"/>
        </w:rPr>
      </w:pPr>
      <w:r>
        <w:rPr>
          <w:rFonts w:ascii="宋体" w:hAnsi="宋体"/>
          <w:bCs/>
          <w:color w:val="auto"/>
          <w:szCs w:val="21"/>
        </w:rPr>
        <w:t>本合同一式份，均具有同等法律效力，发包人执份，承包人执份。</w:t>
      </w:r>
    </w:p>
    <w:p w14:paraId="14DA9174">
      <w:pPr>
        <w:spacing w:line="360" w:lineRule="auto"/>
        <w:rPr>
          <w:rFonts w:ascii="宋体" w:hAnsi="宋体"/>
          <w:color w:val="auto"/>
          <w:szCs w:val="21"/>
        </w:rPr>
      </w:pPr>
    </w:p>
    <w:p w14:paraId="7FD6A71B">
      <w:pPr>
        <w:spacing w:line="360" w:lineRule="auto"/>
        <w:rPr>
          <w:rFonts w:ascii="宋体" w:hAnsi="宋体"/>
          <w:color w:val="auto"/>
          <w:szCs w:val="21"/>
        </w:rPr>
      </w:pPr>
      <w:r>
        <w:rPr>
          <w:rFonts w:ascii="宋体" w:hAnsi="宋体"/>
          <w:color w:val="auto"/>
          <w:szCs w:val="21"/>
        </w:rPr>
        <w:t xml:space="preserve">发包人：  </w:t>
      </w:r>
      <w:r>
        <w:rPr>
          <w:rFonts w:hint="eastAsia" w:ascii="宋体" w:hAnsi="宋体"/>
          <w:color w:val="auto"/>
          <w:szCs w:val="21"/>
        </w:rPr>
        <w:t>（</w:t>
      </w:r>
      <w:r>
        <w:rPr>
          <w:rFonts w:ascii="宋体" w:hAnsi="宋体"/>
          <w:color w:val="auto"/>
          <w:szCs w:val="21"/>
        </w:rPr>
        <w:t>公章</w:t>
      </w:r>
      <w:r>
        <w:rPr>
          <w:rFonts w:hint="eastAsia" w:ascii="宋体" w:hAnsi="宋体"/>
          <w:color w:val="auto"/>
          <w:szCs w:val="21"/>
        </w:rPr>
        <w:t>）</w:t>
      </w:r>
      <w:r>
        <w:rPr>
          <w:rFonts w:ascii="宋体" w:hAnsi="宋体"/>
          <w:color w:val="auto"/>
          <w:szCs w:val="21"/>
        </w:rPr>
        <w:t xml:space="preserve">                              承包人：  </w:t>
      </w:r>
      <w:r>
        <w:rPr>
          <w:rFonts w:hint="eastAsia" w:ascii="宋体" w:hAnsi="宋体"/>
          <w:color w:val="auto"/>
          <w:szCs w:val="21"/>
        </w:rPr>
        <w:t>（</w:t>
      </w:r>
      <w:r>
        <w:rPr>
          <w:rFonts w:ascii="宋体" w:hAnsi="宋体"/>
          <w:color w:val="auto"/>
          <w:szCs w:val="21"/>
        </w:rPr>
        <w:t>公章</w:t>
      </w:r>
      <w:r>
        <w:rPr>
          <w:rFonts w:hint="eastAsia" w:ascii="宋体" w:hAnsi="宋体"/>
          <w:color w:val="auto"/>
          <w:szCs w:val="21"/>
        </w:rPr>
        <w:t>）</w:t>
      </w:r>
    </w:p>
    <w:p w14:paraId="6B17A219">
      <w:pPr>
        <w:spacing w:line="360" w:lineRule="auto"/>
        <w:rPr>
          <w:rFonts w:ascii="宋体" w:hAnsi="宋体"/>
          <w:color w:val="auto"/>
          <w:szCs w:val="21"/>
          <w:u w:val="single"/>
        </w:rPr>
      </w:pPr>
    </w:p>
    <w:p w14:paraId="2774FA72">
      <w:pPr>
        <w:spacing w:line="360" w:lineRule="auto"/>
        <w:rPr>
          <w:rFonts w:ascii="宋体" w:hAnsi="宋体"/>
          <w:color w:val="auto"/>
          <w:szCs w:val="21"/>
        </w:rPr>
      </w:pPr>
      <w:r>
        <w:rPr>
          <w:rFonts w:ascii="宋体" w:hAnsi="宋体"/>
          <w:color w:val="auto"/>
          <w:szCs w:val="21"/>
        </w:rPr>
        <w:t>法定代表人或其委托代理人：                    法定代表人或其委托代理人：</w:t>
      </w:r>
    </w:p>
    <w:p w14:paraId="7CEE6C6D">
      <w:pPr>
        <w:spacing w:line="360" w:lineRule="auto"/>
        <w:rPr>
          <w:rFonts w:ascii="宋体" w:hAnsi="宋体"/>
          <w:color w:val="auto"/>
          <w:szCs w:val="21"/>
        </w:rPr>
      </w:pPr>
      <w:r>
        <w:rPr>
          <w:rFonts w:ascii="宋体" w:hAnsi="宋体"/>
          <w:color w:val="auto"/>
          <w:szCs w:val="21"/>
        </w:rPr>
        <w:t>（签字）                                     （签字）</w:t>
      </w:r>
    </w:p>
    <w:p w14:paraId="684F95CA">
      <w:pPr>
        <w:spacing w:line="360" w:lineRule="auto"/>
        <w:rPr>
          <w:rFonts w:ascii="宋体" w:hAnsi="宋体"/>
          <w:color w:val="auto"/>
          <w:szCs w:val="21"/>
          <w:u w:val="single"/>
        </w:rPr>
      </w:pPr>
    </w:p>
    <w:p w14:paraId="71773E71">
      <w:pPr>
        <w:tabs>
          <w:tab w:val="left" w:pos="4410"/>
        </w:tabs>
        <w:spacing w:line="360" w:lineRule="auto"/>
        <w:rPr>
          <w:rFonts w:hint="default" w:ascii="宋体" w:hAnsi="宋体" w:eastAsia="宋体"/>
          <w:color w:val="auto"/>
          <w:szCs w:val="21"/>
          <w:lang w:val="en-US" w:eastAsia="zh-CN"/>
        </w:rPr>
      </w:pPr>
      <w:r>
        <w:rPr>
          <w:rFonts w:ascii="宋体" w:hAnsi="宋体"/>
          <w:color w:val="auto"/>
          <w:szCs w:val="21"/>
        </w:rPr>
        <w:t>组织机构代码：</w:t>
      </w:r>
      <w:r>
        <w:rPr>
          <w:rFonts w:hint="eastAsia"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组织机构代码：</w:t>
      </w:r>
      <w:r>
        <w:rPr>
          <w:rFonts w:hint="eastAsia" w:ascii="MingLiU_HKSCS" w:hAnsi="MingLiU_HKSCS" w:cs="MingLiU_HKSCS"/>
          <w:color w:val="auto"/>
          <w:szCs w:val="21"/>
          <w:u w:val="single"/>
          <w:lang w:val="en-US" w:eastAsia="zh-CN"/>
        </w:rPr>
        <w:t xml:space="preserve">                   </w:t>
      </w:r>
    </w:p>
    <w:p w14:paraId="7C159D9A">
      <w:pPr>
        <w:spacing w:line="360" w:lineRule="auto"/>
        <w:rPr>
          <w:rFonts w:hint="default" w:ascii="宋体" w:hAnsi="宋体" w:eastAsia="宋体"/>
          <w:color w:val="auto"/>
          <w:szCs w:val="21"/>
          <w:lang w:val="en-US" w:eastAsia="zh-CN"/>
        </w:rPr>
      </w:pPr>
      <w:r>
        <w:rPr>
          <w:rFonts w:ascii="宋体" w:hAnsi="宋体"/>
          <w:color w:val="auto"/>
          <w:szCs w:val="21"/>
        </w:rPr>
        <w:t>地  址：</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ascii="宋体" w:hAnsi="宋体"/>
          <w:color w:val="auto"/>
          <w:szCs w:val="21"/>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地  址：</w:t>
      </w:r>
      <w:r>
        <w:rPr>
          <w:rFonts w:hint="eastAsia" w:ascii="宋体" w:hAnsi="宋体"/>
          <w:color w:val="auto"/>
          <w:szCs w:val="21"/>
          <w:u w:val="single"/>
          <w:lang w:val="en-US" w:eastAsia="zh-CN"/>
        </w:rPr>
        <w:t xml:space="preserve">                         </w:t>
      </w:r>
      <w:r>
        <w:rPr>
          <w:rFonts w:hint="eastAsia" w:ascii="MingLiU_HKSCS" w:hAnsi="MingLiU_HKSCS" w:cs="MingLiU_HKSCS"/>
          <w:color w:val="auto"/>
          <w:szCs w:val="21"/>
          <w:u w:val="none"/>
          <w:lang w:val="en-US" w:eastAsia="zh-CN"/>
        </w:rPr>
        <w:t xml:space="preserve">  </w:t>
      </w:r>
    </w:p>
    <w:p w14:paraId="1B99A11E">
      <w:pPr>
        <w:spacing w:line="360" w:lineRule="auto"/>
        <w:rPr>
          <w:rFonts w:hint="default" w:ascii="宋体" w:hAnsi="宋体" w:eastAsia="宋体"/>
          <w:color w:val="auto"/>
          <w:szCs w:val="21"/>
          <w:lang w:val="en-US" w:eastAsia="zh-CN"/>
        </w:rPr>
      </w:pPr>
      <w:r>
        <w:rPr>
          <w:rFonts w:ascii="宋体" w:hAnsi="宋体"/>
          <w:color w:val="auto"/>
          <w:szCs w:val="21"/>
        </w:rPr>
        <w:t>邮政编码：</w:t>
      </w:r>
      <w:r>
        <w:rPr>
          <w:rFonts w:hint="eastAsia"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邮政编码：</w:t>
      </w:r>
      <w:r>
        <w:rPr>
          <w:rFonts w:hint="eastAsia" w:ascii="MingLiU_HKSCS" w:hAnsi="MingLiU_HKSCS" w:cs="MingLiU_HKSCS"/>
          <w:color w:val="auto"/>
          <w:szCs w:val="21"/>
          <w:u w:val="single"/>
          <w:lang w:val="en-US" w:eastAsia="zh-CN"/>
        </w:rPr>
        <w:t xml:space="preserve">                       </w:t>
      </w:r>
    </w:p>
    <w:p w14:paraId="73AF5173">
      <w:pPr>
        <w:spacing w:line="360" w:lineRule="auto"/>
        <w:rPr>
          <w:rFonts w:hint="default" w:ascii="宋体" w:hAnsi="宋体" w:eastAsia="宋体"/>
          <w:color w:val="auto"/>
          <w:szCs w:val="21"/>
          <w:lang w:val="en-US" w:eastAsia="zh-CN"/>
        </w:rPr>
      </w:pPr>
      <w:r>
        <w:rPr>
          <w:rFonts w:ascii="宋体" w:hAnsi="宋体"/>
          <w:color w:val="auto"/>
          <w:szCs w:val="21"/>
        </w:rPr>
        <w:t>法定代表人：</w:t>
      </w:r>
      <w:r>
        <w:rPr>
          <w:rFonts w:hint="eastAsia"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法定代表人：</w:t>
      </w:r>
      <w:r>
        <w:rPr>
          <w:rFonts w:hint="eastAsia" w:ascii="MingLiU_HKSCS" w:hAnsi="MingLiU_HKSCS" w:cs="MingLiU_HKSCS"/>
          <w:color w:val="auto"/>
          <w:szCs w:val="21"/>
          <w:u w:val="single"/>
          <w:lang w:val="en-US" w:eastAsia="zh-CN"/>
        </w:rPr>
        <w:t xml:space="preserve">                     </w:t>
      </w:r>
    </w:p>
    <w:p w14:paraId="0DCAED17">
      <w:pPr>
        <w:spacing w:line="360" w:lineRule="auto"/>
        <w:rPr>
          <w:rFonts w:hint="default" w:ascii="宋体" w:hAnsi="宋体" w:eastAsia="宋体"/>
          <w:color w:val="auto"/>
          <w:szCs w:val="21"/>
          <w:lang w:val="en-US" w:eastAsia="zh-CN"/>
        </w:rPr>
      </w:pPr>
      <w:r>
        <w:rPr>
          <w:rFonts w:ascii="宋体" w:hAnsi="宋体"/>
          <w:color w:val="auto"/>
          <w:szCs w:val="21"/>
        </w:rPr>
        <w:t xml:space="preserve">委托代理人： </w:t>
      </w:r>
      <w:r>
        <w:rPr>
          <w:rFonts w:hint="eastAsia"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委托代理人：</w:t>
      </w:r>
      <w:r>
        <w:rPr>
          <w:rFonts w:hint="eastAsia" w:ascii="MingLiU_HKSCS" w:hAnsi="MingLiU_HKSCS" w:cs="MingLiU_HKSCS"/>
          <w:color w:val="auto"/>
          <w:szCs w:val="21"/>
          <w:u w:val="single"/>
          <w:lang w:val="en-US" w:eastAsia="zh-CN"/>
        </w:rPr>
        <w:t xml:space="preserve">                     </w:t>
      </w:r>
    </w:p>
    <w:p w14:paraId="32E484E7">
      <w:pPr>
        <w:spacing w:line="360" w:lineRule="auto"/>
        <w:rPr>
          <w:rFonts w:hint="default" w:ascii="宋体" w:hAnsi="宋体" w:eastAsia="宋体"/>
          <w:color w:val="auto"/>
          <w:szCs w:val="21"/>
          <w:lang w:val="en-US" w:eastAsia="zh-CN"/>
        </w:rPr>
      </w:pPr>
      <w:r>
        <w:rPr>
          <w:rFonts w:ascii="宋体" w:hAnsi="宋体"/>
          <w:color w:val="auto"/>
          <w:szCs w:val="21"/>
        </w:rPr>
        <w:t>电  话：</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电  话：</w:t>
      </w:r>
      <w:r>
        <w:rPr>
          <w:rFonts w:hint="eastAsia" w:ascii="MingLiU_HKSCS" w:hAnsi="MingLiU_HKSCS" w:cs="MingLiU_HKSCS"/>
          <w:color w:val="auto"/>
          <w:szCs w:val="21"/>
          <w:u w:val="single"/>
          <w:lang w:val="en-US" w:eastAsia="zh-CN"/>
        </w:rPr>
        <w:t xml:space="preserve">                         </w:t>
      </w:r>
    </w:p>
    <w:p w14:paraId="61393267">
      <w:pPr>
        <w:spacing w:line="360" w:lineRule="auto"/>
        <w:rPr>
          <w:rFonts w:hint="eastAsia" w:ascii="宋体" w:hAnsi="宋体"/>
          <w:color w:val="auto"/>
          <w:szCs w:val="21"/>
          <w:lang w:val="en-US" w:eastAsia="zh-CN"/>
        </w:rPr>
      </w:pPr>
      <w:r>
        <w:rPr>
          <w:rFonts w:ascii="宋体" w:hAnsi="宋体"/>
          <w:color w:val="auto"/>
          <w:szCs w:val="21"/>
        </w:rPr>
        <w:t>传  真：</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 xml:space="preserve">传  </w:t>
      </w:r>
      <w:r>
        <w:rPr>
          <w:rFonts w:ascii="宋体" w:hAnsi="宋体"/>
          <w:color w:val="auto"/>
          <w:szCs w:val="21"/>
          <w:u w:val="none"/>
        </w:rPr>
        <w:t>真：</w:t>
      </w:r>
      <w:r>
        <w:rPr>
          <w:rFonts w:hint="eastAsia" w:ascii="宋体" w:hAnsi="宋体"/>
          <w:color w:val="auto"/>
          <w:szCs w:val="21"/>
          <w:u w:val="single"/>
          <w:lang w:val="en-US" w:eastAsia="zh-CN"/>
        </w:rPr>
        <w:t xml:space="preserve">                         </w:t>
      </w:r>
      <w:r>
        <w:rPr>
          <w:rFonts w:hint="eastAsia" w:ascii="宋体" w:hAnsi="宋体"/>
          <w:color w:val="auto"/>
          <w:szCs w:val="21"/>
          <w:lang w:val="en-US" w:eastAsia="zh-CN"/>
        </w:rPr>
        <w:t xml:space="preserve"> </w:t>
      </w:r>
    </w:p>
    <w:p w14:paraId="56AE0CD7">
      <w:pPr>
        <w:spacing w:line="360" w:lineRule="auto"/>
        <w:rPr>
          <w:rFonts w:hint="default" w:ascii="宋体" w:hAnsi="宋体" w:eastAsia="宋体"/>
          <w:color w:val="auto"/>
          <w:szCs w:val="21"/>
          <w:lang w:val="en-US" w:eastAsia="zh-CN"/>
        </w:rPr>
      </w:pPr>
      <w:r>
        <w:rPr>
          <w:rFonts w:ascii="宋体" w:hAnsi="宋体"/>
          <w:color w:val="auto"/>
          <w:szCs w:val="21"/>
        </w:rPr>
        <w:t>电子信箱：</w:t>
      </w:r>
      <w:r>
        <w:rPr>
          <w:rFonts w:hint="eastAsia"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电子信箱：</w:t>
      </w:r>
      <w:r>
        <w:rPr>
          <w:rFonts w:hint="eastAsia" w:ascii="MingLiU_HKSCS" w:hAnsi="MingLiU_HKSCS" w:cs="MingLiU_HKSCS"/>
          <w:color w:val="auto"/>
          <w:szCs w:val="21"/>
          <w:u w:val="single"/>
          <w:lang w:val="en-US" w:eastAsia="zh-CN"/>
        </w:rPr>
        <w:t xml:space="preserve">                       </w:t>
      </w:r>
    </w:p>
    <w:p w14:paraId="019A3FBF">
      <w:pPr>
        <w:spacing w:line="360" w:lineRule="auto"/>
        <w:rPr>
          <w:rFonts w:hint="default" w:ascii="宋体" w:hAnsi="宋体" w:eastAsia="宋体"/>
          <w:color w:val="auto"/>
          <w:szCs w:val="21"/>
          <w:lang w:val="en-US" w:eastAsia="zh-CN"/>
        </w:rPr>
      </w:pPr>
      <w:r>
        <w:rPr>
          <w:rFonts w:ascii="宋体" w:hAnsi="宋体"/>
          <w:color w:val="auto"/>
          <w:szCs w:val="21"/>
        </w:rPr>
        <w:t>开户银行：</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开户银行：</w:t>
      </w:r>
      <w:r>
        <w:rPr>
          <w:rFonts w:hint="eastAsia" w:ascii="MingLiU_HKSCS" w:hAnsi="MingLiU_HKSCS" w:cs="MingLiU_HKSCS"/>
          <w:color w:val="auto"/>
          <w:szCs w:val="21"/>
          <w:u w:val="single"/>
          <w:lang w:val="en-US" w:eastAsia="zh-CN"/>
        </w:rPr>
        <w:t xml:space="preserve">                       </w:t>
      </w:r>
    </w:p>
    <w:p w14:paraId="7C5F2524">
      <w:pPr>
        <w:rPr>
          <w:rFonts w:hint="default" w:ascii="宋体" w:hAnsi="宋体" w:eastAsia="宋体"/>
          <w:color w:val="auto"/>
          <w:szCs w:val="21"/>
          <w:u w:val="single"/>
          <w:lang w:val="en-US" w:eastAsia="zh-CN"/>
        </w:rPr>
      </w:pPr>
      <w:r>
        <w:rPr>
          <w:rFonts w:ascii="宋体" w:hAnsi="宋体"/>
          <w:color w:val="auto"/>
          <w:szCs w:val="21"/>
        </w:rPr>
        <w:t>账  号：</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账  号：</w:t>
      </w:r>
      <w:r>
        <w:rPr>
          <w:rFonts w:hint="eastAsia" w:ascii="MingLiU_HKSCS" w:hAnsi="MingLiU_HKSCS" w:cs="MingLiU_HKSCS"/>
          <w:color w:val="auto"/>
          <w:szCs w:val="21"/>
          <w:u w:val="single"/>
          <w:lang w:val="en-US" w:eastAsia="zh-CN"/>
        </w:rPr>
        <w:t xml:space="preserve">                         </w:t>
      </w:r>
    </w:p>
    <w:p w14:paraId="1297120B">
      <w:pPr>
        <w:rPr>
          <w:rFonts w:ascii="宋体" w:hAnsi="宋体"/>
          <w:color w:val="auto"/>
          <w:sz w:val="20"/>
          <w:szCs w:val="21"/>
          <w:highlight w:val="white"/>
          <w:u w:val="single"/>
        </w:rPr>
      </w:pPr>
    </w:p>
    <w:p w14:paraId="5ED8FF29">
      <w:pPr>
        <w:spacing w:line="420" w:lineRule="exact"/>
        <w:jc w:val="center"/>
        <w:rPr>
          <w:rFonts w:ascii="宋体" w:hAnsi="宋体"/>
          <w:color w:val="auto"/>
        </w:rPr>
      </w:pPr>
    </w:p>
    <w:p w14:paraId="742CB9D3">
      <w:pPr>
        <w:pStyle w:val="69"/>
        <w:rPr>
          <w:color w:val="auto"/>
        </w:rPr>
      </w:pPr>
    </w:p>
    <w:p w14:paraId="2375A3A6">
      <w:pPr>
        <w:numPr>
          <w:ilvl w:val="0"/>
          <w:numId w:val="9"/>
        </w:numPr>
        <w:spacing w:line="360" w:lineRule="auto"/>
        <w:jc w:val="center"/>
        <w:outlineLvl w:val="0"/>
        <w:rPr>
          <w:rFonts w:hint="eastAsia" w:ascii="宋体" w:hAnsi="宋体"/>
          <w:b/>
          <w:bCs/>
          <w:color w:val="auto"/>
          <w:sz w:val="32"/>
          <w:szCs w:val="32"/>
          <w:highlight w:val="white"/>
        </w:rPr>
      </w:pPr>
      <w:bookmarkStart w:id="202" w:name="_Toc508379683"/>
      <w:bookmarkStart w:id="203" w:name="_Toc86935833"/>
      <w:bookmarkStart w:id="204" w:name="_Toc351203494"/>
      <w:bookmarkStart w:id="205" w:name="_Toc7658"/>
      <w:bookmarkStart w:id="206" w:name="_Toc12228"/>
      <w:bookmarkStart w:id="207" w:name="_Toc26857"/>
      <w:bookmarkStart w:id="208" w:name="_Toc3128"/>
      <w:r>
        <w:rPr>
          <w:rFonts w:hint="eastAsia" w:ascii="宋体" w:hAnsi="宋体"/>
          <w:b/>
          <w:bCs/>
          <w:color w:val="auto"/>
          <w:sz w:val="32"/>
          <w:szCs w:val="32"/>
          <w:highlight w:val="white"/>
        </w:rPr>
        <w:t>通用合同条款</w:t>
      </w:r>
      <w:bookmarkEnd w:id="202"/>
      <w:bookmarkEnd w:id="203"/>
      <w:bookmarkEnd w:id="204"/>
      <w:bookmarkEnd w:id="205"/>
      <w:bookmarkEnd w:id="206"/>
      <w:bookmarkEnd w:id="207"/>
      <w:bookmarkEnd w:id="208"/>
    </w:p>
    <w:p w14:paraId="35256F81">
      <w:pPr>
        <w:numPr>
          <w:ilvl w:val="0"/>
          <w:numId w:val="0"/>
        </w:numPr>
        <w:spacing w:line="360" w:lineRule="auto"/>
        <w:jc w:val="both"/>
        <w:outlineLvl w:val="9"/>
        <w:rPr>
          <w:rFonts w:hint="eastAsia" w:ascii="宋体" w:hAnsi="宋体"/>
          <w:b/>
          <w:bCs/>
          <w:color w:val="auto"/>
          <w:sz w:val="32"/>
          <w:szCs w:val="32"/>
          <w:highlight w:val="white"/>
        </w:rPr>
      </w:pPr>
    </w:p>
    <w:p w14:paraId="46B1FB55">
      <w:pPr>
        <w:spacing w:line="360" w:lineRule="auto"/>
        <w:ind w:firstLine="420" w:firstLineChars="200"/>
        <w:rPr>
          <w:rFonts w:hAnsi="宋体"/>
          <w:b/>
          <w:bCs/>
          <w:color w:val="auto"/>
          <w:kern w:val="0"/>
        </w:rPr>
      </w:pPr>
      <w:r>
        <w:rPr>
          <w:rFonts w:hint="eastAsia" w:hAnsi="宋体" w:cs="宋体"/>
          <w:b/>
          <w:bCs/>
          <w:color w:val="auto"/>
          <w:kern w:val="0"/>
        </w:rPr>
        <w:t>采用《建设工程施工合同（示范文本）》（</w:t>
      </w:r>
      <w:r>
        <w:rPr>
          <w:rFonts w:hAnsi="宋体"/>
          <w:b/>
          <w:bCs/>
          <w:color w:val="auto"/>
          <w:kern w:val="0"/>
        </w:rPr>
        <w:t>GF</w:t>
      </w:r>
      <w:r>
        <w:rPr>
          <w:rFonts w:hAnsi="宋体" w:cs="宋体"/>
          <w:b/>
          <w:bCs/>
          <w:color w:val="auto"/>
          <w:kern w:val="0"/>
        </w:rPr>
        <w:t>—</w:t>
      </w:r>
      <w:r>
        <w:rPr>
          <w:rFonts w:hAnsi="宋体"/>
          <w:b/>
          <w:bCs/>
          <w:color w:val="auto"/>
          <w:kern w:val="0"/>
        </w:rPr>
        <w:t>201</w:t>
      </w:r>
      <w:r>
        <w:rPr>
          <w:rFonts w:hint="eastAsia" w:hAnsi="宋体"/>
          <w:b/>
          <w:bCs/>
          <w:color w:val="auto"/>
          <w:kern w:val="0"/>
        </w:rPr>
        <w:t>7</w:t>
      </w:r>
      <w:r>
        <w:rPr>
          <w:rFonts w:hAnsi="宋体" w:cs="宋体"/>
          <w:b/>
          <w:bCs/>
          <w:color w:val="auto"/>
          <w:kern w:val="0"/>
        </w:rPr>
        <w:t>—</w:t>
      </w:r>
      <w:r>
        <w:rPr>
          <w:rFonts w:hAnsi="宋体"/>
          <w:b/>
          <w:bCs/>
          <w:color w:val="auto"/>
          <w:kern w:val="0"/>
        </w:rPr>
        <w:t>0201</w:t>
      </w:r>
      <w:r>
        <w:rPr>
          <w:rFonts w:hint="eastAsia" w:hAnsi="宋体" w:cs="宋体"/>
          <w:b/>
          <w:bCs/>
          <w:color w:val="auto"/>
          <w:kern w:val="0"/>
        </w:rPr>
        <w:t>）。</w:t>
      </w:r>
    </w:p>
    <w:p w14:paraId="3D336CFC">
      <w:pPr>
        <w:numPr>
          <w:ilvl w:val="0"/>
          <w:numId w:val="0"/>
        </w:numPr>
        <w:spacing w:line="360" w:lineRule="auto"/>
        <w:jc w:val="both"/>
        <w:outlineLvl w:val="9"/>
        <w:rPr>
          <w:rFonts w:hint="eastAsia" w:ascii="宋体" w:hAnsi="宋体"/>
          <w:b/>
          <w:bCs/>
          <w:color w:val="auto"/>
          <w:sz w:val="32"/>
          <w:szCs w:val="32"/>
          <w:highlight w:val="white"/>
        </w:rPr>
      </w:pPr>
    </w:p>
    <w:p w14:paraId="2BCE5719">
      <w:pPr>
        <w:rPr>
          <w:rFonts w:hint="eastAsia" w:ascii="宋体" w:hAnsi="宋体"/>
          <w:b/>
          <w:bCs/>
          <w:color w:val="auto"/>
          <w:sz w:val="32"/>
          <w:szCs w:val="32"/>
          <w:highlight w:val="white"/>
        </w:rPr>
      </w:pPr>
      <w:r>
        <w:rPr>
          <w:rFonts w:hint="eastAsia" w:ascii="宋体" w:hAnsi="宋体"/>
          <w:b/>
          <w:bCs/>
          <w:color w:val="auto"/>
          <w:sz w:val="32"/>
          <w:szCs w:val="32"/>
          <w:highlight w:val="white"/>
        </w:rPr>
        <w:br w:type="page"/>
      </w:r>
    </w:p>
    <w:p w14:paraId="78643295">
      <w:pPr>
        <w:spacing w:line="360" w:lineRule="auto"/>
        <w:jc w:val="center"/>
        <w:outlineLvl w:val="0"/>
        <w:rPr>
          <w:rFonts w:ascii="宋体" w:hAnsi="宋体"/>
          <w:b/>
          <w:bCs/>
          <w:color w:val="auto"/>
          <w:kern w:val="44"/>
          <w:sz w:val="30"/>
          <w:szCs w:val="30"/>
        </w:rPr>
      </w:pPr>
      <w:bookmarkStart w:id="209" w:name="_Toc389065257"/>
      <w:bookmarkStart w:id="210" w:name="_Toc407135193"/>
      <w:bookmarkStart w:id="211" w:name="_Toc508379704"/>
      <w:bookmarkStart w:id="212" w:name="_Toc86935854"/>
      <w:bookmarkStart w:id="213" w:name="_Toc495673369"/>
      <w:bookmarkStart w:id="214" w:name="_Toc4986"/>
      <w:bookmarkStart w:id="215" w:name="_Toc6753"/>
      <w:bookmarkStart w:id="216" w:name="_Toc3693"/>
      <w:bookmarkStart w:id="217" w:name="_Toc9181"/>
      <w:r>
        <w:rPr>
          <w:rFonts w:ascii="宋体" w:hAnsi="宋体"/>
          <w:b/>
          <w:bCs/>
          <w:color w:val="auto"/>
          <w:kern w:val="44"/>
          <w:sz w:val="30"/>
          <w:szCs w:val="30"/>
        </w:rPr>
        <w:t>第</w:t>
      </w:r>
      <w:r>
        <w:rPr>
          <w:rFonts w:hint="eastAsia" w:ascii="宋体" w:hAnsi="宋体"/>
          <w:b/>
          <w:bCs/>
          <w:color w:val="auto"/>
          <w:kern w:val="44"/>
          <w:sz w:val="30"/>
          <w:szCs w:val="30"/>
        </w:rPr>
        <w:t>三</w:t>
      </w:r>
      <w:r>
        <w:rPr>
          <w:rFonts w:ascii="宋体" w:hAnsi="宋体"/>
          <w:b/>
          <w:bCs/>
          <w:color w:val="auto"/>
          <w:kern w:val="44"/>
          <w:sz w:val="30"/>
          <w:szCs w:val="30"/>
        </w:rPr>
        <w:t>部分 专用合同条款</w:t>
      </w:r>
      <w:bookmarkEnd w:id="209"/>
      <w:bookmarkEnd w:id="210"/>
      <w:bookmarkEnd w:id="211"/>
      <w:bookmarkEnd w:id="212"/>
      <w:bookmarkEnd w:id="213"/>
      <w:bookmarkEnd w:id="214"/>
      <w:bookmarkEnd w:id="215"/>
      <w:bookmarkEnd w:id="216"/>
      <w:bookmarkEnd w:id="217"/>
    </w:p>
    <w:p w14:paraId="34328FCF">
      <w:pPr>
        <w:keepNext/>
        <w:keepLines/>
        <w:spacing w:before="260" w:after="260" w:line="416" w:lineRule="auto"/>
        <w:outlineLvl w:val="0"/>
        <w:rPr>
          <w:rFonts w:ascii="宋体" w:hAnsi="宋体"/>
          <w:b/>
          <w:bCs/>
          <w:color w:val="auto"/>
          <w:sz w:val="32"/>
          <w:szCs w:val="32"/>
        </w:rPr>
      </w:pPr>
      <w:bookmarkStart w:id="218" w:name="_Toc373478339"/>
      <w:bookmarkStart w:id="219" w:name="_Toc508379705"/>
      <w:bookmarkStart w:id="220" w:name="_Toc351203633"/>
      <w:bookmarkStart w:id="221" w:name="_Toc389065258"/>
      <w:bookmarkStart w:id="222" w:name="_Toc495673370"/>
      <w:bookmarkStart w:id="223" w:name="_Toc86935855"/>
      <w:bookmarkStart w:id="224" w:name="_Toc407135194"/>
      <w:bookmarkStart w:id="225" w:name="_Toc373227692"/>
      <w:bookmarkStart w:id="226" w:name="_Toc4668"/>
      <w:bookmarkStart w:id="227" w:name="_Toc10983"/>
      <w:bookmarkStart w:id="228" w:name="_Toc9552"/>
      <w:bookmarkStart w:id="229" w:name="_Toc13636"/>
      <w:r>
        <w:rPr>
          <w:rFonts w:ascii="宋体" w:hAnsi="宋体"/>
          <w:b/>
          <w:bCs/>
          <w:color w:val="auto"/>
          <w:sz w:val="32"/>
          <w:szCs w:val="32"/>
        </w:rPr>
        <w:t>1</w:t>
      </w:r>
      <w:bookmarkStart w:id="230" w:name="_Toc292559866"/>
      <w:bookmarkStart w:id="231" w:name="_Toc297048342"/>
      <w:bookmarkStart w:id="232" w:name="_Toc296347155"/>
      <w:bookmarkStart w:id="233" w:name="_Toc296503156"/>
      <w:bookmarkStart w:id="234" w:name="_Toc296346657"/>
      <w:bookmarkStart w:id="235" w:name="_Toc296891196"/>
      <w:bookmarkStart w:id="236" w:name="_Toc292559361"/>
      <w:bookmarkStart w:id="237" w:name="_Toc296890984"/>
      <w:bookmarkStart w:id="238" w:name="_Toc297120456"/>
      <w:bookmarkStart w:id="239" w:name="_Toc296944495"/>
      <w:r>
        <w:rPr>
          <w:rFonts w:ascii="宋体" w:hAnsi="宋体"/>
          <w:b/>
          <w:bCs/>
          <w:color w:val="auto"/>
          <w:sz w:val="32"/>
          <w:szCs w:val="32"/>
        </w:rPr>
        <w:t>. 一般约定</w:t>
      </w:r>
      <w:bookmarkEnd w:id="218"/>
      <w:bookmarkEnd w:id="219"/>
      <w:bookmarkEnd w:id="220"/>
      <w:bookmarkEnd w:id="221"/>
      <w:bookmarkEnd w:id="222"/>
      <w:bookmarkEnd w:id="223"/>
      <w:bookmarkEnd w:id="224"/>
      <w:bookmarkEnd w:id="225"/>
      <w:bookmarkEnd w:id="226"/>
      <w:bookmarkEnd w:id="227"/>
      <w:bookmarkEnd w:id="228"/>
      <w:bookmarkEnd w:id="229"/>
    </w:p>
    <w:bookmarkEnd w:id="230"/>
    <w:bookmarkEnd w:id="231"/>
    <w:bookmarkEnd w:id="232"/>
    <w:bookmarkEnd w:id="233"/>
    <w:bookmarkEnd w:id="234"/>
    <w:bookmarkEnd w:id="235"/>
    <w:bookmarkEnd w:id="236"/>
    <w:bookmarkEnd w:id="237"/>
    <w:bookmarkEnd w:id="238"/>
    <w:bookmarkEnd w:id="239"/>
    <w:p w14:paraId="613BB143">
      <w:pPr>
        <w:keepNext/>
        <w:keepLines/>
        <w:spacing w:before="260" w:after="260" w:line="416" w:lineRule="auto"/>
        <w:outlineLvl w:val="1"/>
        <w:rPr>
          <w:rFonts w:ascii="宋体" w:hAnsi="宋体"/>
          <w:b/>
          <w:bCs/>
          <w:color w:val="auto"/>
          <w:sz w:val="32"/>
          <w:szCs w:val="32"/>
        </w:rPr>
      </w:pPr>
      <w:bookmarkStart w:id="240" w:name="_Toc373227693"/>
      <w:bookmarkStart w:id="241" w:name="_Toc389065259"/>
      <w:bookmarkStart w:id="242" w:name="_Toc495673371"/>
      <w:bookmarkStart w:id="243" w:name="_Toc508379706"/>
      <w:bookmarkStart w:id="244" w:name="_Toc407135195"/>
      <w:bookmarkStart w:id="245" w:name="_Toc373478340"/>
      <w:bookmarkStart w:id="246" w:name="_Toc86935856"/>
      <w:bookmarkStart w:id="247" w:name="_Toc10799"/>
      <w:bookmarkStart w:id="248" w:name="_Toc29881"/>
      <w:r>
        <w:rPr>
          <w:rFonts w:ascii="宋体" w:hAnsi="宋体"/>
          <w:b/>
          <w:bCs/>
          <w:color w:val="auto"/>
          <w:sz w:val="32"/>
          <w:szCs w:val="32"/>
        </w:rPr>
        <w:t>1.1 词语定义</w:t>
      </w:r>
      <w:bookmarkEnd w:id="240"/>
      <w:bookmarkEnd w:id="241"/>
      <w:bookmarkEnd w:id="242"/>
      <w:bookmarkEnd w:id="243"/>
      <w:bookmarkEnd w:id="244"/>
      <w:bookmarkEnd w:id="245"/>
      <w:bookmarkEnd w:id="246"/>
      <w:bookmarkEnd w:id="247"/>
      <w:bookmarkEnd w:id="248"/>
    </w:p>
    <w:p w14:paraId="03AF91A8">
      <w:pPr>
        <w:spacing w:line="360" w:lineRule="auto"/>
        <w:ind w:firstLine="420" w:firstLineChars="200"/>
        <w:outlineLvl w:val="2"/>
        <w:rPr>
          <w:rFonts w:ascii="宋体" w:hAnsi="宋体"/>
          <w:color w:val="auto"/>
          <w:kern w:val="0"/>
          <w:szCs w:val="21"/>
        </w:rPr>
      </w:pPr>
      <w:r>
        <w:rPr>
          <w:rFonts w:ascii="宋体" w:hAnsi="宋体"/>
          <w:color w:val="auto"/>
          <w:kern w:val="0"/>
          <w:szCs w:val="21"/>
        </w:rPr>
        <w:t>1.1.1合同</w:t>
      </w:r>
    </w:p>
    <w:p w14:paraId="1E44BF71">
      <w:pPr>
        <w:spacing w:line="360" w:lineRule="auto"/>
        <w:ind w:firstLine="420" w:firstLineChars="200"/>
        <w:rPr>
          <w:rFonts w:ascii="宋体" w:hAnsi="宋体"/>
          <w:color w:val="auto"/>
          <w:kern w:val="0"/>
          <w:szCs w:val="21"/>
        </w:rPr>
      </w:pPr>
      <w:r>
        <w:rPr>
          <w:rFonts w:ascii="宋体" w:hAnsi="宋体"/>
          <w:color w:val="auto"/>
          <w:kern w:val="0"/>
          <w:szCs w:val="21"/>
        </w:rPr>
        <w:t>1.1.1.10其他合同文件包括：</w:t>
      </w:r>
      <w:r>
        <w:rPr>
          <w:rFonts w:hint="eastAsia" w:ascii="宋体" w:hAnsi="宋体"/>
          <w:color w:val="auto"/>
          <w:szCs w:val="21"/>
          <w:u w:val="single"/>
        </w:rPr>
        <w:t xml:space="preserve">                       </w:t>
      </w:r>
      <w:r>
        <w:rPr>
          <w:rFonts w:ascii="宋体" w:hAnsi="宋体"/>
          <w:color w:val="auto"/>
          <w:szCs w:val="21"/>
        </w:rPr>
        <w:t>。</w:t>
      </w:r>
    </w:p>
    <w:p w14:paraId="5DDB9EFF">
      <w:pPr>
        <w:spacing w:line="360" w:lineRule="auto"/>
        <w:ind w:firstLine="420" w:firstLineChars="200"/>
        <w:outlineLvl w:val="2"/>
        <w:rPr>
          <w:rFonts w:ascii="宋体" w:hAnsi="宋体"/>
          <w:color w:val="auto"/>
          <w:szCs w:val="21"/>
        </w:rPr>
      </w:pPr>
      <w:r>
        <w:rPr>
          <w:rFonts w:ascii="宋体" w:hAnsi="宋体"/>
          <w:color w:val="auto"/>
          <w:szCs w:val="21"/>
        </w:rPr>
        <w:t>1.1.2 合同当事人及其他相关方</w:t>
      </w:r>
    </w:p>
    <w:p w14:paraId="1B689FFB">
      <w:pPr>
        <w:spacing w:line="360" w:lineRule="auto"/>
        <w:ind w:firstLine="420" w:firstLineChars="200"/>
        <w:outlineLvl w:val="3"/>
        <w:rPr>
          <w:rFonts w:ascii="宋体" w:hAnsi="宋体"/>
          <w:color w:val="auto"/>
          <w:szCs w:val="21"/>
        </w:rPr>
      </w:pPr>
      <w:r>
        <w:rPr>
          <w:rFonts w:ascii="宋体" w:hAnsi="宋体"/>
          <w:color w:val="auto"/>
          <w:szCs w:val="21"/>
        </w:rPr>
        <w:t>1.1.2.4监理人：</w:t>
      </w:r>
    </w:p>
    <w:p w14:paraId="43AF3E35">
      <w:pPr>
        <w:spacing w:line="360" w:lineRule="auto"/>
        <w:ind w:firstLine="420" w:firstLineChars="200"/>
        <w:rPr>
          <w:rFonts w:ascii="宋体" w:hAnsi="宋体"/>
          <w:color w:val="auto"/>
          <w:szCs w:val="21"/>
        </w:rPr>
      </w:pPr>
      <w:r>
        <w:rPr>
          <w:rFonts w:ascii="宋体" w:hAnsi="宋体"/>
          <w:color w:val="auto"/>
          <w:szCs w:val="21"/>
        </w:rPr>
        <w:t>名    称：</w:t>
      </w:r>
      <w:r>
        <w:rPr>
          <w:rFonts w:hint="eastAsia" w:ascii="宋体" w:hAnsi="宋体"/>
          <w:color w:val="auto"/>
          <w:szCs w:val="21"/>
          <w:u w:val="single"/>
        </w:rPr>
        <w:t xml:space="preserve">                       </w:t>
      </w:r>
      <w:r>
        <w:rPr>
          <w:rFonts w:ascii="宋体" w:hAnsi="宋体"/>
          <w:color w:val="auto"/>
          <w:szCs w:val="21"/>
        </w:rPr>
        <w:t>；</w:t>
      </w:r>
    </w:p>
    <w:p w14:paraId="1A48E92B">
      <w:pPr>
        <w:spacing w:line="360" w:lineRule="auto"/>
        <w:ind w:firstLine="420" w:firstLineChars="200"/>
        <w:rPr>
          <w:rFonts w:ascii="宋体" w:hAnsi="宋体"/>
          <w:color w:val="auto"/>
          <w:szCs w:val="21"/>
        </w:rPr>
      </w:pPr>
      <w:r>
        <w:rPr>
          <w:rFonts w:ascii="宋体" w:hAnsi="宋体"/>
          <w:color w:val="auto"/>
          <w:szCs w:val="21"/>
        </w:rPr>
        <w:t>资质类别和等级：</w:t>
      </w:r>
      <w:r>
        <w:rPr>
          <w:rFonts w:hint="eastAsia" w:ascii="宋体" w:hAnsi="宋体"/>
          <w:color w:val="auto"/>
          <w:szCs w:val="21"/>
          <w:u w:val="single"/>
        </w:rPr>
        <w:t xml:space="preserve">                       </w:t>
      </w:r>
      <w:r>
        <w:rPr>
          <w:rFonts w:ascii="宋体" w:hAnsi="宋体"/>
          <w:color w:val="auto"/>
          <w:szCs w:val="21"/>
        </w:rPr>
        <w:t>；</w:t>
      </w:r>
    </w:p>
    <w:p w14:paraId="366D731A">
      <w:pPr>
        <w:spacing w:line="360" w:lineRule="auto"/>
        <w:ind w:firstLine="420" w:firstLineChars="200"/>
        <w:rPr>
          <w:rFonts w:ascii="宋体" w:hAnsi="宋体"/>
          <w:color w:val="auto"/>
          <w:szCs w:val="21"/>
        </w:rPr>
      </w:pPr>
      <w:r>
        <w:rPr>
          <w:rFonts w:ascii="宋体" w:hAnsi="宋体"/>
          <w:color w:val="auto"/>
          <w:szCs w:val="21"/>
        </w:rPr>
        <w:t>联系电话：</w:t>
      </w:r>
      <w:r>
        <w:rPr>
          <w:rFonts w:hint="eastAsia" w:ascii="宋体" w:hAnsi="宋体"/>
          <w:color w:val="auto"/>
          <w:szCs w:val="21"/>
          <w:u w:val="single"/>
        </w:rPr>
        <w:t xml:space="preserve">                       </w:t>
      </w:r>
      <w:r>
        <w:rPr>
          <w:rFonts w:ascii="宋体" w:hAnsi="宋体"/>
          <w:color w:val="auto"/>
          <w:szCs w:val="21"/>
        </w:rPr>
        <w:t>；</w:t>
      </w:r>
    </w:p>
    <w:p w14:paraId="0D714425">
      <w:pPr>
        <w:spacing w:line="360" w:lineRule="auto"/>
        <w:ind w:firstLine="420" w:firstLineChars="200"/>
        <w:rPr>
          <w:rFonts w:ascii="宋体" w:hAnsi="宋体"/>
          <w:color w:val="auto"/>
          <w:szCs w:val="21"/>
        </w:rPr>
      </w:pPr>
      <w:r>
        <w:rPr>
          <w:rFonts w:ascii="宋体" w:hAnsi="宋体"/>
          <w:color w:val="auto"/>
          <w:szCs w:val="21"/>
        </w:rPr>
        <w:t>电子信箱：</w:t>
      </w:r>
      <w:r>
        <w:rPr>
          <w:rFonts w:hint="eastAsia" w:ascii="宋体" w:hAnsi="宋体"/>
          <w:color w:val="auto"/>
          <w:szCs w:val="21"/>
          <w:u w:val="single"/>
        </w:rPr>
        <w:t xml:space="preserve">                       </w:t>
      </w:r>
      <w:r>
        <w:rPr>
          <w:rFonts w:ascii="宋体" w:hAnsi="宋体"/>
          <w:color w:val="auto"/>
          <w:szCs w:val="21"/>
        </w:rPr>
        <w:t>；</w:t>
      </w:r>
    </w:p>
    <w:p w14:paraId="1BABFBF2">
      <w:pPr>
        <w:spacing w:line="360" w:lineRule="auto"/>
        <w:ind w:firstLine="420" w:firstLineChars="200"/>
        <w:rPr>
          <w:rFonts w:ascii="宋体" w:hAnsi="宋体"/>
          <w:color w:val="auto"/>
          <w:szCs w:val="21"/>
        </w:rPr>
      </w:pPr>
      <w:r>
        <w:rPr>
          <w:rFonts w:ascii="宋体" w:hAnsi="宋体"/>
          <w:color w:val="auto"/>
          <w:szCs w:val="21"/>
        </w:rPr>
        <w:t>通信地址：</w:t>
      </w:r>
      <w:r>
        <w:rPr>
          <w:rFonts w:hint="eastAsia" w:ascii="宋体" w:hAnsi="宋体"/>
          <w:color w:val="auto"/>
          <w:szCs w:val="21"/>
          <w:u w:val="single"/>
        </w:rPr>
        <w:t xml:space="preserve">                       </w:t>
      </w:r>
      <w:r>
        <w:rPr>
          <w:rFonts w:ascii="宋体" w:hAnsi="宋体"/>
          <w:color w:val="auto"/>
          <w:szCs w:val="21"/>
        </w:rPr>
        <w:t>。</w:t>
      </w:r>
    </w:p>
    <w:p w14:paraId="24DD38D9">
      <w:pPr>
        <w:spacing w:line="360" w:lineRule="auto"/>
        <w:ind w:firstLine="420" w:firstLineChars="200"/>
        <w:outlineLvl w:val="3"/>
        <w:rPr>
          <w:rFonts w:ascii="宋体" w:hAnsi="宋体"/>
          <w:color w:val="auto"/>
          <w:szCs w:val="21"/>
        </w:rPr>
      </w:pPr>
      <w:r>
        <w:rPr>
          <w:rFonts w:ascii="宋体" w:hAnsi="宋体"/>
          <w:color w:val="auto"/>
          <w:szCs w:val="21"/>
        </w:rPr>
        <w:t>1.1.2.5 设计人：</w:t>
      </w:r>
    </w:p>
    <w:p w14:paraId="4524F3D9">
      <w:pPr>
        <w:spacing w:line="360" w:lineRule="auto"/>
        <w:ind w:firstLine="420" w:firstLineChars="200"/>
        <w:rPr>
          <w:rFonts w:ascii="宋体" w:hAnsi="宋体"/>
          <w:color w:val="auto"/>
          <w:szCs w:val="21"/>
        </w:rPr>
      </w:pPr>
      <w:r>
        <w:rPr>
          <w:rFonts w:ascii="宋体" w:hAnsi="宋体"/>
          <w:color w:val="auto"/>
          <w:szCs w:val="21"/>
        </w:rPr>
        <w:t>名    称：</w:t>
      </w:r>
      <w:r>
        <w:rPr>
          <w:rFonts w:hint="eastAsia" w:ascii="宋体" w:hAnsi="宋体"/>
          <w:color w:val="auto"/>
          <w:szCs w:val="21"/>
          <w:u w:val="single"/>
        </w:rPr>
        <w:t xml:space="preserve">                       </w:t>
      </w:r>
      <w:r>
        <w:rPr>
          <w:rFonts w:ascii="宋体" w:hAnsi="宋体"/>
          <w:color w:val="auto"/>
          <w:szCs w:val="21"/>
        </w:rPr>
        <w:t>；</w:t>
      </w:r>
    </w:p>
    <w:p w14:paraId="4132A270">
      <w:pPr>
        <w:spacing w:line="360" w:lineRule="auto"/>
        <w:ind w:firstLine="420" w:firstLineChars="200"/>
        <w:rPr>
          <w:rFonts w:ascii="宋体" w:hAnsi="宋体"/>
          <w:color w:val="auto"/>
          <w:szCs w:val="21"/>
        </w:rPr>
      </w:pPr>
      <w:r>
        <w:rPr>
          <w:rFonts w:ascii="宋体" w:hAnsi="宋体"/>
          <w:color w:val="auto"/>
          <w:szCs w:val="21"/>
        </w:rPr>
        <w:t>资质类别和等级：</w:t>
      </w:r>
      <w:r>
        <w:rPr>
          <w:rFonts w:hint="eastAsia" w:ascii="宋体" w:hAnsi="宋体"/>
          <w:color w:val="auto"/>
          <w:szCs w:val="21"/>
          <w:u w:val="single"/>
        </w:rPr>
        <w:t xml:space="preserve">                       </w:t>
      </w:r>
      <w:r>
        <w:rPr>
          <w:rFonts w:ascii="宋体" w:hAnsi="宋体"/>
          <w:color w:val="auto"/>
          <w:szCs w:val="21"/>
        </w:rPr>
        <w:t>；</w:t>
      </w:r>
    </w:p>
    <w:p w14:paraId="6ECD83FA">
      <w:pPr>
        <w:spacing w:line="360" w:lineRule="auto"/>
        <w:ind w:firstLine="420" w:firstLineChars="200"/>
        <w:rPr>
          <w:rFonts w:ascii="宋体" w:hAnsi="宋体"/>
          <w:color w:val="auto"/>
          <w:szCs w:val="21"/>
        </w:rPr>
      </w:pPr>
      <w:r>
        <w:rPr>
          <w:rFonts w:ascii="宋体" w:hAnsi="宋体"/>
          <w:color w:val="auto"/>
          <w:szCs w:val="21"/>
        </w:rPr>
        <w:t>联系电话：</w:t>
      </w:r>
      <w:r>
        <w:rPr>
          <w:rFonts w:hint="eastAsia" w:ascii="宋体" w:hAnsi="宋体"/>
          <w:color w:val="auto"/>
          <w:szCs w:val="21"/>
          <w:u w:val="single"/>
        </w:rPr>
        <w:t xml:space="preserve">                       </w:t>
      </w:r>
      <w:r>
        <w:rPr>
          <w:rFonts w:ascii="宋体" w:hAnsi="宋体"/>
          <w:color w:val="auto"/>
          <w:szCs w:val="21"/>
        </w:rPr>
        <w:t>；</w:t>
      </w:r>
    </w:p>
    <w:p w14:paraId="139DDCA4">
      <w:pPr>
        <w:spacing w:line="360" w:lineRule="auto"/>
        <w:ind w:firstLine="420" w:firstLineChars="200"/>
        <w:rPr>
          <w:rFonts w:ascii="宋体" w:hAnsi="宋体"/>
          <w:color w:val="auto"/>
          <w:szCs w:val="21"/>
        </w:rPr>
      </w:pPr>
      <w:r>
        <w:rPr>
          <w:rFonts w:ascii="宋体" w:hAnsi="宋体"/>
          <w:color w:val="auto"/>
          <w:szCs w:val="21"/>
        </w:rPr>
        <w:t>电子信箱：</w:t>
      </w:r>
      <w:r>
        <w:rPr>
          <w:rFonts w:hint="eastAsia" w:ascii="宋体" w:hAnsi="宋体"/>
          <w:color w:val="auto"/>
          <w:szCs w:val="21"/>
          <w:u w:val="single"/>
        </w:rPr>
        <w:t xml:space="preserve">                       </w:t>
      </w:r>
      <w:r>
        <w:rPr>
          <w:rFonts w:ascii="宋体" w:hAnsi="宋体"/>
          <w:color w:val="auto"/>
          <w:szCs w:val="21"/>
        </w:rPr>
        <w:t>；</w:t>
      </w:r>
    </w:p>
    <w:p w14:paraId="2ED9A5D2">
      <w:pPr>
        <w:spacing w:line="360" w:lineRule="auto"/>
        <w:ind w:firstLine="420" w:firstLineChars="200"/>
        <w:rPr>
          <w:rFonts w:ascii="宋体" w:hAnsi="宋体"/>
          <w:color w:val="auto"/>
          <w:szCs w:val="21"/>
        </w:rPr>
      </w:pPr>
      <w:r>
        <w:rPr>
          <w:rFonts w:ascii="宋体" w:hAnsi="宋体"/>
          <w:color w:val="auto"/>
          <w:szCs w:val="21"/>
        </w:rPr>
        <w:t>通信地址：</w:t>
      </w:r>
      <w:r>
        <w:rPr>
          <w:rFonts w:hint="eastAsia" w:ascii="宋体" w:hAnsi="宋体"/>
          <w:color w:val="auto"/>
          <w:szCs w:val="21"/>
          <w:u w:val="single"/>
        </w:rPr>
        <w:t xml:space="preserve">                       </w:t>
      </w:r>
      <w:r>
        <w:rPr>
          <w:rFonts w:ascii="宋体" w:hAnsi="宋体"/>
          <w:color w:val="auto"/>
          <w:szCs w:val="21"/>
        </w:rPr>
        <w:t>。</w:t>
      </w:r>
    </w:p>
    <w:p w14:paraId="5B9E4F16">
      <w:pPr>
        <w:spacing w:line="360" w:lineRule="auto"/>
        <w:ind w:firstLine="420" w:firstLineChars="200"/>
        <w:outlineLvl w:val="2"/>
        <w:rPr>
          <w:rFonts w:ascii="宋体" w:hAnsi="宋体"/>
          <w:color w:val="auto"/>
          <w:szCs w:val="21"/>
        </w:rPr>
      </w:pPr>
      <w:r>
        <w:rPr>
          <w:rFonts w:ascii="宋体" w:hAnsi="宋体"/>
          <w:color w:val="auto"/>
          <w:szCs w:val="21"/>
        </w:rPr>
        <w:t>1.1.3 工程和设备</w:t>
      </w:r>
    </w:p>
    <w:p w14:paraId="452218EA">
      <w:pPr>
        <w:spacing w:line="360" w:lineRule="auto"/>
        <w:ind w:firstLine="420" w:firstLineChars="200"/>
        <w:rPr>
          <w:rFonts w:ascii="宋体" w:hAnsi="宋体"/>
          <w:color w:val="auto"/>
          <w:szCs w:val="21"/>
        </w:rPr>
      </w:pPr>
      <w:r>
        <w:rPr>
          <w:rFonts w:ascii="宋体" w:hAnsi="宋体"/>
          <w:color w:val="auto"/>
          <w:szCs w:val="21"/>
        </w:rPr>
        <w:t>1.1.3.7 作为施工现场组成部分的其他场所包括：</w:t>
      </w:r>
      <w:r>
        <w:rPr>
          <w:rStyle w:val="50"/>
          <w:rFonts w:hint="eastAsia" w:ascii="宋体" w:hAnsi="宋体" w:eastAsia="宋体"/>
          <w:color w:val="auto"/>
          <w:u w:val="single"/>
        </w:rPr>
        <w:t>永久及临时占地、施工道路、工棚、施工办公生活区、加工场等</w:t>
      </w:r>
      <w:r>
        <w:rPr>
          <w:rFonts w:ascii="宋体" w:hAnsi="宋体"/>
          <w:color w:val="auto"/>
          <w:szCs w:val="21"/>
        </w:rPr>
        <w:t>。</w:t>
      </w:r>
    </w:p>
    <w:p w14:paraId="68A87D76">
      <w:pPr>
        <w:spacing w:line="360" w:lineRule="auto"/>
        <w:ind w:firstLine="420" w:firstLineChars="200"/>
        <w:jc w:val="left"/>
        <w:rPr>
          <w:rFonts w:ascii="宋体" w:hAnsi="宋体" w:eastAsia="宋体"/>
          <w:color w:val="auto"/>
          <w:kern w:val="0"/>
          <w:szCs w:val="21"/>
        </w:rPr>
      </w:pPr>
      <w:r>
        <w:rPr>
          <w:rFonts w:ascii="宋体" w:hAnsi="宋体"/>
          <w:color w:val="auto"/>
          <w:kern w:val="0"/>
          <w:szCs w:val="21"/>
        </w:rPr>
        <w:t>1.1.3.9 永久占地包括：</w:t>
      </w:r>
      <w:bookmarkStart w:id="249" w:name="_Toc508379707"/>
      <w:bookmarkStart w:id="250" w:name="_Toc389065260"/>
      <w:bookmarkStart w:id="251" w:name="_Toc495673372"/>
      <w:bookmarkStart w:id="252" w:name="_Toc86935857"/>
      <w:bookmarkStart w:id="253" w:name="_Toc407135196"/>
      <w:bookmarkStart w:id="254" w:name="_Toc373227694"/>
      <w:bookmarkStart w:id="255" w:name="_Toc373478341"/>
      <w:bookmarkStart w:id="256" w:name="_Toc17579"/>
      <w:bookmarkStart w:id="257" w:name="_Toc9550"/>
      <w:r>
        <w:rPr>
          <w:rStyle w:val="50"/>
          <w:rFonts w:hint="eastAsia" w:ascii="宋体" w:hAnsi="宋体" w:eastAsia="宋体"/>
          <w:color w:val="auto"/>
          <w:u w:val="single"/>
        </w:rPr>
        <w:t>施工图所示占地线范围，范围、坐标详见施工图</w:t>
      </w:r>
      <w:r>
        <w:rPr>
          <w:rFonts w:ascii="宋体" w:hAnsi="宋体" w:eastAsia="宋体"/>
          <w:color w:val="auto"/>
          <w:kern w:val="0"/>
          <w:szCs w:val="21"/>
          <w:u w:val="single"/>
        </w:rPr>
        <w:t>。</w:t>
      </w:r>
    </w:p>
    <w:p w14:paraId="2D7CC475">
      <w:pPr>
        <w:spacing w:line="360" w:lineRule="auto"/>
        <w:ind w:firstLine="420" w:firstLineChars="200"/>
        <w:jc w:val="left"/>
        <w:rPr>
          <w:rFonts w:ascii="宋体" w:hAnsi="宋体" w:eastAsia="宋体"/>
          <w:color w:val="auto"/>
          <w:szCs w:val="21"/>
        </w:rPr>
      </w:pPr>
      <w:r>
        <w:rPr>
          <w:rFonts w:ascii="宋体" w:hAnsi="宋体" w:eastAsia="宋体"/>
          <w:color w:val="auto"/>
          <w:kern w:val="0"/>
          <w:szCs w:val="21"/>
        </w:rPr>
        <w:t>1.1.3.10 临时占地包括：</w:t>
      </w:r>
      <w:r>
        <w:rPr>
          <w:rStyle w:val="50"/>
          <w:rFonts w:hint="eastAsia" w:ascii="宋体" w:hAnsi="宋体" w:eastAsia="宋体"/>
          <w:bCs/>
          <w:color w:val="auto"/>
          <w:u w:val="single"/>
        </w:rPr>
        <w:t>合同签订后3日内发包人提交不少于5份的临时占地资料，在不影响施工的前提下，经发包人、监理单位审批，可免费提供红线范围内的场地作为施工临时占地</w:t>
      </w:r>
      <w:r>
        <w:rPr>
          <w:rFonts w:ascii="宋体" w:hAnsi="宋体" w:eastAsia="宋体"/>
          <w:color w:val="auto"/>
          <w:kern w:val="0"/>
          <w:szCs w:val="21"/>
          <w:u w:val="single"/>
        </w:rPr>
        <w:t>。</w:t>
      </w:r>
    </w:p>
    <w:p w14:paraId="0F8D37EB">
      <w:pPr>
        <w:keepNext/>
        <w:keepLines/>
        <w:spacing w:before="260" w:after="260" w:line="416" w:lineRule="auto"/>
        <w:outlineLvl w:val="1"/>
        <w:rPr>
          <w:rFonts w:ascii="宋体" w:hAnsi="宋体"/>
          <w:b/>
          <w:bCs/>
          <w:color w:val="auto"/>
          <w:sz w:val="32"/>
          <w:szCs w:val="32"/>
        </w:rPr>
      </w:pPr>
      <w:r>
        <w:rPr>
          <w:rFonts w:ascii="宋体" w:hAnsi="宋体"/>
          <w:b/>
          <w:bCs/>
          <w:color w:val="auto"/>
          <w:sz w:val="32"/>
          <w:szCs w:val="32"/>
        </w:rPr>
        <w:t>1.3法律</w:t>
      </w:r>
      <w:bookmarkEnd w:id="249"/>
      <w:bookmarkEnd w:id="250"/>
      <w:bookmarkEnd w:id="251"/>
      <w:bookmarkEnd w:id="252"/>
      <w:bookmarkEnd w:id="253"/>
      <w:bookmarkEnd w:id="254"/>
      <w:bookmarkEnd w:id="255"/>
      <w:bookmarkEnd w:id="256"/>
      <w:bookmarkEnd w:id="257"/>
    </w:p>
    <w:p w14:paraId="0C4F4147">
      <w:pPr>
        <w:spacing w:line="360" w:lineRule="auto"/>
        <w:ind w:firstLine="420" w:firstLineChars="200"/>
        <w:rPr>
          <w:rFonts w:ascii="宋体" w:hAnsi="宋体"/>
          <w:color w:val="auto"/>
          <w:szCs w:val="21"/>
        </w:rPr>
      </w:pPr>
      <w:r>
        <w:rPr>
          <w:rFonts w:ascii="宋体" w:hAnsi="宋体"/>
          <w:color w:val="auto"/>
          <w:szCs w:val="21"/>
        </w:rPr>
        <w:t>适用于合同的其他规范性文件：</w:t>
      </w:r>
      <w:r>
        <w:rPr>
          <w:rStyle w:val="50"/>
          <w:rFonts w:hint="eastAsia" w:ascii="宋体" w:hAnsi="宋体" w:eastAsia="宋体"/>
          <w:color w:val="auto"/>
          <w:u w:val="single"/>
        </w:rPr>
        <w:t>包括中华人民共和国法律、行政法规、部门规章，以及工程所在地的地方法规、自治条例、单行条例和地方政府规章</w:t>
      </w:r>
    </w:p>
    <w:p w14:paraId="788B8B2C">
      <w:pPr>
        <w:keepNext/>
        <w:keepLines/>
        <w:spacing w:before="260" w:after="260" w:line="416" w:lineRule="auto"/>
        <w:outlineLvl w:val="1"/>
        <w:rPr>
          <w:rFonts w:ascii="宋体" w:hAnsi="宋体"/>
          <w:b/>
          <w:bCs/>
          <w:color w:val="auto"/>
          <w:sz w:val="32"/>
          <w:szCs w:val="32"/>
        </w:rPr>
      </w:pPr>
      <w:bookmarkStart w:id="258" w:name="_Toc373227695"/>
      <w:bookmarkStart w:id="259" w:name="_Toc495673373"/>
      <w:bookmarkStart w:id="260" w:name="_Toc508379708"/>
      <w:bookmarkStart w:id="261" w:name="_Toc373478342"/>
      <w:bookmarkStart w:id="262" w:name="_Toc407135197"/>
      <w:bookmarkStart w:id="263" w:name="_Toc86935858"/>
      <w:bookmarkStart w:id="264" w:name="_Toc389065261"/>
      <w:bookmarkStart w:id="265" w:name="_Toc23010"/>
      <w:bookmarkStart w:id="266" w:name="_Toc10471"/>
      <w:r>
        <w:rPr>
          <w:rFonts w:ascii="宋体" w:hAnsi="宋体"/>
          <w:b/>
          <w:bCs/>
          <w:color w:val="auto"/>
          <w:sz w:val="32"/>
          <w:szCs w:val="32"/>
        </w:rPr>
        <w:t>1.4 标准和规范</w:t>
      </w:r>
      <w:bookmarkEnd w:id="258"/>
      <w:bookmarkEnd w:id="259"/>
      <w:bookmarkEnd w:id="260"/>
      <w:bookmarkEnd w:id="261"/>
      <w:bookmarkEnd w:id="262"/>
      <w:bookmarkEnd w:id="263"/>
      <w:bookmarkEnd w:id="264"/>
      <w:bookmarkEnd w:id="265"/>
      <w:bookmarkEnd w:id="266"/>
    </w:p>
    <w:p w14:paraId="5AA64EB3">
      <w:pPr>
        <w:spacing w:line="360" w:lineRule="auto"/>
        <w:ind w:firstLine="420" w:firstLineChars="200"/>
        <w:rPr>
          <w:rFonts w:ascii="宋体" w:hAnsi="宋体"/>
          <w:color w:val="auto"/>
          <w:szCs w:val="21"/>
        </w:rPr>
      </w:pPr>
      <w:r>
        <w:rPr>
          <w:rFonts w:ascii="宋体" w:hAnsi="宋体"/>
          <w:color w:val="auto"/>
          <w:szCs w:val="21"/>
        </w:rPr>
        <w:t>1.4.1适用于工程的标准规范包括：</w:t>
      </w:r>
      <w:r>
        <w:rPr>
          <w:rStyle w:val="50"/>
          <w:rFonts w:hint="eastAsia" w:ascii="宋体" w:hAnsi="宋体" w:eastAsia="宋体"/>
          <w:color w:val="auto"/>
          <w:u w:val="single"/>
        </w:rPr>
        <w:t>现行国家、地方、部门有关标准规范</w:t>
      </w:r>
      <w:r>
        <w:rPr>
          <w:rFonts w:ascii="宋体" w:hAnsi="宋体"/>
          <w:color w:val="auto"/>
          <w:szCs w:val="21"/>
        </w:rPr>
        <w:t>。</w:t>
      </w:r>
    </w:p>
    <w:p w14:paraId="11C591CA">
      <w:pPr>
        <w:spacing w:line="360" w:lineRule="auto"/>
        <w:ind w:firstLine="420" w:firstLineChars="200"/>
        <w:rPr>
          <w:rFonts w:ascii="宋体" w:hAnsi="宋体"/>
          <w:color w:val="auto"/>
          <w:kern w:val="0"/>
          <w:szCs w:val="21"/>
        </w:rPr>
      </w:pPr>
      <w:r>
        <w:rPr>
          <w:rFonts w:ascii="宋体" w:hAnsi="宋体"/>
          <w:color w:val="auto"/>
          <w:kern w:val="0"/>
          <w:szCs w:val="21"/>
        </w:rPr>
        <w:t>1.4.2 发包人提供国外标准、规范的名称：</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w:t>
      </w:r>
    </w:p>
    <w:p w14:paraId="2099D388">
      <w:pPr>
        <w:spacing w:line="360" w:lineRule="auto"/>
        <w:ind w:firstLine="420" w:firstLineChars="200"/>
        <w:rPr>
          <w:rFonts w:ascii="宋体" w:hAnsi="宋体"/>
          <w:color w:val="auto"/>
          <w:kern w:val="0"/>
          <w:szCs w:val="21"/>
        </w:rPr>
      </w:pPr>
      <w:r>
        <w:rPr>
          <w:rFonts w:ascii="宋体" w:hAnsi="宋体"/>
          <w:color w:val="auto"/>
          <w:kern w:val="0"/>
          <w:szCs w:val="21"/>
        </w:rPr>
        <w:t>发包人提供国外标准、规范的份数：</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ascii="宋体" w:hAnsi="宋体"/>
          <w:color w:val="auto"/>
          <w:kern w:val="0"/>
          <w:szCs w:val="21"/>
        </w:rPr>
        <w:t>；</w:t>
      </w:r>
    </w:p>
    <w:p w14:paraId="351B8D03">
      <w:pPr>
        <w:spacing w:line="360" w:lineRule="auto"/>
        <w:ind w:firstLine="420" w:firstLineChars="200"/>
        <w:rPr>
          <w:rFonts w:ascii="宋体" w:hAnsi="宋体"/>
          <w:color w:val="auto"/>
          <w:szCs w:val="21"/>
        </w:rPr>
      </w:pPr>
      <w:r>
        <w:rPr>
          <w:rFonts w:ascii="宋体" w:hAnsi="宋体"/>
          <w:color w:val="auto"/>
          <w:kern w:val="0"/>
          <w:szCs w:val="21"/>
        </w:rPr>
        <w:t>发包人提供国外标准、规范的名称：</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ascii="宋体" w:hAnsi="宋体"/>
          <w:color w:val="auto"/>
          <w:kern w:val="0"/>
          <w:szCs w:val="21"/>
        </w:rPr>
        <w:t>。</w:t>
      </w:r>
    </w:p>
    <w:p w14:paraId="750BA897">
      <w:pPr>
        <w:spacing w:line="360" w:lineRule="auto"/>
        <w:ind w:firstLine="420" w:firstLineChars="200"/>
        <w:rPr>
          <w:rFonts w:ascii="宋体" w:hAnsi="宋体"/>
          <w:color w:val="auto"/>
          <w:szCs w:val="21"/>
        </w:rPr>
      </w:pPr>
      <w:r>
        <w:rPr>
          <w:rFonts w:ascii="宋体" w:hAnsi="宋体"/>
          <w:color w:val="auto"/>
          <w:szCs w:val="21"/>
        </w:rPr>
        <w:t>1.4.3发包人对工程的技术标准和功能要求的特殊要求：</w:t>
      </w:r>
      <w:r>
        <w:rPr>
          <w:rFonts w:hint="eastAsia" w:ascii="宋体" w:hAnsi="宋体"/>
          <w:color w:val="auto"/>
          <w:szCs w:val="21"/>
          <w:u w:val="single"/>
        </w:rPr>
        <w:t xml:space="preserve">     </w:t>
      </w:r>
      <w:r>
        <w:rPr>
          <w:rStyle w:val="50"/>
          <w:rFonts w:hint="eastAsia" w:ascii="宋体" w:hAnsi="宋体" w:eastAsia="宋体"/>
          <w:color w:val="auto"/>
          <w:u w:val="single"/>
        </w:rPr>
        <w:t>另行协商确定</w:t>
      </w:r>
      <w:r>
        <w:rPr>
          <w:rFonts w:hint="eastAsia" w:ascii="宋体" w:hAnsi="宋体"/>
          <w:color w:val="auto"/>
          <w:szCs w:val="21"/>
          <w:u w:val="single"/>
        </w:rPr>
        <w:t xml:space="preserve">    </w:t>
      </w:r>
      <w:r>
        <w:rPr>
          <w:rFonts w:ascii="宋体" w:hAnsi="宋体"/>
          <w:color w:val="auto"/>
          <w:szCs w:val="21"/>
        </w:rPr>
        <w:t>。</w:t>
      </w:r>
    </w:p>
    <w:p w14:paraId="0B9A859A">
      <w:pPr>
        <w:keepNext/>
        <w:keepLines/>
        <w:spacing w:before="260" w:after="260" w:line="416" w:lineRule="auto"/>
        <w:outlineLvl w:val="1"/>
        <w:rPr>
          <w:rFonts w:ascii="宋体" w:hAnsi="宋体"/>
          <w:b/>
          <w:bCs/>
          <w:color w:val="auto"/>
          <w:sz w:val="32"/>
          <w:szCs w:val="32"/>
        </w:rPr>
      </w:pPr>
      <w:bookmarkStart w:id="267" w:name="_Toc508379709"/>
      <w:bookmarkStart w:id="268" w:name="_Toc86935859"/>
      <w:bookmarkStart w:id="269" w:name="_Toc30597"/>
      <w:bookmarkStart w:id="270" w:name="_Toc3181"/>
      <w:bookmarkStart w:id="271" w:name="_Toc373227696"/>
      <w:bookmarkStart w:id="272" w:name="_Toc495673374"/>
      <w:bookmarkStart w:id="273" w:name="_Toc373478343"/>
      <w:bookmarkStart w:id="274" w:name="_Toc407135198"/>
      <w:bookmarkStart w:id="275" w:name="_Toc389065262"/>
      <w:r>
        <w:rPr>
          <w:rFonts w:ascii="宋体" w:hAnsi="宋体"/>
          <w:b/>
          <w:bCs/>
          <w:color w:val="auto"/>
          <w:sz w:val="32"/>
          <w:szCs w:val="32"/>
        </w:rPr>
        <w:t>1.5 合同文件的优先顺序</w:t>
      </w:r>
      <w:bookmarkEnd w:id="267"/>
      <w:bookmarkEnd w:id="268"/>
      <w:bookmarkEnd w:id="269"/>
      <w:bookmarkEnd w:id="270"/>
      <w:bookmarkEnd w:id="271"/>
      <w:bookmarkEnd w:id="272"/>
      <w:bookmarkEnd w:id="273"/>
      <w:bookmarkEnd w:id="274"/>
      <w:bookmarkEnd w:id="275"/>
    </w:p>
    <w:p w14:paraId="7D09637B">
      <w:pPr>
        <w:spacing w:line="360" w:lineRule="auto"/>
        <w:ind w:firstLine="420" w:firstLineChars="200"/>
        <w:rPr>
          <w:rFonts w:ascii="宋体" w:hAnsi="宋体"/>
          <w:color w:val="auto"/>
          <w:szCs w:val="21"/>
        </w:rPr>
      </w:pPr>
      <w:bookmarkStart w:id="276" w:name="_Toc389065263"/>
      <w:bookmarkStart w:id="277" w:name="_Toc373478344"/>
      <w:bookmarkStart w:id="278" w:name="_Toc373227697"/>
      <w:bookmarkStart w:id="279" w:name="_Toc407135199"/>
      <w:r>
        <w:rPr>
          <w:rFonts w:ascii="宋体" w:hAnsi="宋体"/>
          <w:color w:val="auto"/>
          <w:szCs w:val="21"/>
        </w:rPr>
        <w:t>合同文件组成及优先顺序为：</w:t>
      </w:r>
    </w:p>
    <w:p w14:paraId="16F94EC6">
      <w:pPr>
        <w:spacing w:line="360" w:lineRule="auto"/>
        <w:ind w:firstLine="420" w:firstLineChars="200"/>
        <w:rPr>
          <w:rFonts w:ascii="宋体" w:hAnsi="宋体"/>
          <w:color w:val="auto"/>
          <w:kern w:val="0"/>
          <w:szCs w:val="21"/>
        </w:rPr>
      </w:pPr>
      <w:r>
        <w:rPr>
          <w:rFonts w:hint="eastAsia" w:ascii="宋体" w:hAnsi="宋体"/>
          <w:color w:val="auto"/>
          <w:kern w:val="0"/>
          <w:szCs w:val="21"/>
        </w:rPr>
        <w:t>（1）合同协议书；</w:t>
      </w:r>
    </w:p>
    <w:p w14:paraId="1410D226">
      <w:pPr>
        <w:spacing w:line="360" w:lineRule="auto"/>
        <w:ind w:firstLine="420" w:firstLineChars="200"/>
        <w:rPr>
          <w:rFonts w:ascii="宋体" w:hAnsi="宋体"/>
          <w:color w:val="auto"/>
          <w:kern w:val="0"/>
          <w:szCs w:val="21"/>
        </w:rPr>
      </w:pPr>
      <w:r>
        <w:rPr>
          <w:rFonts w:ascii="宋体" w:hAnsi="宋体"/>
          <w:color w:val="auto"/>
          <w:kern w:val="0"/>
          <w:szCs w:val="21"/>
        </w:rPr>
        <w:t>（</w:t>
      </w:r>
      <w:r>
        <w:rPr>
          <w:rFonts w:hint="eastAsia" w:ascii="宋体" w:hAnsi="宋体"/>
          <w:color w:val="auto"/>
          <w:kern w:val="0"/>
          <w:szCs w:val="21"/>
        </w:rPr>
        <w:t>2</w:t>
      </w:r>
      <w:r>
        <w:rPr>
          <w:rFonts w:ascii="宋体" w:hAnsi="宋体"/>
          <w:color w:val="auto"/>
          <w:kern w:val="0"/>
          <w:szCs w:val="21"/>
        </w:rPr>
        <w:t>）中标通知书（如果有）；</w:t>
      </w:r>
    </w:p>
    <w:p w14:paraId="1728B661">
      <w:pPr>
        <w:spacing w:line="360" w:lineRule="auto"/>
        <w:ind w:firstLine="420" w:firstLineChars="200"/>
        <w:rPr>
          <w:rFonts w:ascii="宋体" w:hAnsi="宋体"/>
          <w:color w:val="auto"/>
          <w:kern w:val="0"/>
          <w:szCs w:val="21"/>
        </w:rPr>
      </w:pPr>
      <w:r>
        <w:rPr>
          <w:rFonts w:ascii="宋体" w:hAnsi="宋体"/>
          <w:color w:val="auto"/>
          <w:kern w:val="0"/>
          <w:szCs w:val="21"/>
        </w:rPr>
        <w:t>（</w:t>
      </w:r>
      <w:r>
        <w:rPr>
          <w:rFonts w:hint="eastAsia" w:ascii="宋体" w:hAnsi="宋体"/>
          <w:color w:val="auto"/>
          <w:kern w:val="0"/>
          <w:szCs w:val="21"/>
        </w:rPr>
        <w:t>3</w:t>
      </w:r>
      <w:r>
        <w:rPr>
          <w:rFonts w:ascii="宋体" w:hAnsi="宋体"/>
          <w:color w:val="auto"/>
          <w:kern w:val="0"/>
          <w:szCs w:val="21"/>
        </w:rPr>
        <w:t>）投标函及其附录（如果有）；</w:t>
      </w:r>
    </w:p>
    <w:p w14:paraId="0D5BADFD">
      <w:pPr>
        <w:spacing w:line="360" w:lineRule="auto"/>
        <w:ind w:firstLine="420" w:firstLineChars="200"/>
        <w:rPr>
          <w:rFonts w:ascii="宋体" w:hAnsi="宋体"/>
          <w:color w:val="auto"/>
          <w:kern w:val="0"/>
          <w:szCs w:val="21"/>
        </w:rPr>
      </w:pPr>
      <w:r>
        <w:rPr>
          <w:rFonts w:ascii="宋体" w:hAnsi="宋体"/>
          <w:color w:val="auto"/>
          <w:kern w:val="0"/>
          <w:szCs w:val="21"/>
        </w:rPr>
        <w:t>（</w:t>
      </w:r>
      <w:r>
        <w:rPr>
          <w:rFonts w:hint="eastAsia" w:ascii="宋体" w:hAnsi="宋体"/>
          <w:color w:val="auto"/>
          <w:kern w:val="0"/>
          <w:szCs w:val="21"/>
        </w:rPr>
        <w:t>4</w:t>
      </w:r>
      <w:r>
        <w:rPr>
          <w:rFonts w:ascii="宋体" w:hAnsi="宋体"/>
          <w:color w:val="auto"/>
          <w:kern w:val="0"/>
          <w:szCs w:val="21"/>
        </w:rPr>
        <w:t>）专用合同条款及其附件；</w:t>
      </w:r>
    </w:p>
    <w:p w14:paraId="136CF4FF">
      <w:pPr>
        <w:spacing w:line="360" w:lineRule="auto"/>
        <w:ind w:firstLine="420" w:firstLineChars="200"/>
        <w:rPr>
          <w:rFonts w:ascii="宋体" w:hAnsi="宋体"/>
          <w:color w:val="auto"/>
          <w:kern w:val="0"/>
          <w:szCs w:val="21"/>
        </w:rPr>
      </w:pPr>
      <w:r>
        <w:rPr>
          <w:rFonts w:ascii="宋体" w:hAnsi="宋体"/>
          <w:color w:val="auto"/>
          <w:kern w:val="0"/>
          <w:szCs w:val="21"/>
        </w:rPr>
        <w:t>（</w:t>
      </w:r>
      <w:r>
        <w:rPr>
          <w:rFonts w:hint="eastAsia" w:ascii="宋体" w:hAnsi="宋体"/>
          <w:color w:val="auto"/>
          <w:kern w:val="0"/>
          <w:szCs w:val="21"/>
        </w:rPr>
        <w:t>5</w:t>
      </w:r>
      <w:r>
        <w:rPr>
          <w:rFonts w:ascii="宋体" w:hAnsi="宋体"/>
          <w:color w:val="auto"/>
          <w:kern w:val="0"/>
          <w:szCs w:val="21"/>
        </w:rPr>
        <w:t>）通用合同条款；</w:t>
      </w:r>
    </w:p>
    <w:p w14:paraId="266B5994">
      <w:pPr>
        <w:spacing w:line="360" w:lineRule="auto"/>
        <w:ind w:firstLine="420" w:firstLineChars="200"/>
        <w:rPr>
          <w:rFonts w:hint="eastAsia" w:ascii="宋体" w:hAnsi="宋体" w:eastAsia="宋体"/>
          <w:color w:val="auto"/>
          <w:kern w:val="0"/>
          <w:szCs w:val="21"/>
        </w:rPr>
      </w:pPr>
      <w:r>
        <w:rPr>
          <w:rFonts w:hint="eastAsia" w:ascii="宋体" w:hAnsi="宋体" w:eastAsia="宋体"/>
          <w:color w:val="auto"/>
          <w:kern w:val="0"/>
          <w:szCs w:val="21"/>
        </w:rPr>
        <w:t>（6）标准、规范及有关技术文件；</w:t>
      </w:r>
    </w:p>
    <w:p w14:paraId="17F9815B">
      <w:pPr>
        <w:spacing w:line="360" w:lineRule="auto"/>
        <w:ind w:firstLine="420" w:firstLineChars="200"/>
        <w:rPr>
          <w:rFonts w:hint="eastAsia" w:ascii="宋体" w:hAnsi="宋体" w:eastAsia="宋体"/>
          <w:color w:val="auto"/>
          <w:kern w:val="0"/>
          <w:szCs w:val="21"/>
        </w:rPr>
      </w:pPr>
      <w:r>
        <w:rPr>
          <w:rFonts w:hint="eastAsia" w:ascii="宋体" w:hAnsi="宋体" w:eastAsia="宋体"/>
          <w:color w:val="auto"/>
          <w:kern w:val="0"/>
          <w:szCs w:val="21"/>
        </w:rPr>
        <w:t>（7）</w:t>
      </w:r>
      <w:r>
        <w:rPr>
          <w:rFonts w:hint="eastAsia" w:ascii="宋体" w:hAnsi="宋体" w:eastAsia="宋体"/>
          <w:color w:val="auto"/>
          <w:kern w:val="0"/>
          <w:szCs w:val="21"/>
          <w:lang w:val="en-US" w:eastAsia="zh-CN"/>
        </w:rPr>
        <w:t>图纸</w:t>
      </w:r>
      <w:r>
        <w:rPr>
          <w:rFonts w:hint="eastAsia" w:ascii="宋体" w:hAnsi="宋体" w:eastAsia="宋体"/>
          <w:color w:val="auto"/>
          <w:kern w:val="0"/>
          <w:szCs w:val="21"/>
        </w:rPr>
        <w:t>；</w:t>
      </w:r>
    </w:p>
    <w:p w14:paraId="029796D7">
      <w:pPr>
        <w:spacing w:line="360" w:lineRule="auto"/>
        <w:ind w:firstLine="420" w:firstLineChars="200"/>
        <w:rPr>
          <w:rFonts w:hint="eastAsia" w:ascii="宋体" w:hAnsi="宋体" w:eastAsia="宋体"/>
          <w:color w:val="auto"/>
          <w:kern w:val="0"/>
          <w:szCs w:val="21"/>
        </w:rPr>
      </w:pPr>
      <w:r>
        <w:rPr>
          <w:rFonts w:hint="eastAsia" w:ascii="宋体" w:hAnsi="宋体" w:eastAsia="宋体"/>
          <w:color w:val="auto"/>
          <w:kern w:val="0"/>
          <w:szCs w:val="21"/>
        </w:rPr>
        <w:t>（8）已标价工程量清单或预算书；</w:t>
      </w:r>
    </w:p>
    <w:p w14:paraId="3C7A81F2">
      <w:pPr>
        <w:spacing w:line="360" w:lineRule="auto"/>
        <w:ind w:firstLine="420" w:firstLineChars="200"/>
        <w:rPr>
          <w:rFonts w:hint="eastAsia" w:ascii="宋体" w:hAnsi="宋体" w:eastAsia="宋体"/>
          <w:color w:val="auto"/>
          <w:kern w:val="0"/>
          <w:szCs w:val="21"/>
        </w:rPr>
      </w:pPr>
      <w:r>
        <w:rPr>
          <w:rFonts w:hint="eastAsia" w:ascii="宋体" w:hAnsi="宋体" w:eastAsia="宋体"/>
          <w:color w:val="auto"/>
          <w:kern w:val="0"/>
          <w:szCs w:val="21"/>
        </w:rPr>
        <w:t>（9）其他合同文件。</w:t>
      </w:r>
    </w:p>
    <w:p w14:paraId="031B6608">
      <w:pPr>
        <w:spacing w:line="360" w:lineRule="auto"/>
        <w:ind w:firstLine="420" w:firstLineChars="200"/>
        <w:rPr>
          <w:rFonts w:ascii="宋体" w:hAnsi="宋体"/>
          <w:color w:val="auto"/>
          <w:kern w:val="0"/>
          <w:szCs w:val="21"/>
        </w:rPr>
      </w:pPr>
      <w:r>
        <w:rPr>
          <w:rFonts w:hint="eastAsia" w:ascii="宋体" w:hAnsi="宋体"/>
          <w:color w:val="auto"/>
          <w:kern w:val="0"/>
          <w:szCs w:val="21"/>
        </w:rPr>
        <w:t>（10）</w:t>
      </w:r>
      <w:r>
        <w:rPr>
          <w:rFonts w:hint="eastAsia" w:ascii="宋体" w:hAnsi="宋体" w:eastAsia="宋体"/>
          <w:color w:val="auto"/>
          <w:kern w:val="0"/>
          <w:szCs w:val="21"/>
          <w:lang w:eastAsia="zh-CN"/>
        </w:rPr>
        <w:t>《</w:t>
      </w:r>
      <w:r>
        <w:rPr>
          <w:rFonts w:hint="eastAsia" w:ascii="宋体" w:hAnsi="宋体" w:eastAsia="宋体"/>
          <w:color w:val="auto"/>
          <w:kern w:val="0"/>
          <w:szCs w:val="21"/>
        </w:rPr>
        <w:t>建设工程工程量清单计价规范（GB/T50500-2024）</w:t>
      </w:r>
      <w:r>
        <w:rPr>
          <w:rFonts w:hint="eastAsia" w:ascii="宋体" w:hAnsi="宋体" w:eastAsia="宋体"/>
          <w:color w:val="auto"/>
          <w:kern w:val="0"/>
          <w:szCs w:val="21"/>
          <w:lang w:eastAsia="zh-CN"/>
        </w:rPr>
        <w:t>》</w:t>
      </w:r>
      <w:r>
        <w:rPr>
          <w:rFonts w:hint="eastAsia" w:ascii="宋体" w:hAnsi="宋体" w:eastAsia="宋体"/>
          <w:color w:val="auto"/>
          <w:kern w:val="0"/>
          <w:szCs w:val="21"/>
        </w:rPr>
        <w:t>、</w:t>
      </w:r>
      <w:r>
        <w:rPr>
          <w:rFonts w:hint="eastAsia" w:ascii="宋体" w:hAnsi="宋体" w:eastAsia="宋体"/>
          <w:color w:val="auto"/>
          <w:kern w:val="0"/>
          <w:szCs w:val="21"/>
          <w:lang w:val="en-US" w:eastAsia="zh-CN"/>
        </w:rPr>
        <w:t xml:space="preserve"> </w:t>
      </w:r>
      <w:r>
        <w:rPr>
          <w:rFonts w:hint="eastAsia" w:ascii="宋体" w:hAnsi="宋体" w:eastAsia="宋体"/>
          <w:color w:val="auto"/>
          <w:kern w:val="0"/>
          <w:szCs w:val="21"/>
          <w:lang w:eastAsia="zh-CN"/>
        </w:rPr>
        <w:t>《</w:t>
      </w:r>
      <w:r>
        <w:rPr>
          <w:rFonts w:hint="eastAsia" w:ascii="宋体" w:hAnsi="宋体" w:eastAsia="宋体"/>
          <w:color w:val="auto"/>
          <w:kern w:val="0"/>
          <w:szCs w:val="21"/>
        </w:rPr>
        <w:t>建设工程工程量清单计价规范（GB50500-2013）广西壮族自治区实施细则</w:t>
      </w:r>
      <w:r>
        <w:rPr>
          <w:rFonts w:hint="eastAsia" w:ascii="宋体" w:hAnsi="宋体" w:eastAsia="宋体"/>
          <w:color w:val="auto"/>
          <w:kern w:val="0"/>
          <w:szCs w:val="21"/>
          <w:lang w:eastAsia="zh-CN"/>
        </w:rPr>
        <w:t>》</w:t>
      </w:r>
      <w:r>
        <w:rPr>
          <w:rFonts w:hint="eastAsia" w:ascii="宋体" w:hAnsi="宋体" w:eastAsia="宋体"/>
          <w:color w:val="auto"/>
          <w:kern w:val="0"/>
          <w:szCs w:val="21"/>
        </w:rPr>
        <w:t>、《关于建筑业实施营业税改征增值税后广西壮族自治区建设工程计价依据调整的通知》（桂建标〔2016〕17号）、《广西壮族自治区住房城乡建设厅关于调整建设工程计价增值税税率的通知》（桂建标【2019】12号）《建设工程工程量清单计算规范（GB5854~50862-2013）》及其广西实施细则（修订本）。</w:t>
      </w:r>
    </w:p>
    <w:p w14:paraId="027D1C53">
      <w:pPr>
        <w:keepNext/>
        <w:keepLines/>
        <w:spacing w:before="260" w:after="260" w:line="416" w:lineRule="auto"/>
        <w:outlineLvl w:val="1"/>
        <w:rPr>
          <w:rFonts w:ascii="宋体" w:hAnsi="宋体"/>
          <w:b/>
          <w:bCs/>
          <w:color w:val="auto"/>
          <w:sz w:val="32"/>
          <w:szCs w:val="32"/>
        </w:rPr>
      </w:pPr>
      <w:bookmarkStart w:id="280" w:name="_Toc86935860"/>
      <w:bookmarkStart w:id="281" w:name="_Toc508379710"/>
      <w:bookmarkStart w:id="282" w:name="_Toc495673375"/>
      <w:bookmarkStart w:id="283" w:name="_Toc32168"/>
      <w:bookmarkStart w:id="284" w:name="_Toc29471"/>
      <w:r>
        <w:rPr>
          <w:rFonts w:ascii="宋体" w:hAnsi="宋体"/>
          <w:b/>
          <w:bCs/>
          <w:color w:val="auto"/>
          <w:sz w:val="32"/>
          <w:szCs w:val="32"/>
        </w:rPr>
        <w:t>1.6 图纸和承包人文件</w:t>
      </w:r>
      <w:bookmarkEnd w:id="276"/>
      <w:bookmarkEnd w:id="277"/>
      <w:bookmarkEnd w:id="278"/>
      <w:bookmarkEnd w:id="279"/>
      <w:bookmarkEnd w:id="280"/>
      <w:bookmarkEnd w:id="281"/>
      <w:bookmarkEnd w:id="282"/>
      <w:bookmarkEnd w:id="283"/>
      <w:bookmarkEnd w:id="284"/>
      <w:r>
        <w:rPr>
          <w:rFonts w:ascii="宋体" w:hAnsi="宋体"/>
          <w:b/>
          <w:bCs/>
          <w:color w:val="auto"/>
          <w:sz w:val="32"/>
          <w:szCs w:val="32"/>
        </w:rPr>
        <w:tab/>
      </w:r>
    </w:p>
    <w:p w14:paraId="1A961E4D">
      <w:pPr>
        <w:spacing w:line="360" w:lineRule="auto"/>
        <w:ind w:firstLine="420" w:firstLineChars="200"/>
        <w:outlineLvl w:val="2"/>
        <w:rPr>
          <w:rFonts w:ascii="宋体" w:hAnsi="宋体"/>
          <w:color w:val="auto"/>
          <w:szCs w:val="21"/>
        </w:rPr>
      </w:pPr>
      <w:r>
        <w:rPr>
          <w:rFonts w:ascii="宋体" w:hAnsi="宋体"/>
          <w:color w:val="auto"/>
          <w:szCs w:val="21"/>
        </w:rPr>
        <w:t>1.6.1 图纸的提供</w:t>
      </w:r>
    </w:p>
    <w:p w14:paraId="3417408D">
      <w:pPr>
        <w:spacing w:line="360" w:lineRule="auto"/>
        <w:ind w:firstLine="420" w:firstLineChars="200"/>
        <w:rPr>
          <w:rFonts w:ascii="宋体" w:hAnsi="宋体"/>
          <w:color w:val="auto"/>
          <w:szCs w:val="21"/>
        </w:rPr>
      </w:pPr>
      <w:r>
        <w:rPr>
          <w:rFonts w:ascii="宋体" w:hAnsi="宋体"/>
          <w:color w:val="auto"/>
          <w:szCs w:val="21"/>
        </w:rPr>
        <w:t>发包人向承包人提供图纸的期限：</w:t>
      </w:r>
      <w:r>
        <w:rPr>
          <w:rFonts w:hint="eastAsia" w:ascii="宋体" w:hAnsi="宋体"/>
          <w:color w:val="auto"/>
          <w:szCs w:val="21"/>
          <w:u w:val="single"/>
        </w:rPr>
        <w:t xml:space="preserve"> </w:t>
      </w:r>
      <w:r>
        <w:rPr>
          <w:rStyle w:val="50"/>
          <w:rFonts w:hint="eastAsia" w:ascii="宋体" w:hAnsi="宋体" w:eastAsia="宋体"/>
          <w:color w:val="auto"/>
          <w:u w:val="single"/>
        </w:rPr>
        <w:t>合同生效后</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天内</w:t>
      </w:r>
      <w:r>
        <w:rPr>
          <w:rFonts w:hint="eastAsia" w:ascii="宋体" w:hAnsi="宋体"/>
          <w:color w:val="auto"/>
          <w:szCs w:val="21"/>
          <w:u w:val="single"/>
        </w:rPr>
        <w:t xml:space="preserve"> </w:t>
      </w:r>
      <w:r>
        <w:rPr>
          <w:rFonts w:ascii="宋体" w:hAnsi="宋体"/>
          <w:color w:val="auto"/>
          <w:szCs w:val="21"/>
        </w:rPr>
        <w:t>；</w:t>
      </w:r>
    </w:p>
    <w:p w14:paraId="070C7968">
      <w:pPr>
        <w:spacing w:line="360" w:lineRule="auto"/>
        <w:ind w:firstLine="420" w:firstLineChars="200"/>
        <w:rPr>
          <w:rFonts w:ascii="宋体" w:hAnsi="宋体"/>
          <w:color w:val="auto"/>
          <w:szCs w:val="21"/>
        </w:rPr>
      </w:pPr>
      <w:r>
        <w:rPr>
          <w:rFonts w:ascii="宋体" w:hAnsi="宋体"/>
          <w:color w:val="auto"/>
          <w:szCs w:val="21"/>
        </w:rPr>
        <w:t>发包人向承包人提供图纸的数量：</w:t>
      </w:r>
      <w:r>
        <w:rPr>
          <w:rFonts w:hint="eastAsia" w:ascii="宋体" w:hAnsi="宋体"/>
          <w:color w:val="auto"/>
          <w:szCs w:val="21"/>
          <w:u w:val="single"/>
          <w:lang w:val="en-US" w:eastAsia="zh-CN"/>
        </w:rPr>
        <w:t xml:space="preserve">    </w:t>
      </w:r>
      <w:r>
        <w:rPr>
          <w:rFonts w:ascii="宋体" w:hAnsi="宋体"/>
          <w:color w:val="auto"/>
          <w:szCs w:val="21"/>
          <w:u w:val="single"/>
        </w:rPr>
        <w:t>套，承包人需要增加图纸套数的，发包人应代为复制，复制费用由承包人承担</w:t>
      </w:r>
      <w:r>
        <w:rPr>
          <w:rFonts w:ascii="宋体" w:hAnsi="宋体"/>
          <w:color w:val="auto"/>
          <w:szCs w:val="21"/>
        </w:rPr>
        <w:t>；</w:t>
      </w:r>
    </w:p>
    <w:p w14:paraId="2B2AF0C2">
      <w:pPr>
        <w:spacing w:line="360" w:lineRule="auto"/>
        <w:ind w:firstLine="420" w:firstLineChars="200"/>
        <w:rPr>
          <w:rFonts w:ascii="宋体" w:hAnsi="宋体"/>
          <w:color w:val="auto"/>
          <w:szCs w:val="21"/>
        </w:rPr>
      </w:pPr>
      <w:r>
        <w:rPr>
          <w:rFonts w:ascii="宋体" w:hAnsi="宋体"/>
          <w:color w:val="auto"/>
          <w:szCs w:val="21"/>
        </w:rPr>
        <w:t>发包人向承包人提供图纸的内容：</w:t>
      </w:r>
      <w:r>
        <w:rPr>
          <w:rStyle w:val="50"/>
          <w:rFonts w:hint="eastAsia" w:ascii="宋体" w:hAnsi="宋体" w:eastAsia="宋体"/>
          <w:color w:val="auto"/>
          <w:u w:val="single"/>
        </w:rPr>
        <w:t>本合同发包内容中的全部图纸</w:t>
      </w:r>
      <w:r>
        <w:rPr>
          <w:rFonts w:ascii="宋体" w:hAnsi="宋体"/>
          <w:color w:val="auto"/>
          <w:szCs w:val="21"/>
        </w:rPr>
        <w:t>。</w:t>
      </w:r>
    </w:p>
    <w:p w14:paraId="03275EAA">
      <w:pPr>
        <w:spacing w:line="360" w:lineRule="auto"/>
        <w:ind w:firstLine="420" w:firstLineChars="200"/>
        <w:outlineLvl w:val="2"/>
        <w:rPr>
          <w:rFonts w:ascii="宋体" w:hAnsi="宋体"/>
          <w:color w:val="auto"/>
          <w:szCs w:val="21"/>
        </w:rPr>
      </w:pPr>
      <w:r>
        <w:rPr>
          <w:rFonts w:ascii="宋体" w:hAnsi="宋体"/>
          <w:color w:val="auto"/>
          <w:szCs w:val="21"/>
        </w:rPr>
        <w:t>1.6.4 承包人文件</w:t>
      </w:r>
    </w:p>
    <w:p w14:paraId="0B55841C">
      <w:pPr>
        <w:spacing w:line="360" w:lineRule="auto"/>
        <w:ind w:firstLine="420" w:firstLineChars="200"/>
        <w:jc w:val="left"/>
        <w:rPr>
          <w:rFonts w:ascii="宋体" w:hAnsi="宋体"/>
          <w:color w:val="auto"/>
          <w:szCs w:val="21"/>
          <w:u w:val="single"/>
        </w:rPr>
      </w:pPr>
      <w:r>
        <w:rPr>
          <w:rFonts w:ascii="宋体" w:hAnsi="宋体"/>
          <w:color w:val="auto"/>
          <w:szCs w:val="21"/>
        </w:rPr>
        <w:t>需要由承包人提供的文件，包括：</w:t>
      </w:r>
      <w:r>
        <w:rPr>
          <w:rStyle w:val="50"/>
          <w:rFonts w:hint="eastAsia" w:ascii="宋体" w:hAnsi="宋体" w:eastAsia="宋体"/>
          <w:color w:val="auto"/>
          <w:u w:val="single"/>
        </w:rPr>
        <w:t>必要的加工图和大样图，均不是合同计量与支付的依据文件。施工组织设计、专项施工方案、安全应急方案、进度报表、次月进度计划等</w:t>
      </w:r>
      <w:r>
        <w:rPr>
          <w:rFonts w:ascii="宋体" w:hAnsi="宋体"/>
          <w:color w:val="auto"/>
          <w:szCs w:val="21"/>
        </w:rPr>
        <w:t>；</w:t>
      </w:r>
    </w:p>
    <w:p w14:paraId="72ECCDFF">
      <w:pPr>
        <w:spacing w:line="360" w:lineRule="auto"/>
        <w:ind w:firstLine="420" w:firstLineChars="200"/>
        <w:rPr>
          <w:rFonts w:ascii="宋体" w:hAnsi="宋体"/>
          <w:color w:val="auto"/>
          <w:szCs w:val="21"/>
        </w:rPr>
      </w:pPr>
      <w:r>
        <w:rPr>
          <w:rFonts w:ascii="宋体" w:hAnsi="宋体"/>
          <w:color w:val="auto"/>
          <w:szCs w:val="21"/>
        </w:rPr>
        <w:t>承包人提供的文件的期限为：</w:t>
      </w:r>
      <w:r>
        <w:rPr>
          <w:rStyle w:val="50"/>
          <w:rFonts w:hint="eastAsia" w:ascii="宋体" w:hAnsi="宋体" w:eastAsia="宋体"/>
          <w:color w:val="auto"/>
          <w:u w:val="single"/>
        </w:rPr>
        <w:t>合同签订后</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天</w:t>
      </w:r>
      <w:r>
        <w:rPr>
          <w:rFonts w:ascii="宋体" w:hAnsi="宋体"/>
          <w:color w:val="auto"/>
          <w:szCs w:val="21"/>
        </w:rPr>
        <w:t>；</w:t>
      </w:r>
    </w:p>
    <w:p w14:paraId="5D6F4790">
      <w:pPr>
        <w:spacing w:line="360" w:lineRule="auto"/>
        <w:ind w:firstLine="420" w:firstLineChars="200"/>
        <w:rPr>
          <w:rFonts w:ascii="宋体" w:hAnsi="宋体"/>
          <w:color w:val="auto"/>
          <w:szCs w:val="21"/>
        </w:rPr>
      </w:pPr>
      <w:r>
        <w:rPr>
          <w:rFonts w:ascii="宋体" w:hAnsi="宋体"/>
          <w:color w:val="auto"/>
          <w:szCs w:val="21"/>
        </w:rPr>
        <w:t>承包人提供的文件的数量为：</w:t>
      </w:r>
      <w:r>
        <w:rPr>
          <w:rFonts w:hint="eastAsia" w:ascii="宋体" w:hAnsi="宋体"/>
          <w:color w:val="auto"/>
          <w:szCs w:val="21"/>
          <w:u w:val="single"/>
        </w:rPr>
        <w:t xml:space="preserve"> </w:t>
      </w:r>
      <w:r>
        <w:rPr>
          <w:rStyle w:val="50"/>
          <w:rFonts w:hint="eastAsia" w:ascii="宋体" w:hAnsi="宋体" w:eastAsia="宋体"/>
          <w:color w:val="auto"/>
          <w:u w:val="single"/>
        </w:rPr>
        <w:t>提供施工组织设计和安全应急方案一式</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份,专项工程合同签订后</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天提供专项施工方案一式</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份,每月</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日提供本月完成进度报表和次月进度计划一式</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份</w:t>
      </w:r>
      <w:r>
        <w:rPr>
          <w:rFonts w:ascii="宋体" w:hAnsi="宋体"/>
          <w:color w:val="auto"/>
          <w:szCs w:val="21"/>
        </w:rPr>
        <w:t>；</w:t>
      </w:r>
    </w:p>
    <w:p w14:paraId="3167F51B">
      <w:pPr>
        <w:spacing w:line="360" w:lineRule="auto"/>
        <w:ind w:firstLine="420" w:firstLineChars="200"/>
        <w:rPr>
          <w:rFonts w:ascii="宋体" w:hAnsi="宋体"/>
          <w:color w:val="auto"/>
          <w:szCs w:val="21"/>
        </w:rPr>
      </w:pPr>
      <w:r>
        <w:rPr>
          <w:rFonts w:ascii="宋体" w:hAnsi="宋体"/>
          <w:color w:val="auto"/>
          <w:szCs w:val="21"/>
        </w:rPr>
        <w:t>承包人提供的文件的形式为：</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Style w:val="50"/>
          <w:rFonts w:hint="eastAsia" w:ascii="宋体" w:hAnsi="宋体" w:eastAsia="宋体"/>
          <w:color w:val="auto"/>
          <w:u w:val="single"/>
        </w:rPr>
        <w:t>书面及电子文件</w:t>
      </w:r>
      <w:r>
        <w:rPr>
          <w:rFonts w:hint="eastAsia" w:ascii="宋体" w:hAnsi="宋体"/>
          <w:color w:val="auto"/>
          <w:szCs w:val="21"/>
          <w:u w:val="single"/>
        </w:rPr>
        <w:t xml:space="preserve">      </w:t>
      </w:r>
      <w:r>
        <w:rPr>
          <w:rFonts w:ascii="宋体" w:hAnsi="宋体"/>
          <w:color w:val="auto"/>
          <w:szCs w:val="21"/>
        </w:rPr>
        <w:t>；</w:t>
      </w:r>
    </w:p>
    <w:p w14:paraId="69198FFA">
      <w:pPr>
        <w:spacing w:line="360" w:lineRule="auto"/>
        <w:ind w:firstLine="420" w:firstLineChars="200"/>
        <w:rPr>
          <w:rFonts w:ascii="宋体" w:hAnsi="宋体"/>
          <w:color w:val="auto"/>
          <w:szCs w:val="21"/>
        </w:rPr>
      </w:pPr>
      <w:r>
        <w:rPr>
          <w:rFonts w:ascii="宋体" w:hAnsi="宋体"/>
          <w:color w:val="auto"/>
          <w:szCs w:val="21"/>
        </w:rPr>
        <w:t>发包人审批承包人文件的期限：</w:t>
      </w:r>
      <w:r>
        <w:rPr>
          <w:rStyle w:val="50"/>
          <w:rFonts w:hint="eastAsia" w:ascii="宋体" w:hAnsi="宋体" w:eastAsia="宋体"/>
          <w:color w:val="auto"/>
          <w:u w:val="single"/>
        </w:rPr>
        <w:t>收到提供的文件后</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天内,逾期不确认也不提出书面意见的</w:t>
      </w:r>
      <w:r>
        <w:rPr>
          <w:rStyle w:val="50"/>
          <w:rFonts w:hint="eastAsia" w:ascii="宋体" w:hAnsi="宋体" w:eastAsia="宋体"/>
          <w:color w:val="auto"/>
        </w:rPr>
        <w:t>，</w:t>
      </w:r>
      <w:r>
        <w:rPr>
          <w:rStyle w:val="50"/>
          <w:rFonts w:hint="eastAsia" w:ascii="宋体" w:hAnsi="宋体" w:eastAsia="宋体"/>
          <w:color w:val="auto"/>
          <w:u w:val="single"/>
        </w:rPr>
        <w:t>视为同意</w:t>
      </w:r>
      <w:r>
        <w:rPr>
          <w:rFonts w:ascii="宋体" w:hAnsi="宋体"/>
          <w:color w:val="auto"/>
          <w:szCs w:val="21"/>
        </w:rPr>
        <w:t>。</w:t>
      </w:r>
    </w:p>
    <w:p w14:paraId="31E43D3B">
      <w:pPr>
        <w:spacing w:line="360" w:lineRule="auto"/>
        <w:ind w:firstLine="420" w:firstLineChars="200"/>
        <w:outlineLvl w:val="2"/>
        <w:rPr>
          <w:rFonts w:ascii="宋体" w:hAnsi="宋体"/>
          <w:color w:val="auto"/>
          <w:szCs w:val="21"/>
        </w:rPr>
      </w:pPr>
      <w:r>
        <w:rPr>
          <w:rFonts w:ascii="宋体" w:hAnsi="宋体"/>
          <w:color w:val="auto"/>
          <w:szCs w:val="21"/>
        </w:rPr>
        <w:t>1.6.5 现场图纸准备</w:t>
      </w:r>
    </w:p>
    <w:p w14:paraId="74B80274">
      <w:pPr>
        <w:spacing w:line="360" w:lineRule="auto"/>
        <w:ind w:firstLine="420" w:firstLineChars="200"/>
        <w:rPr>
          <w:rFonts w:ascii="宋体" w:hAnsi="宋体"/>
          <w:color w:val="auto"/>
          <w:szCs w:val="21"/>
        </w:rPr>
      </w:pPr>
      <w:r>
        <w:rPr>
          <w:rFonts w:ascii="宋体" w:hAnsi="宋体"/>
          <w:color w:val="auto"/>
          <w:szCs w:val="21"/>
        </w:rPr>
        <w:t>关于现场图纸准备的约定：</w:t>
      </w:r>
      <w:r>
        <w:rPr>
          <w:rFonts w:hint="eastAsia" w:ascii="宋体" w:hAnsi="宋体"/>
          <w:color w:val="auto"/>
          <w:szCs w:val="21"/>
          <w:u w:val="single"/>
        </w:rPr>
        <w:t xml:space="preserve">      </w:t>
      </w:r>
      <w:r>
        <w:rPr>
          <w:rStyle w:val="50"/>
          <w:rFonts w:hint="eastAsia" w:ascii="宋体" w:hAnsi="宋体" w:eastAsia="宋体"/>
          <w:color w:val="auto"/>
          <w:u w:val="single"/>
        </w:rPr>
        <w:t>由承包</w:t>
      </w:r>
      <w:r>
        <w:rPr>
          <w:rStyle w:val="50"/>
          <w:rFonts w:hint="eastAsia" w:ascii="宋体" w:hAnsi="宋体" w:eastAsia="宋体"/>
          <w:color w:val="auto"/>
          <w:u w:val="single"/>
          <w:lang w:eastAsia="zh-CN"/>
        </w:rPr>
        <w:t>人</w:t>
      </w:r>
      <w:r>
        <w:rPr>
          <w:rStyle w:val="50"/>
          <w:rFonts w:hint="eastAsia" w:ascii="宋体" w:hAnsi="宋体" w:eastAsia="宋体"/>
          <w:color w:val="auto"/>
          <w:u w:val="single"/>
        </w:rPr>
        <w:t>准备</w:t>
      </w:r>
      <w:r>
        <w:rPr>
          <w:rFonts w:hint="eastAsia" w:ascii="宋体" w:hAnsi="宋体"/>
          <w:color w:val="auto"/>
          <w:szCs w:val="21"/>
          <w:u w:val="single"/>
        </w:rPr>
        <w:t xml:space="preserve">      </w:t>
      </w:r>
      <w:r>
        <w:rPr>
          <w:rFonts w:ascii="宋体" w:hAnsi="宋体"/>
          <w:color w:val="auto"/>
          <w:szCs w:val="21"/>
        </w:rPr>
        <w:t>。</w:t>
      </w:r>
    </w:p>
    <w:p w14:paraId="4880405A">
      <w:pPr>
        <w:keepNext/>
        <w:keepLines/>
        <w:spacing w:before="260" w:after="260" w:line="416" w:lineRule="auto"/>
        <w:outlineLvl w:val="1"/>
        <w:rPr>
          <w:rFonts w:ascii="宋体" w:hAnsi="宋体"/>
          <w:b/>
          <w:bCs/>
          <w:color w:val="auto"/>
          <w:sz w:val="32"/>
          <w:szCs w:val="32"/>
        </w:rPr>
      </w:pPr>
      <w:bookmarkStart w:id="285" w:name="_Toc86935861"/>
      <w:bookmarkStart w:id="286" w:name="_Toc495673376"/>
      <w:bookmarkStart w:id="287" w:name="_Toc373227698"/>
      <w:bookmarkStart w:id="288" w:name="_Toc389065264"/>
      <w:bookmarkStart w:id="289" w:name="_Toc373478345"/>
      <w:bookmarkStart w:id="290" w:name="_Toc407135200"/>
      <w:bookmarkStart w:id="291" w:name="_Toc508379711"/>
      <w:bookmarkStart w:id="292" w:name="_Toc12562"/>
      <w:bookmarkStart w:id="293" w:name="_Toc12002"/>
      <w:r>
        <w:rPr>
          <w:rFonts w:ascii="宋体" w:hAnsi="宋体"/>
          <w:b/>
          <w:bCs/>
          <w:color w:val="auto"/>
          <w:sz w:val="32"/>
          <w:szCs w:val="32"/>
        </w:rPr>
        <w:t>1.7 联络</w:t>
      </w:r>
      <w:bookmarkEnd w:id="285"/>
      <w:bookmarkEnd w:id="286"/>
      <w:bookmarkEnd w:id="287"/>
      <w:bookmarkEnd w:id="288"/>
      <w:bookmarkEnd w:id="289"/>
      <w:bookmarkEnd w:id="290"/>
      <w:bookmarkEnd w:id="291"/>
      <w:bookmarkEnd w:id="292"/>
      <w:bookmarkEnd w:id="293"/>
    </w:p>
    <w:p w14:paraId="4FFA77FD">
      <w:pPr>
        <w:spacing w:line="360" w:lineRule="auto"/>
        <w:ind w:firstLine="420" w:firstLineChars="200"/>
        <w:rPr>
          <w:rFonts w:ascii="宋体" w:hAnsi="宋体"/>
          <w:color w:val="auto"/>
          <w:kern w:val="0"/>
          <w:szCs w:val="21"/>
        </w:rPr>
      </w:pPr>
      <w:r>
        <w:rPr>
          <w:rFonts w:ascii="宋体" w:hAnsi="宋体"/>
          <w:color w:val="auto"/>
          <w:kern w:val="0"/>
          <w:szCs w:val="21"/>
        </w:rPr>
        <w:t>1.7.1发包人和承包人应当在天内将与合同有关的通知、批准、证明、证书、指示、指令、要求、请求、同意、意见、确定和决定等书面函件送达对方当事人。</w:t>
      </w:r>
    </w:p>
    <w:p w14:paraId="45E71022">
      <w:pPr>
        <w:spacing w:line="360" w:lineRule="auto"/>
        <w:ind w:firstLine="420" w:firstLineChars="200"/>
        <w:rPr>
          <w:rFonts w:ascii="宋体" w:hAnsi="宋体"/>
          <w:color w:val="auto"/>
          <w:kern w:val="0"/>
          <w:szCs w:val="21"/>
        </w:rPr>
      </w:pPr>
      <w:r>
        <w:rPr>
          <w:rFonts w:ascii="宋体" w:hAnsi="宋体"/>
          <w:color w:val="auto"/>
          <w:kern w:val="0"/>
          <w:szCs w:val="21"/>
        </w:rPr>
        <w:t>1.7.2 发包人接收文件的地点：</w:t>
      </w:r>
      <w:r>
        <w:rPr>
          <w:rFonts w:hint="eastAsia" w:ascii="宋体" w:hAnsi="宋体"/>
          <w:color w:val="auto"/>
          <w:szCs w:val="21"/>
          <w:u w:val="single"/>
        </w:rPr>
        <w:t xml:space="preserve">                       </w:t>
      </w:r>
      <w:r>
        <w:rPr>
          <w:rFonts w:ascii="宋体" w:hAnsi="宋体"/>
          <w:color w:val="auto"/>
          <w:kern w:val="0"/>
          <w:szCs w:val="21"/>
        </w:rPr>
        <w:t>；</w:t>
      </w:r>
    </w:p>
    <w:p w14:paraId="5405B79C">
      <w:pPr>
        <w:spacing w:line="360" w:lineRule="auto"/>
        <w:ind w:firstLine="420" w:firstLineChars="200"/>
        <w:rPr>
          <w:rFonts w:ascii="宋体" w:hAnsi="宋体"/>
          <w:color w:val="auto"/>
          <w:kern w:val="0"/>
          <w:szCs w:val="21"/>
        </w:rPr>
      </w:pPr>
      <w:r>
        <w:rPr>
          <w:rFonts w:ascii="宋体" w:hAnsi="宋体"/>
          <w:color w:val="auto"/>
          <w:kern w:val="0"/>
          <w:szCs w:val="21"/>
        </w:rPr>
        <w:t>发包人指定的接收人为：</w:t>
      </w:r>
      <w:r>
        <w:rPr>
          <w:rFonts w:hint="eastAsia" w:ascii="宋体" w:hAnsi="宋体"/>
          <w:color w:val="auto"/>
          <w:szCs w:val="21"/>
          <w:u w:val="single"/>
        </w:rPr>
        <w:t xml:space="preserve">                       </w:t>
      </w:r>
      <w:r>
        <w:rPr>
          <w:rFonts w:ascii="宋体" w:hAnsi="宋体"/>
          <w:color w:val="auto"/>
          <w:kern w:val="0"/>
          <w:szCs w:val="21"/>
        </w:rPr>
        <w:t>。</w:t>
      </w:r>
    </w:p>
    <w:p w14:paraId="1C450224">
      <w:pPr>
        <w:spacing w:line="360" w:lineRule="auto"/>
        <w:ind w:firstLine="420" w:firstLineChars="200"/>
        <w:rPr>
          <w:rFonts w:ascii="宋体" w:hAnsi="宋体"/>
          <w:color w:val="auto"/>
          <w:kern w:val="0"/>
          <w:szCs w:val="21"/>
        </w:rPr>
      </w:pPr>
      <w:r>
        <w:rPr>
          <w:rFonts w:ascii="宋体" w:hAnsi="宋体"/>
          <w:color w:val="auto"/>
          <w:kern w:val="0"/>
          <w:szCs w:val="21"/>
        </w:rPr>
        <w:t>承包人接收文件的地点：</w:t>
      </w:r>
      <w:r>
        <w:rPr>
          <w:rFonts w:hint="eastAsia" w:ascii="宋体" w:hAnsi="宋体"/>
          <w:color w:val="auto"/>
          <w:szCs w:val="21"/>
          <w:u w:val="single"/>
        </w:rPr>
        <w:t xml:space="preserve">                       </w:t>
      </w:r>
      <w:r>
        <w:rPr>
          <w:rFonts w:ascii="宋体" w:hAnsi="宋体"/>
          <w:color w:val="auto"/>
          <w:kern w:val="0"/>
          <w:szCs w:val="21"/>
        </w:rPr>
        <w:t>；</w:t>
      </w:r>
    </w:p>
    <w:p w14:paraId="47045BA7">
      <w:pPr>
        <w:spacing w:line="360" w:lineRule="auto"/>
        <w:ind w:firstLine="420" w:firstLineChars="200"/>
        <w:rPr>
          <w:rFonts w:ascii="宋体" w:hAnsi="宋体"/>
          <w:color w:val="auto"/>
          <w:kern w:val="0"/>
          <w:szCs w:val="21"/>
        </w:rPr>
      </w:pPr>
      <w:r>
        <w:rPr>
          <w:rFonts w:ascii="宋体" w:hAnsi="宋体"/>
          <w:color w:val="auto"/>
          <w:kern w:val="0"/>
          <w:szCs w:val="21"/>
        </w:rPr>
        <w:t>承包人指定的接收人为：</w:t>
      </w:r>
      <w:r>
        <w:rPr>
          <w:rFonts w:hint="eastAsia" w:ascii="宋体" w:hAnsi="宋体"/>
          <w:color w:val="auto"/>
          <w:szCs w:val="21"/>
          <w:u w:val="single"/>
        </w:rPr>
        <w:t xml:space="preserve">                       </w:t>
      </w:r>
      <w:r>
        <w:rPr>
          <w:rFonts w:ascii="宋体" w:hAnsi="宋体"/>
          <w:color w:val="auto"/>
          <w:kern w:val="0"/>
          <w:szCs w:val="21"/>
        </w:rPr>
        <w:t>。</w:t>
      </w:r>
    </w:p>
    <w:p w14:paraId="67423EBA">
      <w:pPr>
        <w:spacing w:line="360" w:lineRule="auto"/>
        <w:ind w:firstLine="420" w:firstLineChars="200"/>
        <w:rPr>
          <w:rFonts w:ascii="宋体" w:hAnsi="宋体"/>
          <w:color w:val="auto"/>
          <w:kern w:val="0"/>
          <w:szCs w:val="21"/>
        </w:rPr>
      </w:pPr>
      <w:r>
        <w:rPr>
          <w:rFonts w:ascii="宋体" w:hAnsi="宋体"/>
          <w:color w:val="auto"/>
          <w:kern w:val="0"/>
          <w:szCs w:val="21"/>
        </w:rPr>
        <w:t>监理人接收文件的地点：</w:t>
      </w:r>
      <w:r>
        <w:rPr>
          <w:rFonts w:hint="eastAsia" w:ascii="宋体" w:hAnsi="宋体"/>
          <w:color w:val="auto"/>
          <w:szCs w:val="21"/>
          <w:u w:val="single"/>
        </w:rPr>
        <w:t xml:space="preserve">                       </w:t>
      </w:r>
      <w:r>
        <w:rPr>
          <w:rFonts w:ascii="宋体" w:hAnsi="宋体"/>
          <w:color w:val="auto"/>
          <w:kern w:val="0"/>
          <w:szCs w:val="21"/>
        </w:rPr>
        <w:t>；</w:t>
      </w:r>
    </w:p>
    <w:p w14:paraId="71C49EF5">
      <w:pPr>
        <w:spacing w:line="360" w:lineRule="auto"/>
        <w:ind w:firstLine="420" w:firstLineChars="200"/>
        <w:rPr>
          <w:rFonts w:ascii="宋体" w:hAnsi="宋体"/>
          <w:color w:val="auto"/>
          <w:kern w:val="0"/>
          <w:szCs w:val="21"/>
        </w:rPr>
      </w:pPr>
      <w:r>
        <w:rPr>
          <w:rFonts w:ascii="宋体" w:hAnsi="宋体"/>
          <w:color w:val="auto"/>
          <w:kern w:val="0"/>
          <w:szCs w:val="21"/>
        </w:rPr>
        <w:t>监理人指定的接收人为：</w:t>
      </w:r>
      <w:r>
        <w:rPr>
          <w:rFonts w:hint="eastAsia" w:ascii="宋体" w:hAnsi="宋体"/>
          <w:color w:val="auto"/>
          <w:szCs w:val="21"/>
          <w:u w:val="single"/>
        </w:rPr>
        <w:t xml:space="preserve">                       </w:t>
      </w:r>
      <w:r>
        <w:rPr>
          <w:rFonts w:ascii="宋体" w:hAnsi="宋体"/>
          <w:color w:val="auto"/>
          <w:kern w:val="0"/>
          <w:szCs w:val="21"/>
        </w:rPr>
        <w:t>。</w:t>
      </w:r>
    </w:p>
    <w:p w14:paraId="362C7F8D">
      <w:pPr>
        <w:keepNext/>
        <w:keepLines/>
        <w:spacing w:before="260" w:after="260" w:line="416" w:lineRule="auto"/>
        <w:outlineLvl w:val="1"/>
        <w:rPr>
          <w:rFonts w:ascii="宋体" w:hAnsi="宋体"/>
          <w:b/>
          <w:bCs/>
          <w:color w:val="auto"/>
          <w:sz w:val="32"/>
          <w:szCs w:val="32"/>
        </w:rPr>
      </w:pPr>
      <w:bookmarkStart w:id="294" w:name="_Toc508379712"/>
      <w:bookmarkStart w:id="295" w:name="_Toc373227699"/>
      <w:bookmarkStart w:id="296" w:name="_Toc373478346"/>
      <w:bookmarkStart w:id="297" w:name="_Toc86935862"/>
      <w:bookmarkStart w:id="298" w:name="_Toc495673377"/>
      <w:bookmarkStart w:id="299" w:name="_Toc407135201"/>
      <w:bookmarkStart w:id="300" w:name="_Toc389065265"/>
      <w:bookmarkStart w:id="301" w:name="_Toc23670"/>
      <w:bookmarkStart w:id="302" w:name="_Toc274"/>
      <w:r>
        <w:rPr>
          <w:rFonts w:ascii="宋体" w:hAnsi="宋体"/>
          <w:b/>
          <w:bCs/>
          <w:color w:val="auto"/>
          <w:sz w:val="32"/>
          <w:szCs w:val="32"/>
        </w:rPr>
        <w:t>1.10 交通运输</w:t>
      </w:r>
      <w:bookmarkEnd w:id="294"/>
      <w:bookmarkEnd w:id="295"/>
      <w:bookmarkEnd w:id="296"/>
      <w:bookmarkEnd w:id="297"/>
      <w:bookmarkEnd w:id="298"/>
      <w:bookmarkEnd w:id="299"/>
      <w:bookmarkEnd w:id="300"/>
      <w:bookmarkEnd w:id="301"/>
      <w:bookmarkEnd w:id="302"/>
    </w:p>
    <w:p w14:paraId="369E0445">
      <w:pPr>
        <w:spacing w:line="360" w:lineRule="auto"/>
        <w:ind w:firstLine="420" w:firstLineChars="200"/>
        <w:outlineLvl w:val="2"/>
        <w:rPr>
          <w:rFonts w:ascii="宋体" w:hAnsi="宋体"/>
          <w:color w:val="auto"/>
          <w:szCs w:val="21"/>
        </w:rPr>
      </w:pPr>
      <w:r>
        <w:rPr>
          <w:rFonts w:ascii="宋体" w:hAnsi="宋体"/>
          <w:color w:val="auto"/>
          <w:szCs w:val="21"/>
        </w:rPr>
        <w:t>1</w:t>
      </w:r>
      <w:bookmarkStart w:id="303" w:name="_Toc304295521"/>
      <w:bookmarkStart w:id="304" w:name="_Toc318581155"/>
      <w:bookmarkStart w:id="305" w:name="_Toc300934943"/>
      <w:bookmarkStart w:id="306" w:name="_Toc303539100"/>
      <w:bookmarkStart w:id="307" w:name="_Toc312677986"/>
      <w:r>
        <w:rPr>
          <w:rFonts w:ascii="宋体" w:hAnsi="宋体"/>
          <w:color w:val="auto"/>
          <w:szCs w:val="21"/>
        </w:rPr>
        <w:t>.10.1 出入现场的权利</w:t>
      </w:r>
    </w:p>
    <w:p w14:paraId="5F4BE261">
      <w:pPr>
        <w:spacing w:line="360" w:lineRule="auto"/>
        <w:ind w:firstLine="420" w:firstLineChars="200"/>
        <w:rPr>
          <w:rFonts w:ascii="宋体" w:hAnsi="宋体"/>
          <w:color w:val="auto"/>
          <w:szCs w:val="21"/>
          <w:u w:val="single"/>
        </w:rPr>
      </w:pPr>
      <w:r>
        <w:rPr>
          <w:rFonts w:ascii="宋体" w:hAnsi="宋体"/>
          <w:color w:val="auto"/>
          <w:szCs w:val="21"/>
        </w:rPr>
        <w:t>关于出入现场的权利的约定：</w:t>
      </w:r>
      <w:r>
        <w:rPr>
          <w:rStyle w:val="50"/>
          <w:rFonts w:hint="eastAsia" w:ascii="宋体" w:hAnsi="宋体" w:eastAsia="宋体"/>
          <w:color w:val="auto"/>
          <w:u w:val="single"/>
        </w:rPr>
        <w:t>由承包人按发包人要求负责取得出入施工现场所需的批准手续和全部权利，以及取得因施工所需修建道路、桥梁以及其他基础设施的权利，并承担相关手续费用和建设费用，与施工无关的人员需出入现场须经承发包双方同意</w:t>
      </w:r>
      <w:r>
        <w:rPr>
          <w:rFonts w:ascii="宋体" w:hAnsi="宋体"/>
          <w:color w:val="auto"/>
          <w:szCs w:val="21"/>
          <w:u w:val="single"/>
        </w:rPr>
        <w:t>。</w:t>
      </w:r>
    </w:p>
    <w:bookmarkEnd w:id="303"/>
    <w:bookmarkEnd w:id="304"/>
    <w:bookmarkEnd w:id="305"/>
    <w:bookmarkEnd w:id="306"/>
    <w:bookmarkEnd w:id="307"/>
    <w:p w14:paraId="37E84289">
      <w:pPr>
        <w:spacing w:line="360" w:lineRule="auto"/>
        <w:ind w:firstLine="420" w:firstLineChars="200"/>
        <w:jc w:val="left"/>
        <w:outlineLvl w:val="2"/>
        <w:rPr>
          <w:rFonts w:ascii="宋体" w:hAnsi="宋体"/>
          <w:color w:val="auto"/>
          <w:szCs w:val="21"/>
        </w:rPr>
      </w:pPr>
      <w:r>
        <w:rPr>
          <w:rFonts w:ascii="宋体" w:hAnsi="宋体"/>
          <w:color w:val="auto"/>
          <w:szCs w:val="21"/>
        </w:rPr>
        <w:t>1</w:t>
      </w:r>
      <w:bookmarkStart w:id="308" w:name="_Toc312677987"/>
      <w:bookmarkStart w:id="309" w:name="_Toc304295522"/>
      <w:bookmarkStart w:id="310" w:name="_Toc318581156"/>
      <w:bookmarkStart w:id="311" w:name="_Toc303539101"/>
      <w:bookmarkStart w:id="312" w:name="_Toc300934944"/>
      <w:r>
        <w:rPr>
          <w:rFonts w:ascii="宋体" w:hAnsi="宋体"/>
          <w:color w:val="auto"/>
          <w:szCs w:val="21"/>
        </w:rPr>
        <w:t>.10.3 场内交通</w:t>
      </w:r>
    </w:p>
    <w:p w14:paraId="2958F7E6">
      <w:pPr>
        <w:spacing w:line="360" w:lineRule="auto"/>
        <w:ind w:firstLine="420" w:firstLineChars="200"/>
        <w:jc w:val="left"/>
        <w:rPr>
          <w:rFonts w:ascii="宋体" w:hAnsi="宋体"/>
          <w:color w:val="auto"/>
          <w:kern w:val="0"/>
          <w:szCs w:val="21"/>
        </w:rPr>
      </w:pPr>
      <w:r>
        <w:rPr>
          <w:rFonts w:ascii="宋体" w:hAnsi="宋体"/>
          <w:color w:val="auto"/>
          <w:kern w:val="0"/>
          <w:szCs w:val="21"/>
        </w:rPr>
        <w:t>关于场外交通和场内交通的边界的约定：</w:t>
      </w:r>
      <w:r>
        <w:rPr>
          <w:rFonts w:hint="eastAsia" w:ascii="宋体" w:hAnsi="宋体"/>
          <w:color w:val="auto"/>
          <w:szCs w:val="21"/>
          <w:u w:val="single"/>
        </w:rPr>
        <w:t xml:space="preserve">  </w:t>
      </w:r>
      <w:r>
        <w:rPr>
          <w:rStyle w:val="50"/>
          <w:rFonts w:hint="eastAsia" w:ascii="宋体" w:hAnsi="宋体" w:eastAsia="宋体"/>
          <w:color w:val="auto"/>
          <w:u w:val="single"/>
        </w:rPr>
        <w:t>按经批准的施工组织设计规定</w:t>
      </w:r>
      <w:r>
        <w:rPr>
          <w:rFonts w:hint="eastAsia" w:ascii="宋体" w:hAnsi="宋体"/>
          <w:color w:val="auto"/>
          <w:szCs w:val="21"/>
          <w:u w:val="single"/>
        </w:rPr>
        <w:t xml:space="preserve">      </w:t>
      </w:r>
      <w:r>
        <w:rPr>
          <w:rFonts w:ascii="宋体" w:hAnsi="宋体"/>
          <w:color w:val="auto"/>
          <w:szCs w:val="21"/>
        </w:rPr>
        <w:t>。</w:t>
      </w:r>
    </w:p>
    <w:p w14:paraId="12B026AB">
      <w:pPr>
        <w:spacing w:line="360" w:lineRule="auto"/>
        <w:ind w:firstLine="420" w:firstLineChars="200"/>
        <w:jc w:val="left"/>
        <w:rPr>
          <w:rFonts w:ascii="宋体" w:hAnsi="宋体"/>
          <w:color w:val="auto"/>
          <w:szCs w:val="21"/>
        </w:rPr>
      </w:pPr>
      <w:r>
        <w:rPr>
          <w:rFonts w:ascii="宋体" w:hAnsi="宋体"/>
          <w:color w:val="auto"/>
          <w:szCs w:val="21"/>
        </w:rPr>
        <w:t>关于发包人向承包人免费提供满足工程施工需要的场内道路和交通设施的约定：</w:t>
      </w:r>
      <w:bookmarkEnd w:id="308"/>
      <w:bookmarkEnd w:id="309"/>
      <w:bookmarkEnd w:id="310"/>
      <w:bookmarkEnd w:id="311"/>
      <w:bookmarkEnd w:id="312"/>
      <w:bookmarkStart w:id="313" w:name="_Toc318581157"/>
      <w:r>
        <w:rPr>
          <w:rStyle w:val="50"/>
          <w:rFonts w:hint="eastAsia" w:ascii="宋体" w:hAnsi="宋体" w:eastAsia="宋体"/>
          <w:color w:val="auto"/>
          <w:u w:val="single"/>
        </w:rPr>
        <w:t>按经批准的施工组织设计规定，工程竣工后承包人须恢复，施工现场内临时道路由承包人负责建设并承担相关费用</w:t>
      </w:r>
      <w:r>
        <w:rPr>
          <w:rFonts w:ascii="宋体" w:hAnsi="宋体"/>
          <w:color w:val="auto"/>
          <w:szCs w:val="21"/>
          <w:u w:val="single"/>
        </w:rPr>
        <w:t>。</w:t>
      </w:r>
    </w:p>
    <w:p w14:paraId="07ECF467">
      <w:pPr>
        <w:spacing w:line="360" w:lineRule="auto"/>
        <w:ind w:firstLine="420" w:firstLineChars="200"/>
        <w:jc w:val="left"/>
        <w:outlineLvl w:val="2"/>
        <w:rPr>
          <w:rFonts w:ascii="宋体" w:hAnsi="宋体"/>
          <w:color w:val="auto"/>
          <w:szCs w:val="21"/>
        </w:rPr>
      </w:pPr>
      <w:r>
        <w:rPr>
          <w:rFonts w:ascii="宋体" w:hAnsi="宋体"/>
          <w:color w:val="auto"/>
          <w:szCs w:val="21"/>
        </w:rPr>
        <w:t>1.10.4超大件和超重件的运输</w:t>
      </w:r>
    </w:p>
    <w:p w14:paraId="737B9175">
      <w:pPr>
        <w:spacing w:line="360" w:lineRule="auto"/>
        <w:ind w:firstLine="420" w:firstLineChars="200"/>
        <w:jc w:val="left"/>
        <w:rPr>
          <w:rFonts w:ascii="宋体" w:hAnsi="宋体"/>
          <w:color w:val="auto"/>
          <w:szCs w:val="21"/>
          <w:u w:val="single"/>
        </w:rPr>
      </w:pPr>
      <w:r>
        <w:rPr>
          <w:rFonts w:ascii="宋体" w:hAnsi="宋体"/>
          <w:color w:val="auto"/>
          <w:szCs w:val="21"/>
        </w:rPr>
        <w:t>运输超大件或超重件所需的道路和桥梁临时加固改造费用和其他有关费用由</w:t>
      </w:r>
      <w:r>
        <w:rPr>
          <w:rStyle w:val="50"/>
          <w:rFonts w:hint="eastAsia" w:ascii="宋体" w:hAnsi="宋体" w:eastAsia="宋体"/>
          <w:color w:val="auto"/>
          <w:u w:val="single"/>
        </w:rPr>
        <w:t>承包人</w:t>
      </w:r>
      <w:r>
        <w:rPr>
          <w:rFonts w:ascii="宋体" w:hAnsi="宋体"/>
          <w:color w:val="auto"/>
          <w:szCs w:val="21"/>
        </w:rPr>
        <w:t>承担。</w:t>
      </w:r>
    </w:p>
    <w:bookmarkEnd w:id="313"/>
    <w:p w14:paraId="54527668">
      <w:pPr>
        <w:keepNext/>
        <w:keepLines/>
        <w:spacing w:before="260" w:after="260" w:line="416" w:lineRule="auto"/>
        <w:outlineLvl w:val="1"/>
        <w:rPr>
          <w:rFonts w:ascii="宋体" w:hAnsi="宋体"/>
          <w:b/>
          <w:bCs/>
          <w:color w:val="auto"/>
          <w:sz w:val="32"/>
          <w:szCs w:val="32"/>
        </w:rPr>
      </w:pPr>
      <w:bookmarkStart w:id="314" w:name="_Toc495673378"/>
      <w:bookmarkStart w:id="315" w:name="_Toc389065266"/>
      <w:bookmarkStart w:id="316" w:name="_Toc508379713"/>
      <w:bookmarkStart w:id="317" w:name="_Toc373227700"/>
      <w:bookmarkStart w:id="318" w:name="_Toc407135202"/>
      <w:bookmarkStart w:id="319" w:name="_Toc373478347"/>
      <w:bookmarkStart w:id="320" w:name="_Toc86935863"/>
      <w:bookmarkStart w:id="321" w:name="_Toc14484"/>
      <w:bookmarkStart w:id="322" w:name="_Toc1674"/>
      <w:r>
        <w:rPr>
          <w:rFonts w:ascii="宋体" w:hAnsi="宋体"/>
          <w:b/>
          <w:bCs/>
          <w:color w:val="auto"/>
          <w:sz w:val="32"/>
          <w:szCs w:val="32"/>
        </w:rPr>
        <w:t>1.11 知识产权</w:t>
      </w:r>
      <w:bookmarkEnd w:id="314"/>
      <w:bookmarkEnd w:id="315"/>
      <w:bookmarkEnd w:id="316"/>
      <w:bookmarkEnd w:id="317"/>
      <w:bookmarkEnd w:id="318"/>
      <w:bookmarkEnd w:id="319"/>
      <w:bookmarkEnd w:id="320"/>
      <w:bookmarkEnd w:id="321"/>
      <w:bookmarkEnd w:id="322"/>
    </w:p>
    <w:p w14:paraId="624AE176">
      <w:pPr>
        <w:spacing w:line="360" w:lineRule="auto"/>
        <w:ind w:firstLine="420" w:firstLineChars="200"/>
        <w:rPr>
          <w:rFonts w:ascii="宋体" w:hAnsi="宋体"/>
          <w:color w:val="auto"/>
          <w:szCs w:val="21"/>
        </w:rPr>
      </w:pPr>
      <w:r>
        <w:rPr>
          <w:rFonts w:ascii="宋体" w:hAnsi="宋体"/>
          <w:color w:val="auto"/>
          <w:szCs w:val="21"/>
        </w:rPr>
        <w:t>1.11.1关于发包人提供给承包人的图纸、发包人为实施工程自行编制或委托编制的技术规范以及反映发包人关于合同要求或其他类似性质的文件的著作权的归属</w:t>
      </w:r>
      <w:r>
        <w:rPr>
          <w:rFonts w:hint="eastAsia" w:ascii="宋体" w:hAnsi="宋体"/>
          <w:color w:val="auto"/>
          <w:szCs w:val="21"/>
        </w:rPr>
        <w:t>:</w:t>
      </w:r>
      <w:r>
        <w:rPr>
          <w:rFonts w:hint="eastAsia" w:ascii="宋体" w:hAnsi="宋体"/>
          <w:color w:val="auto"/>
          <w:szCs w:val="21"/>
          <w:u w:val="single"/>
        </w:rPr>
        <w:t xml:space="preserve">       </w:t>
      </w:r>
      <w:r>
        <w:rPr>
          <w:rStyle w:val="50"/>
          <w:rFonts w:hint="eastAsia" w:ascii="宋体" w:hAnsi="宋体" w:eastAsia="宋体"/>
          <w:color w:val="auto"/>
          <w:u w:val="single"/>
        </w:rPr>
        <w:t>发包人</w:t>
      </w:r>
      <w:r>
        <w:rPr>
          <w:rFonts w:hint="eastAsia" w:ascii="宋体" w:hAnsi="宋体"/>
          <w:color w:val="auto"/>
          <w:szCs w:val="21"/>
          <w:u w:val="single"/>
        </w:rPr>
        <w:t xml:space="preserve">       </w:t>
      </w:r>
      <w:r>
        <w:rPr>
          <w:rFonts w:ascii="宋体" w:hAnsi="宋体"/>
          <w:color w:val="auto"/>
          <w:szCs w:val="21"/>
        </w:rPr>
        <w:t>。</w:t>
      </w:r>
    </w:p>
    <w:p w14:paraId="14116129">
      <w:pPr>
        <w:spacing w:line="360" w:lineRule="auto"/>
        <w:ind w:firstLine="420" w:firstLineChars="200"/>
        <w:rPr>
          <w:rFonts w:ascii="宋体" w:hAnsi="宋体"/>
          <w:color w:val="auto"/>
          <w:szCs w:val="21"/>
          <w:u w:val="single"/>
        </w:rPr>
      </w:pPr>
      <w:r>
        <w:rPr>
          <w:rFonts w:ascii="宋体" w:hAnsi="宋体"/>
          <w:color w:val="auto"/>
          <w:szCs w:val="21"/>
        </w:rPr>
        <w:t>关于发包人提供的上述文件的使用限制的要求：</w:t>
      </w:r>
      <w:r>
        <w:rPr>
          <w:rStyle w:val="50"/>
          <w:rFonts w:hint="eastAsia" w:ascii="宋体" w:hAnsi="宋体" w:eastAsia="宋体"/>
          <w:color w:val="auto"/>
          <w:u w:val="single"/>
        </w:rPr>
        <w:t>只能用于本项目，未经发包人同意不得向第三方提供图纸</w:t>
      </w:r>
      <w:r>
        <w:rPr>
          <w:rFonts w:ascii="宋体" w:hAnsi="宋体"/>
          <w:color w:val="auto"/>
          <w:szCs w:val="21"/>
          <w:u w:val="single"/>
        </w:rPr>
        <w:t>。</w:t>
      </w:r>
    </w:p>
    <w:p w14:paraId="0542DB8F">
      <w:pPr>
        <w:spacing w:line="360" w:lineRule="auto"/>
        <w:ind w:firstLine="420" w:firstLineChars="200"/>
        <w:rPr>
          <w:rFonts w:ascii="宋体" w:hAnsi="宋体"/>
          <w:color w:val="auto"/>
          <w:szCs w:val="21"/>
        </w:rPr>
      </w:pPr>
      <w:r>
        <w:rPr>
          <w:rFonts w:ascii="宋体" w:hAnsi="宋体"/>
          <w:color w:val="auto"/>
          <w:szCs w:val="21"/>
        </w:rPr>
        <w:t>1.11.2 关于承包人为实施工程所编制文件的著作权的归属：</w:t>
      </w:r>
      <w:r>
        <w:rPr>
          <w:rFonts w:hint="eastAsia" w:ascii="宋体" w:hAnsi="宋体"/>
          <w:color w:val="auto"/>
          <w:szCs w:val="21"/>
          <w:u w:val="single"/>
        </w:rPr>
        <w:t xml:space="preserve">       </w:t>
      </w:r>
      <w:r>
        <w:rPr>
          <w:rStyle w:val="50"/>
          <w:rFonts w:hint="eastAsia" w:ascii="宋体" w:hAnsi="宋体" w:eastAsia="宋体"/>
          <w:color w:val="auto"/>
          <w:u w:val="single"/>
        </w:rPr>
        <w:t>承包人、发包人</w:t>
      </w:r>
      <w:r>
        <w:rPr>
          <w:rFonts w:hint="eastAsia" w:ascii="宋体" w:hAnsi="宋体"/>
          <w:color w:val="auto"/>
          <w:szCs w:val="21"/>
          <w:u w:val="single"/>
        </w:rPr>
        <w:t xml:space="preserve">      </w:t>
      </w:r>
      <w:r>
        <w:rPr>
          <w:rFonts w:ascii="宋体" w:hAnsi="宋体"/>
          <w:color w:val="auto"/>
          <w:szCs w:val="21"/>
        </w:rPr>
        <w:t>。</w:t>
      </w:r>
    </w:p>
    <w:p w14:paraId="69410FB5">
      <w:pPr>
        <w:spacing w:line="360" w:lineRule="auto"/>
        <w:ind w:firstLine="420" w:firstLineChars="200"/>
        <w:rPr>
          <w:rFonts w:ascii="宋体" w:hAnsi="宋体"/>
          <w:color w:val="auto"/>
          <w:szCs w:val="21"/>
          <w:u w:val="single"/>
        </w:rPr>
      </w:pPr>
      <w:r>
        <w:rPr>
          <w:rFonts w:ascii="宋体" w:hAnsi="宋体"/>
          <w:color w:val="auto"/>
          <w:szCs w:val="21"/>
        </w:rPr>
        <w:t>关于承包人提供的上述文件的使用限制的要求：</w:t>
      </w:r>
      <w:r>
        <w:rPr>
          <w:rStyle w:val="50"/>
          <w:rFonts w:hint="eastAsia" w:ascii="宋体" w:hAnsi="宋体" w:eastAsia="宋体"/>
          <w:color w:val="auto"/>
          <w:u w:val="single"/>
        </w:rPr>
        <w:t>只能用于本工地施工、保修，未经承包人同意不得向第三方提供</w:t>
      </w:r>
      <w:r>
        <w:rPr>
          <w:rFonts w:ascii="宋体" w:hAnsi="宋体"/>
          <w:color w:val="auto"/>
          <w:szCs w:val="21"/>
          <w:u w:val="single"/>
        </w:rPr>
        <w:t>。</w:t>
      </w:r>
    </w:p>
    <w:p w14:paraId="4A288A07">
      <w:pPr>
        <w:spacing w:line="360" w:lineRule="auto"/>
        <w:ind w:firstLine="420" w:firstLineChars="200"/>
        <w:rPr>
          <w:rFonts w:ascii="宋体" w:hAnsi="宋体"/>
          <w:color w:val="auto"/>
          <w:szCs w:val="21"/>
          <w:u w:val="single"/>
        </w:rPr>
      </w:pPr>
      <w:r>
        <w:rPr>
          <w:rFonts w:ascii="宋体" w:hAnsi="宋体"/>
          <w:color w:val="auto"/>
          <w:szCs w:val="21"/>
        </w:rPr>
        <w:t>1.11.4 承包人在施工过程中所采用的专利、专有技术、技术秘密的使用费的承担方式：</w:t>
      </w:r>
      <w:r>
        <w:rPr>
          <w:rFonts w:hint="eastAsia" w:ascii="宋体" w:hAnsi="宋体"/>
          <w:color w:val="auto"/>
          <w:szCs w:val="21"/>
          <w:u w:val="single"/>
          <w:lang w:val="en-US" w:eastAsia="zh-CN"/>
        </w:rPr>
        <w:t xml:space="preserve"> </w:t>
      </w:r>
      <w:r>
        <w:rPr>
          <w:rStyle w:val="50"/>
          <w:rFonts w:hint="eastAsia" w:ascii="宋体" w:hAnsi="宋体" w:eastAsia="宋体"/>
          <w:color w:val="auto"/>
          <w:u w:val="single"/>
        </w:rPr>
        <w:t>承包人负责</w:t>
      </w:r>
      <w:r>
        <w:rPr>
          <w:rStyle w:val="50"/>
          <w:rFonts w:hint="eastAsia" w:ascii="宋体" w:hAnsi="宋体" w:eastAsia="宋体"/>
          <w:color w:val="auto"/>
          <w:u w:val="single"/>
          <w:lang w:val="en-US" w:eastAsia="zh-CN"/>
        </w:rPr>
        <w:t xml:space="preserve"> </w:t>
      </w:r>
      <w:r>
        <w:rPr>
          <w:rFonts w:ascii="宋体" w:hAnsi="宋体"/>
          <w:color w:val="auto"/>
          <w:kern w:val="0"/>
          <w:szCs w:val="21"/>
        </w:rPr>
        <w:t>。</w:t>
      </w:r>
    </w:p>
    <w:p w14:paraId="692EA568">
      <w:pPr>
        <w:keepNext/>
        <w:keepLines/>
        <w:spacing w:before="260" w:after="260" w:line="416" w:lineRule="auto"/>
        <w:outlineLvl w:val="1"/>
        <w:rPr>
          <w:rFonts w:ascii="宋体" w:hAnsi="宋体"/>
          <w:b/>
          <w:bCs/>
          <w:color w:val="auto"/>
          <w:sz w:val="32"/>
          <w:szCs w:val="32"/>
        </w:rPr>
      </w:pPr>
      <w:bookmarkStart w:id="323" w:name="_Toc495673379"/>
      <w:bookmarkStart w:id="324" w:name="_Toc86935864"/>
      <w:bookmarkStart w:id="325" w:name="_Toc373227701"/>
      <w:bookmarkStart w:id="326" w:name="_Toc407135203"/>
      <w:bookmarkStart w:id="327" w:name="_Toc373478348"/>
      <w:bookmarkStart w:id="328" w:name="_Toc389065267"/>
      <w:bookmarkStart w:id="329" w:name="_Toc508379714"/>
      <w:bookmarkStart w:id="330" w:name="_Toc15308"/>
      <w:bookmarkStart w:id="331" w:name="_Toc7357"/>
      <w:r>
        <w:rPr>
          <w:rFonts w:ascii="宋体" w:hAnsi="宋体"/>
          <w:b/>
          <w:bCs/>
          <w:color w:val="auto"/>
          <w:sz w:val="32"/>
          <w:szCs w:val="32"/>
        </w:rPr>
        <w:t>1.13工程量清单错误的修正</w:t>
      </w:r>
      <w:bookmarkEnd w:id="323"/>
      <w:bookmarkEnd w:id="324"/>
      <w:bookmarkEnd w:id="325"/>
      <w:bookmarkEnd w:id="326"/>
      <w:bookmarkEnd w:id="327"/>
      <w:bookmarkEnd w:id="328"/>
      <w:bookmarkEnd w:id="329"/>
      <w:bookmarkEnd w:id="330"/>
      <w:bookmarkEnd w:id="331"/>
    </w:p>
    <w:p w14:paraId="17A2D2CB">
      <w:pPr>
        <w:spacing w:line="360" w:lineRule="auto"/>
        <w:ind w:firstLine="420" w:firstLineChars="200"/>
        <w:rPr>
          <w:rFonts w:ascii="宋体" w:hAnsi="宋体"/>
          <w:color w:val="auto"/>
          <w:szCs w:val="21"/>
        </w:rPr>
      </w:pPr>
      <w:r>
        <w:rPr>
          <w:rFonts w:ascii="宋体" w:hAnsi="宋体"/>
          <w:color w:val="auto"/>
          <w:szCs w:val="21"/>
        </w:rPr>
        <w:t>出现工程量清单工程量偏差时，是否调整合同价格：</w:t>
      </w:r>
      <w:r>
        <w:rPr>
          <w:rFonts w:hint="eastAsia" w:ascii="宋体" w:hAnsi="宋体"/>
          <w:color w:val="auto"/>
          <w:szCs w:val="21"/>
          <w:u w:val="single"/>
        </w:rPr>
        <w:t xml:space="preserve">                       </w:t>
      </w:r>
      <w:r>
        <w:rPr>
          <w:rFonts w:ascii="宋体" w:hAnsi="宋体"/>
          <w:color w:val="auto"/>
          <w:kern w:val="0"/>
          <w:szCs w:val="21"/>
        </w:rPr>
        <w:t>。</w:t>
      </w:r>
    </w:p>
    <w:p w14:paraId="66CDB3BF">
      <w:pPr>
        <w:pStyle w:val="292"/>
        <w:widowControl/>
        <w:spacing w:line="400" w:lineRule="exact"/>
        <w:ind w:firstLine="424" w:firstLineChars="202"/>
        <w:rPr>
          <w:rFonts w:ascii="宋体" w:hAnsi="宋体" w:eastAsia="宋体" w:cs="Times New Roman"/>
          <w:color w:val="auto"/>
          <w:kern w:val="2"/>
          <w:sz w:val="21"/>
          <w:szCs w:val="21"/>
          <w:lang w:val="en-US" w:eastAsia="zh-CN" w:bidi="ar-SA"/>
        </w:rPr>
      </w:pPr>
      <w:r>
        <w:rPr>
          <w:rFonts w:ascii="宋体" w:hAnsi="宋体" w:eastAsia="宋体" w:cs="Times New Roman"/>
          <w:color w:val="auto"/>
          <w:kern w:val="2"/>
          <w:sz w:val="21"/>
          <w:szCs w:val="21"/>
          <w:lang w:val="en-US" w:eastAsia="zh-CN" w:bidi="ar-SA"/>
        </w:rPr>
        <w:t>允许调整合同价格的工程量偏差范围及其调整办法：</w:t>
      </w:r>
    </w:p>
    <w:p w14:paraId="535E3E02">
      <w:pPr>
        <w:pStyle w:val="292"/>
        <w:widowControl/>
        <w:spacing w:line="400" w:lineRule="exact"/>
        <w:ind w:firstLine="424" w:firstLineChars="202"/>
        <w:rPr>
          <w:rStyle w:val="50"/>
          <w:rFonts w:hint="eastAsia" w:ascii="宋体" w:hAnsi="宋体" w:eastAsia="宋体"/>
          <w:color w:val="auto"/>
          <w:kern w:val="0"/>
        </w:rPr>
      </w:pPr>
      <w:r>
        <w:rPr>
          <w:rStyle w:val="50"/>
          <w:rFonts w:hint="eastAsia" w:ascii="宋体" w:hAnsi="宋体" w:eastAsia="宋体"/>
          <w:color w:val="auto"/>
          <w:kern w:val="0"/>
        </w:rPr>
        <w:sym w:font="Wingdings" w:char="00A8"/>
      </w:r>
      <w:r>
        <w:rPr>
          <w:rStyle w:val="50"/>
          <w:rFonts w:hint="eastAsia" w:ascii="宋体" w:hAnsi="宋体" w:eastAsia="宋体"/>
          <w:color w:val="auto"/>
          <w:kern w:val="0"/>
        </w:rPr>
        <w:t>除严重不平衡报价外，无论分部分项工程量清单项目中的工程量变化多少均不调整。</w:t>
      </w:r>
    </w:p>
    <w:p w14:paraId="58DC8366">
      <w:pPr>
        <w:pStyle w:val="292"/>
        <w:widowControl/>
        <w:spacing w:line="400" w:lineRule="exact"/>
        <w:ind w:firstLine="424" w:firstLineChars="202"/>
        <w:rPr>
          <w:rStyle w:val="50"/>
          <w:rFonts w:hint="eastAsia" w:ascii="宋体" w:hAnsi="宋体" w:eastAsia="宋体"/>
          <w:color w:val="auto"/>
          <w:kern w:val="0"/>
        </w:rPr>
      </w:pPr>
      <w:r>
        <w:rPr>
          <w:rStyle w:val="50"/>
          <w:rFonts w:hint="eastAsia" w:ascii="宋体" w:hAnsi="宋体" w:eastAsia="宋体"/>
          <w:color w:val="auto"/>
          <w:kern w:val="0"/>
        </w:rPr>
        <w:sym w:font="Wingdings" w:char="00A8"/>
      </w:r>
      <w:r>
        <w:rPr>
          <w:rStyle w:val="50"/>
          <w:rFonts w:hint="eastAsia" w:ascii="宋体" w:hAnsi="宋体" w:eastAsia="宋体"/>
          <w:color w:val="auto"/>
          <w:kern w:val="0"/>
        </w:rPr>
        <w:t>承包人实际完成的某单项清单项目工程量与招标工程量清单工程量偏差超过15%且该单项清单造价超过合同总价0%以上的，超过后增加部分工程量综合单价按以下方法调整：按变更时最新出台计价规则计算出的市场价格（当期信息价）×中标下浮率×85%予以调低。当工程量减少15%以上时，减少后剩余部分的工程量的综合单价应按中标单价×115%予以调高。</w:t>
      </w:r>
    </w:p>
    <w:p w14:paraId="23474150">
      <w:pPr>
        <w:pStyle w:val="292"/>
        <w:widowControl/>
        <w:spacing w:line="400" w:lineRule="exact"/>
        <w:ind w:firstLine="424" w:firstLineChars="202"/>
        <w:rPr>
          <w:rStyle w:val="50"/>
          <w:rFonts w:hint="eastAsia" w:ascii="宋体" w:hAnsi="宋体" w:eastAsia="宋体"/>
          <w:color w:val="auto"/>
          <w:kern w:val="0"/>
        </w:rPr>
      </w:pPr>
      <w:r>
        <w:rPr>
          <w:rStyle w:val="50"/>
          <w:rFonts w:hint="eastAsia" w:ascii="宋体" w:hAnsi="宋体" w:eastAsia="宋体"/>
          <w:color w:val="auto"/>
          <w:kern w:val="0"/>
        </w:rPr>
        <w:t>关于招标工程量清单缺项、漏项综合单价按以下方法调整：按变更时最新出台计价规则计算出的市场价格（当期信息价）×中标下浮率。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p>
    <w:p w14:paraId="2EE99282">
      <w:pPr>
        <w:pStyle w:val="292"/>
        <w:widowControl/>
        <w:spacing w:line="400" w:lineRule="exact"/>
        <w:ind w:firstLine="424" w:firstLineChars="202"/>
        <w:rPr>
          <w:rStyle w:val="50"/>
          <w:rFonts w:hint="eastAsia" w:ascii="宋体" w:hAnsi="宋体" w:eastAsia="宋体"/>
          <w:color w:val="auto"/>
          <w:kern w:val="0"/>
          <w:highlight w:val="red"/>
        </w:rPr>
      </w:pPr>
      <w:r>
        <w:rPr>
          <w:rStyle w:val="50"/>
          <w:rFonts w:hint="eastAsia" w:ascii="宋体" w:hAnsi="宋体" w:eastAsia="宋体"/>
          <w:color w:val="auto"/>
          <w:kern w:val="0"/>
        </w:rPr>
        <w:t>同时，调整工程价款的，必须按贺州市和平桂区有关规定办理报批。</w:t>
      </w:r>
    </w:p>
    <w:p w14:paraId="0CFAAAC5">
      <w:pPr>
        <w:keepNext/>
        <w:keepLines/>
        <w:spacing w:before="260" w:after="260" w:line="416" w:lineRule="auto"/>
        <w:outlineLvl w:val="0"/>
        <w:rPr>
          <w:rFonts w:ascii="宋体" w:hAnsi="宋体"/>
          <w:b/>
          <w:bCs/>
          <w:color w:val="auto"/>
          <w:sz w:val="32"/>
          <w:szCs w:val="32"/>
        </w:rPr>
      </w:pPr>
      <w:bookmarkStart w:id="332" w:name="_Toc508379715"/>
      <w:bookmarkStart w:id="333" w:name="_Toc351203634"/>
      <w:bookmarkStart w:id="334" w:name="_Toc86935865"/>
      <w:bookmarkStart w:id="335" w:name="_Toc407135204"/>
      <w:bookmarkStart w:id="336" w:name="_Toc495673380"/>
      <w:bookmarkStart w:id="337" w:name="_Toc373227702"/>
      <w:bookmarkStart w:id="338" w:name="_Toc389065268"/>
      <w:bookmarkStart w:id="339" w:name="_Toc373478349"/>
      <w:bookmarkStart w:id="340" w:name="_Toc28738"/>
      <w:bookmarkStart w:id="341" w:name="_Toc19995"/>
      <w:bookmarkStart w:id="342" w:name="_Toc5148"/>
      <w:bookmarkStart w:id="343" w:name="_Toc22082"/>
      <w:r>
        <w:rPr>
          <w:rFonts w:ascii="宋体" w:hAnsi="宋体"/>
          <w:b/>
          <w:bCs/>
          <w:color w:val="auto"/>
          <w:sz w:val="32"/>
          <w:szCs w:val="32"/>
        </w:rPr>
        <w:t>2</w:t>
      </w:r>
      <w:bookmarkStart w:id="344" w:name="_Toc296944496"/>
      <w:bookmarkStart w:id="345" w:name="_Toc292559362"/>
      <w:bookmarkStart w:id="346" w:name="_Toc296347156"/>
      <w:bookmarkStart w:id="347" w:name="_Toc296346658"/>
      <w:bookmarkStart w:id="348" w:name="_Toc296891197"/>
      <w:bookmarkStart w:id="349" w:name="_Toc296890985"/>
      <w:bookmarkStart w:id="350" w:name="_Toc296503157"/>
      <w:bookmarkStart w:id="351" w:name="_Toc297048343"/>
      <w:bookmarkStart w:id="352" w:name="_Toc297120457"/>
      <w:bookmarkStart w:id="353" w:name="_Toc292559867"/>
      <w:r>
        <w:rPr>
          <w:rFonts w:ascii="宋体" w:hAnsi="宋体"/>
          <w:b/>
          <w:bCs/>
          <w:color w:val="auto"/>
          <w:sz w:val="32"/>
          <w:szCs w:val="32"/>
        </w:rPr>
        <w:t>. 发包人</w:t>
      </w:r>
      <w:bookmarkEnd w:id="332"/>
      <w:bookmarkEnd w:id="333"/>
      <w:bookmarkEnd w:id="334"/>
      <w:bookmarkEnd w:id="335"/>
      <w:bookmarkEnd w:id="336"/>
      <w:bookmarkEnd w:id="337"/>
      <w:bookmarkEnd w:id="338"/>
      <w:bookmarkEnd w:id="339"/>
      <w:bookmarkEnd w:id="340"/>
      <w:bookmarkEnd w:id="341"/>
      <w:bookmarkEnd w:id="342"/>
      <w:bookmarkEnd w:id="343"/>
    </w:p>
    <w:bookmarkEnd w:id="344"/>
    <w:bookmarkEnd w:id="345"/>
    <w:bookmarkEnd w:id="346"/>
    <w:bookmarkEnd w:id="347"/>
    <w:bookmarkEnd w:id="348"/>
    <w:bookmarkEnd w:id="349"/>
    <w:bookmarkEnd w:id="350"/>
    <w:bookmarkEnd w:id="351"/>
    <w:bookmarkEnd w:id="352"/>
    <w:bookmarkEnd w:id="353"/>
    <w:p w14:paraId="5D3987E1">
      <w:pPr>
        <w:keepNext/>
        <w:keepLines/>
        <w:spacing w:before="260" w:after="260" w:line="416" w:lineRule="auto"/>
        <w:outlineLvl w:val="1"/>
        <w:rPr>
          <w:rFonts w:ascii="宋体" w:hAnsi="宋体"/>
          <w:b/>
          <w:bCs/>
          <w:color w:val="auto"/>
          <w:sz w:val="32"/>
          <w:szCs w:val="32"/>
        </w:rPr>
      </w:pPr>
      <w:bookmarkStart w:id="354" w:name="_Toc389065269"/>
      <w:bookmarkStart w:id="355" w:name="_Toc373227703"/>
      <w:bookmarkStart w:id="356" w:name="_Toc407135205"/>
      <w:bookmarkStart w:id="357" w:name="_Toc373478350"/>
      <w:bookmarkStart w:id="358" w:name="_Toc508379716"/>
      <w:bookmarkStart w:id="359" w:name="_Toc495673381"/>
      <w:bookmarkStart w:id="360" w:name="_Toc86935866"/>
      <w:bookmarkStart w:id="361" w:name="_Toc11058"/>
      <w:bookmarkStart w:id="362" w:name="_Toc9607"/>
      <w:r>
        <w:rPr>
          <w:rFonts w:ascii="宋体" w:hAnsi="宋体"/>
          <w:b/>
          <w:bCs/>
          <w:color w:val="auto"/>
          <w:sz w:val="32"/>
          <w:szCs w:val="32"/>
        </w:rPr>
        <w:t>2.2 发包人代表</w:t>
      </w:r>
      <w:bookmarkEnd w:id="354"/>
      <w:bookmarkEnd w:id="355"/>
      <w:bookmarkEnd w:id="356"/>
      <w:bookmarkEnd w:id="357"/>
      <w:bookmarkEnd w:id="358"/>
      <w:bookmarkEnd w:id="359"/>
      <w:bookmarkEnd w:id="360"/>
      <w:bookmarkEnd w:id="361"/>
      <w:bookmarkEnd w:id="362"/>
    </w:p>
    <w:p w14:paraId="0673B436">
      <w:pPr>
        <w:spacing w:line="360" w:lineRule="auto"/>
        <w:ind w:firstLine="420" w:firstLineChars="200"/>
        <w:rPr>
          <w:rFonts w:ascii="宋体" w:hAnsi="宋体"/>
          <w:color w:val="auto"/>
          <w:szCs w:val="21"/>
        </w:rPr>
      </w:pPr>
      <w:r>
        <w:rPr>
          <w:rFonts w:ascii="宋体" w:hAnsi="宋体"/>
          <w:color w:val="auto"/>
          <w:szCs w:val="21"/>
        </w:rPr>
        <w:t>姓    名：</w:t>
      </w:r>
      <w:r>
        <w:rPr>
          <w:rFonts w:hint="eastAsia" w:ascii="宋体" w:hAnsi="宋体"/>
          <w:color w:val="auto"/>
          <w:szCs w:val="21"/>
          <w:u w:val="single"/>
        </w:rPr>
        <w:t xml:space="preserve">                      </w:t>
      </w:r>
      <w:r>
        <w:rPr>
          <w:rFonts w:ascii="宋体" w:hAnsi="宋体"/>
          <w:color w:val="auto"/>
          <w:szCs w:val="21"/>
        </w:rPr>
        <w:t>；</w:t>
      </w:r>
    </w:p>
    <w:p w14:paraId="39A1BAC9">
      <w:pPr>
        <w:spacing w:line="360" w:lineRule="auto"/>
        <w:ind w:firstLine="420" w:firstLineChars="200"/>
        <w:rPr>
          <w:rFonts w:ascii="宋体" w:hAnsi="宋体"/>
          <w:color w:val="auto"/>
          <w:szCs w:val="21"/>
        </w:rPr>
      </w:pPr>
      <w:r>
        <w:rPr>
          <w:rFonts w:ascii="宋体" w:hAnsi="宋体"/>
          <w:color w:val="auto"/>
          <w:szCs w:val="21"/>
        </w:rPr>
        <w:t>身份证号：</w:t>
      </w:r>
      <w:r>
        <w:rPr>
          <w:rFonts w:hint="eastAsia" w:ascii="宋体" w:hAnsi="宋体"/>
          <w:color w:val="auto"/>
          <w:szCs w:val="21"/>
          <w:u w:val="single"/>
        </w:rPr>
        <w:t xml:space="preserve">                      </w:t>
      </w:r>
      <w:r>
        <w:rPr>
          <w:rFonts w:ascii="宋体" w:hAnsi="宋体"/>
          <w:color w:val="auto"/>
          <w:szCs w:val="21"/>
        </w:rPr>
        <w:t>；</w:t>
      </w:r>
    </w:p>
    <w:p w14:paraId="3BA3DB39">
      <w:pPr>
        <w:spacing w:line="360" w:lineRule="auto"/>
        <w:ind w:firstLine="420" w:firstLineChars="200"/>
        <w:rPr>
          <w:rFonts w:ascii="宋体" w:hAnsi="宋体"/>
          <w:color w:val="auto"/>
          <w:szCs w:val="21"/>
        </w:rPr>
      </w:pPr>
      <w:r>
        <w:rPr>
          <w:rFonts w:ascii="宋体" w:hAnsi="宋体"/>
          <w:color w:val="auto"/>
          <w:szCs w:val="21"/>
        </w:rPr>
        <w:t>职    务：</w:t>
      </w:r>
      <w:r>
        <w:rPr>
          <w:rFonts w:hint="eastAsia" w:ascii="宋体" w:hAnsi="宋体"/>
          <w:color w:val="auto"/>
          <w:szCs w:val="21"/>
          <w:u w:val="single"/>
        </w:rPr>
        <w:t xml:space="preserve">                      </w:t>
      </w:r>
      <w:r>
        <w:rPr>
          <w:rFonts w:ascii="宋体" w:hAnsi="宋体"/>
          <w:color w:val="auto"/>
          <w:szCs w:val="21"/>
        </w:rPr>
        <w:t>；</w:t>
      </w:r>
    </w:p>
    <w:p w14:paraId="438BC086">
      <w:pPr>
        <w:spacing w:line="360" w:lineRule="auto"/>
        <w:ind w:firstLine="420" w:firstLineChars="200"/>
        <w:rPr>
          <w:rFonts w:ascii="宋体" w:hAnsi="宋体"/>
          <w:color w:val="auto"/>
          <w:szCs w:val="21"/>
        </w:rPr>
      </w:pPr>
      <w:r>
        <w:rPr>
          <w:rFonts w:ascii="宋体" w:hAnsi="宋体"/>
          <w:color w:val="auto"/>
          <w:szCs w:val="21"/>
        </w:rPr>
        <w:t>联系电话：</w:t>
      </w:r>
      <w:r>
        <w:rPr>
          <w:rFonts w:hint="eastAsia" w:ascii="宋体" w:hAnsi="宋体"/>
          <w:color w:val="auto"/>
          <w:szCs w:val="21"/>
          <w:u w:val="single"/>
        </w:rPr>
        <w:t xml:space="preserve">                      </w:t>
      </w:r>
      <w:r>
        <w:rPr>
          <w:rFonts w:ascii="宋体" w:hAnsi="宋体"/>
          <w:color w:val="auto"/>
          <w:szCs w:val="21"/>
        </w:rPr>
        <w:t>；</w:t>
      </w:r>
    </w:p>
    <w:p w14:paraId="5EAE5E90">
      <w:pPr>
        <w:spacing w:line="360" w:lineRule="auto"/>
        <w:ind w:firstLine="420" w:firstLineChars="200"/>
        <w:rPr>
          <w:rFonts w:ascii="宋体" w:hAnsi="宋体"/>
          <w:color w:val="auto"/>
          <w:szCs w:val="21"/>
        </w:rPr>
      </w:pPr>
      <w:r>
        <w:rPr>
          <w:rFonts w:ascii="宋体" w:hAnsi="宋体"/>
          <w:color w:val="auto"/>
          <w:szCs w:val="21"/>
        </w:rPr>
        <w:t>电子信箱：</w:t>
      </w:r>
      <w:r>
        <w:rPr>
          <w:rFonts w:hint="eastAsia" w:ascii="宋体" w:hAnsi="宋体"/>
          <w:color w:val="auto"/>
          <w:szCs w:val="21"/>
          <w:u w:val="single"/>
        </w:rPr>
        <w:t xml:space="preserve">                      </w:t>
      </w:r>
      <w:r>
        <w:rPr>
          <w:rFonts w:ascii="宋体" w:hAnsi="宋体"/>
          <w:color w:val="auto"/>
          <w:szCs w:val="21"/>
        </w:rPr>
        <w:t>；</w:t>
      </w:r>
    </w:p>
    <w:p w14:paraId="2E51B2DF">
      <w:pPr>
        <w:spacing w:line="360" w:lineRule="auto"/>
        <w:ind w:firstLine="420" w:firstLineChars="200"/>
        <w:rPr>
          <w:rFonts w:ascii="宋体" w:hAnsi="宋体"/>
          <w:color w:val="auto"/>
          <w:szCs w:val="21"/>
        </w:rPr>
      </w:pPr>
      <w:r>
        <w:rPr>
          <w:rFonts w:ascii="宋体" w:hAnsi="宋体"/>
          <w:color w:val="auto"/>
          <w:szCs w:val="21"/>
        </w:rPr>
        <w:t>通信地址：</w:t>
      </w:r>
      <w:r>
        <w:rPr>
          <w:rFonts w:hint="eastAsia" w:ascii="宋体" w:hAnsi="宋体"/>
          <w:color w:val="auto"/>
          <w:szCs w:val="21"/>
          <w:u w:val="single"/>
        </w:rPr>
        <w:t xml:space="preserve">                      </w:t>
      </w:r>
      <w:r>
        <w:rPr>
          <w:rFonts w:ascii="宋体" w:hAnsi="宋体"/>
          <w:color w:val="auto"/>
          <w:szCs w:val="21"/>
        </w:rPr>
        <w:t>。</w:t>
      </w:r>
    </w:p>
    <w:p w14:paraId="0384C5DA">
      <w:pPr>
        <w:spacing w:line="360" w:lineRule="auto"/>
        <w:ind w:firstLine="420" w:firstLineChars="200"/>
        <w:rPr>
          <w:rFonts w:ascii="宋体" w:hAnsi="宋体"/>
          <w:color w:val="auto"/>
          <w:szCs w:val="21"/>
          <w:u w:val="single"/>
        </w:rPr>
      </w:pPr>
      <w:r>
        <w:rPr>
          <w:rFonts w:ascii="宋体" w:hAnsi="宋体"/>
          <w:color w:val="auto"/>
          <w:szCs w:val="21"/>
        </w:rPr>
        <w:t>发包人对发包人代表的授权范围如下：</w:t>
      </w:r>
      <w:r>
        <w:rPr>
          <w:rFonts w:hint="eastAsia" w:ascii="宋体" w:hAnsi="宋体"/>
          <w:color w:val="auto"/>
          <w:szCs w:val="21"/>
          <w:u w:val="single"/>
        </w:rPr>
        <w:t xml:space="preserve">                      。</w:t>
      </w:r>
    </w:p>
    <w:p w14:paraId="4C7534CD">
      <w:pPr>
        <w:keepNext/>
        <w:keepLines/>
        <w:spacing w:before="260" w:after="260" w:line="416" w:lineRule="auto"/>
        <w:outlineLvl w:val="1"/>
        <w:rPr>
          <w:rFonts w:ascii="宋体" w:hAnsi="宋体"/>
          <w:b/>
          <w:bCs/>
          <w:color w:val="auto"/>
          <w:sz w:val="32"/>
          <w:szCs w:val="32"/>
        </w:rPr>
      </w:pPr>
      <w:bookmarkStart w:id="363" w:name="_Toc373227704"/>
      <w:bookmarkStart w:id="364" w:name="_Toc508379717"/>
      <w:bookmarkStart w:id="365" w:name="_Toc373478351"/>
      <w:bookmarkStart w:id="366" w:name="_Toc495673382"/>
      <w:bookmarkStart w:id="367" w:name="_Toc407135206"/>
      <w:bookmarkStart w:id="368" w:name="_Toc86935867"/>
      <w:bookmarkStart w:id="369" w:name="_Toc389065270"/>
      <w:bookmarkStart w:id="370" w:name="_Toc29710"/>
      <w:bookmarkStart w:id="371" w:name="_Toc13225"/>
      <w:r>
        <w:rPr>
          <w:rFonts w:ascii="宋体" w:hAnsi="宋体"/>
          <w:b/>
          <w:bCs/>
          <w:color w:val="auto"/>
          <w:sz w:val="32"/>
          <w:szCs w:val="32"/>
        </w:rPr>
        <w:t>2.4 施工现场、施工条件和基础资料的提供</w:t>
      </w:r>
      <w:bookmarkEnd w:id="363"/>
      <w:bookmarkEnd w:id="364"/>
      <w:bookmarkEnd w:id="365"/>
      <w:bookmarkEnd w:id="366"/>
      <w:bookmarkEnd w:id="367"/>
      <w:bookmarkEnd w:id="368"/>
      <w:bookmarkEnd w:id="369"/>
      <w:bookmarkEnd w:id="370"/>
      <w:bookmarkEnd w:id="371"/>
    </w:p>
    <w:p w14:paraId="30B44AA0">
      <w:pPr>
        <w:spacing w:line="360" w:lineRule="auto"/>
        <w:ind w:firstLine="420" w:firstLineChars="200"/>
        <w:outlineLvl w:val="2"/>
        <w:rPr>
          <w:rFonts w:ascii="宋体" w:hAnsi="宋体"/>
          <w:color w:val="auto"/>
          <w:szCs w:val="21"/>
        </w:rPr>
      </w:pPr>
      <w:r>
        <w:rPr>
          <w:rFonts w:ascii="宋体" w:hAnsi="宋体"/>
          <w:color w:val="auto"/>
          <w:szCs w:val="21"/>
        </w:rPr>
        <w:t>2.4.1 提供施工现场</w:t>
      </w:r>
    </w:p>
    <w:p w14:paraId="0D83D580">
      <w:pPr>
        <w:spacing w:line="360" w:lineRule="auto"/>
        <w:ind w:firstLine="420" w:firstLineChars="200"/>
        <w:jc w:val="left"/>
        <w:rPr>
          <w:rFonts w:ascii="宋体" w:hAnsi="宋体"/>
          <w:color w:val="auto"/>
          <w:szCs w:val="21"/>
        </w:rPr>
      </w:pPr>
      <w:r>
        <w:rPr>
          <w:rFonts w:ascii="宋体" w:hAnsi="宋体"/>
          <w:color w:val="auto"/>
          <w:szCs w:val="21"/>
        </w:rPr>
        <w:t>关于发包人移交施工现场的期限要求：</w:t>
      </w:r>
      <w:r>
        <w:rPr>
          <w:rStyle w:val="50"/>
          <w:rFonts w:hint="eastAsia" w:ascii="宋体" w:hAnsi="宋体" w:eastAsia="宋体"/>
          <w:color w:val="auto"/>
          <w:u w:val="single"/>
        </w:rPr>
        <w:t xml:space="preserve">施工场地应当在监理人发出的开工通知中载明的开工日期前 </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 xml:space="preserve"> 天具备施工条件并移交给承包人</w:t>
      </w:r>
      <w:r>
        <w:rPr>
          <w:rFonts w:ascii="宋体" w:hAnsi="宋体"/>
          <w:color w:val="auto"/>
          <w:szCs w:val="21"/>
        </w:rPr>
        <w:t>。</w:t>
      </w:r>
    </w:p>
    <w:p w14:paraId="5AEC5426">
      <w:pPr>
        <w:spacing w:line="360" w:lineRule="auto"/>
        <w:ind w:firstLine="420" w:firstLineChars="200"/>
        <w:outlineLvl w:val="2"/>
        <w:rPr>
          <w:rFonts w:ascii="宋体" w:hAnsi="宋体"/>
          <w:color w:val="auto"/>
          <w:szCs w:val="21"/>
        </w:rPr>
      </w:pPr>
      <w:r>
        <w:rPr>
          <w:rFonts w:ascii="宋体" w:hAnsi="宋体"/>
          <w:color w:val="auto"/>
          <w:szCs w:val="21"/>
        </w:rPr>
        <w:t>2.4.2 提供施工条件</w:t>
      </w:r>
    </w:p>
    <w:p w14:paraId="5698E3AB">
      <w:pPr>
        <w:spacing w:line="360" w:lineRule="auto"/>
        <w:ind w:firstLine="420" w:firstLineChars="200"/>
        <w:rPr>
          <w:rFonts w:ascii="宋体" w:hAnsi="宋体"/>
          <w:color w:val="auto"/>
          <w:szCs w:val="21"/>
          <w:u w:val="single"/>
        </w:rPr>
      </w:pPr>
      <w:r>
        <w:rPr>
          <w:rFonts w:ascii="宋体" w:hAnsi="宋体"/>
          <w:color w:val="auto"/>
          <w:szCs w:val="21"/>
        </w:rPr>
        <w:t>关于发包人应负责提供施工所需要的条件，包括：</w:t>
      </w:r>
      <w:r>
        <w:rPr>
          <w:rStyle w:val="50"/>
          <w:rFonts w:hint="eastAsia" w:ascii="宋体" w:hAnsi="宋体" w:eastAsia="宋体"/>
          <w:color w:val="auto"/>
          <w:u w:val="single"/>
        </w:rPr>
        <w:t>①发包人最迟应当在移交施工场地的同时向承包人提供施工场地内地下管线和地下设施等有关资料，并保证资料的真实、准确和完整，组织设计交底等。②将施工所需的水、电线路接至施工场地的时间、地点和供应要求：发包人于开工前7日负责把水、电接口接至到施工场地，接口后的水、电线路由承包方自行负责。③水准点与座标控制点交验要求：于开工前7日内现场交验，双方做好签认工作。④由发包人办理的施工所需证件、批件的名称和完成时间：由发包人负责办理</w:t>
      </w:r>
      <w:r>
        <w:rPr>
          <w:rFonts w:ascii="宋体" w:hAnsi="宋体"/>
          <w:color w:val="auto"/>
          <w:szCs w:val="21"/>
          <w:u w:val="single"/>
        </w:rPr>
        <w:t>。</w:t>
      </w:r>
    </w:p>
    <w:p w14:paraId="0AD0A0CB">
      <w:pPr>
        <w:keepNext/>
        <w:keepLines/>
        <w:spacing w:before="260" w:after="260" w:line="416" w:lineRule="auto"/>
        <w:outlineLvl w:val="1"/>
        <w:rPr>
          <w:rFonts w:ascii="宋体" w:hAnsi="宋体"/>
          <w:b/>
          <w:bCs/>
          <w:color w:val="auto"/>
          <w:sz w:val="32"/>
          <w:szCs w:val="32"/>
        </w:rPr>
      </w:pPr>
      <w:bookmarkStart w:id="372" w:name="_Toc25743"/>
      <w:bookmarkStart w:id="373" w:name="_Toc1826"/>
      <w:bookmarkStart w:id="374" w:name="_Toc389065271"/>
      <w:bookmarkStart w:id="375" w:name="_Toc495673383"/>
      <w:bookmarkStart w:id="376" w:name="_Toc373478352"/>
      <w:bookmarkStart w:id="377" w:name="_Toc508379718"/>
      <w:bookmarkStart w:id="378" w:name="_Toc86935868"/>
      <w:bookmarkStart w:id="379" w:name="_Toc373227705"/>
      <w:bookmarkStart w:id="380" w:name="_Toc407135207"/>
      <w:r>
        <w:rPr>
          <w:rFonts w:ascii="宋体" w:hAnsi="宋体"/>
          <w:b/>
          <w:bCs/>
          <w:color w:val="auto"/>
          <w:sz w:val="32"/>
          <w:szCs w:val="32"/>
        </w:rPr>
        <w:t>2.5 资金来源证明及支付担保</w:t>
      </w:r>
      <w:bookmarkEnd w:id="372"/>
      <w:bookmarkEnd w:id="373"/>
      <w:bookmarkEnd w:id="374"/>
      <w:bookmarkEnd w:id="375"/>
      <w:bookmarkEnd w:id="376"/>
      <w:bookmarkEnd w:id="377"/>
      <w:bookmarkEnd w:id="378"/>
      <w:bookmarkEnd w:id="379"/>
      <w:bookmarkEnd w:id="380"/>
    </w:p>
    <w:p w14:paraId="126CF76B">
      <w:pPr>
        <w:spacing w:line="360" w:lineRule="auto"/>
        <w:ind w:firstLine="420" w:firstLineChars="200"/>
        <w:rPr>
          <w:rFonts w:ascii="宋体" w:hAnsi="宋体"/>
          <w:color w:val="auto"/>
          <w:szCs w:val="21"/>
        </w:rPr>
      </w:pPr>
      <w:r>
        <w:rPr>
          <w:rFonts w:ascii="宋体" w:hAnsi="宋体"/>
          <w:color w:val="auto"/>
          <w:szCs w:val="21"/>
        </w:rPr>
        <w:t>发包人是否提供支付担保：</w:t>
      </w:r>
      <w:r>
        <w:rPr>
          <w:rFonts w:hint="eastAsia" w:ascii="MingLiU_HKSCS" w:hAnsi="MingLiU_HKSCS" w:cs="MingLiU_HKSCS"/>
          <w:color w:val="auto"/>
          <w:szCs w:val="21"/>
          <w:u w:val="single"/>
        </w:rPr>
        <w:t>否</w:t>
      </w:r>
      <w:r>
        <w:rPr>
          <w:rFonts w:ascii="宋体" w:hAnsi="宋体"/>
          <w:color w:val="auto"/>
          <w:szCs w:val="21"/>
        </w:rPr>
        <w:t>。</w:t>
      </w:r>
    </w:p>
    <w:p w14:paraId="48738D1E">
      <w:pPr>
        <w:keepNext/>
        <w:keepLines/>
        <w:spacing w:before="260" w:after="260" w:line="416" w:lineRule="auto"/>
        <w:outlineLvl w:val="0"/>
        <w:rPr>
          <w:rFonts w:ascii="宋体" w:hAnsi="宋体"/>
          <w:b/>
          <w:bCs/>
          <w:color w:val="auto"/>
          <w:sz w:val="32"/>
          <w:szCs w:val="32"/>
        </w:rPr>
      </w:pPr>
      <w:bookmarkStart w:id="381" w:name="_Toc389065272"/>
      <w:bookmarkStart w:id="382" w:name="_Toc373227706"/>
      <w:bookmarkStart w:id="383" w:name="_Toc86935869"/>
      <w:bookmarkStart w:id="384" w:name="_Toc495673384"/>
      <w:bookmarkStart w:id="385" w:name="_Toc508379719"/>
      <w:bookmarkStart w:id="386" w:name="_Toc351203635"/>
      <w:bookmarkStart w:id="387" w:name="_Toc373478353"/>
      <w:bookmarkStart w:id="388" w:name="_Toc407135208"/>
      <w:bookmarkStart w:id="389" w:name="_Toc32607"/>
      <w:bookmarkStart w:id="390" w:name="_Toc23429"/>
      <w:bookmarkStart w:id="391" w:name="_Toc4478"/>
      <w:bookmarkStart w:id="392" w:name="_Toc32268"/>
      <w:r>
        <w:rPr>
          <w:rFonts w:ascii="宋体" w:hAnsi="宋体"/>
          <w:b/>
          <w:bCs/>
          <w:color w:val="auto"/>
          <w:sz w:val="32"/>
          <w:szCs w:val="32"/>
        </w:rPr>
        <w:t>3</w:t>
      </w:r>
      <w:bookmarkStart w:id="393" w:name="_Toc297120458"/>
      <w:bookmarkStart w:id="394" w:name="_Toc296346659"/>
      <w:bookmarkStart w:id="395" w:name="_Toc296503158"/>
      <w:bookmarkStart w:id="396" w:name="_Toc292559363"/>
      <w:bookmarkStart w:id="397" w:name="_Toc296890986"/>
      <w:bookmarkStart w:id="398" w:name="_Toc292559868"/>
      <w:bookmarkStart w:id="399" w:name="_Toc296347157"/>
      <w:bookmarkStart w:id="400" w:name="_Toc297048344"/>
      <w:bookmarkStart w:id="401" w:name="_Toc296944497"/>
      <w:bookmarkStart w:id="402" w:name="_Toc296891198"/>
      <w:r>
        <w:rPr>
          <w:rFonts w:ascii="宋体" w:hAnsi="宋体"/>
          <w:b/>
          <w:bCs/>
          <w:color w:val="auto"/>
          <w:sz w:val="32"/>
          <w:szCs w:val="32"/>
        </w:rPr>
        <w:t>. 承包人</w:t>
      </w:r>
      <w:bookmarkEnd w:id="381"/>
      <w:bookmarkEnd w:id="382"/>
      <w:bookmarkEnd w:id="383"/>
      <w:bookmarkEnd w:id="384"/>
      <w:bookmarkEnd w:id="385"/>
      <w:bookmarkEnd w:id="386"/>
      <w:bookmarkEnd w:id="387"/>
      <w:bookmarkEnd w:id="388"/>
      <w:bookmarkEnd w:id="389"/>
      <w:bookmarkEnd w:id="390"/>
      <w:bookmarkEnd w:id="391"/>
      <w:bookmarkEnd w:id="392"/>
    </w:p>
    <w:bookmarkEnd w:id="393"/>
    <w:bookmarkEnd w:id="394"/>
    <w:bookmarkEnd w:id="395"/>
    <w:bookmarkEnd w:id="396"/>
    <w:bookmarkEnd w:id="397"/>
    <w:bookmarkEnd w:id="398"/>
    <w:bookmarkEnd w:id="399"/>
    <w:bookmarkEnd w:id="400"/>
    <w:bookmarkEnd w:id="401"/>
    <w:bookmarkEnd w:id="402"/>
    <w:p w14:paraId="21D48F45">
      <w:pPr>
        <w:keepNext/>
        <w:keepLines/>
        <w:spacing w:before="260" w:after="260" w:line="416" w:lineRule="auto"/>
        <w:outlineLvl w:val="1"/>
        <w:rPr>
          <w:rFonts w:ascii="宋体" w:hAnsi="宋体"/>
          <w:b/>
          <w:bCs/>
          <w:color w:val="auto"/>
          <w:sz w:val="32"/>
          <w:szCs w:val="32"/>
        </w:rPr>
      </w:pPr>
      <w:bookmarkStart w:id="403" w:name="_Toc389065273"/>
      <w:bookmarkStart w:id="404" w:name="_Toc495673385"/>
      <w:bookmarkStart w:id="405" w:name="_Toc373478354"/>
      <w:bookmarkStart w:id="406" w:name="_Toc508379720"/>
      <w:bookmarkStart w:id="407" w:name="_Toc86935870"/>
      <w:bookmarkStart w:id="408" w:name="_Toc373227707"/>
      <w:bookmarkStart w:id="409" w:name="_Toc407135209"/>
      <w:bookmarkStart w:id="410" w:name="_Toc12360"/>
      <w:bookmarkStart w:id="411" w:name="_Toc17532"/>
      <w:r>
        <w:rPr>
          <w:rFonts w:ascii="宋体" w:hAnsi="宋体"/>
          <w:b/>
          <w:bCs/>
          <w:color w:val="auto"/>
          <w:sz w:val="32"/>
          <w:szCs w:val="32"/>
        </w:rPr>
        <w:t>3.1 承包人的一般义务</w:t>
      </w:r>
      <w:bookmarkEnd w:id="403"/>
      <w:bookmarkEnd w:id="404"/>
      <w:bookmarkEnd w:id="405"/>
      <w:bookmarkEnd w:id="406"/>
      <w:bookmarkEnd w:id="407"/>
      <w:bookmarkEnd w:id="408"/>
      <w:bookmarkEnd w:id="409"/>
      <w:bookmarkEnd w:id="410"/>
      <w:bookmarkEnd w:id="411"/>
    </w:p>
    <w:p w14:paraId="3EA8E1FD">
      <w:pPr>
        <w:pStyle w:val="292"/>
        <w:widowControl/>
        <w:spacing w:line="400" w:lineRule="exact"/>
        <w:ind w:firstLine="420" w:firstLineChars="200"/>
        <w:rPr>
          <w:rStyle w:val="50"/>
          <w:rFonts w:hint="eastAsia" w:ascii="宋体" w:hAnsi="宋体" w:eastAsia="宋体"/>
          <w:color w:val="auto"/>
        </w:rPr>
      </w:pPr>
      <w:bookmarkStart w:id="412" w:name="_Toc468214052"/>
      <w:bookmarkStart w:id="413" w:name="_Toc86935871"/>
      <w:bookmarkStart w:id="414" w:name="_Toc495673386"/>
      <w:bookmarkStart w:id="415" w:name="_Toc407135210"/>
      <w:bookmarkStart w:id="416" w:name="_Toc389065274"/>
      <w:bookmarkStart w:id="417" w:name="_Toc373478355"/>
      <w:bookmarkStart w:id="418" w:name="_Toc373227708"/>
      <w:bookmarkStart w:id="419" w:name="_Toc508379721"/>
      <w:bookmarkStart w:id="420" w:name="_Toc16473"/>
      <w:bookmarkStart w:id="421" w:name="_Toc12818"/>
      <w:r>
        <w:rPr>
          <w:rStyle w:val="50"/>
          <w:rFonts w:hint="eastAsia" w:ascii="宋体" w:hAnsi="宋体" w:eastAsia="宋体" w:cs="Times New Roman"/>
          <w:color w:val="auto"/>
        </w:rPr>
        <w:t>（1）承包人应按合同约定以及监理人作出的指示，实施、完成全部工程，并修补工程中的任何缺陷。</w:t>
      </w:r>
      <w:bookmarkEnd w:id="412"/>
    </w:p>
    <w:p w14:paraId="53B02354">
      <w:pPr>
        <w:pStyle w:val="292"/>
        <w:widowControl/>
        <w:spacing w:line="400" w:lineRule="exact"/>
        <w:ind w:firstLine="424" w:firstLineChars="202"/>
        <w:rPr>
          <w:rStyle w:val="50"/>
          <w:rFonts w:hint="eastAsia" w:ascii="宋体" w:hAnsi="宋体" w:eastAsia="宋体"/>
          <w:color w:val="auto"/>
        </w:rPr>
      </w:pPr>
      <w:r>
        <w:rPr>
          <w:rStyle w:val="50"/>
          <w:rFonts w:hint="eastAsia" w:ascii="宋体" w:hAnsi="宋体" w:eastAsia="宋体" w:cs="Times New Roman"/>
          <w:color w:val="auto"/>
        </w:rPr>
        <w:t>（2）承包人应按合同约定的工作内容和施工进度要求，编制施工组织设计，并对所有施工作业和施工方法的完备性和安全可靠性负责。</w:t>
      </w:r>
    </w:p>
    <w:p w14:paraId="0EFBBB66">
      <w:pPr>
        <w:pStyle w:val="292"/>
        <w:widowControl/>
        <w:spacing w:line="400" w:lineRule="exact"/>
        <w:ind w:firstLine="424" w:firstLineChars="202"/>
        <w:rPr>
          <w:rStyle w:val="50"/>
          <w:rFonts w:hint="eastAsia" w:ascii="宋体" w:hAnsi="宋体" w:eastAsia="宋体"/>
          <w:color w:val="auto"/>
        </w:rPr>
      </w:pPr>
      <w:r>
        <w:rPr>
          <w:rStyle w:val="50"/>
          <w:rFonts w:hint="eastAsia" w:ascii="宋体" w:hAnsi="宋体" w:eastAsia="宋体" w:cs="Times New Roman"/>
          <w:color w:val="auto"/>
        </w:rPr>
        <w:t>（3）承包人应按约定采取施工安全措施，确保工程及其人员、材料、设备和设施的安全，防止因工程施工造成的人身伤害和财产损失。</w:t>
      </w:r>
    </w:p>
    <w:p w14:paraId="743D4371">
      <w:pPr>
        <w:pStyle w:val="292"/>
        <w:widowControl/>
        <w:spacing w:line="400" w:lineRule="exact"/>
        <w:ind w:firstLine="424" w:firstLineChars="202"/>
        <w:rPr>
          <w:rStyle w:val="50"/>
          <w:rFonts w:hint="eastAsia" w:ascii="宋体" w:hAnsi="宋体" w:eastAsia="宋体"/>
          <w:color w:val="auto"/>
        </w:rPr>
      </w:pPr>
      <w:r>
        <w:rPr>
          <w:rStyle w:val="50"/>
          <w:rFonts w:hint="eastAsia" w:ascii="宋体" w:hAnsi="宋体" w:eastAsia="宋体" w:cs="Times New Roman"/>
          <w:color w:val="auto"/>
        </w:rPr>
        <w:t>（4）承包人应确保及时支付专业承包人和劳务分包人的工程款或报酬，及时支付临时聘用人员的工资。</w:t>
      </w:r>
    </w:p>
    <w:p w14:paraId="6B450C9C">
      <w:pPr>
        <w:pStyle w:val="292"/>
        <w:widowControl/>
        <w:spacing w:line="400" w:lineRule="exact"/>
        <w:ind w:firstLine="424" w:firstLineChars="202"/>
        <w:rPr>
          <w:rStyle w:val="50"/>
          <w:rFonts w:hint="eastAsia" w:ascii="宋体" w:hAnsi="宋体" w:eastAsia="宋体"/>
          <w:color w:val="auto"/>
        </w:rPr>
      </w:pPr>
      <w:r>
        <w:rPr>
          <w:rStyle w:val="50"/>
          <w:rFonts w:hint="eastAsia" w:ascii="宋体" w:hAnsi="宋体" w:eastAsia="宋体" w:cs="Times New Roman"/>
          <w:color w:val="auto"/>
        </w:rPr>
        <w:t>（5）承包人应按照约定负责施工场地及其周边环境与生态的保护工作。</w:t>
      </w:r>
    </w:p>
    <w:p w14:paraId="39A89EB9">
      <w:pPr>
        <w:pStyle w:val="292"/>
        <w:widowControl/>
        <w:spacing w:line="400" w:lineRule="exact"/>
        <w:ind w:firstLine="424" w:firstLineChars="202"/>
        <w:rPr>
          <w:rStyle w:val="50"/>
          <w:rFonts w:hint="eastAsia" w:ascii="宋体" w:hAnsi="宋体" w:eastAsia="宋体"/>
          <w:color w:val="auto"/>
        </w:rPr>
      </w:pPr>
      <w:r>
        <w:rPr>
          <w:rStyle w:val="50"/>
          <w:rFonts w:hint="eastAsia" w:ascii="宋体" w:hAnsi="宋体" w:eastAsia="宋体" w:cs="Times New Roman"/>
          <w:color w:val="auto"/>
        </w:rPr>
        <w:t>（6）承包人应将本单位形成的工程文件立卷，并负责收集、汇总各分包单位形成的工程档案，及时向发包人移交；</w:t>
      </w:r>
    </w:p>
    <w:p w14:paraId="4823C826">
      <w:pPr>
        <w:pStyle w:val="292"/>
        <w:widowControl/>
        <w:spacing w:line="400" w:lineRule="exact"/>
        <w:ind w:firstLine="424" w:firstLineChars="202"/>
        <w:rPr>
          <w:rStyle w:val="50"/>
          <w:rFonts w:hint="eastAsia" w:ascii="宋体" w:hAnsi="宋体" w:eastAsia="宋体"/>
          <w:color w:val="auto"/>
        </w:rPr>
      </w:pPr>
      <w:r>
        <w:rPr>
          <w:rStyle w:val="50"/>
          <w:rFonts w:hint="eastAsia" w:ascii="宋体" w:hAnsi="宋体" w:eastAsia="宋体" w:cs="Times New Roman"/>
          <w:color w:val="auto"/>
        </w:rPr>
        <w:t>（7）承包人应按监理人的指示为他人在施工现场或附近实施与工程有关的其他各项工作提供可能的条件。</w:t>
      </w:r>
    </w:p>
    <w:p w14:paraId="6B8D4502">
      <w:pPr>
        <w:pStyle w:val="292"/>
        <w:widowControl/>
        <w:spacing w:line="400" w:lineRule="exact"/>
        <w:ind w:firstLine="424" w:firstLineChars="202"/>
        <w:rPr>
          <w:rStyle w:val="50"/>
          <w:rFonts w:hint="eastAsia" w:ascii="宋体" w:hAnsi="宋体" w:eastAsia="宋体"/>
          <w:color w:val="auto"/>
        </w:rPr>
      </w:pPr>
      <w:r>
        <w:rPr>
          <w:rStyle w:val="50"/>
          <w:rFonts w:hint="eastAsia" w:ascii="宋体" w:hAnsi="宋体" w:eastAsia="宋体" w:cs="Times New Roman"/>
          <w:color w:val="auto"/>
        </w:rPr>
        <w:t>（8）工程接收证书颁发前，承包人应负责照管和维护工程。工程接收证书颁发时尚有部分未竣工工程的，承包人还应负责该未竣工工程的照管和维护工作，直至竣工后移交给发包人为止。</w:t>
      </w:r>
    </w:p>
    <w:p w14:paraId="0825A1B4">
      <w:pPr>
        <w:widowControl/>
        <w:spacing w:line="400" w:lineRule="exact"/>
        <w:ind w:firstLine="424" w:firstLineChars="202"/>
        <w:jc w:val="both"/>
        <w:rPr>
          <w:rStyle w:val="50"/>
          <w:rFonts w:hint="eastAsia" w:ascii="宋体" w:hAnsi="宋体" w:eastAsia="宋体" w:cs="宋体"/>
          <w:color w:val="auto"/>
          <w:kern w:val="0"/>
          <w:sz w:val="21"/>
          <w:szCs w:val="21"/>
          <w:lang w:val="en-US" w:eastAsia="zh-CN" w:bidi="ar-SA"/>
        </w:rPr>
      </w:pPr>
      <w:r>
        <w:rPr>
          <w:rStyle w:val="50"/>
          <w:rFonts w:hint="eastAsia" w:ascii="宋体" w:hAnsi="宋体" w:eastAsia="宋体" w:cs="Times New Roman"/>
          <w:color w:val="auto"/>
          <w:kern w:val="0"/>
          <w:sz w:val="21"/>
          <w:szCs w:val="21"/>
          <w:lang w:val="en-US" w:eastAsia="zh-CN" w:bidi="ar-SA"/>
        </w:rPr>
        <w:t>（9）承包人未能按照合同约定履行其他义务的。</w:t>
      </w:r>
    </w:p>
    <w:p w14:paraId="39E3EDB1">
      <w:pPr>
        <w:pStyle w:val="292"/>
        <w:widowControl/>
        <w:spacing w:line="400" w:lineRule="exact"/>
        <w:ind w:firstLine="424" w:firstLineChars="202"/>
        <w:rPr>
          <w:rStyle w:val="50"/>
          <w:rFonts w:hint="eastAsia" w:ascii="宋体" w:hAnsi="宋体" w:eastAsia="宋体"/>
          <w:color w:val="auto"/>
          <w:kern w:val="0"/>
        </w:rPr>
      </w:pPr>
      <w:r>
        <w:rPr>
          <w:rStyle w:val="50"/>
          <w:rFonts w:hint="eastAsia" w:ascii="宋体" w:hAnsi="宋体" w:eastAsia="宋体" w:cs="Times New Roman"/>
          <w:color w:val="auto"/>
          <w:kern w:val="0"/>
        </w:rPr>
        <w:t>（10）承包人提交的竣工资料的内容：</w:t>
      </w:r>
      <w:r>
        <w:rPr>
          <w:rStyle w:val="50"/>
          <w:rFonts w:hint="eastAsia" w:ascii="宋体" w:hAnsi="宋体" w:eastAsia="宋体" w:cs="Times New Roman"/>
          <w:color w:val="auto"/>
          <w:kern w:val="0"/>
          <w:u w:val="single"/>
        </w:rPr>
        <w:t>按照法律规定和合同约定编制竣工资料，完成竣工资料立卷及归档，并按如下约定的竣工资料的套数、内容、时间等要求移交发包人；</w:t>
      </w:r>
    </w:p>
    <w:p w14:paraId="5E3DADF5">
      <w:pPr>
        <w:pStyle w:val="292"/>
        <w:widowControl/>
        <w:spacing w:line="400" w:lineRule="exact"/>
        <w:ind w:firstLine="424" w:firstLineChars="202"/>
        <w:rPr>
          <w:rStyle w:val="50"/>
          <w:rFonts w:hint="eastAsia" w:ascii="宋体" w:hAnsi="宋体" w:eastAsia="宋体"/>
          <w:color w:val="auto"/>
          <w:kern w:val="0"/>
        </w:rPr>
      </w:pPr>
      <w:r>
        <w:rPr>
          <w:rStyle w:val="50"/>
          <w:rFonts w:hint="eastAsia" w:ascii="宋体" w:hAnsi="宋体" w:eastAsia="宋体" w:cs="Times New Roman"/>
          <w:color w:val="auto"/>
          <w:kern w:val="0"/>
        </w:rPr>
        <w:t>承包人提交的竣工资料的内容：</w:t>
      </w:r>
      <w:r>
        <w:rPr>
          <w:rStyle w:val="50"/>
          <w:rFonts w:hint="eastAsia" w:ascii="宋体" w:hAnsi="宋体" w:eastAsia="宋体" w:cs="Times New Roman"/>
          <w:color w:val="auto"/>
          <w:kern w:val="0"/>
          <w:u w:val="single"/>
        </w:rPr>
        <w:t>按竣工资料移交的有关规定办理</w:t>
      </w:r>
      <w:r>
        <w:rPr>
          <w:rStyle w:val="50"/>
          <w:rFonts w:hint="eastAsia" w:ascii="宋体" w:hAnsi="宋体" w:eastAsia="宋体" w:cs="Times New Roman"/>
          <w:color w:val="auto"/>
          <w:kern w:val="0"/>
        </w:rPr>
        <w:t>。</w:t>
      </w:r>
    </w:p>
    <w:p w14:paraId="3E6AB6A8">
      <w:pPr>
        <w:pStyle w:val="292"/>
        <w:widowControl/>
        <w:spacing w:line="400" w:lineRule="exact"/>
        <w:ind w:firstLine="424" w:firstLineChars="202"/>
        <w:rPr>
          <w:rStyle w:val="50"/>
          <w:rFonts w:hint="eastAsia" w:ascii="宋体" w:hAnsi="宋体" w:eastAsia="宋体"/>
          <w:color w:val="auto"/>
          <w:kern w:val="0"/>
        </w:rPr>
      </w:pPr>
      <w:r>
        <w:rPr>
          <w:rStyle w:val="50"/>
          <w:rFonts w:hint="eastAsia" w:ascii="宋体" w:hAnsi="宋体" w:eastAsia="宋体" w:cs="Times New Roman"/>
          <w:color w:val="auto"/>
          <w:kern w:val="0"/>
        </w:rPr>
        <w:t>承包人提交竣工资料份数：</w:t>
      </w:r>
      <w:r>
        <w:rPr>
          <w:rStyle w:val="50"/>
          <w:rFonts w:hint="eastAsia" w:ascii="宋体" w:hAnsi="宋体" w:eastAsia="宋体" w:cs="Times New Roman"/>
          <w:color w:val="auto"/>
          <w:kern w:val="0"/>
          <w:u w:val="single"/>
        </w:rPr>
        <w:t>陆份</w:t>
      </w:r>
      <w:r>
        <w:rPr>
          <w:rStyle w:val="50"/>
          <w:rFonts w:hint="eastAsia" w:ascii="宋体" w:hAnsi="宋体" w:eastAsia="宋体" w:cs="Times New Roman"/>
          <w:color w:val="auto"/>
          <w:kern w:val="0"/>
        </w:rPr>
        <w:t>。</w:t>
      </w:r>
    </w:p>
    <w:p w14:paraId="2904B5F9">
      <w:pPr>
        <w:pStyle w:val="292"/>
        <w:widowControl/>
        <w:spacing w:line="400" w:lineRule="exact"/>
        <w:ind w:firstLine="424" w:firstLineChars="202"/>
        <w:rPr>
          <w:rStyle w:val="50"/>
          <w:rFonts w:hint="eastAsia" w:ascii="宋体" w:hAnsi="宋体" w:eastAsia="宋体"/>
          <w:color w:val="auto"/>
          <w:kern w:val="0"/>
        </w:rPr>
      </w:pPr>
      <w:r>
        <w:rPr>
          <w:rStyle w:val="50"/>
          <w:rFonts w:hint="eastAsia" w:ascii="宋体" w:hAnsi="宋体" w:eastAsia="宋体" w:cs="Times New Roman"/>
          <w:color w:val="auto"/>
          <w:kern w:val="0"/>
        </w:rPr>
        <w:t>承包人提交的竣工资料的费用承担：</w:t>
      </w:r>
      <w:r>
        <w:rPr>
          <w:rStyle w:val="50"/>
          <w:rFonts w:hint="eastAsia" w:ascii="宋体" w:hAnsi="宋体" w:eastAsia="宋体" w:cs="Times New Roman"/>
          <w:color w:val="auto"/>
          <w:kern w:val="0"/>
          <w:u w:val="single"/>
        </w:rPr>
        <w:t>由承包人承担</w:t>
      </w:r>
      <w:r>
        <w:rPr>
          <w:rStyle w:val="50"/>
          <w:rFonts w:hint="eastAsia" w:ascii="宋体" w:hAnsi="宋体" w:eastAsia="宋体" w:cs="Times New Roman"/>
          <w:color w:val="auto"/>
          <w:kern w:val="0"/>
        </w:rPr>
        <w:t>。</w:t>
      </w:r>
    </w:p>
    <w:p w14:paraId="40356B0B">
      <w:pPr>
        <w:pStyle w:val="292"/>
        <w:widowControl/>
        <w:spacing w:line="400" w:lineRule="exact"/>
        <w:ind w:firstLine="424" w:firstLineChars="202"/>
        <w:rPr>
          <w:rStyle w:val="50"/>
          <w:rFonts w:hint="eastAsia" w:ascii="宋体" w:hAnsi="宋体" w:eastAsia="宋体"/>
          <w:color w:val="auto"/>
          <w:kern w:val="0"/>
        </w:rPr>
      </w:pPr>
      <w:r>
        <w:rPr>
          <w:rStyle w:val="50"/>
          <w:rFonts w:hint="eastAsia" w:ascii="宋体" w:hAnsi="宋体" w:eastAsia="宋体" w:cs="Times New Roman"/>
          <w:color w:val="auto"/>
          <w:kern w:val="0"/>
        </w:rPr>
        <w:t>承包人提交的竣工资料移交时间：</w:t>
      </w:r>
      <w:r>
        <w:rPr>
          <w:rStyle w:val="50"/>
          <w:rFonts w:hint="eastAsia" w:ascii="宋体" w:hAnsi="宋体" w:eastAsia="宋体" w:cs="Times New Roman"/>
          <w:color w:val="auto"/>
          <w:kern w:val="0"/>
          <w:u w:val="single"/>
        </w:rPr>
        <w:t>竣工验收正式通过后15天内</w:t>
      </w:r>
      <w:r>
        <w:rPr>
          <w:rStyle w:val="50"/>
          <w:rFonts w:hint="eastAsia" w:ascii="宋体" w:hAnsi="宋体" w:eastAsia="宋体" w:cs="Times New Roman"/>
          <w:color w:val="auto"/>
          <w:kern w:val="0"/>
        </w:rPr>
        <w:t>。</w:t>
      </w:r>
    </w:p>
    <w:p w14:paraId="03D65ECC">
      <w:pPr>
        <w:pStyle w:val="292"/>
        <w:widowControl/>
        <w:spacing w:line="400" w:lineRule="exact"/>
        <w:ind w:firstLine="424" w:firstLineChars="202"/>
        <w:rPr>
          <w:rStyle w:val="50"/>
          <w:rFonts w:hint="eastAsia" w:ascii="宋体" w:hAnsi="宋体" w:eastAsia="宋体"/>
          <w:color w:val="auto"/>
          <w:kern w:val="0"/>
        </w:rPr>
      </w:pPr>
      <w:r>
        <w:rPr>
          <w:rStyle w:val="50"/>
          <w:rFonts w:hint="eastAsia" w:ascii="宋体" w:hAnsi="宋体" w:eastAsia="宋体" w:cs="Times New Roman"/>
          <w:color w:val="auto"/>
          <w:kern w:val="0"/>
        </w:rPr>
        <w:t>承包人提交的竣工资料形式要求：</w:t>
      </w:r>
      <w:r>
        <w:rPr>
          <w:rStyle w:val="50"/>
          <w:rFonts w:hint="eastAsia" w:ascii="宋体" w:hAnsi="宋体" w:eastAsia="宋体" w:cs="Times New Roman"/>
          <w:color w:val="auto"/>
          <w:kern w:val="0"/>
          <w:u w:val="single"/>
        </w:rPr>
        <w:t>按竣工资料移交的有关规定办理</w:t>
      </w:r>
      <w:r>
        <w:rPr>
          <w:rStyle w:val="50"/>
          <w:rFonts w:hint="eastAsia" w:ascii="宋体" w:hAnsi="宋体" w:eastAsia="宋体" w:cs="Times New Roman"/>
          <w:color w:val="auto"/>
          <w:kern w:val="0"/>
        </w:rPr>
        <w:t>。</w:t>
      </w:r>
    </w:p>
    <w:p w14:paraId="1CD7C221">
      <w:pPr>
        <w:pStyle w:val="292"/>
        <w:widowControl/>
        <w:spacing w:line="400" w:lineRule="exact"/>
        <w:ind w:firstLine="424" w:firstLineChars="202"/>
        <w:rPr>
          <w:rStyle w:val="50"/>
          <w:rFonts w:hint="eastAsia" w:ascii="宋体" w:hAnsi="宋体" w:eastAsia="宋体"/>
          <w:color w:val="auto"/>
          <w:kern w:val="0"/>
          <w:highlight w:val="red"/>
        </w:rPr>
      </w:pPr>
      <w:r>
        <w:rPr>
          <w:rStyle w:val="50"/>
          <w:rFonts w:hint="eastAsia" w:ascii="宋体" w:hAnsi="宋体" w:eastAsia="宋体" w:cs="Times New Roman"/>
          <w:color w:val="auto"/>
          <w:kern w:val="0"/>
        </w:rPr>
        <w:t>（11）承包人应履行的其他义务：</w:t>
      </w:r>
      <w:r>
        <w:rPr>
          <w:rStyle w:val="50"/>
          <w:rFonts w:hint="eastAsia" w:ascii="宋体" w:hAnsi="宋体" w:eastAsia="宋体" w:cs="Times New Roman"/>
          <w:color w:val="auto"/>
          <w:kern w:val="0"/>
          <w:u w:val="single"/>
        </w:rPr>
        <w:t>对开工的项目，须组建项目工会，全面完成合同约定的有关承包人的义务，包括但不限于：①取土场及弃土场由承包人自行解决，但不得违反相关管理规定，并承担相关费用。②向发包人提供的办公和生活房屋及设施的要求：承包人搭建，由承包人承担相应费用。③按时足额将农民工工资保障金存入建设行政主管部门指定的账户，对农民工工资保障金的使用做出承诺。④承包人必须配合发包人做好竣工财务决算工作。不尽事宜由双方另行协商确定</w:t>
      </w:r>
      <w:r>
        <w:rPr>
          <w:rStyle w:val="50"/>
          <w:rFonts w:hint="eastAsia" w:ascii="宋体" w:hAnsi="宋体" w:eastAsia="宋体" w:cs="Times New Roman"/>
          <w:color w:val="auto"/>
          <w:kern w:val="0"/>
        </w:rPr>
        <w:t>。</w:t>
      </w:r>
    </w:p>
    <w:p w14:paraId="59ACC272">
      <w:pPr>
        <w:keepNext/>
        <w:keepLines/>
        <w:spacing w:before="260" w:after="260" w:line="416" w:lineRule="auto"/>
        <w:outlineLvl w:val="1"/>
        <w:rPr>
          <w:rFonts w:ascii="宋体" w:hAnsi="宋体"/>
          <w:b/>
          <w:bCs/>
          <w:color w:val="auto"/>
          <w:sz w:val="32"/>
          <w:szCs w:val="32"/>
        </w:rPr>
      </w:pPr>
      <w:r>
        <w:rPr>
          <w:rFonts w:ascii="宋体" w:hAnsi="宋体"/>
          <w:b/>
          <w:bCs/>
          <w:color w:val="auto"/>
          <w:sz w:val="32"/>
          <w:szCs w:val="32"/>
        </w:rPr>
        <w:t>3.2 项目经理</w:t>
      </w:r>
      <w:bookmarkEnd w:id="413"/>
      <w:bookmarkEnd w:id="414"/>
      <w:bookmarkEnd w:id="415"/>
      <w:bookmarkEnd w:id="416"/>
      <w:bookmarkEnd w:id="417"/>
      <w:bookmarkEnd w:id="418"/>
      <w:bookmarkEnd w:id="419"/>
      <w:bookmarkEnd w:id="420"/>
      <w:bookmarkEnd w:id="421"/>
    </w:p>
    <w:p w14:paraId="0BF28CB9">
      <w:pPr>
        <w:spacing w:line="360" w:lineRule="auto"/>
        <w:ind w:firstLine="420" w:firstLineChars="200"/>
        <w:rPr>
          <w:rFonts w:ascii="宋体" w:hAnsi="宋体"/>
          <w:color w:val="auto"/>
          <w:szCs w:val="21"/>
        </w:rPr>
      </w:pPr>
      <w:r>
        <w:rPr>
          <w:rFonts w:ascii="宋体" w:hAnsi="宋体"/>
          <w:color w:val="auto"/>
          <w:kern w:val="0"/>
          <w:szCs w:val="21"/>
        </w:rPr>
        <w:t xml:space="preserve">3.2.1 </w:t>
      </w:r>
      <w:r>
        <w:rPr>
          <w:rFonts w:ascii="宋体" w:hAnsi="宋体"/>
          <w:color w:val="auto"/>
          <w:szCs w:val="21"/>
        </w:rPr>
        <w:t>项目经理：</w:t>
      </w:r>
    </w:p>
    <w:p w14:paraId="6C2AB066">
      <w:pPr>
        <w:spacing w:line="360" w:lineRule="auto"/>
        <w:ind w:firstLine="420" w:firstLineChars="200"/>
        <w:rPr>
          <w:rFonts w:ascii="宋体" w:hAnsi="宋体"/>
          <w:color w:val="auto"/>
          <w:szCs w:val="21"/>
        </w:rPr>
      </w:pPr>
      <w:r>
        <w:rPr>
          <w:rFonts w:ascii="宋体" w:hAnsi="宋体"/>
          <w:color w:val="auto"/>
          <w:szCs w:val="21"/>
        </w:rPr>
        <w:t>姓    名：</w:t>
      </w:r>
      <w:r>
        <w:rPr>
          <w:rFonts w:hint="eastAsia" w:ascii="宋体" w:hAnsi="宋体"/>
          <w:color w:val="auto"/>
          <w:szCs w:val="21"/>
          <w:u w:val="single"/>
        </w:rPr>
        <w:t xml:space="preserve">                      </w:t>
      </w:r>
      <w:r>
        <w:rPr>
          <w:rFonts w:ascii="宋体" w:hAnsi="宋体"/>
          <w:color w:val="auto"/>
          <w:szCs w:val="21"/>
        </w:rPr>
        <w:t>；</w:t>
      </w:r>
    </w:p>
    <w:p w14:paraId="7ADF2B54">
      <w:pPr>
        <w:spacing w:line="360" w:lineRule="auto"/>
        <w:ind w:firstLine="420" w:firstLineChars="200"/>
        <w:rPr>
          <w:rFonts w:ascii="宋体" w:hAnsi="宋体"/>
          <w:color w:val="auto"/>
          <w:szCs w:val="21"/>
        </w:rPr>
      </w:pPr>
      <w:r>
        <w:rPr>
          <w:rFonts w:ascii="宋体" w:hAnsi="宋体"/>
          <w:color w:val="auto"/>
          <w:szCs w:val="21"/>
        </w:rPr>
        <w:t>身份证号：</w:t>
      </w:r>
      <w:r>
        <w:rPr>
          <w:rFonts w:hint="eastAsia" w:ascii="宋体" w:hAnsi="宋体"/>
          <w:color w:val="auto"/>
          <w:szCs w:val="21"/>
          <w:u w:val="single"/>
        </w:rPr>
        <w:t xml:space="preserve">                      </w:t>
      </w:r>
      <w:r>
        <w:rPr>
          <w:rFonts w:ascii="宋体" w:hAnsi="宋体"/>
          <w:color w:val="auto"/>
          <w:szCs w:val="21"/>
        </w:rPr>
        <w:t>；</w:t>
      </w:r>
    </w:p>
    <w:p w14:paraId="7B127A49">
      <w:pPr>
        <w:spacing w:line="360" w:lineRule="auto"/>
        <w:ind w:firstLine="420" w:firstLineChars="200"/>
        <w:rPr>
          <w:rFonts w:ascii="宋体" w:hAnsi="宋体"/>
          <w:color w:val="auto"/>
          <w:szCs w:val="21"/>
        </w:rPr>
      </w:pPr>
      <w:r>
        <w:rPr>
          <w:rFonts w:ascii="宋体" w:hAnsi="宋体"/>
          <w:color w:val="auto"/>
          <w:szCs w:val="21"/>
        </w:rPr>
        <w:t>建造师执业资格等级：</w:t>
      </w:r>
      <w:r>
        <w:rPr>
          <w:rFonts w:hint="eastAsia" w:ascii="宋体" w:hAnsi="宋体"/>
          <w:color w:val="auto"/>
          <w:szCs w:val="21"/>
          <w:u w:val="single"/>
        </w:rPr>
        <w:t xml:space="preserve">                      </w:t>
      </w:r>
      <w:r>
        <w:rPr>
          <w:rFonts w:ascii="宋体" w:hAnsi="宋体"/>
          <w:color w:val="auto"/>
          <w:szCs w:val="21"/>
        </w:rPr>
        <w:t>；</w:t>
      </w:r>
    </w:p>
    <w:p w14:paraId="7670C13B">
      <w:pPr>
        <w:spacing w:line="360" w:lineRule="auto"/>
        <w:ind w:firstLine="420" w:firstLineChars="200"/>
        <w:rPr>
          <w:rFonts w:ascii="宋体" w:hAnsi="宋体"/>
          <w:color w:val="auto"/>
          <w:szCs w:val="21"/>
        </w:rPr>
      </w:pPr>
      <w:r>
        <w:rPr>
          <w:rFonts w:ascii="宋体" w:hAnsi="宋体"/>
          <w:color w:val="auto"/>
          <w:szCs w:val="21"/>
        </w:rPr>
        <w:t>建造师注册证书号：</w:t>
      </w:r>
      <w:r>
        <w:rPr>
          <w:rFonts w:hint="eastAsia" w:ascii="宋体" w:hAnsi="宋体"/>
          <w:color w:val="auto"/>
          <w:szCs w:val="21"/>
          <w:u w:val="single"/>
        </w:rPr>
        <w:t xml:space="preserve">                      </w:t>
      </w:r>
      <w:r>
        <w:rPr>
          <w:rFonts w:ascii="宋体" w:hAnsi="宋体"/>
          <w:color w:val="auto"/>
          <w:szCs w:val="21"/>
        </w:rPr>
        <w:t>；</w:t>
      </w:r>
    </w:p>
    <w:p w14:paraId="66906F84">
      <w:pPr>
        <w:spacing w:line="360" w:lineRule="auto"/>
        <w:ind w:firstLine="420" w:firstLineChars="200"/>
        <w:rPr>
          <w:rFonts w:ascii="宋体" w:hAnsi="宋体"/>
          <w:color w:val="auto"/>
          <w:szCs w:val="21"/>
        </w:rPr>
      </w:pPr>
      <w:r>
        <w:rPr>
          <w:rFonts w:ascii="宋体" w:hAnsi="宋体"/>
          <w:color w:val="auto"/>
          <w:szCs w:val="21"/>
        </w:rPr>
        <w:t>建造师执业印章号：</w:t>
      </w:r>
      <w:r>
        <w:rPr>
          <w:rFonts w:hint="eastAsia" w:ascii="宋体" w:hAnsi="宋体"/>
          <w:color w:val="auto"/>
          <w:szCs w:val="21"/>
          <w:u w:val="single"/>
        </w:rPr>
        <w:t xml:space="preserve">                      </w:t>
      </w:r>
      <w:r>
        <w:rPr>
          <w:rFonts w:ascii="宋体" w:hAnsi="宋体"/>
          <w:color w:val="auto"/>
          <w:szCs w:val="21"/>
        </w:rPr>
        <w:t>；</w:t>
      </w:r>
    </w:p>
    <w:p w14:paraId="01292EFB">
      <w:pPr>
        <w:spacing w:line="360" w:lineRule="auto"/>
        <w:ind w:firstLine="420" w:firstLineChars="200"/>
        <w:rPr>
          <w:rFonts w:ascii="宋体" w:hAnsi="宋体"/>
          <w:color w:val="auto"/>
          <w:szCs w:val="21"/>
        </w:rPr>
      </w:pPr>
      <w:r>
        <w:rPr>
          <w:rFonts w:ascii="宋体" w:hAnsi="宋体"/>
          <w:color w:val="auto"/>
          <w:szCs w:val="21"/>
        </w:rPr>
        <w:t>安全生产考核合格证书号：</w:t>
      </w:r>
      <w:r>
        <w:rPr>
          <w:rFonts w:hint="eastAsia" w:ascii="宋体" w:hAnsi="宋体"/>
          <w:color w:val="auto"/>
          <w:szCs w:val="21"/>
          <w:u w:val="single"/>
        </w:rPr>
        <w:t xml:space="preserve">                      </w:t>
      </w:r>
      <w:r>
        <w:rPr>
          <w:rFonts w:ascii="宋体" w:hAnsi="宋体"/>
          <w:color w:val="auto"/>
          <w:szCs w:val="21"/>
        </w:rPr>
        <w:t>；</w:t>
      </w:r>
    </w:p>
    <w:p w14:paraId="35468BEF">
      <w:pPr>
        <w:spacing w:line="360" w:lineRule="auto"/>
        <w:ind w:firstLine="420" w:firstLineChars="200"/>
        <w:rPr>
          <w:rFonts w:ascii="宋体" w:hAnsi="宋体"/>
          <w:color w:val="auto"/>
          <w:szCs w:val="21"/>
        </w:rPr>
      </w:pPr>
      <w:r>
        <w:rPr>
          <w:rFonts w:ascii="宋体" w:hAnsi="宋体"/>
          <w:color w:val="auto"/>
          <w:szCs w:val="21"/>
        </w:rPr>
        <w:t>联系电话：</w:t>
      </w:r>
      <w:r>
        <w:rPr>
          <w:rFonts w:hint="eastAsia" w:ascii="宋体" w:hAnsi="宋体"/>
          <w:color w:val="auto"/>
          <w:szCs w:val="21"/>
          <w:u w:val="single"/>
        </w:rPr>
        <w:t xml:space="preserve">                      </w:t>
      </w:r>
      <w:r>
        <w:rPr>
          <w:rFonts w:ascii="宋体" w:hAnsi="宋体"/>
          <w:color w:val="auto"/>
          <w:szCs w:val="21"/>
        </w:rPr>
        <w:t>；</w:t>
      </w:r>
    </w:p>
    <w:p w14:paraId="67E9F79D">
      <w:pPr>
        <w:spacing w:line="360" w:lineRule="auto"/>
        <w:ind w:firstLine="420" w:firstLineChars="200"/>
        <w:rPr>
          <w:rFonts w:ascii="宋体" w:hAnsi="宋体"/>
          <w:color w:val="auto"/>
          <w:szCs w:val="21"/>
        </w:rPr>
      </w:pPr>
      <w:r>
        <w:rPr>
          <w:rFonts w:ascii="宋体" w:hAnsi="宋体"/>
          <w:color w:val="auto"/>
          <w:szCs w:val="21"/>
        </w:rPr>
        <w:t>电子信箱：</w:t>
      </w:r>
      <w:r>
        <w:rPr>
          <w:rFonts w:hint="eastAsia" w:ascii="宋体" w:hAnsi="宋体"/>
          <w:color w:val="auto"/>
          <w:szCs w:val="21"/>
          <w:u w:val="single"/>
        </w:rPr>
        <w:t xml:space="preserve">                      </w:t>
      </w:r>
      <w:r>
        <w:rPr>
          <w:rFonts w:ascii="宋体" w:hAnsi="宋体"/>
          <w:color w:val="auto"/>
          <w:szCs w:val="21"/>
        </w:rPr>
        <w:t>；</w:t>
      </w:r>
    </w:p>
    <w:p w14:paraId="25A50878">
      <w:pPr>
        <w:spacing w:line="360" w:lineRule="auto"/>
        <w:ind w:firstLine="420" w:firstLineChars="200"/>
        <w:rPr>
          <w:rFonts w:ascii="宋体" w:hAnsi="宋体"/>
          <w:color w:val="auto"/>
          <w:szCs w:val="21"/>
        </w:rPr>
      </w:pPr>
      <w:r>
        <w:rPr>
          <w:rFonts w:ascii="宋体" w:hAnsi="宋体"/>
          <w:color w:val="auto"/>
          <w:szCs w:val="21"/>
        </w:rPr>
        <w:t>通信地址：</w:t>
      </w:r>
      <w:r>
        <w:rPr>
          <w:rFonts w:hint="eastAsia" w:ascii="宋体" w:hAnsi="宋体"/>
          <w:color w:val="auto"/>
          <w:szCs w:val="21"/>
          <w:u w:val="single"/>
        </w:rPr>
        <w:t xml:space="preserve">                      </w:t>
      </w:r>
      <w:r>
        <w:rPr>
          <w:rFonts w:ascii="宋体" w:hAnsi="宋体"/>
          <w:color w:val="auto"/>
          <w:szCs w:val="21"/>
        </w:rPr>
        <w:t>；</w:t>
      </w:r>
    </w:p>
    <w:p w14:paraId="70597194">
      <w:pPr>
        <w:spacing w:line="360" w:lineRule="auto"/>
        <w:ind w:firstLine="420" w:firstLineChars="200"/>
        <w:rPr>
          <w:rFonts w:ascii="宋体" w:hAnsi="宋体"/>
          <w:color w:val="auto"/>
          <w:szCs w:val="21"/>
        </w:rPr>
      </w:pPr>
      <w:r>
        <w:rPr>
          <w:rFonts w:ascii="宋体" w:hAnsi="宋体"/>
          <w:color w:val="auto"/>
          <w:szCs w:val="21"/>
        </w:rPr>
        <w:t>承包人对项目经理的授权范围如下：</w:t>
      </w:r>
      <w:r>
        <w:rPr>
          <w:rFonts w:hint="eastAsia" w:ascii="宋体" w:hAnsi="宋体"/>
          <w:color w:val="auto"/>
          <w:szCs w:val="21"/>
          <w:u w:val="single"/>
        </w:rPr>
        <w:t xml:space="preserve"> </w:t>
      </w:r>
      <w:r>
        <w:rPr>
          <w:rStyle w:val="50"/>
          <w:rFonts w:hint="eastAsia" w:ascii="宋体" w:hAnsi="宋体" w:eastAsia="宋体"/>
          <w:color w:val="auto"/>
          <w:kern w:val="0"/>
          <w:u w:val="single"/>
        </w:rPr>
        <w:t>1.对施工现场的日常施工管理，如需具体授权以授权委托书为准；2.因本工程施工必须签订其他合同或产生债权债务文书的，合同应加盖承包人在公安及工商部门登记备案的法人公章，不可由项目经理或他人私自签订。3.项目经理仅限于工程的现场施工管理，但未经承包人盖章同意，不得以承包人名义向外采购材料设备、租用建筑周转材料、雇用劳动力、签订分包合同等从事一切为承包人设立义务或责任的行为</w:t>
      </w:r>
      <w:r>
        <w:rPr>
          <w:rFonts w:ascii="宋体" w:hAnsi="宋体"/>
          <w:color w:val="auto"/>
          <w:szCs w:val="21"/>
          <w:u w:val="single"/>
        </w:rPr>
        <w:t>。</w:t>
      </w:r>
    </w:p>
    <w:p w14:paraId="52862494">
      <w:pPr>
        <w:spacing w:line="360" w:lineRule="auto"/>
        <w:ind w:firstLine="420" w:firstLineChars="200"/>
        <w:jc w:val="left"/>
        <w:rPr>
          <w:rFonts w:ascii="宋体" w:hAnsi="宋体"/>
          <w:color w:val="auto"/>
          <w:kern w:val="0"/>
          <w:szCs w:val="21"/>
        </w:rPr>
      </w:pPr>
      <w:r>
        <w:rPr>
          <w:rFonts w:ascii="宋体" w:hAnsi="宋体"/>
          <w:color w:val="auto"/>
          <w:kern w:val="0"/>
          <w:szCs w:val="21"/>
        </w:rPr>
        <w:t>关于项目经理每月在施工现场的时间要求：</w:t>
      </w:r>
      <w:r>
        <w:rPr>
          <w:rStyle w:val="50"/>
          <w:rFonts w:hint="eastAsia" w:ascii="宋体" w:hAnsi="宋体" w:eastAsia="宋体"/>
          <w:bCs/>
          <w:color w:val="auto"/>
          <w:u w:val="single"/>
        </w:rPr>
        <w:t>项目经理每月在现场时间不得少于22日历天</w:t>
      </w:r>
      <w:r>
        <w:rPr>
          <w:rFonts w:ascii="宋体" w:hAnsi="宋体"/>
          <w:color w:val="auto"/>
          <w:szCs w:val="21"/>
        </w:rPr>
        <w:t>。</w:t>
      </w:r>
    </w:p>
    <w:p w14:paraId="11A0E118">
      <w:pPr>
        <w:spacing w:line="360" w:lineRule="auto"/>
        <w:ind w:firstLine="420" w:firstLineChars="200"/>
        <w:rPr>
          <w:rFonts w:ascii="宋体" w:hAnsi="宋体"/>
          <w:color w:val="auto"/>
          <w:kern w:val="0"/>
          <w:szCs w:val="21"/>
        </w:rPr>
      </w:pPr>
      <w:r>
        <w:rPr>
          <w:rFonts w:ascii="宋体" w:hAnsi="宋体"/>
          <w:color w:val="auto"/>
          <w:kern w:val="0"/>
          <w:szCs w:val="21"/>
        </w:rPr>
        <w:t>承包人未提交劳动合同，以及没有为项目经理缴纳社会保险证明的违约责任：</w:t>
      </w:r>
      <w:r>
        <w:rPr>
          <w:rStyle w:val="50"/>
          <w:rFonts w:hint="eastAsia" w:ascii="宋体" w:hAnsi="宋体" w:eastAsia="宋体"/>
          <w:color w:val="auto"/>
          <w:u w:val="single"/>
        </w:rPr>
        <w:t>项目经理无权履行职责，由此影响工程进度或发生其它问题的，由承包人承担责任</w:t>
      </w:r>
      <w:r>
        <w:rPr>
          <w:rFonts w:ascii="宋体" w:hAnsi="宋体"/>
          <w:color w:val="auto"/>
          <w:szCs w:val="21"/>
          <w:u w:val="single"/>
        </w:rPr>
        <w:t>。</w:t>
      </w:r>
    </w:p>
    <w:p w14:paraId="0BE0CF6D">
      <w:pPr>
        <w:spacing w:line="360" w:lineRule="auto"/>
        <w:ind w:firstLine="420" w:firstLineChars="200"/>
        <w:rPr>
          <w:rFonts w:ascii="宋体" w:hAnsi="宋体"/>
          <w:color w:val="auto"/>
          <w:szCs w:val="21"/>
          <w:u w:val="single"/>
        </w:rPr>
      </w:pPr>
      <w:r>
        <w:rPr>
          <w:rFonts w:ascii="宋体" w:hAnsi="宋体"/>
          <w:color w:val="auto"/>
          <w:kern w:val="0"/>
          <w:szCs w:val="21"/>
        </w:rPr>
        <w:t>项目经理未经批准，擅自离开施工现场的违约责任：</w:t>
      </w:r>
      <w:r>
        <w:rPr>
          <w:rFonts w:hint="eastAsia" w:ascii="宋体" w:hAnsi="宋体"/>
          <w:color w:val="auto"/>
          <w:szCs w:val="21"/>
          <w:u w:val="single"/>
        </w:rPr>
        <w:t>项目经理每月在岗带班时间不得少于当月施工时间的80%。</w:t>
      </w:r>
      <w:r>
        <w:rPr>
          <w:rFonts w:ascii="宋体" w:hAnsi="宋体"/>
          <w:color w:val="auto"/>
          <w:szCs w:val="21"/>
          <w:u w:val="single"/>
        </w:rPr>
        <w:t>未经发包人同意或正当理由，项目经理</w:t>
      </w:r>
      <w:r>
        <w:rPr>
          <w:rFonts w:hint="eastAsia" w:ascii="宋体" w:hAnsi="宋体"/>
          <w:color w:val="auto"/>
          <w:szCs w:val="21"/>
          <w:u w:val="single"/>
        </w:rPr>
        <w:t>每月在岗带班时间少于当月施工时间80%的，少在岗带班一天</w:t>
      </w:r>
      <w:r>
        <w:rPr>
          <w:rFonts w:ascii="宋体" w:hAnsi="宋体"/>
          <w:color w:val="auto"/>
          <w:szCs w:val="21"/>
          <w:u w:val="single"/>
        </w:rPr>
        <w:t>，发包人有权处违约金</w:t>
      </w:r>
      <w:r>
        <w:rPr>
          <w:rFonts w:hint="eastAsia" w:ascii="宋体" w:hAnsi="宋体"/>
          <w:color w:val="auto"/>
          <w:szCs w:val="21"/>
          <w:u w:val="single"/>
        </w:rPr>
        <w:t>1000</w:t>
      </w:r>
      <w:r>
        <w:rPr>
          <w:rFonts w:ascii="宋体" w:hAnsi="宋体"/>
          <w:color w:val="auto"/>
          <w:szCs w:val="21"/>
          <w:u w:val="single"/>
        </w:rPr>
        <w:t>元/</w:t>
      </w:r>
      <w:r>
        <w:rPr>
          <w:rFonts w:hint="eastAsia" w:ascii="宋体" w:hAnsi="宋体"/>
          <w:color w:val="auto"/>
          <w:szCs w:val="21"/>
          <w:u w:val="single"/>
        </w:rPr>
        <w:t>日（</w:t>
      </w:r>
      <w:r>
        <w:rPr>
          <w:rFonts w:ascii="宋体" w:hAnsi="宋体"/>
          <w:color w:val="auto"/>
          <w:szCs w:val="21"/>
          <w:u w:val="single"/>
        </w:rPr>
        <w:t>人民币</w:t>
      </w:r>
      <w:r>
        <w:rPr>
          <w:rFonts w:hint="eastAsia" w:ascii="宋体" w:hAnsi="宋体"/>
          <w:color w:val="auto"/>
          <w:szCs w:val="21"/>
          <w:u w:val="single"/>
        </w:rPr>
        <w:t xml:space="preserve">）  </w:t>
      </w:r>
      <w:r>
        <w:rPr>
          <w:rFonts w:ascii="宋体" w:hAnsi="宋体"/>
          <w:color w:val="auto"/>
          <w:szCs w:val="21"/>
        </w:rPr>
        <w:t>。</w:t>
      </w:r>
    </w:p>
    <w:p w14:paraId="775F51E4">
      <w:pPr>
        <w:spacing w:line="360" w:lineRule="auto"/>
        <w:ind w:firstLine="420" w:firstLineChars="200"/>
        <w:rPr>
          <w:rFonts w:ascii="宋体" w:hAnsi="宋体"/>
          <w:color w:val="auto"/>
          <w:szCs w:val="21"/>
        </w:rPr>
      </w:pPr>
      <w:r>
        <w:rPr>
          <w:rFonts w:ascii="宋体" w:hAnsi="宋体"/>
          <w:color w:val="auto"/>
          <w:szCs w:val="21"/>
        </w:rPr>
        <w:t>3.2.3 承包人擅自更换项目经理的违约责任：</w:t>
      </w:r>
      <w:r>
        <w:rPr>
          <w:rFonts w:ascii="宋体" w:hAnsi="宋体"/>
          <w:color w:val="auto"/>
          <w:szCs w:val="21"/>
          <w:u w:val="single"/>
        </w:rPr>
        <w:t>承包人项目经理必须与承包人投标时所承诺的人员一致，并在  （开工日期）  前到任。在监理人向承包人颁发    （竣工证明材料名称）    前，项目经理不得同时兼任其他任何项目的项目经理</w:t>
      </w:r>
      <w:r>
        <w:rPr>
          <w:rFonts w:ascii="宋体" w:hAnsi="宋体"/>
          <w:color w:val="auto"/>
          <w:kern w:val="0"/>
          <w:szCs w:val="21"/>
          <w:u w:val="single"/>
        </w:rPr>
        <w:t>（符合桂建管</w:t>
      </w:r>
      <w:r>
        <w:rPr>
          <w:rFonts w:ascii="宋体" w:hAnsi="宋体"/>
          <w:color w:val="auto"/>
          <w:szCs w:val="21"/>
          <w:u w:val="single"/>
        </w:rPr>
        <w:t>﹝2013﹞</w:t>
      </w:r>
      <w:r>
        <w:rPr>
          <w:rFonts w:ascii="宋体" w:hAnsi="宋体"/>
          <w:color w:val="auto"/>
          <w:kern w:val="0"/>
          <w:szCs w:val="21"/>
          <w:u w:val="single"/>
        </w:rPr>
        <w:t>17号和</w:t>
      </w:r>
      <w:r>
        <w:rPr>
          <w:rFonts w:ascii="宋体" w:hAnsi="宋体"/>
          <w:color w:val="auto"/>
          <w:szCs w:val="21"/>
          <w:u w:val="single"/>
        </w:rPr>
        <w:t>桂建管﹝2014﹞25号</w:t>
      </w:r>
      <w:r>
        <w:rPr>
          <w:rFonts w:ascii="宋体" w:hAnsi="宋体"/>
          <w:color w:val="auto"/>
          <w:kern w:val="0"/>
          <w:szCs w:val="21"/>
          <w:u w:val="single"/>
        </w:rPr>
        <w:t>文除外）</w:t>
      </w:r>
      <w:r>
        <w:rPr>
          <w:rFonts w:ascii="宋体" w:hAnsi="宋体"/>
          <w:color w:val="auto"/>
          <w:szCs w:val="21"/>
          <w:u w:val="single"/>
        </w:rPr>
        <w:t>。未经发包人书面同意，承包人擅自更换项目经理的视为违约</w:t>
      </w:r>
      <w:r>
        <w:rPr>
          <w:rFonts w:hint="eastAsia" w:ascii="宋体" w:hAnsi="宋体"/>
          <w:color w:val="auto"/>
          <w:szCs w:val="21"/>
          <w:u w:val="single"/>
        </w:rPr>
        <w:t>，</w:t>
      </w:r>
      <w:r>
        <w:rPr>
          <w:rFonts w:ascii="宋体" w:hAnsi="宋体"/>
          <w:color w:val="auto"/>
          <w:szCs w:val="21"/>
          <w:u w:val="single"/>
        </w:rPr>
        <w:t>违约金处</w:t>
      </w:r>
      <w:r>
        <w:rPr>
          <w:rFonts w:hint="eastAsia" w:ascii="宋体" w:hAnsi="宋体"/>
          <w:color w:val="auto"/>
          <w:szCs w:val="21"/>
          <w:u w:val="single"/>
        </w:rPr>
        <w:t>20000</w:t>
      </w:r>
      <w:r>
        <w:rPr>
          <w:rFonts w:ascii="宋体" w:hAnsi="宋体"/>
          <w:color w:val="auto"/>
          <w:szCs w:val="21"/>
          <w:u w:val="single"/>
        </w:rPr>
        <w:t>元/人•次</w:t>
      </w:r>
      <w:r>
        <w:rPr>
          <w:rFonts w:hint="eastAsia" w:ascii="宋体" w:hAnsi="宋体"/>
          <w:color w:val="auto"/>
          <w:szCs w:val="21"/>
          <w:u w:val="single"/>
        </w:rPr>
        <w:t>（</w:t>
      </w:r>
      <w:r>
        <w:rPr>
          <w:rFonts w:ascii="宋体" w:hAnsi="宋体"/>
          <w:color w:val="auto"/>
          <w:szCs w:val="21"/>
          <w:u w:val="single"/>
        </w:rPr>
        <w:t>人民币</w:t>
      </w:r>
      <w:r>
        <w:rPr>
          <w:rFonts w:hint="eastAsia" w:ascii="宋体" w:hAnsi="宋体"/>
          <w:color w:val="auto"/>
          <w:szCs w:val="21"/>
          <w:u w:val="single"/>
        </w:rPr>
        <w:t>）</w:t>
      </w:r>
      <w:r>
        <w:rPr>
          <w:rFonts w:ascii="宋体" w:hAnsi="宋体"/>
          <w:color w:val="auto"/>
          <w:szCs w:val="21"/>
        </w:rPr>
        <w:t>。</w:t>
      </w:r>
    </w:p>
    <w:p w14:paraId="21948396">
      <w:pPr>
        <w:spacing w:line="360" w:lineRule="auto"/>
        <w:ind w:firstLine="420" w:firstLineChars="200"/>
        <w:rPr>
          <w:rFonts w:ascii="宋体" w:hAnsi="宋体"/>
          <w:color w:val="auto"/>
          <w:szCs w:val="21"/>
        </w:rPr>
      </w:pPr>
      <w:r>
        <w:rPr>
          <w:rFonts w:ascii="宋体" w:hAnsi="宋体"/>
          <w:color w:val="auto"/>
          <w:szCs w:val="21"/>
        </w:rPr>
        <w:t>3.2.4 承包人无正当理由拒绝更换项目经理的违约责任：</w:t>
      </w:r>
      <w:r>
        <w:rPr>
          <w:rFonts w:ascii="宋体" w:hAnsi="宋体"/>
          <w:color w:val="auto"/>
          <w:szCs w:val="21"/>
          <w:u w:val="single"/>
        </w:rPr>
        <w:t>因承包人项目经理不称职，发包人要求调换而未及时调换的，视为承包人违约，必须向发包人交纳处罚金</w:t>
      </w:r>
      <w:r>
        <w:rPr>
          <w:rFonts w:hint="eastAsia" w:ascii="宋体" w:hAnsi="宋体"/>
          <w:color w:val="auto"/>
          <w:szCs w:val="21"/>
          <w:u w:val="single"/>
        </w:rPr>
        <w:t>10000</w:t>
      </w:r>
      <w:r>
        <w:rPr>
          <w:rFonts w:ascii="宋体" w:hAnsi="宋体"/>
          <w:color w:val="auto"/>
          <w:szCs w:val="21"/>
          <w:u w:val="single"/>
        </w:rPr>
        <w:t>元/人•次</w:t>
      </w:r>
      <w:r>
        <w:rPr>
          <w:rFonts w:hint="eastAsia" w:ascii="宋体" w:hAnsi="宋体"/>
          <w:color w:val="auto"/>
          <w:szCs w:val="21"/>
          <w:u w:val="single"/>
        </w:rPr>
        <w:t>（</w:t>
      </w:r>
      <w:r>
        <w:rPr>
          <w:rFonts w:ascii="宋体" w:hAnsi="宋体"/>
          <w:color w:val="auto"/>
          <w:szCs w:val="21"/>
          <w:u w:val="single"/>
        </w:rPr>
        <w:t>人民币</w:t>
      </w:r>
      <w:r>
        <w:rPr>
          <w:rFonts w:hint="eastAsia" w:ascii="宋体" w:hAnsi="宋体"/>
          <w:color w:val="auto"/>
          <w:szCs w:val="21"/>
          <w:u w:val="single"/>
        </w:rPr>
        <w:t>）</w:t>
      </w:r>
      <w:r>
        <w:rPr>
          <w:rFonts w:ascii="宋体" w:hAnsi="宋体"/>
          <w:color w:val="auto"/>
          <w:szCs w:val="21"/>
        </w:rPr>
        <w:t>。</w:t>
      </w:r>
    </w:p>
    <w:p w14:paraId="7BD15617">
      <w:pPr>
        <w:keepNext/>
        <w:keepLines/>
        <w:spacing w:before="260" w:after="260" w:line="416" w:lineRule="auto"/>
        <w:outlineLvl w:val="1"/>
        <w:rPr>
          <w:rFonts w:ascii="宋体" w:hAnsi="宋体"/>
          <w:b/>
          <w:bCs/>
          <w:color w:val="auto"/>
          <w:sz w:val="32"/>
          <w:szCs w:val="32"/>
        </w:rPr>
      </w:pPr>
      <w:bookmarkStart w:id="422" w:name="_Toc389065275"/>
      <w:bookmarkStart w:id="423" w:name="_Toc373478356"/>
      <w:bookmarkStart w:id="424" w:name="_Toc86935872"/>
      <w:bookmarkStart w:id="425" w:name="_Toc407135211"/>
      <w:bookmarkStart w:id="426" w:name="_Toc508379722"/>
      <w:bookmarkStart w:id="427" w:name="_Toc495673387"/>
      <w:bookmarkStart w:id="428" w:name="_Toc373227709"/>
      <w:bookmarkStart w:id="429" w:name="_Toc29513"/>
      <w:bookmarkStart w:id="430" w:name="_Toc8014"/>
      <w:r>
        <w:rPr>
          <w:rFonts w:ascii="宋体" w:hAnsi="宋体"/>
          <w:b/>
          <w:bCs/>
          <w:color w:val="auto"/>
          <w:sz w:val="32"/>
          <w:szCs w:val="32"/>
        </w:rPr>
        <w:t>3.3 承包人人员</w:t>
      </w:r>
      <w:bookmarkEnd w:id="422"/>
      <w:bookmarkEnd w:id="423"/>
      <w:bookmarkEnd w:id="424"/>
      <w:bookmarkEnd w:id="425"/>
      <w:bookmarkEnd w:id="426"/>
      <w:bookmarkEnd w:id="427"/>
      <w:bookmarkEnd w:id="428"/>
      <w:bookmarkEnd w:id="429"/>
      <w:bookmarkEnd w:id="430"/>
    </w:p>
    <w:p w14:paraId="66AA78E7">
      <w:pPr>
        <w:spacing w:line="360" w:lineRule="auto"/>
        <w:ind w:firstLine="420" w:firstLineChars="200"/>
        <w:rPr>
          <w:rFonts w:ascii="宋体" w:hAnsi="宋体"/>
          <w:color w:val="auto"/>
          <w:szCs w:val="21"/>
        </w:rPr>
      </w:pPr>
      <w:r>
        <w:rPr>
          <w:rFonts w:ascii="宋体" w:hAnsi="宋体"/>
          <w:color w:val="auto"/>
          <w:szCs w:val="21"/>
        </w:rPr>
        <w:t>3.3.1 承包人提交项目管理机构及施工现场管理人员安排报告</w:t>
      </w:r>
      <w:r>
        <w:rPr>
          <w:rFonts w:hint="eastAsia" w:ascii="宋体" w:hAnsi="宋体"/>
          <w:color w:val="auto"/>
          <w:szCs w:val="21"/>
        </w:rPr>
        <w:t>（格式见合同附件3）</w:t>
      </w:r>
      <w:r>
        <w:rPr>
          <w:rFonts w:ascii="宋体" w:hAnsi="宋体"/>
          <w:color w:val="auto"/>
          <w:szCs w:val="21"/>
        </w:rPr>
        <w:t>的期限：</w:t>
      </w:r>
    </w:p>
    <w:p w14:paraId="46B8E5C2">
      <w:pPr>
        <w:spacing w:line="360" w:lineRule="auto"/>
        <w:rPr>
          <w:rFonts w:ascii="宋体" w:hAnsi="宋体"/>
          <w:color w:val="auto"/>
          <w:szCs w:val="21"/>
        </w:rPr>
      </w:pPr>
      <w:r>
        <w:rPr>
          <w:rFonts w:hint="eastAsia" w:ascii="宋体" w:hAnsi="宋体"/>
          <w:color w:val="auto"/>
          <w:szCs w:val="21"/>
          <w:u w:val="single"/>
        </w:rPr>
        <w:t xml:space="preserve">                      </w:t>
      </w:r>
      <w:r>
        <w:rPr>
          <w:rFonts w:ascii="宋体" w:hAnsi="宋体"/>
          <w:color w:val="auto"/>
          <w:szCs w:val="21"/>
        </w:rPr>
        <w:t>。</w:t>
      </w:r>
    </w:p>
    <w:p w14:paraId="7A931B4F">
      <w:pPr>
        <w:spacing w:line="360" w:lineRule="auto"/>
        <w:ind w:firstLine="420" w:firstLineChars="200"/>
        <w:rPr>
          <w:rFonts w:ascii="宋体" w:hAnsi="宋体"/>
          <w:color w:val="auto"/>
          <w:szCs w:val="21"/>
        </w:rPr>
      </w:pPr>
      <w:r>
        <w:rPr>
          <w:rFonts w:ascii="宋体" w:hAnsi="宋体"/>
          <w:color w:val="auto"/>
          <w:szCs w:val="21"/>
        </w:rPr>
        <w:t>3.3.3 承包人无正当理由拒绝撤换主要施工管理人员的违约责任：</w:t>
      </w:r>
      <w:r>
        <w:rPr>
          <w:rFonts w:ascii="宋体" w:hAnsi="宋体"/>
          <w:color w:val="auto"/>
          <w:szCs w:val="21"/>
          <w:u w:val="single"/>
        </w:rPr>
        <w:t>因承包人主要施工管理人员不称职，发包人要求调换而无正当理由拒绝撤换或未及时调换的，视为承包人违约，必须向发包人交纳处罚金，处罚标准：技术负责人</w:t>
      </w:r>
      <w:r>
        <w:rPr>
          <w:rFonts w:hint="eastAsia" w:ascii="宋体" w:hAnsi="宋体"/>
          <w:color w:val="auto"/>
          <w:szCs w:val="21"/>
          <w:u w:val="single"/>
        </w:rPr>
        <w:t>5000</w:t>
      </w:r>
      <w:r>
        <w:rPr>
          <w:rFonts w:ascii="宋体" w:hAnsi="宋体"/>
          <w:color w:val="auto"/>
          <w:szCs w:val="21"/>
          <w:u w:val="single"/>
        </w:rPr>
        <w:t>元/人•次</w:t>
      </w:r>
      <w:r>
        <w:rPr>
          <w:rFonts w:hint="eastAsia" w:ascii="宋体" w:hAnsi="宋体"/>
          <w:color w:val="auto"/>
          <w:szCs w:val="21"/>
          <w:u w:val="single"/>
        </w:rPr>
        <w:t>（</w:t>
      </w:r>
      <w:r>
        <w:rPr>
          <w:rFonts w:ascii="宋体" w:hAnsi="宋体"/>
          <w:color w:val="auto"/>
          <w:szCs w:val="21"/>
          <w:u w:val="single"/>
        </w:rPr>
        <w:t>人民币</w:t>
      </w:r>
      <w:r>
        <w:rPr>
          <w:rFonts w:hint="eastAsia" w:ascii="宋体" w:hAnsi="宋体"/>
          <w:color w:val="auto"/>
          <w:szCs w:val="21"/>
          <w:u w:val="single"/>
        </w:rPr>
        <w:t>）</w:t>
      </w:r>
      <w:r>
        <w:rPr>
          <w:rFonts w:ascii="宋体" w:hAnsi="宋体"/>
          <w:color w:val="auto"/>
          <w:szCs w:val="21"/>
          <w:u w:val="single"/>
        </w:rPr>
        <w:t>；专业工程师</w:t>
      </w:r>
      <w:r>
        <w:rPr>
          <w:rFonts w:hint="eastAsia" w:ascii="宋体" w:hAnsi="宋体"/>
          <w:color w:val="auto"/>
          <w:szCs w:val="21"/>
          <w:u w:val="single"/>
        </w:rPr>
        <w:t>5000</w:t>
      </w:r>
      <w:r>
        <w:rPr>
          <w:rFonts w:ascii="宋体" w:hAnsi="宋体"/>
          <w:color w:val="auto"/>
          <w:szCs w:val="21"/>
          <w:u w:val="single"/>
        </w:rPr>
        <w:t>元/人•次</w:t>
      </w:r>
      <w:r>
        <w:rPr>
          <w:rFonts w:hint="eastAsia" w:ascii="宋体" w:hAnsi="宋体"/>
          <w:color w:val="auto"/>
          <w:szCs w:val="21"/>
          <w:u w:val="single"/>
        </w:rPr>
        <w:t>（</w:t>
      </w:r>
      <w:r>
        <w:rPr>
          <w:rFonts w:ascii="宋体" w:hAnsi="宋体"/>
          <w:color w:val="auto"/>
          <w:szCs w:val="21"/>
          <w:u w:val="single"/>
        </w:rPr>
        <w:t>人民币</w:t>
      </w:r>
      <w:r>
        <w:rPr>
          <w:rFonts w:hint="eastAsia" w:ascii="宋体" w:hAnsi="宋体"/>
          <w:color w:val="auto"/>
          <w:szCs w:val="21"/>
          <w:u w:val="single"/>
        </w:rPr>
        <w:t>）</w:t>
      </w:r>
      <w:r>
        <w:rPr>
          <w:rFonts w:ascii="宋体" w:hAnsi="宋体"/>
          <w:color w:val="auto"/>
          <w:szCs w:val="21"/>
        </w:rPr>
        <w:t>。</w:t>
      </w:r>
    </w:p>
    <w:p w14:paraId="66D8D5C6">
      <w:pPr>
        <w:spacing w:line="360" w:lineRule="auto"/>
        <w:ind w:firstLine="420" w:firstLineChars="200"/>
        <w:rPr>
          <w:rFonts w:ascii="宋体" w:hAnsi="宋体"/>
          <w:color w:val="auto"/>
          <w:szCs w:val="21"/>
          <w:u w:val="single"/>
        </w:rPr>
      </w:pPr>
      <w:r>
        <w:rPr>
          <w:rFonts w:ascii="宋体" w:hAnsi="宋体"/>
          <w:color w:val="auto"/>
          <w:szCs w:val="21"/>
        </w:rPr>
        <w:t>3.3.4 承包人主要施工管理人员离开施工现场的批准要求：。</w:t>
      </w:r>
    </w:p>
    <w:p w14:paraId="51B62233">
      <w:pPr>
        <w:spacing w:line="360" w:lineRule="auto"/>
        <w:ind w:firstLine="420" w:firstLineChars="200"/>
        <w:rPr>
          <w:rFonts w:ascii="宋体" w:hAnsi="宋体"/>
          <w:color w:val="auto"/>
          <w:szCs w:val="21"/>
        </w:rPr>
      </w:pPr>
      <w:r>
        <w:rPr>
          <w:rFonts w:ascii="宋体" w:hAnsi="宋体"/>
          <w:color w:val="auto"/>
          <w:szCs w:val="21"/>
        </w:rPr>
        <w:t>3.3.5承包人擅自更换主要施工管理人员的违约责任：</w:t>
      </w:r>
      <w:r>
        <w:rPr>
          <w:rFonts w:hint="eastAsia" w:ascii="宋体" w:hAnsi="宋体"/>
          <w:color w:val="auto"/>
          <w:szCs w:val="21"/>
          <w:u w:val="single"/>
        </w:rPr>
        <w:t>项目</w:t>
      </w:r>
      <w:r>
        <w:rPr>
          <w:rFonts w:ascii="宋体" w:hAnsi="宋体"/>
          <w:color w:val="auto"/>
          <w:szCs w:val="21"/>
          <w:u w:val="single"/>
        </w:rPr>
        <w:t>技术负责人、</w:t>
      </w:r>
      <w:r>
        <w:rPr>
          <w:rFonts w:hint="eastAsia" w:ascii="宋体" w:hAnsi="宋体"/>
          <w:color w:val="auto"/>
          <w:szCs w:val="21"/>
          <w:u w:val="single"/>
        </w:rPr>
        <w:t>专职安全员及其承诺的其它在场管理人员</w:t>
      </w:r>
      <w:r>
        <w:rPr>
          <w:rFonts w:ascii="宋体" w:hAnsi="宋体"/>
          <w:color w:val="auto"/>
          <w:szCs w:val="21"/>
          <w:u w:val="single"/>
        </w:rPr>
        <w:t>未经发包人书面同意不准擅自更换，擅自更换</w:t>
      </w:r>
      <w:r>
        <w:rPr>
          <w:rFonts w:hint="eastAsia" w:ascii="宋体" w:hAnsi="宋体"/>
          <w:color w:val="auto"/>
          <w:szCs w:val="21"/>
          <w:u w:val="single"/>
        </w:rPr>
        <w:t>项目</w:t>
      </w:r>
      <w:r>
        <w:rPr>
          <w:rFonts w:ascii="宋体" w:hAnsi="宋体"/>
          <w:color w:val="auto"/>
          <w:szCs w:val="21"/>
          <w:u w:val="single"/>
        </w:rPr>
        <w:t>技术负责人处</w:t>
      </w:r>
      <w:r>
        <w:rPr>
          <w:rFonts w:hint="eastAsia" w:ascii="宋体" w:hAnsi="宋体"/>
          <w:color w:val="auto"/>
          <w:szCs w:val="21"/>
          <w:u w:val="single"/>
        </w:rPr>
        <w:t>10000</w:t>
      </w:r>
      <w:r>
        <w:rPr>
          <w:rFonts w:ascii="宋体" w:hAnsi="宋体"/>
          <w:color w:val="auto"/>
          <w:szCs w:val="21"/>
          <w:u w:val="single"/>
        </w:rPr>
        <w:t>元/人•次</w:t>
      </w:r>
      <w:r>
        <w:rPr>
          <w:rFonts w:hint="eastAsia" w:ascii="宋体" w:hAnsi="宋体"/>
          <w:color w:val="auto"/>
          <w:szCs w:val="21"/>
          <w:u w:val="single"/>
        </w:rPr>
        <w:t>（</w:t>
      </w:r>
      <w:r>
        <w:rPr>
          <w:rFonts w:ascii="宋体" w:hAnsi="宋体"/>
          <w:color w:val="auto"/>
          <w:szCs w:val="21"/>
          <w:u w:val="single"/>
        </w:rPr>
        <w:t>人民币</w:t>
      </w:r>
      <w:r>
        <w:rPr>
          <w:rFonts w:hint="eastAsia" w:ascii="宋体" w:hAnsi="宋体"/>
          <w:color w:val="auto"/>
          <w:szCs w:val="21"/>
          <w:u w:val="single"/>
        </w:rPr>
        <w:t>）</w:t>
      </w:r>
      <w:r>
        <w:rPr>
          <w:rFonts w:ascii="宋体" w:hAnsi="宋体"/>
          <w:color w:val="auto"/>
          <w:szCs w:val="21"/>
          <w:u w:val="single"/>
        </w:rPr>
        <w:t>违约金；擅自更换</w:t>
      </w:r>
      <w:r>
        <w:rPr>
          <w:rFonts w:hint="eastAsia" w:ascii="宋体" w:hAnsi="宋体"/>
          <w:color w:val="auto"/>
          <w:szCs w:val="21"/>
          <w:u w:val="single"/>
        </w:rPr>
        <w:t>专职安全员</w:t>
      </w:r>
      <w:r>
        <w:rPr>
          <w:rFonts w:ascii="宋体" w:hAnsi="宋体"/>
          <w:color w:val="auto"/>
          <w:szCs w:val="21"/>
          <w:u w:val="single"/>
        </w:rPr>
        <w:t>处</w:t>
      </w:r>
      <w:r>
        <w:rPr>
          <w:rFonts w:hint="eastAsia" w:ascii="宋体" w:hAnsi="宋体"/>
          <w:color w:val="auto"/>
          <w:szCs w:val="21"/>
          <w:u w:val="single"/>
        </w:rPr>
        <w:t>5000</w:t>
      </w:r>
      <w:r>
        <w:rPr>
          <w:rFonts w:ascii="宋体" w:hAnsi="宋体"/>
          <w:color w:val="auto"/>
          <w:szCs w:val="21"/>
          <w:u w:val="single"/>
        </w:rPr>
        <w:t>元/人•次</w:t>
      </w:r>
      <w:r>
        <w:rPr>
          <w:rFonts w:hint="eastAsia" w:ascii="宋体" w:hAnsi="宋体"/>
          <w:color w:val="auto"/>
          <w:szCs w:val="21"/>
          <w:u w:val="single"/>
        </w:rPr>
        <w:t>（</w:t>
      </w:r>
      <w:r>
        <w:rPr>
          <w:rFonts w:ascii="宋体" w:hAnsi="宋体"/>
          <w:color w:val="auto"/>
          <w:szCs w:val="21"/>
          <w:u w:val="single"/>
        </w:rPr>
        <w:t>人民币</w:t>
      </w:r>
      <w:r>
        <w:rPr>
          <w:rFonts w:hint="eastAsia" w:ascii="宋体" w:hAnsi="宋体"/>
          <w:color w:val="auto"/>
          <w:szCs w:val="21"/>
          <w:u w:val="single"/>
        </w:rPr>
        <w:t>）</w:t>
      </w:r>
      <w:r>
        <w:rPr>
          <w:rFonts w:ascii="宋体" w:hAnsi="宋体"/>
          <w:color w:val="auto"/>
          <w:szCs w:val="21"/>
          <w:u w:val="single"/>
        </w:rPr>
        <w:t>违约金</w:t>
      </w:r>
      <w:r>
        <w:rPr>
          <w:rFonts w:hint="eastAsia" w:ascii="宋体" w:hAnsi="宋体"/>
          <w:color w:val="auto"/>
          <w:szCs w:val="21"/>
          <w:u w:val="single"/>
        </w:rPr>
        <w:t>；</w:t>
      </w:r>
      <w:r>
        <w:rPr>
          <w:rFonts w:ascii="宋体" w:hAnsi="宋体"/>
          <w:color w:val="auto"/>
          <w:szCs w:val="21"/>
          <w:u w:val="single"/>
        </w:rPr>
        <w:t>擅自更换</w:t>
      </w:r>
      <w:r>
        <w:rPr>
          <w:rFonts w:hint="eastAsia" w:ascii="宋体" w:hAnsi="宋体"/>
          <w:color w:val="auto"/>
          <w:szCs w:val="21"/>
          <w:u w:val="single"/>
        </w:rPr>
        <w:t>其它在场管理人员</w:t>
      </w:r>
      <w:r>
        <w:rPr>
          <w:rFonts w:ascii="宋体" w:hAnsi="宋体"/>
          <w:color w:val="auto"/>
          <w:szCs w:val="21"/>
          <w:u w:val="single"/>
        </w:rPr>
        <w:t>处</w:t>
      </w:r>
      <w:r>
        <w:rPr>
          <w:rFonts w:hint="eastAsia" w:ascii="宋体" w:hAnsi="宋体"/>
          <w:color w:val="auto"/>
          <w:szCs w:val="21"/>
          <w:u w:val="single"/>
        </w:rPr>
        <w:t>2000</w:t>
      </w:r>
      <w:r>
        <w:rPr>
          <w:rFonts w:ascii="宋体" w:hAnsi="宋体"/>
          <w:color w:val="auto"/>
          <w:szCs w:val="21"/>
          <w:u w:val="single"/>
        </w:rPr>
        <w:t>元/人•次</w:t>
      </w:r>
      <w:r>
        <w:rPr>
          <w:rFonts w:hint="eastAsia" w:ascii="宋体" w:hAnsi="宋体"/>
          <w:color w:val="auto"/>
          <w:szCs w:val="21"/>
          <w:u w:val="single"/>
        </w:rPr>
        <w:t>（</w:t>
      </w:r>
      <w:r>
        <w:rPr>
          <w:rFonts w:ascii="宋体" w:hAnsi="宋体"/>
          <w:color w:val="auto"/>
          <w:szCs w:val="21"/>
          <w:u w:val="single"/>
        </w:rPr>
        <w:t>人民币</w:t>
      </w:r>
      <w:r>
        <w:rPr>
          <w:rFonts w:hint="eastAsia" w:ascii="宋体" w:hAnsi="宋体"/>
          <w:color w:val="auto"/>
          <w:szCs w:val="21"/>
          <w:u w:val="single"/>
        </w:rPr>
        <w:t>）</w:t>
      </w:r>
      <w:r>
        <w:rPr>
          <w:rFonts w:ascii="宋体" w:hAnsi="宋体"/>
          <w:color w:val="auto"/>
          <w:szCs w:val="21"/>
          <w:u w:val="single"/>
        </w:rPr>
        <w:t>违约金</w:t>
      </w:r>
      <w:r>
        <w:rPr>
          <w:rFonts w:ascii="宋体" w:hAnsi="宋体"/>
          <w:color w:val="auto"/>
          <w:szCs w:val="21"/>
        </w:rPr>
        <w:t>。</w:t>
      </w:r>
    </w:p>
    <w:p w14:paraId="6FCD6951">
      <w:pPr>
        <w:spacing w:line="360" w:lineRule="auto"/>
        <w:ind w:firstLine="420" w:firstLineChars="200"/>
        <w:rPr>
          <w:rFonts w:ascii="宋体" w:hAnsi="宋体"/>
          <w:color w:val="auto"/>
          <w:szCs w:val="21"/>
        </w:rPr>
      </w:pPr>
      <w:r>
        <w:rPr>
          <w:rFonts w:ascii="宋体" w:hAnsi="宋体"/>
          <w:color w:val="auto"/>
          <w:szCs w:val="21"/>
        </w:rPr>
        <w:t>承包人主要施工管理人员擅自离开施工现场的违约责任：</w:t>
      </w:r>
      <w:r>
        <w:rPr>
          <w:rFonts w:ascii="宋体" w:hAnsi="宋体"/>
          <w:color w:val="auto"/>
          <w:szCs w:val="21"/>
          <w:u w:val="single"/>
        </w:rPr>
        <w:t>未经发包人同意，</w:t>
      </w:r>
      <w:r>
        <w:rPr>
          <w:rFonts w:hint="eastAsia" w:ascii="宋体" w:hAnsi="宋体"/>
          <w:color w:val="auto"/>
          <w:szCs w:val="21"/>
          <w:u w:val="single"/>
        </w:rPr>
        <w:t>项目</w:t>
      </w:r>
      <w:r>
        <w:rPr>
          <w:rFonts w:ascii="宋体" w:hAnsi="宋体"/>
          <w:color w:val="auto"/>
          <w:szCs w:val="21"/>
          <w:u w:val="single"/>
        </w:rPr>
        <w:t>技术负责人擅自离岗的，视为承包人违约，发包人有权处违约金</w:t>
      </w:r>
      <w:r>
        <w:rPr>
          <w:rFonts w:hint="eastAsia" w:ascii="宋体" w:hAnsi="宋体"/>
          <w:color w:val="auto"/>
          <w:szCs w:val="21"/>
          <w:u w:val="single"/>
        </w:rPr>
        <w:t>10000</w:t>
      </w:r>
      <w:r>
        <w:rPr>
          <w:rFonts w:ascii="宋体" w:hAnsi="宋体"/>
          <w:color w:val="auto"/>
          <w:szCs w:val="21"/>
          <w:u w:val="single"/>
        </w:rPr>
        <w:t>元/人•次</w:t>
      </w:r>
      <w:r>
        <w:rPr>
          <w:rFonts w:hint="eastAsia" w:ascii="宋体" w:hAnsi="宋体"/>
          <w:color w:val="auto"/>
          <w:szCs w:val="21"/>
          <w:u w:val="single"/>
        </w:rPr>
        <w:t>（</w:t>
      </w:r>
      <w:r>
        <w:rPr>
          <w:rFonts w:ascii="宋体" w:hAnsi="宋体"/>
          <w:color w:val="auto"/>
          <w:szCs w:val="21"/>
          <w:u w:val="single"/>
        </w:rPr>
        <w:t>人民币</w:t>
      </w:r>
      <w:r>
        <w:rPr>
          <w:rFonts w:hint="eastAsia" w:ascii="宋体" w:hAnsi="宋体"/>
          <w:color w:val="auto"/>
          <w:szCs w:val="21"/>
          <w:u w:val="single"/>
        </w:rPr>
        <w:t>）</w:t>
      </w:r>
      <w:r>
        <w:rPr>
          <w:rFonts w:ascii="宋体" w:hAnsi="宋体"/>
          <w:color w:val="auto"/>
          <w:szCs w:val="21"/>
          <w:u w:val="single"/>
        </w:rPr>
        <w:t>；未经发包人同意，</w:t>
      </w:r>
      <w:r>
        <w:rPr>
          <w:rFonts w:hint="eastAsia" w:ascii="宋体" w:hAnsi="宋体"/>
          <w:color w:val="auto"/>
          <w:szCs w:val="21"/>
          <w:u w:val="single"/>
        </w:rPr>
        <w:t>专职安全员</w:t>
      </w:r>
      <w:r>
        <w:rPr>
          <w:rFonts w:ascii="宋体" w:hAnsi="宋体"/>
          <w:color w:val="auto"/>
          <w:szCs w:val="21"/>
          <w:u w:val="single"/>
        </w:rPr>
        <w:t>擅自离岗的，视为承包人违约，发包人有权处违约金</w:t>
      </w:r>
      <w:r>
        <w:rPr>
          <w:rFonts w:hint="eastAsia" w:ascii="宋体" w:hAnsi="宋体"/>
          <w:color w:val="auto"/>
          <w:szCs w:val="21"/>
          <w:u w:val="single"/>
        </w:rPr>
        <w:t>5000</w:t>
      </w:r>
      <w:r>
        <w:rPr>
          <w:rFonts w:ascii="宋体" w:hAnsi="宋体"/>
          <w:color w:val="auto"/>
          <w:szCs w:val="21"/>
          <w:u w:val="single"/>
        </w:rPr>
        <w:t>元/人•次</w:t>
      </w:r>
      <w:r>
        <w:rPr>
          <w:rFonts w:hint="eastAsia" w:ascii="宋体" w:hAnsi="宋体"/>
          <w:color w:val="auto"/>
          <w:szCs w:val="21"/>
          <w:u w:val="single"/>
        </w:rPr>
        <w:t>（</w:t>
      </w:r>
      <w:r>
        <w:rPr>
          <w:rFonts w:ascii="宋体" w:hAnsi="宋体"/>
          <w:color w:val="auto"/>
          <w:szCs w:val="21"/>
          <w:u w:val="single"/>
        </w:rPr>
        <w:t>人民币</w:t>
      </w:r>
      <w:r>
        <w:rPr>
          <w:rFonts w:hint="eastAsia" w:ascii="宋体" w:hAnsi="宋体"/>
          <w:color w:val="auto"/>
          <w:szCs w:val="21"/>
          <w:u w:val="single"/>
        </w:rPr>
        <w:t>）</w:t>
      </w:r>
      <w:r>
        <w:rPr>
          <w:rFonts w:ascii="宋体" w:hAnsi="宋体"/>
          <w:color w:val="auto"/>
          <w:szCs w:val="21"/>
          <w:u w:val="single"/>
        </w:rPr>
        <w:t>；</w:t>
      </w:r>
      <w:r>
        <w:rPr>
          <w:rFonts w:hint="eastAsia" w:ascii="宋体" w:hAnsi="宋体"/>
          <w:color w:val="auto"/>
          <w:szCs w:val="21"/>
          <w:u w:val="single"/>
        </w:rPr>
        <w:t>其它在场管理人员</w:t>
      </w:r>
      <w:r>
        <w:rPr>
          <w:rFonts w:ascii="宋体" w:hAnsi="宋体"/>
          <w:color w:val="auto"/>
          <w:szCs w:val="21"/>
          <w:u w:val="single"/>
        </w:rPr>
        <w:t>擅自离岗的，视为承包人违约，发包人有权处违约金</w:t>
      </w:r>
      <w:r>
        <w:rPr>
          <w:rFonts w:hint="eastAsia" w:ascii="宋体" w:hAnsi="宋体"/>
          <w:color w:val="auto"/>
          <w:szCs w:val="21"/>
          <w:u w:val="single"/>
        </w:rPr>
        <w:t>1000</w:t>
      </w:r>
      <w:r>
        <w:rPr>
          <w:rFonts w:ascii="宋体" w:hAnsi="宋体"/>
          <w:color w:val="auto"/>
          <w:szCs w:val="21"/>
          <w:u w:val="single"/>
        </w:rPr>
        <w:t>元/人•次</w:t>
      </w:r>
      <w:r>
        <w:rPr>
          <w:rFonts w:hint="eastAsia" w:ascii="宋体" w:hAnsi="宋体"/>
          <w:color w:val="auto"/>
          <w:szCs w:val="21"/>
          <w:u w:val="single"/>
        </w:rPr>
        <w:t>（</w:t>
      </w:r>
      <w:r>
        <w:rPr>
          <w:rFonts w:ascii="宋体" w:hAnsi="宋体"/>
          <w:color w:val="auto"/>
          <w:szCs w:val="21"/>
          <w:u w:val="single"/>
        </w:rPr>
        <w:t>人民币</w:t>
      </w:r>
      <w:r>
        <w:rPr>
          <w:rFonts w:hint="eastAsia" w:ascii="宋体" w:hAnsi="宋体"/>
          <w:color w:val="auto"/>
          <w:szCs w:val="21"/>
          <w:u w:val="single"/>
        </w:rPr>
        <w:t>）</w:t>
      </w:r>
      <w:r>
        <w:rPr>
          <w:rFonts w:ascii="宋体" w:hAnsi="宋体"/>
          <w:color w:val="auto"/>
          <w:szCs w:val="21"/>
        </w:rPr>
        <w:t>。</w:t>
      </w:r>
    </w:p>
    <w:p w14:paraId="63BC05C1">
      <w:pPr>
        <w:keepNext/>
        <w:keepLines/>
        <w:spacing w:before="260" w:after="260" w:line="416" w:lineRule="auto"/>
        <w:outlineLvl w:val="1"/>
        <w:rPr>
          <w:rFonts w:ascii="宋体" w:hAnsi="宋体"/>
          <w:b/>
          <w:bCs/>
          <w:color w:val="auto"/>
          <w:sz w:val="32"/>
          <w:szCs w:val="32"/>
        </w:rPr>
      </w:pPr>
      <w:bookmarkStart w:id="431" w:name="_Toc508379723"/>
      <w:bookmarkStart w:id="432" w:name="_Toc389065276"/>
      <w:bookmarkStart w:id="433" w:name="_Toc407135212"/>
      <w:bookmarkStart w:id="434" w:name="_Toc373478357"/>
      <w:bookmarkStart w:id="435" w:name="_Toc373227710"/>
      <w:bookmarkStart w:id="436" w:name="_Toc495673388"/>
      <w:bookmarkStart w:id="437" w:name="_Toc86935873"/>
      <w:bookmarkStart w:id="438" w:name="_Toc30659"/>
      <w:bookmarkStart w:id="439" w:name="_Toc2963"/>
      <w:r>
        <w:rPr>
          <w:rFonts w:ascii="宋体" w:hAnsi="宋体"/>
          <w:b/>
          <w:bCs/>
          <w:color w:val="auto"/>
          <w:sz w:val="32"/>
          <w:szCs w:val="32"/>
        </w:rPr>
        <w:t>3</w:t>
      </w:r>
      <w:bookmarkStart w:id="440" w:name="_Toc296503159"/>
      <w:bookmarkStart w:id="441" w:name="_Toc292559869"/>
      <w:bookmarkStart w:id="442" w:name="_Toc296890987"/>
      <w:bookmarkStart w:id="443" w:name="_Toc296347158"/>
      <w:bookmarkStart w:id="444" w:name="_Toc304295523"/>
      <w:bookmarkStart w:id="445" w:name="_Toc297048345"/>
      <w:bookmarkStart w:id="446" w:name="_Toc296891199"/>
      <w:bookmarkStart w:id="447" w:name="_Toc300934945"/>
      <w:bookmarkStart w:id="448" w:name="_Toc312677988"/>
      <w:bookmarkStart w:id="449" w:name="_Toc297120459"/>
      <w:bookmarkStart w:id="450" w:name="_Toc297123492"/>
      <w:bookmarkStart w:id="451" w:name="_Toc297216151"/>
      <w:bookmarkStart w:id="452" w:name="_Toc296944498"/>
      <w:bookmarkStart w:id="453" w:name="_Toc292559364"/>
      <w:bookmarkStart w:id="454" w:name="_Toc303539102"/>
      <w:bookmarkStart w:id="455" w:name="_Toc296346660"/>
      <w:r>
        <w:rPr>
          <w:rFonts w:ascii="宋体" w:hAnsi="宋体"/>
          <w:b/>
          <w:bCs/>
          <w:color w:val="auto"/>
          <w:sz w:val="32"/>
          <w:szCs w:val="32"/>
        </w:rPr>
        <w:t>.5 分包</w:t>
      </w:r>
      <w:bookmarkEnd w:id="431"/>
      <w:bookmarkEnd w:id="432"/>
      <w:bookmarkEnd w:id="433"/>
      <w:bookmarkEnd w:id="434"/>
      <w:bookmarkEnd w:id="435"/>
      <w:bookmarkEnd w:id="436"/>
      <w:bookmarkEnd w:id="437"/>
      <w:bookmarkEnd w:id="438"/>
      <w:bookmarkEnd w:id="439"/>
    </w:p>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14:paraId="69BAFD1C">
      <w:pPr>
        <w:spacing w:line="360" w:lineRule="auto"/>
        <w:ind w:firstLine="420" w:firstLineChars="200"/>
        <w:outlineLvl w:val="2"/>
        <w:rPr>
          <w:rFonts w:ascii="宋体" w:hAnsi="宋体"/>
          <w:color w:val="auto"/>
          <w:szCs w:val="21"/>
        </w:rPr>
      </w:pPr>
      <w:r>
        <w:rPr>
          <w:rFonts w:ascii="宋体" w:hAnsi="宋体"/>
          <w:color w:val="auto"/>
          <w:szCs w:val="21"/>
        </w:rPr>
        <w:t>3</w:t>
      </w:r>
      <w:bookmarkStart w:id="456" w:name="_Toc297216152"/>
      <w:bookmarkStart w:id="457" w:name="_Toc318581158"/>
      <w:bookmarkStart w:id="458" w:name="_Toc296890988"/>
      <w:bookmarkStart w:id="459" w:name="_Toc297048346"/>
      <w:bookmarkStart w:id="460" w:name="_Toc303539103"/>
      <w:bookmarkStart w:id="461" w:name="_Toc296503160"/>
      <w:bookmarkStart w:id="462" w:name="_Toc304295524"/>
      <w:bookmarkStart w:id="463" w:name="_Toc297120460"/>
      <w:bookmarkStart w:id="464" w:name="_Toc297123493"/>
      <w:bookmarkStart w:id="465" w:name="_Toc296346661"/>
      <w:bookmarkStart w:id="466" w:name="_Toc296347159"/>
      <w:bookmarkStart w:id="467" w:name="_Toc312677989"/>
      <w:bookmarkStart w:id="468" w:name="_Toc292559365"/>
      <w:bookmarkStart w:id="469" w:name="_Toc296891200"/>
      <w:bookmarkStart w:id="470" w:name="_Toc300934946"/>
      <w:bookmarkStart w:id="471" w:name="_Toc296944499"/>
      <w:bookmarkStart w:id="472" w:name="_Toc292559870"/>
      <w:r>
        <w:rPr>
          <w:rFonts w:ascii="宋体" w:hAnsi="宋体"/>
          <w:color w:val="auto"/>
          <w:szCs w:val="21"/>
        </w:rPr>
        <w:t>.5.1 分包的一般约定</w:t>
      </w:r>
    </w:p>
    <w:p w14:paraId="190819B0">
      <w:pPr>
        <w:spacing w:line="360" w:lineRule="auto"/>
        <w:ind w:firstLine="420" w:firstLineChars="200"/>
        <w:jc w:val="left"/>
        <w:rPr>
          <w:rFonts w:ascii="宋体" w:hAnsi="宋体"/>
          <w:color w:val="auto"/>
          <w:szCs w:val="21"/>
        </w:rPr>
      </w:pPr>
      <w:r>
        <w:rPr>
          <w:rFonts w:ascii="宋体" w:hAnsi="宋体"/>
          <w:color w:val="auto"/>
          <w:szCs w:val="21"/>
        </w:rPr>
        <w:t>禁止分包的工程包括：</w:t>
      </w:r>
      <w:r>
        <w:rPr>
          <w:rFonts w:hint="eastAsia" w:ascii="宋体" w:hAnsi="宋体"/>
          <w:color w:val="auto"/>
          <w:szCs w:val="21"/>
          <w:u w:val="single"/>
        </w:rPr>
        <w:t xml:space="preserve">                      </w:t>
      </w:r>
      <w:r>
        <w:rPr>
          <w:rFonts w:ascii="宋体" w:hAnsi="宋体"/>
          <w:color w:val="auto"/>
          <w:szCs w:val="21"/>
        </w:rPr>
        <w:t>。</w:t>
      </w:r>
    </w:p>
    <w:p w14:paraId="45FE04FB">
      <w:pPr>
        <w:spacing w:line="360" w:lineRule="auto"/>
        <w:ind w:firstLine="420" w:firstLineChars="200"/>
        <w:jc w:val="left"/>
        <w:rPr>
          <w:rFonts w:ascii="宋体" w:hAnsi="宋体"/>
          <w:color w:val="auto"/>
          <w:szCs w:val="21"/>
        </w:rPr>
      </w:pPr>
      <w:r>
        <w:rPr>
          <w:rFonts w:ascii="宋体" w:hAnsi="宋体"/>
          <w:color w:val="auto"/>
          <w:szCs w:val="21"/>
        </w:rPr>
        <w:t>主体结构、关键性工作的范围：</w:t>
      </w:r>
      <w:r>
        <w:rPr>
          <w:rFonts w:hint="eastAsia" w:ascii="宋体" w:hAnsi="宋体"/>
          <w:color w:val="auto"/>
          <w:szCs w:val="21"/>
          <w:u w:val="single"/>
        </w:rPr>
        <w:t xml:space="preserve">                      </w:t>
      </w:r>
      <w:r>
        <w:rPr>
          <w:rFonts w:ascii="宋体" w:hAnsi="宋体"/>
          <w:color w:val="auto"/>
          <w:szCs w:val="21"/>
        </w:rPr>
        <w:t>。</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14:paraId="499B58DC">
      <w:pPr>
        <w:spacing w:line="360" w:lineRule="auto"/>
        <w:ind w:firstLine="420" w:firstLineChars="200"/>
        <w:jc w:val="left"/>
        <w:outlineLvl w:val="2"/>
        <w:rPr>
          <w:rFonts w:ascii="宋体" w:hAnsi="宋体"/>
          <w:color w:val="auto"/>
          <w:szCs w:val="21"/>
        </w:rPr>
      </w:pPr>
      <w:r>
        <w:rPr>
          <w:rFonts w:ascii="宋体" w:hAnsi="宋体"/>
          <w:color w:val="auto"/>
          <w:szCs w:val="21"/>
        </w:rPr>
        <w:t>3</w:t>
      </w:r>
      <w:bookmarkStart w:id="473" w:name="_Toc312677990"/>
      <w:bookmarkStart w:id="474" w:name="_Toc318581159"/>
      <w:r>
        <w:rPr>
          <w:rFonts w:ascii="宋体" w:hAnsi="宋体"/>
          <w:color w:val="auto"/>
          <w:szCs w:val="21"/>
        </w:rPr>
        <w:t>.5.2分包的确定</w:t>
      </w:r>
    </w:p>
    <w:p w14:paraId="5D3EFBB9">
      <w:pPr>
        <w:spacing w:line="360" w:lineRule="auto"/>
        <w:ind w:firstLine="420" w:firstLineChars="200"/>
        <w:rPr>
          <w:rFonts w:ascii="宋体" w:hAnsi="宋体"/>
          <w:color w:val="auto"/>
          <w:szCs w:val="21"/>
          <w:u w:val="single"/>
        </w:rPr>
      </w:pPr>
      <w:r>
        <w:rPr>
          <w:rFonts w:ascii="宋体" w:hAnsi="宋体"/>
          <w:color w:val="auto"/>
          <w:szCs w:val="21"/>
        </w:rPr>
        <w:t>允许分包的专业工程包括：</w:t>
      </w:r>
      <w:r>
        <w:rPr>
          <w:rFonts w:hint="eastAsia" w:ascii="宋体" w:hAnsi="宋体"/>
          <w:color w:val="auto"/>
          <w:szCs w:val="21"/>
          <w:u w:val="single"/>
        </w:rPr>
        <w:t xml:space="preserve">                      </w:t>
      </w:r>
      <w:r>
        <w:rPr>
          <w:rFonts w:ascii="宋体" w:hAnsi="宋体"/>
          <w:color w:val="auto"/>
          <w:szCs w:val="21"/>
        </w:rPr>
        <w:t>。</w:t>
      </w:r>
    </w:p>
    <w:p w14:paraId="37F2429D">
      <w:pPr>
        <w:spacing w:line="360" w:lineRule="auto"/>
        <w:ind w:firstLine="420" w:firstLineChars="200"/>
        <w:rPr>
          <w:rFonts w:ascii="宋体" w:hAnsi="宋体"/>
          <w:color w:val="auto"/>
          <w:szCs w:val="21"/>
        </w:rPr>
      </w:pPr>
      <w:r>
        <w:rPr>
          <w:rFonts w:ascii="宋体" w:hAnsi="宋体"/>
          <w:color w:val="auto"/>
          <w:szCs w:val="21"/>
        </w:rPr>
        <w:t>其他关于分包的约定：</w:t>
      </w:r>
    </w:p>
    <w:p w14:paraId="45C385EC">
      <w:pPr>
        <w:spacing w:line="360" w:lineRule="auto"/>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w:t>
      </w:r>
      <w:r>
        <w:rPr>
          <w:rFonts w:ascii="宋体" w:hAnsi="宋体"/>
          <w:color w:val="auto"/>
          <w:szCs w:val="21"/>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r>
        <w:rPr>
          <w:rFonts w:hint="eastAsia" w:ascii="宋体" w:hAnsi="宋体"/>
          <w:color w:val="auto"/>
          <w:szCs w:val="21"/>
        </w:rPr>
        <w:t>本项目分包人主要施工管理人员名单详见合同附件4。</w:t>
      </w:r>
    </w:p>
    <w:p w14:paraId="4934CF75">
      <w:pPr>
        <w:spacing w:line="360" w:lineRule="auto"/>
        <w:ind w:firstLine="420" w:firstLineChars="200"/>
        <w:rPr>
          <w:rFonts w:ascii="宋体" w:hAnsi="宋体"/>
          <w:color w:val="auto"/>
          <w:szCs w:val="21"/>
          <w:u w:val="single"/>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w:t>
      </w:r>
      <w:r>
        <w:rPr>
          <w:rFonts w:ascii="宋体" w:hAnsi="宋体"/>
          <w:color w:val="auto"/>
          <w:szCs w:val="21"/>
        </w:rPr>
        <w:t>在相关分包合同签订并报送有关建设行政主管部门备案后7天内，承包人应当将一份副本提交给监理人，承包人应保障分包工作不得再次分包。</w:t>
      </w:r>
    </w:p>
    <w:p w14:paraId="16CEEAE4">
      <w:pPr>
        <w:spacing w:line="360" w:lineRule="auto"/>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w:t>
      </w:r>
      <w:r>
        <w:rPr>
          <w:rFonts w:ascii="宋体" w:hAnsi="宋体"/>
          <w:color w:val="auto"/>
          <w:szCs w:val="21"/>
        </w:rPr>
        <w:t>未经承包人和监理人审批同意的分包工程和分包人，承包人有权拒绝验收分包工程和支付相应款项，由此引起的发包人费用增加和(或)延误的工期由发包人承担。</w:t>
      </w:r>
    </w:p>
    <w:p w14:paraId="1430E0C8">
      <w:pPr>
        <w:spacing w:line="360" w:lineRule="auto"/>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w:t>
      </w:r>
      <w:r>
        <w:rPr>
          <w:rFonts w:ascii="宋体" w:hAnsi="宋体"/>
          <w:color w:val="auto"/>
          <w:szCs w:val="21"/>
        </w:rPr>
        <w:t>承包人有以下情况之一者，发包人有权解除合同，并视情况扣除其履约保证金：</w:t>
      </w:r>
    </w:p>
    <w:p w14:paraId="5BDD5970">
      <w:pPr>
        <w:spacing w:line="360" w:lineRule="auto"/>
        <w:ind w:firstLine="441" w:firstLineChars="210"/>
        <w:rPr>
          <w:rFonts w:ascii="宋体" w:hAnsi="宋体"/>
          <w:color w:val="auto"/>
          <w:szCs w:val="21"/>
        </w:rPr>
      </w:pPr>
      <w:r>
        <w:rPr>
          <w:rFonts w:ascii="宋体" w:hAnsi="宋体"/>
          <w:color w:val="auto"/>
          <w:szCs w:val="21"/>
        </w:rPr>
        <w:t>①个人承包工程，包括本人单位及外单位人员承包，发包人不承认其个人拥有任何资质等级及营业许可资格。没收全部履约保证金。</w:t>
      </w:r>
    </w:p>
    <w:p w14:paraId="20D372C1">
      <w:pPr>
        <w:spacing w:line="360" w:lineRule="auto"/>
        <w:ind w:firstLine="441" w:firstLineChars="210"/>
        <w:rPr>
          <w:rFonts w:ascii="宋体" w:hAnsi="宋体"/>
          <w:color w:val="auto"/>
          <w:szCs w:val="21"/>
        </w:rPr>
      </w:pPr>
      <w:r>
        <w:rPr>
          <w:rFonts w:ascii="宋体" w:hAnsi="宋体"/>
          <w:color w:val="auto"/>
          <w:szCs w:val="21"/>
        </w:rPr>
        <w:t>②几个人联合承包工程，就地组织暗分包队伍，不具备完成本工程的技术、机械能力，被发包人判定为没有能力履行的承包人。没收全部履约保证金。</w:t>
      </w:r>
    </w:p>
    <w:p w14:paraId="38AE615B">
      <w:pPr>
        <w:spacing w:line="360" w:lineRule="auto"/>
        <w:ind w:firstLine="441" w:firstLineChars="210"/>
        <w:rPr>
          <w:rFonts w:ascii="宋体" w:hAnsi="宋体"/>
          <w:color w:val="auto"/>
          <w:szCs w:val="21"/>
        </w:rPr>
      </w:pPr>
      <w:r>
        <w:rPr>
          <w:rFonts w:ascii="宋体" w:hAnsi="宋体"/>
          <w:color w:val="auto"/>
          <w:szCs w:val="21"/>
        </w:rPr>
        <w:t>③就地转包全部的工程，以谋取高额转让费、管理费的承包人。没收全部履约保证金。</w:t>
      </w:r>
    </w:p>
    <w:p w14:paraId="5FF77EA4">
      <w:pPr>
        <w:spacing w:line="360" w:lineRule="auto"/>
        <w:ind w:firstLine="420" w:firstLineChars="200"/>
        <w:rPr>
          <w:rFonts w:ascii="宋体" w:hAnsi="宋体"/>
          <w:color w:val="auto"/>
          <w:szCs w:val="21"/>
          <w:u w:val="single"/>
        </w:rPr>
      </w:pPr>
      <w:r>
        <w:rPr>
          <w:rFonts w:ascii="宋体" w:hAnsi="宋体"/>
          <w:color w:val="auto"/>
          <w:szCs w:val="21"/>
        </w:rPr>
        <w:t>④承包人有部分分包现象（其中包括冒充承包人下属单位的挂勾单位，凭口头协议参与施工的分包人及其他暗分包个体户），一经发现核实，发包人将采取驱逐该暗分包人措施。没收全部履约保证金。</w:t>
      </w:r>
    </w:p>
    <w:p w14:paraId="63C5CCDE">
      <w:pPr>
        <w:spacing w:line="360" w:lineRule="auto"/>
        <w:ind w:firstLine="420" w:firstLineChars="200"/>
        <w:outlineLvl w:val="2"/>
        <w:rPr>
          <w:rFonts w:ascii="宋体" w:hAnsi="宋体"/>
          <w:color w:val="auto"/>
          <w:szCs w:val="21"/>
        </w:rPr>
      </w:pPr>
      <w:r>
        <w:rPr>
          <w:rFonts w:ascii="宋体" w:hAnsi="宋体"/>
          <w:color w:val="auto"/>
          <w:szCs w:val="21"/>
        </w:rPr>
        <w:t>3.5.4 分包合同价款</w:t>
      </w:r>
    </w:p>
    <w:bookmarkEnd w:id="473"/>
    <w:bookmarkEnd w:id="474"/>
    <w:p w14:paraId="1391C353">
      <w:pPr>
        <w:spacing w:line="360" w:lineRule="auto"/>
        <w:ind w:firstLine="420" w:firstLineChars="200"/>
        <w:rPr>
          <w:rFonts w:ascii="宋体" w:hAnsi="宋体"/>
          <w:color w:val="auto"/>
          <w:szCs w:val="21"/>
        </w:rPr>
      </w:pPr>
      <w:bookmarkStart w:id="475" w:name="_Toc389065277"/>
      <w:bookmarkStart w:id="476" w:name="_Toc373478358"/>
      <w:bookmarkStart w:id="477" w:name="_Toc373227711"/>
      <w:r>
        <w:rPr>
          <w:rFonts w:ascii="宋体" w:hAnsi="宋体"/>
          <w:color w:val="auto"/>
          <w:szCs w:val="21"/>
        </w:rPr>
        <w:t>关于分包合同价款支付的约定：</w:t>
      </w:r>
      <w:r>
        <w:rPr>
          <w:rFonts w:ascii="宋体" w:hAnsi="宋体"/>
          <w:color w:val="auto"/>
          <w:szCs w:val="21"/>
          <w:u w:val="single"/>
        </w:rPr>
        <w:t>分包工程价款由承包人与分包人</w:t>
      </w:r>
      <w:r>
        <w:rPr>
          <w:rFonts w:hint="eastAsia" w:ascii="宋体" w:hAnsi="宋体"/>
          <w:color w:val="auto"/>
          <w:szCs w:val="21"/>
          <w:u w:val="single"/>
        </w:rPr>
        <w:t>（</w:t>
      </w:r>
      <w:r>
        <w:rPr>
          <w:rFonts w:ascii="宋体" w:hAnsi="宋体"/>
          <w:color w:val="auto"/>
          <w:szCs w:val="21"/>
          <w:u w:val="single"/>
        </w:rPr>
        <w:t>包括专业分包人</w:t>
      </w:r>
      <w:r>
        <w:rPr>
          <w:rFonts w:hint="eastAsia" w:ascii="宋体" w:hAnsi="宋体"/>
          <w:color w:val="auto"/>
          <w:szCs w:val="21"/>
          <w:u w:val="single"/>
        </w:rPr>
        <w:t>）</w:t>
      </w:r>
      <w:r>
        <w:rPr>
          <w:rFonts w:ascii="宋体" w:hAnsi="宋体"/>
          <w:color w:val="auto"/>
          <w:szCs w:val="21"/>
          <w:u w:val="single"/>
        </w:rPr>
        <w:t>结算。发包人未经承包人同意不得以任何形式向分包人</w:t>
      </w:r>
      <w:r>
        <w:rPr>
          <w:rFonts w:hint="eastAsia" w:ascii="宋体" w:hAnsi="宋体"/>
          <w:color w:val="auto"/>
          <w:szCs w:val="21"/>
          <w:u w:val="single"/>
        </w:rPr>
        <w:t>（</w:t>
      </w:r>
      <w:r>
        <w:rPr>
          <w:rFonts w:ascii="宋体" w:hAnsi="宋体"/>
          <w:color w:val="auto"/>
          <w:szCs w:val="21"/>
          <w:u w:val="single"/>
        </w:rPr>
        <w:t>包括专业分包人</w:t>
      </w:r>
      <w:r>
        <w:rPr>
          <w:rFonts w:hint="eastAsia" w:ascii="宋体" w:hAnsi="宋体"/>
          <w:color w:val="auto"/>
          <w:szCs w:val="21"/>
          <w:u w:val="single"/>
        </w:rPr>
        <w:t>）</w:t>
      </w:r>
      <w:r>
        <w:rPr>
          <w:rFonts w:ascii="宋体" w:hAnsi="宋体"/>
          <w:color w:val="auto"/>
          <w:szCs w:val="21"/>
          <w:u w:val="single"/>
        </w:rPr>
        <w:t>支付相关分包合同项下的任何工程款项。因发包人未经承包人同意直接向分包人</w:t>
      </w:r>
      <w:r>
        <w:rPr>
          <w:rFonts w:hint="eastAsia" w:ascii="宋体" w:hAnsi="宋体"/>
          <w:color w:val="auto"/>
          <w:szCs w:val="21"/>
          <w:u w:val="single"/>
        </w:rPr>
        <w:t>（</w:t>
      </w:r>
      <w:r>
        <w:rPr>
          <w:rFonts w:ascii="宋体" w:hAnsi="宋体"/>
          <w:color w:val="auto"/>
          <w:szCs w:val="21"/>
          <w:u w:val="single"/>
        </w:rPr>
        <w:t>包括专业分包人</w:t>
      </w:r>
      <w:r>
        <w:rPr>
          <w:rFonts w:hint="eastAsia" w:ascii="宋体" w:hAnsi="宋体"/>
          <w:color w:val="auto"/>
          <w:szCs w:val="21"/>
          <w:u w:val="single"/>
        </w:rPr>
        <w:t>）</w:t>
      </w:r>
      <w:r>
        <w:rPr>
          <w:rFonts w:ascii="宋体" w:hAnsi="宋体"/>
          <w:color w:val="auto"/>
          <w:szCs w:val="21"/>
          <w:u w:val="single"/>
        </w:rPr>
        <w:t>支付相关分包合同项下的任何工程款项而影响承包人工作的，所造成的承包人费用增加和</w:t>
      </w:r>
      <w:r>
        <w:rPr>
          <w:rFonts w:hint="eastAsia" w:ascii="宋体" w:hAnsi="宋体"/>
          <w:color w:val="auto"/>
          <w:szCs w:val="21"/>
          <w:u w:val="single"/>
        </w:rPr>
        <w:t>（</w:t>
      </w:r>
      <w:r>
        <w:rPr>
          <w:rFonts w:ascii="宋体" w:hAnsi="宋体"/>
          <w:color w:val="auto"/>
          <w:szCs w:val="21"/>
          <w:u w:val="single"/>
        </w:rPr>
        <w:t>或</w:t>
      </w:r>
      <w:r>
        <w:rPr>
          <w:rFonts w:hint="eastAsia" w:ascii="宋体" w:hAnsi="宋体"/>
          <w:color w:val="auto"/>
          <w:szCs w:val="21"/>
          <w:u w:val="single"/>
        </w:rPr>
        <w:t>）</w:t>
      </w:r>
      <w:r>
        <w:rPr>
          <w:rFonts w:ascii="宋体" w:hAnsi="宋体"/>
          <w:color w:val="auto"/>
          <w:szCs w:val="21"/>
          <w:u w:val="single"/>
        </w:rPr>
        <w:t>延误的工期由发包人承担。</w:t>
      </w:r>
    </w:p>
    <w:p w14:paraId="640C30F6">
      <w:pPr>
        <w:keepNext/>
        <w:keepLines/>
        <w:spacing w:before="260" w:after="260" w:line="416" w:lineRule="auto"/>
        <w:outlineLvl w:val="1"/>
        <w:rPr>
          <w:rFonts w:ascii="宋体" w:hAnsi="宋体"/>
          <w:b/>
          <w:bCs/>
          <w:color w:val="auto"/>
          <w:sz w:val="32"/>
          <w:szCs w:val="32"/>
        </w:rPr>
      </w:pPr>
      <w:bookmarkStart w:id="478" w:name="_Toc86935874"/>
      <w:bookmarkStart w:id="479" w:name="_Toc32357"/>
      <w:bookmarkStart w:id="480" w:name="_Toc26886"/>
      <w:bookmarkStart w:id="481" w:name="_Toc495673389"/>
      <w:bookmarkStart w:id="482" w:name="_Toc407135213"/>
      <w:bookmarkStart w:id="483" w:name="_Toc508379724"/>
      <w:r>
        <w:rPr>
          <w:rFonts w:ascii="宋体" w:hAnsi="宋体"/>
          <w:b/>
          <w:bCs/>
          <w:color w:val="auto"/>
          <w:sz w:val="32"/>
          <w:szCs w:val="32"/>
        </w:rPr>
        <w:t>3.6 工程照管与成品、半成品保护</w:t>
      </w:r>
      <w:bookmarkEnd w:id="475"/>
      <w:bookmarkEnd w:id="476"/>
      <w:bookmarkEnd w:id="477"/>
      <w:bookmarkEnd w:id="478"/>
      <w:bookmarkEnd w:id="479"/>
      <w:bookmarkEnd w:id="480"/>
      <w:bookmarkEnd w:id="481"/>
      <w:bookmarkEnd w:id="482"/>
      <w:bookmarkEnd w:id="483"/>
    </w:p>
    <w:p w14:paraId="28128B4A">
      <w:pPr>
        <w:spacing w:line="360" w:lineRule="auto"/>
        <w:ind w:firstLine="420" w:firstLineChars="200"/>
        <w:rPr>
          <w:rFonts w:ascii="宋体" w:hAnsi="宋体"/>
          <w:color w:val="auto"/>
          <w:kern w:val="0"/>
          <w:szCs w:val="21"/>
          <w:u w:val="single"/>
        </w:rPr>
      </w:pPr>
      <w:r>
        <w:rPr>
          <w:rFonts w:ascii="宋体" w:hAnsi="宋体"/>
          <w:color w:val="auto"/>
          <w:kern w:val="0"/>
          <w:szCs w:val="21"/>
        </w:rPr>
        <w:t>承包人负责照管工程及工程相关的材料、工程设备的起始时间：</w:t>
      </w:r>
      <w:r>
        <w:rPr>
          <w:rStyle w:val="50"/>
          <w:rFonts w:hint="eastAsia" w:ascii="宋体" w:hAnsi="宋体" w:eastAsia="宋体"/>
          <w:color w:val="auto"/>
          <w:kern w:val="0"/>
          <w:u w:val="single"/>
        </w:rPr>
        <w:t>从承包人进场到工程竣工验收合格并交付</w:t>
      </w:r>
      <w:r>
        <w:rPr>
          <w:rStyle w:val="50"/>
          <w:rFonts w:hint="eastAsia" w:ascii="宋体" w:hAnsi="宋体" w:eastAsia="宋体"/>
          <w:color w:val="auto"/>
          <w:kern w:val="0"/>
          <w:u w:val="single"/>
          <w:lang w:eastAsia="zh-CN"/>
        </w:rPr>
        <w:t>发</w:t>
      </w:r>
      <w:r>
        <w:rPr>
          <w:rStyle w:val="50"/>
          <w:rFonts w:hint="eastAsia" w:ascii="宋体" w:hAnsi="宋体" w:eastAsia="宋体"/>
          <w:color w:val="auto"/>
          <w:kern w:val="0"/>
          <w:u w:val="single"/>
        </w:rPr>
        <w:t>包人后</w:t>
      </w:r>
      <w:r>
        <w:rPr>
          <w:rFonts w:hint="eastAsia" w:ascii="宋体" w:hAnsi="宋体"/>
          <w:color w:val="auto"/>
          <w:szCs w:val="21"/>
          <w:u w:val="single"/>
        </w:rPr>
        <w:t xml:space="preserve"> </w:t>
      </w:r>
      <w:r>
        <w:rPr>
          <w:rFonts w:ascii="宋体" w:hAnsi="宋体"/>
          <w:color w:val="auto"/>
          <w:kern w:val="0"/>
          <w:szCs w:val="21"/>
        </w:rPr>
        <w:t>。</w:t>
      </w:r>
    </w:p>
    <w:p w14:paraId="0EABC5FC">
      <w:pPr>
        <w:keepNext/>
        <w:keepLines/>
        <w:spacing w:before="260" w:after="260" w:line="416" w:lineRule="auto"/>
        <w:outlineLvl w:val="1"/>
        <w:rPr>
          <w:rFonts w:ascii="宋体" w:hAnsi="宋体"/>
          <w:b/>
          <w:bCs/>
          <w:color w:val="auto"/>
          <w:sz w:val="32"/>
          <w:szCs w:val="32"/>
        </w:rPr>
      </w:pPr>
      <w:bookmarkStart w:id="484" w:name="_Toc373478359"/>
      <w:bookmarkStart w:id="485" w:name="_Toc389065278"/>
      <w:bookmarkStart w:id="486" w:name="_Toc373227712"/>
      <w:bookmarkStart w:id="487" w:name="_Toc508379725"/>
      <w:bookmarkStart w:id="488" w:name="_Toc86935875"/>
      <w:bookmarkStart w:id="489" w:name="_Toc495673390"/>
      <w:bookmarkStart w:id="490" w:name="_Toc407135214"/>
      <w:bookmarkStart w:id="491" w:name="_Toc10875"/>
      <w:bookmarkStart w:id="492" w:name="_Toc28501"/>
      <w:r>
        <w:rPr>
          <w:rFonts w:ascii="宋体" w:hAnsi="宋体"/>
          <w:b/>
          <w:bCs/>
          <w:color w:val="auto"/>
          <w:sz w:val="32"/>
          <w:szCs w:val="32"/>
        </w:rPr>
        <w:t>3.7 履约</w:t>
      </w:r>
      <w:bookmarkEnd w:id="484"/>
      <w:bookmarkEnd w:id="485"/>
      <w:bookmarkEnd w:id="486"/>
      <w:r>
        <w:rPr>
          <w:rFonts w:hint="eastAsia" w:ascii="宋体" w:hAnsi="宋体"/>
          <w:b/>
          <w:bCs/>
          <w:color w:val="auto"/>
          <w:sz w:val="32"/>
          <w:szCs w:val="32"/>
        </w:rPr>
        <w:t>保证金</w:t>
      </w:r>
      <w:bookmarkEnd w:id="487"/>
      <w:bookmarkEnd w:id="488"/>
      <w:bookmarkEnd w:id="489"/>
      <w:bookmarkEnd w:id="490"/>
      <w:bookmarkEnd w:id="491"/>
      <w:bookmarkEnd w:id="492"/>
    </w:p>
    <w:p w14:paraId="79879971">
      <w:pPr>
        <w:spacing w:line="360" w:lineRule="auto"/>
        <w:ind w:firstLine="420" w:firstLineChars="200"/>
        <w:jc w:val="left"/>
        <w:rPr>
          <w:rFonts w:ascii="宋体" w:hAnsi="宋体"/>
          <w:color w:val="auto"/>
          <w:szCs w:val="21"/>
          <w:u w:val="single"/>
        </w:rPr>
      </w:pPr>
      <w:bookmarkStart w:id="493" w:name="_Toc373478360"/>
      <w:bookmarkStart w:id="494" w:name="_Toc389065279"/>
      <w:bookmarkStart w:id="495" w:name="_Toc351203636"/>
      <w:bookmarkStart w:id="496" w:name="_Toc373227713"/>
      <w:r>
        <w:rPr>
          <w:rFonts w:hint="eastAsia" w:ascii="宋体" w:hAnsi="宋体"/>
          <w:color w:val="auto"/>
          <w:szCs w:val="21"/>
        </w:rPr>
        <w:t>履约保证金：</w:t>
      </w:r>
      <w:r>
        <w:rPr>
          <w:rFonts w:hint="eastAsia" w:ascii="宋体" w:hAnsi="宋体"/>
          <w:color w:val="auto"/>
          <w:szCs w:val="21"/>
          <w:u w:val="single"/>
        </w:rPr>
        <w:t>无。</w:t>
      </w:r>
    </w:p>
    <w:p w14:paraId="7C44FD8F">
      <w:pPr>
        <w:keepNext/>
        <w:keepLines/>
        <w:spacing w:before="260" w:after="260" w:line="416" w:lineRule="auto"/>
        <w:outlineLvl w:val="0"/>
        <w:rPr>
          <w:rFonts w:ascii="宋体" w:hAnsi="宋体"/>
          <w:b/>
          <w:bCs/>
          <w:color w:val="auto"/>
          <w:sz w:val="32"/>
          <w:szCs w:val="32"/>
        </w:rPr>
      </w:pPr>
      <w:bookmarkStart w:id="497" w:name="_Toc86935876"/>
      <w:bookmarkStart w:id="498" w:name="_Toc508379726"/>
      <w:bookmarkStart w:id="499" w:name="_Toc495673391"/>
      <w:bookmarkStart w:id="500" w:name="_Toc407135215"/>
      <w:bookmarkStart w:id="501" w:name="_Toc10412"/>
      <w:bookmarkStart w:id="502" w:name="_Toc27496"/>
      <w:bookmarkStart w:id="503" w:name="_Toc12726"/>
      <w:bookmarkStart w:id="504" w:name="_Toc12322"/>
      <w:r>
        <w:rPr>
          <w:rFonts w:ascii="宋体" w:hAnsi="宋体"/>
          <w:b/>
          <w:bCs/>
          <w:color w:val="auto"/>
          <w:sz w:val="32"/>
          <w:szCs w:val="32"/>
        </w:rPr>
        <w:t>4</w:t>
      </w:r>
      <w:bookmarkStart w:id="505" w:name="_Toc267251413"/>
      <w:bookmarkStart w:id="506" w:name="_Toc292559366"/>
      <w:bookmarkStart w:id="507" w:name="_Toc296890990"/>
      <w:bookmarkStart w:id="508" w:name="_Toc292559871"/>
      <w:bookmarkStart w:id="509" w:name="_Toc296347161"/>
      <w:bookmarkStart w:id="510" w:name="_Toc296891202"/>
      <w:bookmarkStart w:id="511" w:name="_Toc296944501"/>
      <w:bookmarkStart w:id="512" w:name="_Toc297120462"/>
      <w:bookmarkStart w:id="513" w:name="_Toc296346663"/>
      <w:bookmarkStart w:id="514" w:name="_Toc296503162"/>
      <w:bookmarkStart w:id="515" w:name="_Toc297048348"/>
      <w:r>
        <w:rPr>
          <w:rFonts w:ascii="宋体" w:hAnsi="宋体"/>
          <w:b/>
          <w:bCs/>
          <w:color w:val="auto"/>
          <w:sz w:val="32"/>
          <w:szCs w:val="32"/>
        </w:rPr>
        <w:t>. 监</w:t>
      </w:r>
      <w:bookmarkEnd w:id="505"/>
      <w:bookmarkEnd w:id="506"/>
      <w:bookmarkEnd w:id="507"/>
      <w:bookmarkEnd w:id="508"/>
      <w:bookmarkEnd w:id="509"/>
      <w:bookmarkEnd w:id="510"/>
      <w:bookmarkEnd w:id="511"/>
      <w:bookmarkEnd w:id="512"/>
      <w:bookmarkEnd w:id="513"/>
      <w:bookmarkEnd w:id="514"/>
      <w:bookmarkEnd w:id="515"/>
      <w:r>
        <w:rPr>
          <w:rFonts w:ascii="宋体" w:hAnsi="宋体"/>
          <w:b/>
          <w:bCs/>
          <w:color w:val="auto"/>
          <w:sz w:val="32"/>
          <w:szCs w:val="32"/>
        </w:rPr>
        <w:t>理人</w:t>
      </w:r>
      <w:bookmarkEnd w:id="493"/>
      <w:bookmarkEnd w:id="494"/>
      <w:bookmarkEnd w:id="495"/>
      <w:bookmarkEnd w:id="496"/>
      <w:bookmarkEnd w:id="497"/>
      <w:bookmarkEnd w:id="498"/>
      <w:bookmarkEnd w:id="499"/>
      <w:bookmarkEnd w:id="500"/>
      <w:bookmarkEnd w:id="501"/>
      <w:bookmarkEnd w:id="502"/>
      <w:bookmarkEnd w:id="503"/>
      <w:bookmarkEnd w:id="504"/>
    </w:p>
    <w:p w14:paraId="7642339A">
      <w:pPr>
        <w:keepNext/>
        <w:keepLines/>
        <w:spacing w:before="260" w:after="260" w:line="416" w:lineRule="auto"/>
        <w:outlineLvl w:val="1"/>
        <w:rPr>
          <w:rFonts w:ascii="宋体" w:hAnsi="宋体"/>
          <w:b/>
          <w:bCs/>
          <w:color w:val="auto"/>
          <w:sz w:val="32"/>
          <w:szCs w:val="32"/>
        </w:rPr>
      </w:pPr>
      <w:bookmarkStart w:id="516" w:name="_Toc86935877"/>
      <w:bookmarkStart w:id="517" w:name="_Toc508379727"/>
      <w:bookmarkStart w:id="518" w:name="_Toc495673392"/>
      <w:bookmarkStart w:id="519" w:name="_Toc407135216"/>
      <w:bookmarkStart w:id="520" w:name="_Toc373478361"/>
      <w:bookmarkStart w:id="521" w:name="_Toc389065280"/>
      <w:bookmarkStart w:id="522" w:name="_Toc373227714"/>
      <w:bookmarkStart w:id="523" w:name="_Toc22337"/>
      <w:bookmarkStart w:id="524" w:name="_Toc9092"/>
      <w:r>
        <w:rPr>
          <w:rFonts w:ascii="宋体" w:hAnsi="宋体"/>
          <w:b/>
          <w:bCs/>
          <w:color w:val="auto"/>
          <w:sz w:val="32"/>
          <w:szCs w:val="32"/>
        </w:rPr>
        <w:t>4.1监理人的一般规定</w:t>
      </w:r>
      <w:bookmarkEnd w:id="516"/>
      <w:bookmarkEnd w:id="517"/>
      <w:bookmarkEnd w:id="518"/>
      <w:bookmarkEnd w:id="519"/>
      <w:bookmarkEnd w:id="520"/>
      <w:bookmarkEnd w:id="521"/>
      <w:bookmarkEnd w:id="522"/>
      <w:bookmarkEnd w:id="523"/>
      <w:bookmarkEnd w:id="524"/>
    </w:p>
    <w:p w14:paraId="652555EF">
      <w:pPr>
        <w:spacing w:line="360" w:lineRule="auto"/>
        <w:ind w:firstLine="420" w:firstLineChars="200"/>
        <w:jc w:val="left"/>
        <w:rPr>
          <w:rFonts w:ascii="宋体" w:hAnsi="宋体"/>
          <w:color w:val="auto"/>
          <w:szCs w:val="21"/>
        </w:rPr>
      </w:pPr>
      <w:r>
        <w:rPr>
          <w:rFonts w:ascii="宋体" w:hAnsi="宋体"/>
          <w:color w:val="auto"/>
          <w:szCs w:val="21"/>
        </w:rPr>
        <w:t>关于监理人的监理内容：</w:t>
      </w:r>
      <w:r>
        <w:rPr>
          <w:rFonts w:hint="eastAsia" w:ascii="宋体" w:hAnsi="宋体"/>
          <w:color w:val="auto"/>
          <w:szCs w:val="21"/>
          <w:u w:val="single"/>
        </w:rPr>
        <w:t xml:space="preserve">                      </w:t>
      </w:r>
      <w:r>
        <w:rPr>
          <w:rFonts w:ascii="宋体" w:hAnsi="宋体"/>
          <w:color w:val="auto"/>
          <w:szCs w:val="21"/>
        </w:rPr>
        <w:t>。</w:t>
      </w:r>
    </w:p>
    <w:p w14:paraId="0D52BBB4">
      <w:pPr>
        <w:spacing w:line="360" w:lineRule="auto"/>
        <w:ind w:firstLine="420" w:firstLineChars="200"/>
        <w:jc w:val="left"/>
        <w:rPr>
          <w:rFonts w:ascii="宋体" w:hAnsi="宋体"/>
          <w:color w:val="auto"/>
          <w:szCs w:val="21"/>
        </w:rPr>
      </w:pPr>
      <w:r>
        <w:rPr>
          <w:rFonts w:ascii="宋体" w:hAnsi="宋体"/>
          <w:color w:val="auto"/>
          <w:szCs w:val="21"/>
        </w:rPr>
        <w:t>关于监理人的监理权限：</w:t>
      </w:r>
      <w:r>
        <w:rPr>
          <w:rFonts w:hint="eastAsia" w:ascii="宋体" w:hAnsi="宋体"/>
          <w:color w:val="auto"/>
          <w:szCs w:val="21"/>
          <w:u w:val="single"/>
        </w:rPr>
        <w:t xml:space="preserve">                      </w:t>
      </w:r>
      <w:r>
        <w:rPr>
          <w:rFonts w:ascii="宋体" w:hAnsi="宋体"/>
          <w:color w:val="auto"/>
          <w:szCs w:val="21"/>
        </w:rPr>
        <w:t xml:space="preserve">。 </w:t>
      </w:r>
    </w:p>
    <w:p w14:paraId="21A284C0">
      <w:pPr>
        <w:spacing w:line="360" w:lineRule="auto"/>
        <w:ind w:firstLine="420" w:firstLineChars="200"/>
        <w:rPr>
          <w:rFonts w:ascii="宋体" w:hAnsi="宋体"/>
          <w:color w:val="auto"/>
          <w:szCs w:val="21"/>
        </w:rPr>
      </w:pPr>
      <w:r>
        <w:rPr>
          <w:rFonts w:ascii="宋体" w:hAnsi="宋体"/>
          <w:color w:val="auto"/>
          <w:szCs w:val="21"/>
        </w:rPr>
        <w:t>关于监理人在施工现场的办公场所、生活场所的提供和费用承担的约定：</w:t>
      </w:r>
      <w:r>
        <w:rPr>
          <w:rFonts w:hint="eastAsia" w:ascii="宋体" w:hAnsi="宋体"/>
          <w:color w:val="auto"/>
          <w:szCs w:val="21"/>
          <w:u w:val="single"/>
        </w:rPr>
        <w:t xml:space="preserve">                      </w:t>
      </w:r>
      <w:r>
        <w:rPr>
          <w:rFonts w:ascii="宋体" w:hAnsi="宋体"/>
          <w:color w:val="auto"/>
          <w:szCs w:val="21"/>
        </w:rPr>
        <w:t>。</w:t>
      </w:r>
    </w:p>
    <w:p w14:paraId="4E58CE07">
      <w:pPr>
        <w:keepNext/>
        <w:keepLines/>
        <w:spacing w:before="260" w:after="260" w:line="416" w:lineRule="auto"/>
        <w:outlineLvl w:val="1"/>
        <w:rPr>
          <w:rFonts w:ascii="宋体" w:hAnsi="宋体"/>
          <w:b/>
          <w:bCs/>
          <w:color w:val="auto"/>
          <w:sz w:val="32"/>
          <w:szCs w:val="32"/>
        </w:rPr>
      </w:pPr>
      <w:bookmarkStart w:id="525" w:name="_Toc86935878"/>
      <w:bookmarkStart w:id="526" w:name="_Toc373478362"/>
      <w:bookmarkStart w:id="527" w:name="_Toc389065281"/>
      <w:bookmarkStart w:id="528" w:name="_Toc373227715"/>
      <w:bookmarkStart w:id="529" w:name="_Toc407135217"/>
      <w:bookmarkStart w:id="530" w:name="_Toc495673393"/>
      <w:bookmarkStart w:id="531" w:name="_Toc508379728"/>
      <w:bookmarkStart w:id="532" w:name="_Toc23513"/>
      <w:bookmarkStart w:id="533" w:name="_Toc21807"/>
      <w:r>
        <w:rPr>
          <w:rFonts w:ascii="宋体" w:hAnsi="宋体"/>
          <w:b/>
          <w:bCs/>
          <w:color w:val="auto"/>
          <w:sz w:val="32"/>
          <w:szCs w:val="32"/>
        </w:rPr>
        <w:t>4.2 监理人员</w:t>
      </w:r>
      <w:bookmarkEnd w:id="525"/>
      <w:bookmarkEnd w:id="526"/>
      <w:bookmarkEnd w:id="527"/>
      <w:bookmarkEnd w:id="528"/>
      <w:bookmarkEnd w:id="529"/>
      <w:bookmarkEnd w:id="530"/>
      <w:bookmarkEnd w:id="531"/>
      <w:bookmarkEnd w:id="532"/>
      <w:bookmarkEnd w:id="533"/>
    </w:p>
    <w:p w14:paraId="1326AA86">
      <w:pPr>
        <w:spacing w:line="360" w:lineRule="auto"/>
        <w:ind w:firstLine="420" w:firstLineChars="200"/>
        <w:rPr>
          <w:rFonts w:ascii="宋体" w:hAnsi="宋体"/>
          <w:color w:val="auto"/>
          <w:szCs w:val="21"/>
        </w:rPr>
      </w:pPr>
      <w:r>
        <w:rPr>
          <w:rFonts w:ascii="宋体" w:hAnsi="宋体"/>
          <w:color w:val="auto"/>
          <w:szCs w:val="21"/>
        </w:rPr>
        <w:t>总监理工程师：</w:t>
      </w:r>
    </w:p>
    <w:p w14:paraId="505DDB77">
      <w:pPr>
        <w:spacing w:line="360" w:lineRule="auto"/>
        <w:ind w:firstLine="420" w:firstLineChars="200"/>
        <w:rPr>
          <w:rFonts w:ascii="宋体" w:hAnsi="宋体"/>
          <w:color w:val="auto"/>
          <w:szCs w:val="21"/>
        </w:rPr>
      </w:pPr>
      <w:r>
        <w:rPr>
          <w:rFonts w:ascii="宋体" w:hAnsi="宋体"/>
          <w:color w:val="auto"/>
          <w:szCs w:val="21"/>
        </w:rPr>
        <w:t>姓    名：</w:t>
      </w:r>
      <w:r>
        <w:rPr>
          <w:rFonts w:hint="eastAsia" w:ascii="宋体" w:hAnsi="宋体"/>
          <w:color w:val="auto"/>
          <w:szCs w:val="21"/>
          <w:u w:val="single"/>
        </w:rPr>
        <w:t xml:space="preserve">                      </w:t>
      </w:r>
      <w:r>
        <w:rPr>
          <w:rFonts w:ascii="宋体" w:hAnsi="宋体"/>
          <w:color w:val="auto"/>
          <w:szCs w:val="21"/>
        </w:rPr>
        <w:t>；</w:t>
      </w:r>
    </w:p>
    <w:p w14:paraId="0F32A4F2">
      <w:pPr>
        <w:spacing w:line="360" w:lineRule="auto"/>
        <w:ind w:firstLine="420" w:firstLineChars="200"/>
        <w:rPr>
          <w:rFonts w:ascii="宋体" w:hAnsi="宋体"/>
          <w:color w:val="auto"/>
          <w:szCs w:val="21"/>
        </w:rPr>
      </w:pPr>
      <w:r>
        <w:rPr>
          <w:rFonts w:ascii="宋体" w:hAnsi="宋体"/>
          <w:color w:val="auto"/>
          <w:szCs w:val="21"/>
        </w:rPr>
        <w:t>职    务：</w:t>
      </w:r>
      <w:r>
        <w:rPr>
          <w:rFonts w:hint="eastAsia" w:ascii="宋体" w:hAnsi="宋体"/>
          <w:color w:val="auto"/>
          <w:szCs w:val="21"/>
          <w:u w:val="single"/>
        </w:rPr>
        <w:t xml:space="preserve">                      </w:t>
      </w:r>
      <w:r>
        <w:rPr>
          <w:rFonts w:ascii="宋体" w:hAnsi="宋体"/>
          <w:color w:val="auto"/>
          <w:szCs w:val="21"/>
        </w:rPr>
        <w:t>；</w:t>
      </w:r>
    </w:p>
    <w:p w14:paraId="3FA7B07D">
      <w:pPr>
        <w:spacing w:line="360" w:lineRule="auto"/>
        <w:ind w:firstLine="420" w:firstLineChars="200"/>
        <w:rPr>
          <w:rFonts w:ascii="宋体" w:hAnsi="宋体"/>
          <w:color w:val="auto"/>
          <w:szCs w:val="21"/>
        </w:rPr>
      </w:pPr>
      <w:r>
        <w:rPr>
          <w:rFonts w:ascii="宋体" w:hAnsi="宋体"/>
          <w:color w:val="auto"/>
          <w:szCs w:val="21"/>
        </w:rPr>
        <w:t>监理工程师执业资格证书号：</w:t>
      </w:r>
      <w:r>
        <w:rPr>
          <w:rFonts w:hint="eastAsia" w:ascii="宋体" w:hAnsi="宋体"/>
          <w:color w:val="auto"/>
          <w:szCs w:val="21"/>
          <w:u w:val="single"/>
        </w:rPr>
        <w:t xml:space="preserve">                      </w:t>
      </w:r>
      <w:r>
        <w:rPr>
          <w:rFonts w:ascii="宋体" w:hAnsi="宋体"/>
          <w:color w:val="auto"/>
          <w:szCs w:val="21"/>
        </w:rPr>
        <w:t>；</w:t>
      </w:r>
    </w:p>
    <w:p w14:paraId="7E71BD1B">
      <w:pPr>
        <w:spacing w:line="360" w:lineRule="auto"/>
        <w:ind w:firstLine="420" w:firstLineChars="200"/>
        <w:rPr>
          <w:rFonts w:ascii="宋体" w:hAnsi="宋体"/>
          <w:color w:val="auto"/>
          <w:szCs w:val="21"/>
        </w:rPr>
      </w:pPr>
      <w:r>
        <w:rPr>
          <w:rFonts w:ascii="宋体" w:hAnsi="宋体"/>
          <w:color w:val="auto"/>
          <w:szCs w:val="21"/>
        </w:rPr>
        <w:t>联系电话：</w:t>
      </w:r>
      <w:r>
        <w:rPr>
          <w:rFonts w:hint="eastAsia" w:ascii="宋体" w:hAnsi="宋体"/>
          <w:color w:val="auto"/>
          <w:szCs w:val="21"/>
          <w:u w:val="single"/>
        </w:rPr>
        <w:t xml:space="preserve">                      </w:t>
      </w:r>
      <w:r>
        <w:rPr>
          <w:rFonts w:ascii="宋体" w:hAnsi="宋体"/>
          <w:color w:val="auto"/>
          <w:szCs w:val="21"/>
        </w:rPr>
        <w:t>；</w:t>
      </w:r>
    </w:p>
    <w:p w14:paraId="1877766D">
      <w:pPr>
        <w:spacing w:line="360" w:lineRule="auto"/>
        <w:ind w:firstLine="420" w:firstLineChars="200"/>
        <w:rPr>
          <w:rFonts w:ascii="宋体" w:hAnsi="宋体"/>
          <w:color w:val="auto"/>
          <w:szCs w:val="21"/>
        </w:rPr>
      </w:pPr>
      <w:r>
        <w:rPr>
          <w:rFonts w:ascii="宋体" w:hAnsi="宋体"/>
          <w:color w:val="auto"/>
          <w:szCs w:val="21"/>
        </w:rPr>
        <w:t>电子信箱：</w:t>
      </w:r>
      <w:r>
        <w:rPr>
          <w:rFonts w:hint="eastAsia" w:ascii="宋体" w:hAnsi="宋体"/>
          <w:color w:val="auto"/>
          <w:szCs w:val="21"/>
          <w:u w:val="single"/>
        </w:rPr>
        <w:t xml:space="preserve">                      </w:t>
      </w:r>
      <w:r>
        <w:rPr>
          <w:rFonts w:ascii="宋体" w:hAnsi="宋体"/>
          <w:color w:val="auto"/>
          <w:szCs w:val="21"/>
        </w:rPr>
        <w:t>；</w:t>
      </w:r>
    </w:p>
    <w:p w14:paraId="031332A2">
      <w:pPr>
        <w:spacing w:line="360" w:lineRule="auto"/>
        <w:ind w:firstLine="420" w:firstLineChars="200"/>
        <w:rPr>
          <w:rFonts w:ascii="宋体" w:hAnsi="宋体"/>
          <w:color w:val="auto"/>
          <w:szCs w:val="21"/>
        </w:rPr>
      </w:pPr>
      <w:r>
        <w:rPr>
          <w:rFonts w:ascii="宋体" w:hAnsi="宋体"/>
          <w:color w:val="auto"/>
          <w:szCs w:val="21"/>
        </w:rPr>
        <w:t>通信地址：</w:t>
      </w:r>
      <w:r>
        <w:rPr>
          <w:rFonts w:hint="eastAsia" w:ascii="宋体" w:hAnsi="宋体"/>
          <w:color w:val="auto"/>
          <w:szCs w:val="21"/>
          <w:u w:val="single"/>
        </w:rPr>
        <w:t xml:space="preserve">                      </w:t>
      </w:r>
      <w:r>
        <w:rPr>
          <w:rFonts w:ascii="宋体" w:hAnsi="宋体"/>
          <w:color w:val="auto"/>
          <w:szCs w:val="21"/>
        </w:rPr>
        <w:t>；</w:t>
      </w:r>
    </w:p>
    <w:p w14:paraId="204F60EE">
      <w:pPr>
        <w:spacing w:line="360" w:lineRule="auto"/>
        <w:ind w:firstLine="420" w:firstLineChars="200"/>
        <w:rPr>
          <w:rFonts w:ascii="宋体" w:hAnsi="宋体"/>
          <w:color w:val="auto"/>
          <w:szCs w:val="21"/>
        </w:rPr>
      </w:pPr>
      <w:r>
        <w:rPr>
          <w:rFonts w:ascii="宋体" w:hAnsi="宋体"/>
          <w:color w:val="auto"/>
          <w:szCs w:val="21"/>
        </w:rPr>
        <w:t>关于监理人的其他约定：</w:t>
      </w:r>
      <w:r>
        <w:rPr>
          <w:rFonts w:hint="eastAsia" w:ascii="宋体" w:hAnsi="宋体"/>
          <w:color w:val="auto"/>
          <w:szCs w:val="21"/>
          <w:u w:val="single"/>
        </w:rPr>
        <w:t xml:space="preserve">                      </w:t>
      </w:r>
      <w:r>
        <w:rPr>
          <w:rFonts w:ascii="宋体" w:hAnsi="宋体"/>
          <w:color w:val="auto"/>
          <w:szCs w:val="21"/>
        </w:rPr>
        <w:t>。</w:t>
      </w:r>
    </w:p>
    <w:p w14:paraId="359A8585">
      <w:pPr>
        <w:keepNext/>
        <w:keepLines/>
        <w:spacing w:before="260" w:after="260" w:line="416" w:lineRule="auto"/>
        <w:outlineLvl w:val="1"/>
        <w:rPr>
          <w:rFonts w:ascii="宋体" w:hAnsi="宋体"/>
          <w:b/>
          <w:bCs/>
          <w:color w:val="auto"/>
          <w:sz w:val="32"/>
          <w:szCs w:val="32"/>
        </w:rPr>
      </w:pPr>
      <w:bookmarkStart w:id="534" w:name="_Toc389065282"/>
      <w:bookmarkStart w:id="535" w:name="_Toc373478363"/>
      <w:bookmarkStart w:id="536" w:name="_Toc407135218"/>
      <w:bookmarkStart w:id="537" w:name="_Toc508379729"/>
      <w:bookmarkStart w:id="538" w:name="_Toc495673394"/>
      <w:bookmarkStart w:id="539" w:name="_Toc373227716"/>
      <w:bookmarkStart w:id="540" w:name="_Toc86935879"/>
      <w:bookmarkStart w:id="541" w:name="_Toc14742"/>
      <w:bookmarkStart w:id="542" w:name="_Toc21796"/>
      <w:r>
        <w:rPr>
          <w:rFonts w:ascii="宋体" w:hAnsi="宋体"/>
          <w:b/>
          <w:bCs/>
          <w:color w:val="auto"/>
          <w:sz w:val="32"/>
          <w:szCs w:val="32"/>
        </w:rPr>
        <w:t>4.4 商定或确定</w:t>
      </w:r>
      <w:bookmarkEnd w:id="534"/>
      <w:bookmarkEnd w:id="535"/>
      <w:bookmarkEnd w:id="536"/>
      <w:bookmarkEnd w:id="537"/>
      <w:bookmarkEnd w:id="538"/>
      <w:bookmarkEnd w:id="539"/>
      <w:bookmarkEnd w:id="540"/>
      <w:bookmarkEnd w:id="541"/>
      <w:bookmarkEnd w:id="542"/>
    </w:p>
    <w:p w14:paraId="4E7DD8A3">
      <w:pPr>
        <w:spacing w:line="360" w:lineRule="auto"/>
        <w:ind w:firstLine="420" w:firstLineChars="200"/>
        <w:rPr>
          <w:rFonts w:ascii="宋体" w:hAnsi="宋体"/>
          <w:color w:val="auto"/>
          <w:szCs w:val="21"/>
        </w:rPr>
      </w:pPr>
      <w:bookmarkStart w:id="543" w:name="_Toc267251418"/>
      <w:r>
        <w:rPr>
          <w:rFonts w:ascii="宋体" w:hAnsi="宋体"/>
          <w:color w:val="auto"/>
          <w:szCs w:val="21"/>
        </w:rPr>
        <w:t>在发包人和承包人不能通过协商达成一致意见时，发包人授权监理人对以下事项进行确定：</w:t>
      </w:r>
    </w:p>
    <w:p w14:paraId="6A29C6BA">
      <w:pPr>
        <w:autoSpaceDE w:val="0"/>
        <w:autoSpaceDN w:val="0"/>
        <w:adjustRightInd w:val="0"/>
        <w:spacing w:line="360" w:lineRule="auto"/>
        <w:ind w:firstLine="420" w:firstLineChars="200"/>
        <w:jc w:val="left"/>
        <w:rPr>
          <w:rFonts w:ascii="宋体" w:hAnsi="宋体"/>
          <w:color w:val="auto"/>
          <w:kern w:val="0"/>
          <w:szCs w:val="21"/>
        </w:rPr>
      </w:pPr>
      <w:r>
        <w:rPr>
          <w:rFonts w:ascii="宋体" w:hAnsi="宋体"/>
          <w:color w:val="auto"/>
          <w:kern w:val="0"/>
          <w:szCs w:val="21"/>
        </w:rPr>
        <w:t>（1）</w:t>
      </w:r>
      <w:r>
        <w:rPr>
          <w:rFonts w:hint="eastAsia" w:ascii="宋体" w:hAnsi="宋体"/>
          <w:color w:val="auto"/>
          <w:szCs w:val="21"/>
          <w:u w:val="single"/>
        </w:rPr>
        <w:t xml:space="preserve">                      </w:t>
      </w:r>
      <w:r>
        <w:rPr>
          <w:rFonts w:ascii="宋体" w:hAnsi="宋体"/>
          <w:color w:val="auto"/>
          <w:szCs w:val="21"/>
        </w:rPr>
        <w:t>；</w:t>
      </w:r>
    </w:p>
    <w:p w14:paraId="5F1EBD1A">
      <w:pPr>
        <w:autoSpaceDE w:val="0"/>
        <w:autoSpaceDN w:val="0"/>
        <w:adjustRightInd w:val="0"/>
        <w:spacing w:line="360" w:lineRule="auto"/>
        <w:ind w:firstLine="420" w:firstLineChars="200"/>
        <w:jc w:val="left"/>
        <w:rPr>
          <w:rFonts w:ascii="宋体" w:hAnsi="宋体"/>
          <w:color w:val="auto"/>
          <w:kern w:val="0"/>
          <w:szCs w:val="21"/>
        </w:rPr>
      </w:pPr>
      <w:r>
        <w:rPr>
          <w:rFonts w:ascii="宋体" w:hAnsi="宋体"/>
          <w:color w:val="auto"/>
          <w:kern w:val="0"/>
          <w:szCs w:val="21"/>
        </w:rPr>
        <w:t>（2）</w:t>
      </w:r>
      <w:r>
        <w:rPr>
          <w:rFonts w:hint="eastAsia" w:ascii="宋体" w:hAnsi="宋体"/>
          <w:color w:val="auto"/>
          <w:szCs w:val="21"/>
          <w:u w:val="single"/>
        </w:rPr>
        <w:t xml:space="preserve">                      </w:t>
      </w:r>
      <w:r>
        <w:rPr>
          <w:rFonts w:ascii="宋体" w:hAnsi="宋体"/>
          <w:color w:val="auto"/>
          <w:szCs w:val="21"/>
        </w:rPr>
        <w:t>；</w:t>
      </w:r>
    </w:p>
    <w:p w14:paraId="7F63C6C2">
      <w:pPr>
        <w:autoSpaceDE w:val="0"/>
        <w:autoSpaceDN w:val="0"/>
        <w:adjustRightInd w:val="0"/>
        <w:spacing w:line="360" w:lineRule="auto"/>
        <w:ind w:firstLine="420" w:firstLineChars="200"/>
        <w:jc w:val="left"/>
        <w:rPr>
          <w:rFonts w:ascii="宋体" w:hAnsi="宋体"/>
          <w:color w:val="auto"/>
          <w:kern w:val="0"/>
          <w:szCs w:val="21"/>
        </w:rPr>
      </w:pPr>
      <w:r>
        <w:rPr>
          <w:rFonts w:ascii="宋体" w:hAnsi="宋体"/>
          <w:color w:val="auto"/>
          <w:kern w:val="0"/>
          <w:szCs w:val="21"/>
        </w:rPr>
        <w:t>（3）</w:t>
      </w:r>
      <w:r>
        <w:rPr>
          <w:rFonts w:hint="eastAsia" w:ascii="宋体" w:hAnsi="宋体"/>
          <w:color w:val="auto"/>
          <w:szCs w:val="21"/>
          <w:u w:val="single"/>
        </w:rPr>
        <w:t xml:space="preserve">                      </w:t>
      </w:r>
      <w:r>
        <w:rPr>
          <w:rFonts w:ascii="宋体" w:hAnsi="宋体"/>
          <w:color w:val="auto"/>
          <w:szCs w:val="21"/>
        </w:rPr>
        <w:t>。</w:t>
      </w:r>
    </w:p>
    <w:p w14:paraId="5CF3C0FE">
      <w:pPr>
        <w:keepNext/>
        <w:keepLines/>
        <w:spacing w:before="260" w:after="260" w:line="416" w:lineRule="auto"/>
        <w:outlineLvl w:val="0"/>
        <w:rPr>
          <w:rFonts w:ascii="宋体" w:hAnsi="宋体"/>
          <w:b/>
          <w:bCs/>
          <w:color w:val="auto"/>
          <w:sz w:val="32"/>
          <w:szCs w:val="32"/>
        </w:rPr>
      </w:pPr>
      <w:bookmarkStart w:id="544" w:name="_Toc86935880"/>
      <w:bookmarkStart w:id="545" w:name="_Toc508379730"/>
      <w:bookmarkStart w:id="546" w:name="_Toc495673395"/>
      <w:bookmarkStart w:id="547" w:name="_Toc407135219"/>
      <w:bookmarkStart w:id="548" w:name="_Toc389065283"/>
      <w:bookmarkStart w:id="549" w:name="_Toc373478364"/>
      <w:bookmarkStart w:id="550" w:name="_Toc373227717"/>
      <w:bookmarkStart w:id="551" w:name="_Toc351203637"/>
      <w:bookmarkStart w:id="552" w:name="_Toc29257"/>
      <w:bookmarkStart w:id="553" w:name="_Toc31696"/>
      <w:bookmarkStart w:id="554" w:name="_Toc15425"/>
      <w:bookmarkStart w:id="555" w:name="_Toc11540"/>
      <w:r>
        <w:rPr>
          <w:rFonts w:ascii="宋体" w:hAnsi="宋体"/>
          <w:b/>
          <w:bCs/>
          <w:color w:val="auto"/>
          <w:sz w:val="32"/>
          <w:szCs w:val="32"/>
        </w:rPr>
        <w:t>5</w:t>
      </w:r>
      <w:bookmarkEnd w:id="543"/>
      <w:bookmarkStart w:id="556" w:name="_Toc297120463"/>
      <w:bookmarkStart w:id="557" w:name="_Toc296944502"/>
      <w:bookmarkStart w:id="558" w:name="_Toc296890991"/>
      <w:bookmarkStart w:id="559" w:name="_Toc297048349"/>
      <w:bookmarkStart w:id="560" w:name="_Toc296346664"/>
      <w:bookmarkStart w:id="561" w:name="_Toc296347162"/>
      <w:bookmarkStart w:id="562" w:name="_Toc296891203"/>
      <w:bookmarkStart w:id="563" w:name="_Toc292559367"/>
      <w:bookmarkStart w:id="564" w:name="_Toc296503163"/>
      <w:bookmarkStart w:id="565" w:name="_Toc292559872"/>
      <w:r>
        <w:rPr>
          <w:rFonts w:ascii="宋体" w:hAnsi="宋体"/>
          <w:b/>
          <w:bCs/>
          <w:color w:val="auto"/>
          <w:sz w:val="32"/>
          <w:szCs w:val="32"/>
        </w:rPr>
        <w:t>. 工程质量</w:t>
      </w:r>
      <w:bookmarkEnd w:id="544"/>
      <w:bookmarkEnd w:id="545"/>
      <w:bookmarkEnd w:id="546"/>
      <w:bookmarkEnd w:id="547"/>
      <w:bookmarkEnd w:id="548"/>
      <w:bookmarkEnd w:id="549"/>
      <w:bookmarkEnd w:id="550"/>
      <w:bookmarkEnd w:id="551"/>
      <w:bookmarkEnd w:id="552"/>
      <w:bookmarkEnd w:id="553"/>
      <w:bookmarkEnd w:id="554"/>
      <w:bookmarkEnd w:id="555"/>
    </w:p>
    <w:p w14:paraId="31C50606">
      <w:pPr>
        <w:keepNext/>
        <w:keepLines/>
        <w:spacing w:before="260" w:after="260" w:line="416" w:lineRule="auto"/>
        <w:outlineLvl w:val="1"/>
        <w:rPr>
          <w:rFonts w:ascii="宋体" w:hAnsi="宋体"/>
          <w:b/>
          <w:bCs/>
          <w:color w:val="auto"/>
          <w:sz w:val="32"/>
          <w:szCs w:val="32"/>
        </w:rPr>
      </w:pPr>
      <w:bookmarkStart w:id="566" w:name="_Toc389065284"/>
      <w:bookmarkStart w:id="567" w:name="_Toc407135220"/>
      <w:bookmarkStart w:id="568" w:name="_Toc373478365"/>
      <w:bookmarkStart w:id="569" w:name="_Toc373227718"/>
      <w:bookmarkStart w:id="570" w:name="_Toc86935881"/>
      <w:bookmarkStart w:id="571" w:name="_Toc508379731"/>
      <w:bookmarkStart w:id="572" w:name="_Toc495673396"/>
      <w:bookmarkStart w:id="573" w:name="_Toc1356"/>
      <w:bookmarkStart w:id="574" w:name="_Toc6602"/>
      <w:r>
        <w:rPr>
          <w:rFonts w:ascii="宋体" w:hAnsi="宋体"/>
          <w:b/>
          <w:bCs/>
          <w:color w:val="auto"/>
          <w:sz w:val="32"/>
          <w:szCs w:val="32"/>
        </w:rPr>
        <w:t>5.1 质量要求</w:t>
      </w:r>
      <w:bookmarkEnd w:id="566"/>
      <w:bookmarkEnd w:id="567"/>
      <w:bookmarkEnd w:id="568"/>
      <w:bookmarkEnd w:id="569"/>
      <w:bookmarkEnd w:id="570"/>
      <w:bookmarkEnd w:id="571"/>
      <w:bookmarkEnd w:id="572"/>
      <w:bookmarkEnd w:id="573"/>
      <w:bookmarkEnd w:id="574"/>
    </w:p>
    <w:p w14:paraId="5C953056">
      <w:pPr>
        <w:spacing w:line="360" w:lineRule="auto"/>
        <w:ind w:firstLine="420" w:firstLineChars="200"/>
        <w:jc w:val="left"/>
        <w:rPr>
          <w:rFonts w:ascii="宋体" w:hAnsi="宋体"/>
          <w:color w:val="auto"/>
          <w:szCs w:val="21"/>
          <w:u w:val="single"/>
        </w:rPr>
      </w:pPr>
      <w:r>
        <w:rPr>
          <w:rFonts w:ascii="宋体" w:hAnsi="宋体"/>
          <w:color w:val="auto"/>
          <w:szCs w:val="21"/>
        </w:rPr>
        <w:t>5</w:t>
      </w:r>
      <w:bookmarkStart w:id="575" w:name="_Toc297123496"/>
      <w:bookmarkStart w:id="576" w:name="_Toc304295527"/>
      <w:bookmarkStart w:id="577" w:name="_Toc297216155"/>
      <w:bookmarkStart w:id="578" w:name="_Toc312677997"/>
      <w:bookmarkStart w:id="579" w:name="_Toc300934949"/>
      <w:bookmarkStart w:id="580" w:name="_Toc303539106"/>
      <w:bookmarkStart w:id="581" w:name="_Toc318581164"/>
      <w:r>
        <w:rPr>
          <w:rFonts w:ascii="宋体" w:hAnsi="宋体"/>
          <w:color w:val="auto"/>
          <w:szCs w:val="21"/>
        </w:rPr>
        <w:t>.1.1 特殊质量标准和要求：</w:t>
      </w:r>
      <w:r>
        <w:rPr>
          <w:rFonts w:hint="eastAsia" w:ascii="宋体" w:hAnsi="宋体"/>
          <w:color w:val="auto"/>
          <w:szCs w:val="21"/>
          <w:u w:val="single"/>
        </w:rPr>
        <w:t xml:space="preserve">                      </w:t>
      </w:r>
      <w:r>
        <w:rPr>
          <w:rFonts w:ascii="宋体" w:hAnsi="宋体"/>
          <w:color w:val="auto"/>
          <w:szCs w:val="21"/>
        </w:rPr>
        <w:t>。</w:t>
      </w:r>
    </w:p>
    <w:p w14:paraId="1DF88EF7">
      <w:pPr>
        <w:spacing w:line="360" w:lineRule="auto"/>
        <w:ind w:firstLine="420" w:firstLineChars="200"/>
        <w:jc w:val="left"/>
        <w:rPr>
          <w:rFonts w:ascii="宋体" w:hAnsi="宋体"/>
          <w:color w:val="auto"/>
          <w:szCs w:val="21"/>
        </w:rPr>
      </w:pPr>
      <w:r>
        <w:rPr>
          <w:rFonts w:ascii="宋体" w:hAnsi="宋体"/>
          <w:color w:val="auto"/>
          <w:szCs w:val="21"/>
        </w:rPr>
        <w:t>关于工程奖项的约定：</w:t>
      </w:r>
      <w:r>
        <w:rPr>
          <w:rFonts w:hint="eastAsia" w:ascii="宋体" w:hAnsi="宋体"/>
          <w:color w:val="auto"/>
          <w:szCs w:val="21"/>
          <w:u w:val="single"/>
        </w:rPr>
        <w:t xml:space="preserve">                      </w:t>
      </w:r>
      <w:r>
        <w:rPr>
          <w:rFonts w:ascii="宋体" w:hAnsi="宋体"/>
          <w:color w:val="auto"/>
          <w:szCs w:val="21"/>
        </w:rPr>
        <w:t>。</w:t>
      </w:r>
    </w:p>
    <w:p w14:paraId="4748FF17">
      <w:pPr>
        <w:spacing w:line="360" w:lineRule="auto"/>
        <w:ind w:firstLine="420" w:firstLineChars="200"/>
        <w:jc w:val="left"/>
        <w:outlineLvl w:val="1"/>
        <w:rPr>
          <w:rFonts w:ascii="宋体" w:hAnsi="宋体"/>
          <w:color w:val="auto"/>
          <w:szCs w:val="21"/>
        </w:rPr>
      </w:pPr>
      <w:bookmarkStart w:id="582" w:name="_Toc2296"/>
      <w:bookmarkStart w:id="583" w:name="_Toc16969"/>
      <w:r>
        <w:rPr>
          <w:rFonts w:ascii="宋体" w:hAnsi="宋体"/>
          <w:color w:val="auto"/>
          <w:szCs w:val="21"/>
        </w:rPr>
        <w:t>5.3 隐蔽工程检查</w:t>
      </w:r>
      <w:bookmarkEnd w:id="582"/>
      <w:bookmarkEnd w:id="583"/>
    </w:p>
    <w:p w14:paraId="3E1DB852">
      <w:pPr>
        <w:spacing w:line="360" w:lineRule="auto"/>
        <w:ind w:firstLine="420" w:firstLineChars="200"/>
        <w:jc w:val="left"/>
        <w:rPr>
          <w:rFonts w:ascii="宋体" w:hAnsi="宋体"/>
          <w:color w:val="auto"/>
          <w:szCs w:val="21"/>
          <w:u w:val="single"/>
        </w:rPr>
      </w:pPr>
      <w:r>
        <w:rPr>
          <w:rFonts w:ascii="宋体" w:hAnsi="宋体"/>
          <w:color w:val="auto"/>
          <w:szCs w:val="21"/>
        </w:rPr>
        <w:t>5.3.2承包人提前通知监理人隐蔽工程检查的期限的约定：</w:t>
      </w:r>
      <w:r>
        <w:rPr>
          <w:rFonts w:ascii="宋体" w:hAnsi="宋体"/>
          <w:bCs/>
          <w:color w:val="auto"/>
          <w:szCs w:val="21"/>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2844A8D9">
      <w:pPr>
        <w:spacing w:line="360" w:lineRule="auto"/>
        <w:ind w:firstLine="420" w:firstLineChars="200"/>
        <w:jc w:val="left"/>
        <w:rPr>
          <w:rFonts w:ascii="宋体" w:hAnsi="宋体"/>
          <w:color w:val="auto"/>
          <w:szCs w:val="21"/>
        </w:rPr>
      </w:pPr>
      <w:r>
        <w:rPr>
          <w:rFonts w:ascii="宋体" w:hAnsi="宋体"/>
          <w:color w:val="auto"/>
          <w:szCs w:val="21"/>
        </w:rPr>
        <w:t>监理人不能按时进行检查时，应提前小时提交书面延期要求。</w:t>
      </w:r>
    </w:p>
    <w:p w14:paraId="7137AA3E">
      <w:pPr>
        <w:spacing w:line="360" w:lineRule="auto"/>
        <w:ind w:firstLine="420" w:firstLineChars="200"/>
        <w:jc w:val="left"/>
        <w:rPr>
          <w:rFonts w:ascii="宋体" w:hAnsi="宋体"/>
          <w:color w:val="auto"/>
          <w:szCs w:val="21"/>
        </w:rPr>
      </w:pPr>
      <w:r>
        <w:rPr>
          <w:rFonts w:ascii="宋体" w:hAnsi="宋体"/>
          <w:color w:val="auto"/>
          <w:szCs w:val="21"/>
        </w:rPr>
        <w:t>关于延期最长不得超过：</w:t>
      </w:r>
      <w:r>
        <w:rPr>
          <w:rFonts w:hint="eastAsia" w:ascii="宋体" w:hAnsi="宋体"/>
          <w:color w:val="auto"/>
          <w:szCs w:val="21"/>
          <w:u w:val="single"/>
        </w:rPr>
        <w:t xml:space="preserve">    </w:t>
      </w:r>
      <w:r>
        <w:rPr>
          <w:rFonts w:ascii="宋体" w:hAnsi="宋体"/>
          <w:color w:val="auto"/>
          <w:szCs w:val="21"/>
        </w:rPr>
        <w:t>小时。</w:t>
      </w:r>
    </w:p>
    <w:p w14:paraId="2A354A67">
      <w:pPr>
        <w:keepNext/>
        <w:keepLines/>
        <w:spacing w:before="260" w:after="260" w:line="416" w:lineRule="auto"/>
        <w:outlineLvl w:val="0"/>
        <w:rPr>
          <w:rFonts w:ascii="宋体" w:hAnsi="宋体"/>
          <w:b/>
          <w:bCs/>
          <w:color w:val="auto"/>
          <w:sz w:val="32"/>
          <w:szCs w:val="32"/>
        </w:rPr>
      </w:pPr>
      <w:bookmarkStart w:id="584" w:name="_Toc389065285"/>
      <w:bookmarkStart w:id="585" w:name="_Toc495673397"/>
      <w:bookmarkStart w:id="586" w:name="_Toc351203638"/>
      <w:bookmarkStart w:id="587" w:name="_Toc373478366"/>
      <w:bookmarkStart w:id="588" w:name="_Toc407135221"/>
      <w:bookmarkStart w:id="589" w:name="_Toc508379732"/>
      <w:bookmarkStart w:id="590" w:name="_Toc373227719"/>
      <w:bookmarkStart w:id="591" w:name="_Toc86935882"/>
      <w:bookmarkStart w:id="592" w:name="_Toc10387"/>
      <w:bookmarkStart w:id="593" w:name="_Toc4369"/>
      <w:bookmarkStart w:id="594" w:name="_Toc11197"/>
      <w:bookmarkStart w:id="595" w:name="_Toc5415"/>
      <w:r>
        <w:rPr>
          <w:rFonts w:ascii="宋体" w:hAnsi="宋体"/>
          <w:b/>
          <w:bCs/>
          <w:color w:val="auto"/>
          <w:sz w:val="32"/>
          <w:szCs w:val="32"/>
        </w:rPr>
        <w:t>6. 安全文明施工与环境保护</w:t>
      </w:r>
      <w:bookmarkEnd w:id="584"/>
      <w:bookmarkEnd w:id="585"/>
      <w:bookmarkEnd w:id="586"/>
      <w:bookmarkEnd w:id="587"/>
      <w:bookmarkEnd w:id="588"/>
      <w:bookmarkEnd w:id="589"/>
      <w:bookmarkEnd w:id="590"/>
      <w:bookmarkEnd w:id="591"/>
      <w:bookmarkEnd w:id="592"/>
      <w:bookmarkEnd w:id="593"/>
      <w:bookmarkEnd w:id="594"/>
      <w:bookmarkEnd w:id="595"/>
    </w:p>
    <w:p w14:paraId="1456E4F3">
      <w:pPr>
        <w:keepNext/>
        <w:keepLines/>
        <w:spacing w:before="260" w:after="260" w:line="416" w:lineRule="auto"/>
        <w:outlineLvl w:val="1"/>
        <w:rPr>
          <w:rFonts w:ascii="宋体" w:hAnsi="宋体"/>
          <w:b/>
          <w:bCs/>
          <w:color w:val="auto"/>
          <w:sz w:val="32"/>
          <w:szCs w:val="32"/>
        </w:rPr>
      </w:pPr>
      <w:bookmarkStart w:id="596" w:name="_Toc373478367"/>
      <w:bookmarkStart w:id="597" w:name="_Toc389065286"/>
      <w:bookmarkStart w:id="598" w:name="_Toc407135222"/>
      <w:bookmarkStart w:id="599" w:name="_Toc495673398"/>
      <w:bookmarkStart w:id="600" w:name="_Toc508379733"/>
      <w:bookmarkStart w:id="601" w:name="_Toc86935883"/>
      <w:bookmarkStart w:id="602" w:name="_Toc373227720"/>
      <w:bookmarkStart w:id="603" w:name="_Toc7042"/>
      <w:bookmarkStart w:id="604" w:name="_Toc6318"/>
      <w:r>
        <w:rPr>
          <w:rFonts w:ascii="宋体" w:hAnsi="宋体"/>
          <w:b/>
          <w:bCs/>
          <w:color w:val="auto"/>
          <w:sz w:val="32"/>
          <w:szCs w:val="32"/>
        </w:rPr>
        <w:t>6.1安全文明施工</w:t>
      </w:r>
      <w:bookmarkEnd w:id="596"/>
      <w:bookmarkEnd w:id="597"/>
      <w:bookmarkEnd w:id="598"/>
      <w:bookmarkEnd w:id="599"/>
      <w:bookmarkEnd w:id="600"/>
      <w:bookmarkEnd w:id="601"/>
      <w:bookmarkEnd w:id="602"/>
      <w:bookmarkEnd w:id="603"/>
      <w:bookmarkEnd w:id="604"/>
    </w:p>
    <w:p w14:paraId="28C22F0F">
      <w:pPr>
        <w:spacing w:line="360" w:lineRule="auto"/>
        <w:ind w:firstLine="420" w:firstLineChars="200"/>
        <w:jc w:val="left"/>
        <w:rPr>
          <w:rFonts w:ascii="宋体" w:hAnsi="宋体"/>
          <w:color w:val="auto"/>
          <w:szCs w:val="21"/>
          <w:u w:val="single"/>
        </w:rPr>
      </w:pPr>
      <w:r>
        <w:rPr>
          <w:rFonts w:ascii="宋体" w:hAnsi="宋体"/>
          <w:color w:val="auto"/>
          <w:szCs w:val="21"/>
        </w:rPr>
        <w:t>6.1.1 项目安全生产的达标目标及相应事项的约定：</w:t>
      </w:r>
      <w:r>
        <w:rPr>
          <w:rStyle w:val="50"/>
          <w:rFonts w:hint="eastAsia" w:ascii="宋体" w:hAnsi="宋体" w:eastAsia="宋体"/>
          <w:color w:val="auto"/>
          <w:u w:val="single"/>
        </w:rPr>
        <w:t>承包人应制定《房屋建筑和市政基础设施工程施工扬尘控制工作方案》、《房屋建筑和市政基础设施工程现场文明施工标准》等相关规定并履行好施工扬尘控制、文明施工等责任；承包人需自行办理的有关施工场地交通、环卫和施工噪音管理等手续，并应符合国家相关规定，并自行承担其费用</w:t>
      </w:r>
      <w:r>
        <w:rPr>
          <w:rFonts w:ascii="宋体" w:hAnsi="宋体"/>
          <w:color w:val="auto"/>
          <w:szCs w:val="21"/>
          <w:u w:val="single"/>
        </w:rPr>
        <w:t>。</w:t>
      </w:r>
    </w:p>
    <w:p w14:paraId="4400A682">
      <w:pPr>
        <w:spacing w:line="360" w:lineRule="auto"/>
        <w:ind w:firstLine="420" w:firstLineChars="200"/>
        <w:jc w:val="left"/>
        <w:rPr>
          <w:rFonts w:ascii="宋体" w:hAnsi="宋体"/>
          <w:color w:val="auto"/>
          <w:szCs w:val="21"/>
        </w:rPr>
      </w:pPr>
      <w:r>
        <w:rPr>
          <w:rFonts w:ascii="宋体" w:hAnsi="宋体"/>
          <w:color w:val="auto"/>
          <w:szCs w:val="21"/>
        </w:rPr>
        <w:t>关于</w:t>
      </w:r>
      <w:r>
        <w:rPr>
          <w:rFonts w:hint="eastAsia" w:ascii="宋体" w:hAnsi="宋体"/>
          <w:color w:val="auto"/>
          <w:szCs w:val="21"/>
        </w:rPr>
        <w:t>安全文明施工</w:t>
      </w:r>
      <w:r>
        <w:rPr>
          <w:rFonts w:ascii="宋体" w:hAnsi="宋体"/>
          <w:color w:val="auto"/>
          <w:szCs w:val="21"/>
        </w:rPr>
        <w:t>奖项的约定：</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ascii="宋体" w:hAnsi="宋体"/>
          <w:color w:val="auto"/>
          <w:szCs w:val="21"/>
        </w:rPr>
        <w:t>。</w:t>
      </w:r>
    </w:p>
    <w:p w14:paraId="54739F18">
      <w:pPr>
        <w:spacing w:line="360" w:lineRule="auto"/>
        <w:ind w:firstLine="420" w:firstLineChars="200"/>
        <w:jc w:val="left"/>
        <w:rPr>
          <w:rFonts w:ascii="宋体" w:hAnsi="宋体"/>
          <w:color w:val="auto"/>
          <w:szCs w:val="21"/>
          <w:u w:val="single"/>
        </w:rPr>
      </w:pPr>
      <w:r>
        <w:rPr>
          <w:rFonts w:ascii="宋体" w:hAnsi="宋体"/>
          <w:color w:val="auto"/>
          <w:szCs w:val="21"/>
        </w:rPr>
        <w:t>6.1.4 关于治安保卫的特别约定：</w:t>
      </w:r>
      <w:r>
        <w:rPr>
          <w:rFonts w:ascii="宋体" w:hAnsi="宋体"/>
          <w:color w:val="auto"/>
          <w:szCs w:val="21"/>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6F3BDF1A">
      <w:pPr>
        <w:spacing w:line="360" w:lineRule="auto"/>
        <w:ind w:firstLine="420" w:firstLineChars="200"/>
        <w:jc w:val="left"/>
        <w:rPr>
          <w:rFonts w:ascii="宋体" w:hAnsi="宋体"/>
          <w:color w:val="auto"/>
          <w:szCs w:val="21"/>
        </w:rPr>
      </w:pPr>
      <w:r>
        <w:rPr>
          <w:rFonts w:ascii="宋体" w:hAnsi="宋体"/>
          <w:color w:val="auto"/>
          <w:szCs w:val="21"/>
        </w:rPr>
        <w:t>关于编制施工场地治安管理计划的约定：</w:t>
      </w:r>
      <w:r>
        <w:rPr>
          <w:rStyle w:val="50"/>
          <w:rFonts w:hint="eastAsia" w:ascii="宋体" w:hAnsi="宋体" w:eastAsia="宋体"/>
          <w:color w:val="auto"/>
          <w:u w:val="single"/>
        </w:rPr>
        <w:t>承包人在图纸会审和设计交底之日起</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天内报送</w:t>
      </w:r>
      <w:r>
        <w:rPr>
          <w:rFonts w:ascii="宋体" w:hAnsi="宋体"/>
          <w:color w:val="auto"/>
          <w:szCs w:val="21"/>
        </w:rPr>
        <w:t>。</w:t>
      </w:r>
    </w:p>
    <w:p w14:paraId="122180BB">
      <w:pPr>
        <w:spacing w:line="360" w:lineRule="auto"/>
        <w:ind w:firstLine="420" w:firstLineChars="200"/>
        <w:jc w:val="left"/>
        <w:rPr>
          <w:rFonts w:ascii="宋体" w:hAnsi="宋体"/>
          <w:color w:val="auto"/>
          <w:szCs w:val="21"/>
        </w:rPr>
      </w:pPr>
      <w:r>
        <w:rPr>
          <w:rFonts w:ascii="宋体" w:hAnsi="宋体"/>
          <w:color w:val="auto"/>
          <w:szCs w:val="21"/>
        </w:rPr>
        <w:t>6.1.5 文明施工</w:t>
      </w:r>
    </w:p>
    <w:p w14:paraId="638DE54A">
      <w:pPr>
        <w:spacing w:line="360" w:lineRule="auto"/>
        <w:ind w:firstLine="420" w:firstLineChars="200"/>
        <w:jc w:val="left"/>
        <w:rPr>
          <w:rFonts w:ascii="宋体" w:hAnsi="宋体"/>
          <w:color w:val="auto"/>
          <w:szCs w:val="21"/>
        </w:rPr>
      </w:pPr>
      <w:r>
        <w:rPr>
          <w:rFonts w:ascii="宋体" w:hAnsi="宋体"/>
          <w:color w:val="auto"/>
          <w:szCs w:val="21"/>
        </w:rPr>
        <w:t>合同当事人对文明施工的要求：</w:t>
      </w:r>
      <w:r>
        <w:rPr>
          <w:rStyle w:val="50"/>
          <w:rFonts w:hint="eastAsia" w:ascii="宋体" w:hAnsi="宋体" w:eastAsia="宋体"/>
          <w:color w:val="auto"/>
          <w:u w:val="single"/>
        </w:rPr>
        <w:t>承包人需自行办理的有关施工场地交通、环卫和施工噪音管理等手续，并应符合国家相关规定，并自行承担其费用；对施工中的地上地下建筑物（构筑物）管线、电力设施等应按有关规定加强监控测量和保护，相应的费用由发包人承担，因保护不当造成的损失及法律责任由责任人承担；环境保护工作由承包人全权负责，执行国家和地方相关规定。施工现场内不得随地抛洒剩饭及生活垃圾等，更不能将其随意倒至施工区外，施工区内不得随处大小便。做到工完场地清；施工机械设备进场前，应做好清洁、保养和维护工作。出场车辆应有专人打扫、清洗。有密封要求的按规定必须达到；施工期间必须保证周边单位的正常工作及居民的正常生活，尽量减少粉尘、噪声、振动等污染的扰民。必须按市委、市人大、市政府及有关部门的临时要求，调整作业方式，停止高粉尘、高噪音作业或爆破作业等；保证周围建(构)筑物、地下及地上管线、地下人防等设施安全；做到进入现场的施工和作业人员，配证上岗，文明施工；按规定做好施工区域封闭及场地硬化工作，施工围墙(围挡)等维护设施应安全、美观、耐久，非施工相关人员不许入内</w:t>
      </w:r>
      <w:r>
        <w:rPr>
          <w:rFonts w:ascii="宋体" w:hAnsi="宋体"/>
          <w:color w:val="auto"/>
          <w:szCs w:val="21"/>
          <w:u w:val="single"/>
        </w:rPr>
        <w:t>。</w:t>
      </w:r>
    </w:p>
    <w:p w14:paraId="7E6ACD0F">
      <w:pPr>
        <w:spacing w:line="360" w:lineRule="auto"/>
        <w:ind w:firstLine="420" w:firstLineChars="200"/>
        <w:jc w:val="left"/>
        <w:rPr>
          <w:rFonts w:ascii="宋体" w:hAnsi="宋体"/>
          <w:color w:val="auto"/>
          <w:szCs w:val="21"/>
        </w:rPr>
      </w:pPr>
      <w:r>
        <w:rPr>
          <w:rFonts w:ascii="宋体" w:hAnsi="宋体"/>
          <w:color w:val="auto"/>
          <w:szCs w:val="21"/>
        </w:rPr>
        <w:t>6.1.6 关于安全文明施工费支付比例和支付期限的约定：</w:t>
      </w:r>
    </w:p>
    <w:p w14:paraId="37A279FB">
      <w:pPr>
        <w:autoSpaceDE w:val="0"/>
        <w:autoSpaceDN w:val="0"/>
        <w:adjustRightInd w:val="0"/>
        <w:spacing w:line="360" w:lineRule="auto"/>
        <w:ind w:firstLine="420" w:firstLineChars="200"/>
        <w:jc w:val="left"/>
        <w:rPr>
          <w:rFonts w:ascii="宋体" w:hAnsi="宋体"/>
          <w:color w:val="auto"/>
          <w:kern w:val="0"/>
          <w:szCs w:val="21"/>
        </w:rPr>
      </w:pPr>
      <w:r>
        <w:rPr>
          <w:rFonts w:hint="eastAsia" w:ascii="宋体" w:hAnsi="宋体"/>
          <w:color w:val="auto"/>
          <w:kern w:val="0"/>
          <w:szCs w:val="21"/>
        </w:rPr>
        <w:t>（1）</w:t>
      </w:r>
      <w:r>
        <w:rPr>
          <w:rFonts w:ascii="宋体" w:hAnsi="宋体"/>
          <w:color w:val="auto"/>
          <w:kern w:val="0"/>
          <w:szCs w:val="21"/>
        </w:rPr>
        <w:t>本合同价款已包含安全文明施工费</w:t>
      </w:r>
      <w:r>
        <w:rPr>
          <w:rFonts w:hint="eastAsia" w:ascii="宋体" w:hAnsi="宋体"/>
          <w:color w:val="auto"/>
          <w:kern w:val="0"/>
          <w:szCs w:val="21"/>
          <w:u w:val="single"/>
          <w:lang w:val="en-US" w:eastAsia="zh-CN"/>
        </w:rPr>
        <w:t xml:space="preserve">       </w:t>
      </w:r>
      <w:r>
        <w:rPr>
          <w:rFonts w:ascii="宋体" w:hAnsi="宋体"/>
          <w:color w:val="auto"/>
          <w:kern w:val="0"/>
          <w:szCs w:val="21"/>
        </w:rPr>
        <w:t>元</w:t>
      </w:r>
      <w:r>
        <w:rPr>
          <w:rFonts w:hint="eastAsia" w:ascii="宋体" w:hAnsi="宋体"/>
          <w:color w:val="auto"/>
          <w:kern w:val="0"/>
          <w:szCs w:val="21"/>
        </w:rPr>
        <w:t>。</w:t>
      </w:r>
    </w:p>
    <w:p w14:paraId="729D1888">
      <w:pPr>
        <w:widowControl/>
        <w:spacing w:line="384" w:lineRule="auto"/>
        <w:ind w:firstLine="420" w:firstLineChars="200"/>
        <w:jc w:val="left"/>
        <w:rPr>
          <w:rFonts w:ascii="宋体" w:hAnsi="宋体"/>
          <w:color w:val="auto"/>
          <w:kern w:val="0"/>
          <w:szCs w:val="21"/>
        </w:rPr>
      </w:pPr>
      <w:r>
        <w:rPr>
          <w:rFonts w:hint="eastAsia" w:ascii="宋体" w:hAnsi="宋体"/>
          <w:color w:val="auto"/>
          <w:kern w:val="0"/>
          <w:szCs w:val="21"/>
        </w:rPr>
        <w:t>（2）</w:t>
      </w:r>
      <w:r>
        <w:rPr>
          <w:rFonts w:ascii="宋体" w:hAnsi="宋体"/>
          <w:color w:val="auto"/>
          <w:kern w:val="0"/>
          <w:szCs w:val="21"/>
        </w:rPr>
        <w:t>使用要求：专款专用。具体按</w:t>
      </w:r>
      <w:r>
        <w:rPr>
          <w:rStyle w:val="50"/>
          <w:rFonts w:hint="eastAsia" w:ascii="宋体" w:hAnsi="宋体" w:eastAsia="宋体" w:cs="Times New Roman"/>
          <w:color w:val="auto"/>
          <w:kern w:val="0"/>
        </w:rPr>
        <w:t>《广西壮族自治区建设工程安全文明施工费使用管理细则》（桂建质〔2015〕16号）和《关于加强贺州市建设工程安全文明施工费使用管理的通知》的通知（贺住建发〔2018〕49号） 及其相关规定</w:t>
      </w:r>
      <w:r>
        <w:rPr>
          <w:rFonts w:ascii="宋体" w:hAnsi="宋体"/>
          <w:color w:val="auto"/>
          <w:kern w:val="0"/>
          <w:szCs w:val="21"/>
        </w:rPr>
        <w:t>执行</w:t>
      </w:r>
      <w:r>
        <w:rPr>
          <w:rFonts w:hint="eastAsia" w:ascii="宋体" w:hAnsi="宋体"/>
          <w:color w:val="auto"/>
          <w:kern w:val="0"/>
          <w:szCs w:val="21"/>
        </w:rPr>
        <w:t>。</w:t>
      </w:r>
    </w:p>
    <w:p w14:paraId="7998B3C1">
      <w:pPr>
        <w:autoSpaceDE w:val="0"/>
        <w:autoSpaceDN w:val="0"/>
        <w:adjustRightInd w:val="0"/>
        <w:spacing w:line="360" w:lineRule="auto"/>
        <w:ind w:firstLine="420" w:firstLineChars="200"/>
        <w:jc w:val="left"/>
        <w:rPr>
          <w:rFonts w:ascii="宋体" w:hAnsi="宋体"/>
          <w:color w:val="auto"/>
          <w:kern w:val="0"/>
          <w:szCs w:val="21"/>
        </w:rPr>
      </w:pPr>
      <w:r>
        <w:rPr>
          <w:rFonts w:hint="eastAsia" w:ascii="宋体" w:hAnsi="宋体"/>
          <w:color w:val="auto"/>
          <w:kern w:val="0"/>
          <w:szCs w:val="21"/>
        </w:rPr>
        <w:t>（3）支付约定：</w:t>
      </w:r>
      <w:r>
        <w:rPr>
          <w:rFonts w:hint="eastAsia" w:ascii="宋体" w:hAnsi="宋体"/>
          <w:color w:val="auto"/>
          <w:kern w:val="0"/>
          <w:szCs w:val="21"/>
          <w:u w:val="single"/>
        </w:rPr>
        <w:t>在本合同签订后7个工作日内，预付安全文明施工费总额的50 %，其余部分与进度款同期支付</w:t>
      </w:r>
      <w:r>
        <w:rPr>
          <w:rFonts w:ascii="宋体" w:hAnsi="宋体"/>
          <w:color w:val="auto"/>
          <w:kern w:val="0"/>
          <w:szCs w:val="21"/>
        </w:rPr>
        <w:t>。</w:t>
      </w:r>
    </w:p>
    <w:p w14:paraId="14C1F897">
      <w:pPr>
        <w:keepNext/>
        <w:keepLines/>
        <w:spacing w:before="260" w:after="260" w:line="416" w:lineRule="auto"/>
        <w:outlineLvl w:val="1"/>
        <w:rPr>
          <w:rFonts w:ascii="宋体" w:hAnsi="宋体"/>
          <w:b/>
          <w:bCs/>
          <w:color w:val="auto"/>
          <w:sz w:val="32"/>
          <w:szCs w:val="32"/>
        </w:rPr>
      </w:pPr>
      <w:bookmarkStart w:id="605" w:name="_Toc86935884"/>
      <w:bookmarkStart w:id="606" w:name="_Toc389065287"/>
      <w:bookmarkStart w:id="607" w:name="_Toc373227721"/>
      <w:bookmarkStart w:id="608" w:name="_Toc373478368"/>
      <w:bookmarkStart w:id="609" w:name="_Toc508379734"/>
      <w:bookmarkStart w:id="610" w:name="_Toc495673399"/>
      <w:bookmarkStart w:id="611" w:name="_Toc407135223"/>
      <w:bookmarkStart w:id="612" w:name="_Toc24489"/>
      <w:bookmarkStart w:id="613" w:name="_Toc31618"/>
      <w:r>
        <w:rPr>
          <w:rFonts w:ascii="宋体" w:hAnsi="宋体"/>
          <w:b/>
          <w:bCs/>
          <w:color w:val="auto"/>
          <w:sz w:val="32"/>
          <w:szCs w:val="32"/>
        </w:rPr>
        <w:t>6.3环境保护</w:t>
      </w:r>
      <w:bookmarkEnd w:id="605"/>
      <w:bookmarkEnd w:id="606"/>
      <w:bookmarkEnd w:id="607"/>
      <w:bookmarkEnd w:id="608"/>
      <w:bookmarkEnd w:id="609"/>
      <w:bookmarkEnd w:id="610"/>
      <w:bookmarkEnd w:id="611"/>
      <w:bookmarkEnd w:id="612"/>
      <w:bookmarkEnd w:id="613"/>
    </w:p>
    <w:p w14:paraId="1BB3EED6">
      <w:pPr>
        <w:spacing w:line="360" w:lineRule="auto"/>
        <w:ind w:firstLine="420" w:firstLineChars="200"/>
        <w:jc w:val="left"/>
        <w:rPr>
          <w:rFonts w:ascii="宋体" w:hAnsi="宋体"/>
          <w:color w:val="auto"/>
          <w:szCs w:val="21"/>
          <w:u w:val="single"/>
        </w:rPr>
      </w:pPr>
      <w:r>
        <w:rPr>
          <w:rFonts w:ascii="宋体" w:hAnsi="宋体"/>
          <w:color w:val="auto"/>
          <w:szCs w:val="21"/>
          <w:u w:val="single"/>
        </w:rPr>
        <w:t>因施工需要，经发包人批准，由承包人办理有关施工场地交通、环卫和施工噪音管理等手续，费用由承包人负责。</w:t>
      </w:r>
    </w:p>
    <w:p w14:paraId="6818C938">
      <w:pPr>
        <w:spacing w:line="360" w:lineRule="auto"/>
        <w:ind w:firstLine="420" w:firstLineChars="200"/>
        <w:jc w:val="left"/>
        <w:rPr>
          <w:rFonts w:ascii="宋体" w:hAnsi="宋体"/>
          <w:color w:val="auto"/>
          <w:szCs w:val="21"/>
          <w:u w:val="single"/>
        </w:rPr>
      </w:pPr>
      <w:r>
        <w:rPr>
          <w:rFonts w:ascii="宋体" w:hAnsi="宋体"/>
          <w:color w:val="auto"/>
          <w:szCs w:val="21"/>
          <w:u w:val="single"/>
        </w:rPr>
        <w:t>经过城市道路的施工车辆，必须按交警、城管、运输等部门相关规定执行。由于施工车辆造成的道路、环境等污染，其责任和费用均由承包人承担。</w:t>
      </w:r>
    </w:p>
    <w:bookmarkEnd w:id="575"/>
    <w:bookmarkEnd w:id="576"/>
    <w:bookmarkEnd w:id="577"/>
    <w:bookmarkEnd w:id="578"/>
    <w:bookmarkEnd w:id="579"/>
    <w:bookmarkEnd w:id="580"/>
    <w:bookmarkEnd w:id="581"/>
    <w:p w14:paraId="7464D9C9">
      <w:pPr>
        <w:keepNext/>
        <w:keepLines/>
        <w:spacing w:before="260" w:after="260" w:line="416" w:lineRule="auto"/>
        <w:outlineLvl w:val="0"/>
        <w:rPr>
          <w:rFonts w:ascii="宋体" w:hAnsi="宋体"/>
          <w:b/>
          <w:bCs/>
          <w:color w:val="auto"/>
          <w:sz w:val="32"/>
          <w:szCs w:val="32"/>
        </w:rPr>
      </w:pPr>
      <w:bookmarkStart w:id="614" w:name="_Toc495673400"/>
      <w:bookmarkStart w:id="615" w:name="_Toc508379735"/>
      <w:bookmarkStart w:id="616" w:name="_Toc373227722"/>
      <w:bookmarkStart w:id="617" w:name="_Toc389065288"/>
      <w:bookmarkStart w:id="618" w:name="_Toc373478369"/>
      <w:bookmarkStart w:id="619" w:name="_Toc351203639"/>
      <w:bookmarkStart w:id="620" w:name="_Toc407135224"/>
      <w:bookmarkStart w:id="621" w:name="_Toc86935885"/>
      <w:bookmarkStart w:id="622" w:name="_Toc24900"/>
      <w:bookmarkStart w:id="623" w:name="_Toc10704"/>
      <w:bookmarkStart w:id="624" w:name="_Toc17856"/>
      <w:bookmarkStart w:id="625" w:name="_Toc31037"/>
      <w:r>
        <w:rPr>
          <w:rFonts w:ascii="宋体" w:hAnsi="宋体"/>
          <w:b/>
          <w:bCs/>
          <w:color w:val="auto"/>
          <w:sz w:val="32"/>
          <w:szCs w:val="32"/>
        </w:rPr>
        <w:t>7. 工期和进度</w:t>
      </w:r>
      <w:bookmarkEnd w:id="614"/>
      <w:bookmarkEnd w:id="615"/>
      <w:bookmarkEnd w:id="616"/>
      <w:bookmarkEnd w:id="617"/>
      <w:bookmarkEnd w:id="618"/>
      <w:bookmarkEnd w:id="619"/>
      <w:bookmarkEnd w:id="620"/>
      <w:bookmarkEnd w:id="621"/>
      <w:bookmarkEnd w:id="622"/>
      <w:bookmarkEnd w:id="623"/>
      <w:bookmarkEnd w:id="624"/>
      <w:bookmarkEnd w:id="625"/>
    </w:p>
    <w:p w14:paraId="4FDA3DD4">
      <w:pPr>
        <w:keepNext/>
        <w:keepLines/>
        <w:spacing w:before="260" w:after="260" w:line="416" w:lineRule="auto"/>
        <w:outlineLvl w:val="1"/>
        <w:rPr>
          <w:rFonts w:ascii="宋体" w:hAnsi="宋体"/>
          <w:b/>
          <w:bCs/>
          <w:color w:val="auto"/>
          <w:sz w:val="32"/>
          <w:szCs w:val="32"/>
        </w:rPr>
      </w:pPr>
      <w:bookmarkStart w:id="626" w:name="_Toc373478370"/>
      <w:bookmarkStart w:id="627" w:name="_Toc389065289"/>
      <w:bookmarkStart w:id="628" w:name="_Toc86935886"/>
      <w:bookmarkStart w:id="629" w:name="_Toc373227723"/>
      <w:bookmarkStart w:id="630" w:name="_Toc508379736"/>
      <w:bookmarkStart w:id="631" w:name="_Toc407135225"/>
      <w:bookmarkStart w:id="632" w:name="_Toc495673401"/>
      <w:bookmarkStart w:id="633" w:name="_Toc29958"/>
      <w:bookmarkStart w:id="634" w:name="_Toc539"/>
      <w:r>
        <w:rPr>
          <w:rFonts w:ascii="宋体" w:hAnsi="宋体"/>
          <w:b/>
          <w:bCs/>
          <w:color w:val="auto"/>
          <w:sz w:val="32"/>
          <w:szCs w:val="32"/>
        </w:rPr>
        <w:t>7.1 施工组织设计</w:t>
      </w:r>
      <w:bookmarkEnd w:id="626"/>
      <w:bookmarkEnd w:id="627"/>
      <w:bookmarkEnd w:id="628"/>
      <w:bookmarkEnd w:id="629"/>
      <w:bookmarkEnd w:id="630"/>
      <w:bookmarkEnd w:id="631"/>
      <w:bookmarkEnd w:id="632"/>
      <w:bookmarkEnd w:id="633"/>
      <w:bookmarkEnd w:id="634"/>
    </w:p>
    <w:p w14:paraId="566FCE53">
      <w:pPr>
        <w:autoSpaceDE w:val="0"/>
        <w:autoSpaceDN w:val="0"/>
        <w:adjustRightInd w:val="0"/>
        <w:spacing w:line="360" w:lineRule="auto"/>
        <w:ind w:firstLine="420" w:firstLineChars="200"/>
        <w:jc w:val="left"/>
        <w:rPr>
          <w:rFonts w:ascii="宋体" w:hAnsi="宋体"/>
          <w:color w:val="auto"/>
          <w:szCs w:val="21"/>
          <w:u w:val="single"/>
        </w:rPr>
      </w:pPr>
      <w:r>
        <w:rPr>
          <w:rFonts w:ascii="宋体" w:hAnsi="宋体"/>
          <w:color w:val="auto"/>
          <w:szCs w:val="21"/>
        </w:rPr>
        <w:t>7.1.1 合</w:t>
      </w:r>
      <w:r>
        <w:rPr>
          <w:rFonts w:ascii="宋体" w:hAnsi="宋体"/>
          <w:color w:val="auto"/>
          <w:kern w:val="0"/>
          <w:szCs w:val="21"/>
        </w:rPr>
        <w:t>同当事人约定的施工组织设计应包括的其他内容：</w:t>
      </w:r>
      <w:r>
        <w:rPr>
          <w:rStyle w:val="50"/>
          <w:rFonts w:hint="eastAsia" w:ascii="宋体" w:hAnsi="宋体" w:eastAsia="宋体"/>
          <w:color w:val="auto"/>
          <w:u w:val="single"/>
        </w:rPr>
        <w:t>按行业管理有关要求</w:t>
      </w:r>
      <w:r>
        <w:rPr>
          <w:rFonts w:ascii="宋体" w:hAnsi="宋体"/>
          <w:color w:val="auto"/>
          <w:szCs w:val="21"/>
        </w:rPr>
        <w:t>。</w:t>
      </w:r>
    </w:p>
    <w:p w14:paraId="69413F85">
      <w:pPr>
        <w:autoSpaceDE w:val="0"/>
        <w:autoSpaceDN w:val="0"/>
        <w:adjustRightInd w:val="0"/>
        <w:spacing w:line="360" w:lineRule="auto"/>
        <w:ind w:firstLine="420" w:firstLineChars="200"/>
        <w:jc w:val="left"/>
        <w:rPr>
          <w:rFonts w:ascii="宋体" w:hAnsi="宋体"/>
          <w:color w:val="auto"/>
          <w:kern w:val="0"/>
          <w:szCs w:val="21"/>
        </w:rPr>
      </w:pPr>
      <w:r>
        <w:rPr>
          <w:rFonts w:ascii="宋体" w:hAnsi="宋体"/>
          <w:color w:val="auto"/>
          <w:szCs w:val="21"/>
        </w:rPr>
        <w:t xml:space="preserve">7.1.2 </w:t>
      </w:r>
      <w:r>
        <w:rPr>
          <w:rFonts w:ascii="宋体" w:hAnsi="宋体"/>
          <w:color w:val="auto"/>
          <w:kern w:val="0"/>
          <w:szCs w:val="21"/>
        </w:rPr>
        <w:t>施工组织设计的提交和修改</w:t>
      </w:r>
    </w:p>
    <w:p w14:paraId="6EAF63B0">
      <w:pPr>
        <w:autoSpaceDE w:val="0"/>
        <w:autoSpaceDN w:val="0"/>
        <w:adjustRightInd w:val="0"/>
        <w:spacing w:line="360" w:lineRule="auto"/>
        <w:ind w:firstLine="420" w:firstLineChars="200"/>
        <w:jc w:val="left"/>
        <w:rPr>
          <w:rFonts w:ascii="宋体" w:hAnsi="宋体"/>
          <w:color w:val="auto"/>
          <w:szCs w:val="21"/>
          <w:u w:val="single"/>
        </w:rPr>
      </w:pPr>
      <w:r>
        <w:rPr>
          <w:rFonts w:ascii="宋体" w:hAnsi="宋体"/>
          <w:color w:val="auto"/>
          <w:kern w:val="0"/>
          <w:szCs w:val="21"/>
        </w:rPr>
        <w:t>承包人提交详细施工组织设计的期限的约定：</w:t>
      </w:r>
      <w:r>
        <w:rPr>
          <w:rStyle w:val="50"/>
          <w:rFonts w:hint="eastAsia" w:ascii="宋体" w:hAnsi="宋体" w:eastAsia="宋体"/>
          <w:color w:val="auto"/>
          <w:u w:val="single"/>
        </w:rPr>
        <w:t>承包人在图纸会审和设计交底之日起</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天内报送</w:t>
      </w:r>
      <w:r>
        <w:rPr>
          <w:rFonts w:ascii="宋体" w:hAnsi="宋体"/>
          <w:color w:val="auto"/>
          <w:szCs w:val="21"/>
        </w:rPr>
        <w:t>。</w:t>
      </w:r>
    </w:p>
    <w:p w14:paraId="205D3982">
      <w:pPr>
        <w:spacing w:line="360" w:lineRule="auto"/>
        <w:ind w:firstLine="420" w:firstLineChars="200"/>
        <w:rPr>
          <w:rFonts w:ascii="宋体" w:hAnsi="宋体"/>
          <w:color w:val="auto"/>
          <w:szCs w:val="21"/>
        </w:rPr>
      </w:pPr>
      <w:r>
        <w:rPr>
          <w:rFonts w:ascii="宋体" w:hAnsi="宋体"/>
          <w:color w:val="auto"/>
          <w:szCs w:val="21"/>
        </w:rPr>
        <w:t>发包人和监理人在收到详细的施工组织设计后确认或提出修改意见的期限：</w:t>
      </w:r>
      <w:r>
        <w:rPr>
          <w:rStyle w:val="50"/>
          <w:rFonts w:hint="eastAsia" w:ascii="宋体" w:hAnsi="宋体" w:eastAsia="宋体"/>
          <w:color w:val="auto"/>
          <w:u w:val="single"/>
        </w:rPr>
        <w:t>收到之日起</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天内予以确认</w:t>
      </w:r>
      <w:r>
        <w:rPr>
          <w:rStyle w:val="50"/>
          <w:rFonts w:hint="eastAsia" w:ascii="宋体" w:hAnsi="宋体" w:eastAsia="宋体"/>
          <w:color w:val="auto"/>
        </w:rPr>
        <w:t>，</w:t>
      </w:r>
      <w:r>
        <w:rPr>
          <w:rStyle w:val="50"/>
          <w:rFonts w:hint="eastAsia" w:ascii="宋体" w:hAnsi="宋体" w:eastAsia="宋体"/>
          <w:color w:val="auto"/>
          <w:u w:val="single"/>
        </w:rPr>
        <w:t>如有重大异议必须在收到上述资料之日起五天内以书面形式送达承包人</w:t>
      </w:r>
      <w:r>
        <w:rPr>
          <w:rStyle w:val="50"/>
          <w:rFonts w:hint="eastAsia" w:ascii="宋体" w:hAnsi="宋体" w:eastAsia="宋体"/>
          <w:color w:val="auto"/>
        </w:rPr>
        <w:t>，</w:t>
      </w:r>
      <w:r>
        <w:rPr>
          <w:rStyle w:val="50"/>
          <w:rFonts w:hint="eastAsia" w:ascii="宋体" w:hAnsi="宋体" w:eastAsia="宋体"/>
          <w:color w:val="auto"/>
          <w:u w:val="single"/>
        </w:rPr>
        <w:t>逾期不确认也不提出书面意见的</w:t>
      </w:r>
      <w:r>
        <w:rPr>
          <w:rStyle w:val="50"/>
          <w:rFonts w:hint="eastAsia" w:ascii="宋体" w:hAnsi="宋体" w:eastAsia="宋体"/>
          <w:color w:val="auto"/>
        </w:rPr>
        <w:t>，</w:t>
      </w:r>
      <w:r>
        <w:rPr>
          <w:rStyle w:val="50"/>
          <w:rFonts w:hint="eastAsia" w:ascii="宋体" w:hAnsi="宋体" w:eastAsia="宋体"/>
          <w:color w:val="auto"/>
          <w:u w:val="single"/>
        </w:rPr>
        <w:t>视为同意</w:t>
      </w:r>
      <w:r>
        <w:rPr>
          <w:rFonts w:ascii="宋体" w:hAnsi="宋体"/>
          <w:color w:val="auto"/>
          <w:szCs w:val="21"/>
        </w:rPr>
        <w:t>。</w:t>
      </w:r>
    </w:p>
    <w:p w14:paraId="07A4849B">
      <w:pPr>
        <w:keepNext/>
        <w:keepLines/>
        <w:spacing w:before="260" w:after="260" w:line="416" w:lineRule="auto"/>
        <w:outlineLvl w:val="1"/>
        <w:rPr>
          <w:rFonts w:ascii="宋体" w:hAnsi="宋体"/>
          <w:b/>
          <w:bCs/>
          <w:color w:val="auto"/>
          <w:sz w:val="32"/>
          <w:szCs w:val="32"/>
        </w:rPr>
      </w:pPr>
      <w:bookmarkStart w:id="635" w:name="_Toc407135226"/>
      <w:bookmarkStart w:id="636" w:name="_Toc86935887"/>
      <w:bookmarkStart w:id="637" w:name="_Toc389065290"/>
      <w:bookmarkStart w:id="638" w:name="_Toc508379737"/>
      <w:bookmarkStart w:id="639" w:name="_Toc495673402"/>
      <w:bookmarkStart w:id="640" w:name="_Toc373227724"/>
      <w:bookmarkStart w:id="641" w:name="_Toc373478371"/>
      <w:bookmarkStart w:id="642" w:name="_Toc5893"/>
      <w:bookmarkStart w:id="643" w:name="_Toc17219"/>
      <w:r>
        <w:rPr>
          <w:rFonts w:ascii="宋体" w:hAnsi="宋体"/>
          <w:b/>
          <w:bCs/>
          <w:color w:val="auto"/>
          <w:sz w:val="32"/>
          <w:szCs w:val="32"/>
        </w:rPr>
        <w:t>7</w:t>
      </w:r>
      <w:bookmarkStart w:id="644" w:name="_Toc312678005"/>
      <w:bookmarkStart w:id="645" w:name="_Toc303539123"/>
      <w:bookmarkStart w:id="646" w:name="_Toc297123514"/>
      <w:bookmarkStart w:id="647" w:name="_Toc304295541"/>
      <w:bookmarkStart w:id="648" w:name="_Toc300934966"/>
      <w:bookmarkStart w:id="649" w:name="_Toc297216173"/>
      <w:bookmarkStart w:id="650" w:name="_Toc312677479"/>
      <w:r>
        <w:rPr>
          <w:rFonts w:ascii="宋体" w:hAnsi="宋体"/>
          <w:b/>
          <w:bCs/>
          <w:color w:val="auto"/>
          <w:sz w:val="32"/>
          <w:szCs w:val="32"/>
        </w:rPr>
        <w:t>.2 施工进度计划</w:t>
      </w:r>
      <w:bookmarkEnd w:id="635"/>
      <w:bookmarkEnd w:id="636"/>
      <w:bookmarkEnd w:id="637"/>
      <w:bookmarkEnd w:id="638"/>
      <w:bookmarkEnd w:id="639"/>
      <w:bookmarkEnd w:id="640"/>
      <w:bookmarkEnd w:id="641"/>
      <w:bookmarkEnd w:id="642"/>
      <w:bookmarkEnd w:id="643"/>
    </w:p>
    <w:p w14:paraId="48042244">
      <w:pPr>
        <w:spacing w:line="360" w:lineRule="auto"/>
        <w:ind w:firstLine="420" w:firstLineChars="200"/>
        <w:jc w:val="left"/>
        <w:outlineLvl w:val="2"/>
        <w:rPr>
          <w:rFonts w:ascii="宋体" w:hAnsi="宋体"/>
          <w:color w:val="auto"/>
          <w:szCs w:val="21"/>
        </w:rPr>
      </w:pPr>
      <w:r>
        <w:rPr>
          <w:rFonts w:ascii="宋体" w:hAnsi="宋体"/>
          <w:color w:val="auto"/>
          <w:szCs w:val="21"/>
        </w:rPr>
        <w:t>7.2.2 施工进度计划的修订</w:t>
      </w:r>
    </w:p>
    <w:p w14:paraId="647D0C25">
      <w:pPr>
        <w:spacing w:line="360" w:lineRule="auto"/>
        <w:ind w:firstLine="420" w:firstLineChars="200"/>
        <w:rPr>
          <w:rFonts w:ascii="宋体" w:hAnsi="宋体"/>
          <w:color w:val="auto"/>
          <w:szCs w:val="21"/>
        </w:rPr>
      </w:pPr>
      <w:r>
        <w:rPr>
          <w:rFonts w:ascii="宋体" w:hAnsi="宋体"/>
          <w:color w:val="auto"/>
          <w:szCs w:val="21"/>
        </w:rPr>
        <w:t>发包人和监理人在收到修订的施工进度计划后确认或提出修改意见的期限：</w:t>
      </w:r>
      <w:r>
        <w:rPr>
          <w:rStyle w:val="50"/>
          <w:rFonts w:hint="eastAsia" w:ascii="宋体" w:hAnsi="宋体" w:eastAsia="宋体"/>
          <w:color w:val="auto"/>
          <w:u w:val="single"/>
        </w:rPr>
        <w:t>收到之日起</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天内</w:t>
      </w:r>
      <w:r>
        <w:rPr>
          <w:rFonts w:ascii="宋体" w:hAnsi="宋体"/>
          <w:color w:val="auto"/>
          <w:szCs w:val="21"/>
        </w:rPr>
        <w:t>。</w:t>
      </w:r>
    </w:p>
    <w:p w14:paraId="4827B39E">
      <w:pPr>
        <w:keepNext/>
        <w:keepLines/>
        <w:spacing w:before="260" w:after="260" w:line="416" w:lineRule="auto"/>
        <w:outlineLvl w:val="1"/>
        <w:rPr>
          <w:rFonts w:ascii="宋体" w:hAnsi="宋体"/>
          <w:b/>
          <w:bCs/>
          <w:color w:val="auto"/>
          <w:sz w:val="32"/>
          <w:szCs w:val="32"/>
        </w:rPr>
      </w:pPr>
      <w:bookmarkStart w:id="651" w:name="_Toc389065291"/>
      <w:bookmarkStart w:id="652" w:name="_Toc86935888"/>
      <w:bookmarkStart w:id="653" w:name="_Toc495673403"/>
      <w:bookmarkStart w:id="654" w:name="_Toc373478372"/>
      <w:bookmarkStart w:id="655" w:name="_Toc407135227"/>
      <w:bookmarkStart w:id="656" w:name="_Toc508379738"/>
      <w:bookmarkStart w:id="657" w:name="_Toc373227725"/>
      <w:bookmarkStart w:id="658" w:name="_Toc25669"/>
      <w:bookmarkStart w:id="659" w:name="_Toc1720"/>
      <w:r>
        <w:rPr>
          <w:rFonts w:ascii="宋体" w:hAnsi="宋体"/>
          <w:b/>
          <w:bCs/>
          <w:color w:val="auto"/>
          <w:sz w:val="32"/>
          <w:szCs w:val="32"/>
        </w:rPr>
        <w:t>7.3 开工</w:t>
      </w:r>
      <w:bookmarkEnd w:id="651"/>
      <w:bookmarkEnd w:id="652"/>
      <w:bookmarkEnd w:id="653"/>
      <w:bookmarkEnd w:id="654"/>
      <w:bookmarkEnd w:id="655"/>
      <w:bookmarkEnd w:id="656"/>
      <w:bookmarkEnd w:id="657"/>
      <w:bookmarkEnd w:id="658"/>
      <w:bookmarkEnd w:id="659"/>
    </w:p>
    <w:p w14:paraId="3DAFBEA8">
      <w:pPr>
        <w:spacing w:line="360" w:lineRule="auto"/>
        <w:ind w:firstLine="420" w:firstLineChars="200"/>
        <w:jc w:val="left"/>
        <w:outlineLvl w:val="2"/>
        <w:rPr>
          <w:rFonts w:ascii="宋体" w:hAnsi="宋体"/>
          <w:color w:val="auto"/>
          <w:szCs w:val="21"/>
        </w:rPr>
      </w:pPr>
      <w:r>
        <w:rPr>
          <w:rFonts w:ascii="宋体" w:hAnsi="宋体"/>
          <w:color w:val="auto"/>
          <w:szCs w:val="21"/>
        </w:rPr>
        <w:t>7.3.1 开工准备</w:t>
      </w:r>
    </w:p>
    <w:p w14:paraId="01C78024">
      <w:pPr>
        <w:spacing w:line="360" w:lineRule="auto"/>
        <w:ind w:firstLine="426"/>
        <w:jc w:val="left"/>
        <w:rPr>
          <w:rFonts w:ascii="宋体" w:hAnsi="宋体"/>
          <w:color w:val="auto"/>
          <w:szCs w:val="21"/>
          <w:u w:val="single"/>
        </w:rPr>
      </w:pPr>
      <w:r>
        <w:rPr>
          <w:rFonts w:ascii="宋体" w:hAnsi="宋体"/>
          <w:color w:val="auto"/>
          <w:szCs w:val="21"/>
        </w:rPr>
        <w:t>关于承包人提交</w:t>
      </w:r>
      <w:r>
        <w:rPr>
          <w:rFonts w:ascii="宋体" w:hAnsi="宋体"/>
          <w:color w:val="auto"/>
          <w:kern w:val="0"/>
          <w:szCs w:val="21"/>
        </w:rPr>
        <w:t>工程开工报审表的期限：</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ascii="宋体" w:hAnsi="宋体"/>
          <w:color w:val="auto"/>
          <w:szCs w:val="21"/>
        </w:rPr>
        <w:t>。</w:t>
      </w:r>
    </w:p>
    <w:p w14:paraId="07469DA4">
      <w:pPr>
        <w:spacing w:line="360" w:lineRule="auto"/>
        <w:ind w:firstLine="426"/>
        <w:jc w:val="left"/>
        <w:rPr>
          <w:rFonts w:ascii="宋体" w:hAnsi="宋体"/>
          <w:color w:val="auto"/>
          <w:szCs w:val="21"/>
          <w:u w:val="single"/>
        </w:rPr>
      </w:pPr>
      <w:r>
        <w:rPr>
          <w:rFonts w:ascii="宋体" w:hAnsi="宋体"/>
          <w:color w:val="auto"/>
          <w:szCs w:val="21"/>
        </w:rPr>
        <w:t>关于发包人应完成的其他开工准备工作及期限：</w:t>
      </w:r>
      <w:r>
        <w:rPr>
          <w:rFonts w:hint="eastAsia" w:ascii="宋体" w:hAnsi="宋体"/>
          <w:color w:val="auto"/>
          <w:szCs w:val="21"/>
          <w:u w:val="single"/>
        </w:rPr>
        <w:t xml:space="preserve">                      </w:t>
      </w:r>
      <w:r>
        <w:rPr>
          <w:rFonts w:ascii="宋体" w:hAnsi="宋体"/>
          <w:color w:val="auto"/>
          <w:szCs w:val="21"/>
        </w:rPr>
        <w:t>。</w:t>
      </w:r>
    </w:p>
    <w:p w14:paraId="199D824F">
      <w:pPr>
        <w:spacing w:line="360" w:lineRule="auto"/>
        <w:ind w:firstLine="420" w:firstLineChars="200"/>
        <w:jc w:val="left"/>
        <w:rPr>
          <w:rFonts w:ascii="宋体" w:hAnsi="宋体"/>
          <w:color w:val="auto"/>
          <w:szCs w:val="21"/>
          <w:u w:val="single"/>
        </w:rPr>
      </w:pPr>
      <w:r>
        <w:rPr>
          <w:rFonts w:ascii="宋体" w:hAnsi="宋体"/>
          <w:color w:val="auto"/>
          <w:szCs w:val="21"/>
        </w:rPr>
        <w:t>关于承包人应完成的其他开工准备工作及期限：</w:t>
      </w:r>
      <w:r>
        <w:rPr>
          <w:rFonts w:hint="eastAsia" w:ascii="宋体" w:hAnsi="宋体"/>
          <w:color w:val="auto"/>
          <w:szCs w:val="21"/>
          <w:u w:val="single"/>
        </w:rPr>
        <w:t xml:space="preserve">                      </w:t>
      </w:r>
      <w:r>
        <w:rPr>
          <w:rFonts w:ascii="宋体" w:hAnsi="宋体"/>
          <w:color w:val="auto"/>
          <w:szCs w:val="21"/>
        </w:rPr>
        <w:t>。</w:t>
      </w:r>
    </w:p>
    <w:p w14:paraId="51FC0A35">
      <w:pPr>
        <w:spacing w:line="360" w:lineRule="auto"/>
        <w:ind w:firstLine="420" w:firstLineChars="200"/>
        <w:jc w:val="left"/>
        <w:outlineLvl w:val="2"/>
        <w:rPr>
          <w:rFonts w:ascii="宋体" w:hAnsi="宋体"/>
          <w:color w:val="auto"/>
          <w:szCs w:val="21"/>
        </w:rPr>
      </w:pPr>
      <w:r>
        <w:rPr>
          <w:rFonts w:ascii="宋体" w:hAnsi="宋体"/>
          <w:color w:val="auto"/>
          <w:szCs w:val="21"/>
        </w:rPr>
        <w:t>7.3.2开工通知</w:t>
      </w:r>
    </w:p>
    <w:p w14:paraId="70FBEFF7">
      <w:pPr>
        <w:spacing w:line="360" w:lineRule="auto"/>
        <w:ind w:firstLine="420" w:firstLineChars="200"/>
        <w:jc w:val="left"/>
        <w:rPr>
          <w:rFonts w:ascii="宋体" w:hAnsi="宋体"/>
          <w:color w:val="auto"/>
          <w:szCs w:val="21"/>
        </w:rPr>
      </w:pPr>
      <w:r>
        <w:rPr>
          <w:rFonts w:ascii="宋体" w:hAnsi="宋体"/>
          <w:color w:val="auto"/>
          <w:szCs w:val="21"/>
        </w:rPr>
        <w:t>因发包人原因造成监理人未能在计划开工日期之日起天内发出开工通知的，承包人有权提出价格调整要求，或者解除合同。</w:t>
      </w:r>
    </w:p>
    <w:bookmarkEnd w:id="644"/>
    <w:bookmarkEnd w:id="645"/>
    <w:bookmarkEnd w:id="646"/>
    <w:bookmarkEnd w:id="647"/>
    <w:bookmarkEnd w:id="648"/>
    <w:bookmarkEnd w:id="649"/>
    <w:bookmarkEnd w:id="650"/>
    <w:p w14:paraId="038D690A">
      <w:pPr>
        <w:keepNext/>
        <w:keepLines/>
        <w:spacing w:before="260" w:after="260" w:line="416" w:lineRule="auto"/>
        <w:outlineLvl w:val="1"/>
        <w:rPr>
          <w:rFonts w:ascii="宋体" w:hAnsi="宋体"/>
          <w:b/>
          <w:bCs/>
          <w:color w:val="auto"/>
          <w:sz w:val="32"/>
          <w:szCs w:val="32"/>
        </w:rPr>
      </w:pPr>
      <w:bookmarkStart w:id="660" w:name="_Toc86935889"/>
      <w:bookmarkStart w:id="661" w:name="_Toc508379739"/>
      <w:bookmarkStart w:id="662" w:name="_Toc373227726"/>
      <w:bookmarkStart w:id="663" w:name="_Toc373478373"/>
      <w:bookmarkStart w:id="664" w:name="_Toc407135228"/>
      <w:bookmarkStart w:id="665" w:name="_Toc389065292"/>
      <w:bookmarkStart w:id="666" w:name="_Toc495673404"/>
      <w:bookmarkStart w:id="667" w:name="_Toc23228"/>
      <w:bookmarkStart w:id="668" w:name="_Toc6400"/>
      <w:r>
        <w:rPr>
          <w:rFonts w:ascii="宋体" w:hAnsi="宋体"/>
          <w:b/>
          <w:bCs/>
          <w:color w:val="auto"/>
          <w:sz w:val="32"/>
          <w:szCs w:val="32"/>
        </w:rPr>
        <w:t>7.4 测量放线</w:t>
      </w:r>
      <w:bookmarkEnd w:id="660"/>
      <w:bookmarkEnd w:id="661"/>
      <w:bookmarkEnd w:id="662"/>
      <w:bookmarkEnd w:id="663"/>
      <w:bookmarkEnd w:id="664"/>
      <w:bookmarkEnd w:id="665"/>
      <w:bookmarkEnd w:id="666"/>
      <w:bookmarkEnd w:id="667"/>
      <w:bookmarkEnd w:id="668"/>
    </w:p>
    <w:p w14:paraId="2B1D18DF">
      <w:pPr>
        <w:spacing w:line="360" w:lineRule="auto"/>
        <w:ind w:firstLine="420" w:firstLineChars="200"/>
        <w:jc w:val="left"/>
        <w:rPr>
          <w:rFonts w:ascii="宋体" w:hAnsi="宋体"/>
          <w:color w:val="auto"/>
          <w:szCs w:val="21"/>
        </w:rPr>
      </w:pPr>
      <w:r>
        <w:rPr>
          <w:rFonts w:ascii="宋体" w:hAnsi="宋体"/>
          <w:color w:val="auto"/>
          <w:szCs w:val="21"/>
        </w:rPr>
        <w:t>7.4.1发包人通过监理人向承包人提供测量基准点、基准线和水准点及其书面资料的期限：</w:t>
      </w:r>
    </w:p>
    <w:p w14:paraId="20A3C26A">
      <w:pPr>
        <w:spacing w:line="360" w:lineRule="auto"/>
        <w:jc w:val="left"/>
        <w:rPr>
          <w:rFonts w:ascii="宋体" w:hAnsi="宋体"/>
          <w:color w:val="auto"/>
          <w:szCs w:val="21"/>
          <w:u w:val="single"/>
        </w:rPr>
      </w:pPr>
      <w:r>
        <w:rPr>
          <w:rFonts w:hint="eastAsia" w:ascii="宋体" w:hAnsi="宋体"/>
          <w:color w:val="auto"/>
          <w:szCs w:val="21"/>
          <w:u w:val="single"/>
        </w:rPr>
        <w:t xml:space="preserve">                      </w:t>
      </w:r>
      <w:r>
        <w:rPr>
          <w:rFonts w:ascii="宋体" w:hAnsi="宋体"/>
          <w:color w:val="auto"/>
          <w:szCs w:val="21"/>
        </w:rPr>
        <w:t>。</w:t>
      </w:r>
    </w:p>
    <w:p w14:paraId="7CD9D0D5">
      <w:pPr>
        <w:keepNext/>
        <w:keepLines/>
        <w:spacing w:before="260" w:after="260" w:line="416" w:lineRule="auto"/>
        <w:outlineLvl w:val="1"/>
        <w:rPr>
          <w:rFonts w:ascii="宋体" w:hAnsi="宋体"/>
          <w:b/>
          <w:bCs/>
          <w:color w:val="auto"/>
          <w:sz w:val="32"/>
          <w:szCs w:val="32"/>
        </w:rPr>
      </w:pPr>
      <w:bookmarkStart w:id="669" w:name="_Toc407135229"/>
      <w:bookmarkStart w:id="670" w:name="_Toc389065293"/>
      <w:bookmarkStart w:id="671" w:name="_Toc373478374"/>
      <w:bookmarkStart w:id="672" w:name="_Toc373227727"/>
      <w:bookmarkStart w:id="673" w:name="_Toc86935890"/>
      <w:bookmarkStart w:id="674" w:name="_Toc495673405"/>
      <w:bookmarkStart w:id="675" w:name="_Toc508379740"/>
      <w:bookmarkStart w:id="676" w:name="_Toc13536"/>
      <w:bookmarkStart w:id="677" w:name="_Toc14304"/>
      <w:r>
        <w:rPr>
          <w:rFonts w:ascii="宋体" w:hAnsi="宋体"/>
          <w:b/>
          <w:bCs/>
          <w:color w:val="auto"/>
          <w:sz w:val="32"/>
          <w:szCs w:val="32"/>
        </w:rPr>
        <w:t>7</w:t>
      </w:r>
      <w:bookmarkStart w:id="678" w:name="_Toc300934968"/>
      <w:bookmarkStart w:id="679" w:name="_Toc303539125"/>
      <w:bookmarkStart w:id="680" w:name="_Toc297216175"/>
      <w:bookmarkStart w:id="681" w:name="_Toc297123516"/>
      <w:bookmarkStart w:id="682" w:name="_Toc312677484"/>
      <w:bookmarkStart w:id="683" w:name="_Toc312678010"/>
      <w:bookmarkStart w:id="684" w:name="_Toc304295546"/>
      <w:r>
        <w:rPr>
          <w:rFonts w:ascii="宋体" w:hAnsi="宋体"/>
          <w:b/>
          <w:bCs/>
          <w:color w:val="auto"/>
          <w:sz w:val="32"/>
          <w:szCs w:val="32"/>
        </w:rPr>
        <w:t>.5 工期延误</w:t>
      </w:r>
      <w:bookmarkEnd w:id="669"/>
      <w:bookmarkEnd w:id="670"/>
      <w:bookmarkEnd w:id="671"/>
      <w:bookmarkEnd w:id="672"/>
      <w:bookmarkEnd w:id="673"/>
      <w:bookmarkEnd w:id="674"/>
      <w:bookmarkEnd w:id="675"/>
      <w:bookmarkEnd w:id="676"/>
      <w:bookmarkEnd w:id="677"/>
    </w:p>
    <w:bookmarkEnd w:id="678"/>
    <w:bookmarkEnd w:id="679"/>
    <w:bookmarkEnd w:id="680"/>
    <w:bookmarkEnd w:id="681"/>
    <w:bookmarkEnd w:id="682"/>
    <w:bookmarkEnd w:id="683"/>
    <w:bookmarkEnd w:id="684"/>
    <w:p w14:paraId="38C24666">
      <w:pPr>
        <w:spacing w:line="360" w:lineRule="auto"/>
        <w:ind w:firstLine="420" w:firstLineChars="200"/>
        <w:jc w:val="left"/>
        <w:outlineLvl w:val="2"/>
        <w:rPr>
          <w:rFonts w:ascii="宋体" w:hAnsi="宋体"/>
          <w:color w:val="auto"/>
          <w:szCs w:val="21"/>
        </w:rPr>
      </w:pPr>
      <w:r>
        <w:rPr>
          <w:rFonts w:ascii="宋体" w:hAnsi="宋体"/>
          <w:color w:val="auto"/>
          <w:szCs w:val="21"/>
        </w:rPr>
        <w:t>7.5.1 因发包人原因导致工期延误</w:t>
      </w:r>
    </w:p>
    <w:p w14:paraId="4BD5754C">
      <w:pPr>
        <w:spacing w:line="360" w:lineRule="auto"/>
        <w:ind w:firstLine="420" w:firstLineChars="200"/>
        <w:jc w:val="left"/>
        <w:rPr>
          <w:rFonts w:ascii="宋体" w:hAnsi="宋体"/>
          <w:color w:val="auto"/>
          <w:szCs w:val="21"/>
          <w:u w:val="single"/>
        </w:rPr>
      </w:pPr>
      <w:r>
        <w:rPr>
          <w:rFonts w:ascii="宋体" w:hAnsi="宋体"/>
          <w:color w:val="auto"/>
          <w:szCs w:val="21"/>
        </w:rPr>
        <w:t>（7）因发包人原因导致工期延误的其他情形：</w:t>
      </w:r>
      <w:r>
        <w:rPr>
          <w:rFonts w:hint="eastAsia" w:ascii="宋体" w:hAnsi="宋体"/>
          <w:color w:val="auto"/>
          <w:szCs w:val="21"/>
          <w:u w:val="single"/>
        </w:rPr>
        <w:t>①重大图纸变更影响关健线路工序施工；②施工期间如因停电、停水连续</w:t>
      </w:r>
      <w:r>
        <w:rPr>
          <w:rFonts w:ascii="宋体" w:hAnsi="宋体"/>
          <w:color w:val="auto"/>
          <w:szCs w:val="21"/>
          <w:u w:val="single"/>
        </w:rPr>
        <w:t>8</w:t>
      </w:r>
      <w:r>
        <w:rPr>
          <w:rFonts w:hint="eastAsia" w:ascii="宋体" w:hAnsi="宋体"/>
          <w:color w:val="auto"/>
          <w:szCs w:val="21"/>
          <w:u w:val="single"/>
        </w:rPr>
        <w:t>小时以上或一周内间歇性停水、停电累计</w:t>
      </w:r>
      <w:r>
        <w:rPr>
          <w:rFonts w:ascii="宋体" w:hAnsi="宋体"/>
          <w:color w:val="auto"/>
          <w:szCs w:val="21"/>
          <w:u w:val="single"/>
        </w:rPr>
        <w:t>8</w:t>
      </w:r>
      <w:r>
        <w:rPr>
          <w:rFonts w:hint="eastAsia" w:ascii="宋体" w:hAnsi="宋体"/>
          <w:color w:val="auto"/>
          <w:szCs w:val="21"/>
          <w:u w:val="single"/>
        </w:rPr>
        <w:t>小时（含</w:t>
      </w:r>
      <w:r>
        <w:rPr>
          <w:rFonts w:ascii="宋体" w:hAnsi="宋体"/>
          <w:color w:val="auto"/>
          <w:szCs w:val="21"/>
          <w:u w:val="single"/>
        </w:rPr>
        <w:t>8</w:t>
      </w:r>
      <w:r>
        <w:rPr>
          <w:rFonts w:hint="eastAsia" w:ascii="宋体" w:hAnsi="宋体"/>
          <w:color w:val="auto"/>
          <w:szCs w:val="21"/>
          <w:u w:val="single"/>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ascii="宋体" w:hAnsi="宋体"/>
          <w:color w:val="auto"/>
          <w:szCs w:val="21"/>
        </w:rPr>
        <w:t>。</w:t>
      </w:r>
    </w:p>
    <w:p w14:paraId="32071950">
      <w:pPr>
        <w:spacing w:line="360" w:lineRule="auto"/>
        <w:ind w:firstLine="420" w:firstLineChars="200"/>
        <w:jc w:val="left"/>
        <w:outlineLvl w:val="2"/>
        <w:rPr>
          <w:rFonts w:ascii="宋体" w:hAnsi="宋体"/>
          <w:color w:val="auto"/>
          <w:szCs w:val="21"/>
        </w:rPr>
      </w:pPr>
      <w:r>
        <w:rPr>
          <w:rFonts w:ascii="宋体" w:hAnsi="宋体"/>
          <w:color w:val="auto"/>
          <w:szCs w:val="21"/>
        </w:rPr>
        <w:t>7</w:t>
      </w:r>
      <w:bookmarkStart w:id="685" w:name="_Toc312678012"/>
      <w:bookmarkStart w:id="686" w:name="_Toc312677486"/>
      <w:bookmarkStart w:id="687" w:name="_Toc318581169"/>
      <w:bookmarkStart w:id="688" w:name="_Toc297123518"/>
      <w:bookmarkStart w:id="689" w:name="_Toc297216177"/>
      <w:bookmarkStart w:id="690" w:name="_Toc303539127"/>
      <w:bookmarkStart w:id="691" w:name="_Toc300934970"/>
      <w:bookmarkStart w:id="692" w:name="_Toc304295548"/>
      <w:r>
        <w:rPr>
          <w:rFonts w:ascii="宋体" w:hAnsi="宋体"/>
          <w:color w:val="auto"/>
          <w:szCs w:val="21"/>
        </w:rPr>
        <w:t>.5.2 因承包人原因导致工期延误</w:t>
      </w:r>
    </w:p>
    <w:bookmarkEnd w:id="685"/>
    <w:bookmarkEnd w:id="686"/>
    <w:bookmarkEnd w:id="687"/>
    <w:p w14:paraId="6314A03C">
      <w:pPr>
        <w:spacing w:line="360" w:lineRule="auto"/>
        <w:ind w:firstLine="420" w:firstLineChars="200"/>
        <w:jc w:val="left"/>
        <w:rPr>
          <w:rFonts w:ascii="宋体" w:hAnsi="宋体"/>
          <w:color w:val="auto"/>
          <w:szCs w:val="21"/>
        </w:rPr>
      </w:pPr>
      <w:r>
        <w:rPr>
          <w:rFonts w:ascii="宋体" w:hAnsi="宋体"/>
          <w:color w:val="auto"/>
          <w:szCs w:val="21"/>
        </w:rPr>
        <w:t>双方约定经监理工程师确认，工期相应顺延的情况：</w:t>
      </w:r>
      <w:r>
        <w:rPr>
          <w:rFonts w:hint="eastAsia" w:ascii="宋体" w:hAnsi="宋体"/>
          <w:color w:val="auto"/>
          <w:szCs w:val="21"/>
          <w:u w:val="single"/>
        </w:rPr>
        <w:t xml:space="preserve">                      </w:t>
      </w:r>
      <w:r>
        <w:rPr>
          <w:rFonts w:ascii="宋体" w:hAnsi="宋体"/>
          <w:color w:val="auto"/>
          <w:szCs w:val="21"/>
        </w:rPr>
        <w:t>。</w:t>
      </w:r>
    </w:p>
    <w:p w14:paraId="146C2202">
      <w:pPr>
        <w:spacing w:line="360" w:lineRule="auto"/>
        <w:ind w:firstLine="420" w:firstLineChars="200"/>
        <w:jc w:val="left"/>
        <w:rPr>
          <w:rFonts w:ascii="宋体" w:hAnsi="宋体"/>
          <w:color w:val="auto"/>
          <w:szCs w:val="21"/>
          <w:u w:val="single"/>
        </w:rPr>
      </w:pPr>
      <w:r>
        <w:rPr>
          <w:rFonts w:ascii="宋体" w:hAnsi="宋体"/>
          <w:color w:val="auto"/>
          <w:szCs w:val="21"/>
        </w:rPr>
        <w:t>因</w:t>
      </w:r>
      <w:bookmarkStart w:id="693" w:name="_Toc312677487"/>
      <w:bookmarkStart w:id="694" w:name="_Toc312678013"/>
      <w:bookmarkStart w:id="695" w:name="_Toc318581170"/>
      <w:r>
        <w:rPr>
          <w:rFonts w:ascii="宋体" w:hAnsi="宋体"/>
          <w:color w:val="auto"/>
          <w:szCs w:val="21"/>
        </w:rPr>
        <w:t>承包人原因造成工期延误，逾期竣工违约金的计算方法为：</w:t>
      </w:r>
      <w:r>
        <w:rPr>
          <w:rFonts w:ascii="宋体" w:hAnsi="宋体"/>
          <w:color w:val="auto"/>
          <w:szCs w:val="21"/>
          <w:u w:val="single"/>
        </w:rPr>
        <w:t>非上述原因，承包人不能按合同约定的时间竣工，承包人应承担违约责任。应向发包人支付误期赔偿费（每天赔偿金额为合同价款扣除建安劳保费、发包人材料价款、暂估专业工程、暂列金额后的的万分</w:t>
      </w:r>
      <w:r>
        <w:rPr>
          <w:rFonts w:hint="eastAsia" w:ascii="宋体" w:hAnsi="宋体"/>
          <w:color w:val="auto"/>
          <w:szCs w:val="21"/>
          <w:u w:val="single"/>
        </w:rPr>
        <w:t>之四</w:t>
      </w:r>
      <w:r>
        <w:rPr>
          <w:rFonts w:ascii="宋体" w:hAnsi="宋体"/>
          <w:color w:val="auto"/>
          <w:szCs w:val="21"/>
          <w:u w:val="single"/>
        </w:rPr>
        <w:t>），</w:t>
      </w:r>
      <w:r>
        <w:rPr>
          <w:rFonts w:hint="eastAsia" w:ascii="宋体" w:hAnsi="宋体"/>
          <w:color w:val="auto"/>
          <w:szCs w:val="21"/>
          <w:u w:val="single"/>
        </w:rPr>
        <w:t>误期时间从规定竣工日期起 直到实际竣工日期的天数（扣除发包人批准顺延的工期）</w:t>
      </w:r>
      <w:r>
        <w:rPr>
          <w:rFonts w:ascii="宋体" w:hAnsi="宋体"/>
          <w:color w:val="auto"/>
          <w:szCs w:val="21"/>
          <w:u w:val="single"/>
        </w:rPr>
        <w:t xml:space="preserve">。发包人可从应向承包人支付的任何金额中扣除此项赔款费或其他方式收回此款，此赔偿款的支付并不能解除承包人应完成工程的责任或合同规定的其他责任。 </w:t>
      </w:r>
    </w:p>
    <w:bookmarkEnd w:id="688"/>
    <w:bookmarkEnd w:id="689"/>
    <w:bookmarkEnd w:id="690"/>
    <w:bookmarkEnd w:id="691"/>
    <w:bookmarkEnd w:id="692"/>
    <w:bookmarkEnd w:id="693"/>
    <w:bookmarkEnd w:id="694"/>
    <w:bookmarkEnd w:id="695"/>
    <w:p w14:paraId="0A4D1E0D">
      <w:pPr>
        <w:spacing w:line="360" w:lineRule="auto"/>
        <w:ind w:firstLine="420" w:firstLineChars="200"/>
        <w:jc w:val="left"/>
        <w:rPr>
          <w:rFonts w:ascii="宋体" w:hAnsi="宋体"/>
          <w:color w:val="auto"/>
          <w:szCs w:val="21"/>
        </w:rPr>
      </w:pPr>
      <w:r>
        <w:rPr>
          <w:rFonts w:ascii="宋体" w:hAnsi="宋体"/>
          <w:color w:val="auto"/>
          <w:szCs w:val="21"/>
        </w:rPr>
        <w:t>因承包人原因造成工期延误，逾</w:t>
      </w:r>
      <w:bookmarkStart w:id="696" w:name="_Toc318581171"/>
      <w:bookmarkStart w:id="697" w:name="_Toc312678014"/>
      <w:r>
        <w:rPr>
          <w:rFonts w:ascii="宋体" w:hAnsi="宋体"/>
          <w:color w:val="auto"/>
          <w:szCs w:val="21"/>
        </w:rPr>
        <w:t>期竣工违约金的上限：</w:t>
      </w:r>
      <w:r>
        <w:rPr>
          <w:rFonts w:hint="eastAsia" w:ascii="宋体" w:hAnsi="宋体"/>
          <w:color w:val="auto"/>
          <w:szCs w:val="21"/>
          <w:u w:val="single"/>
          <w:lang w:eastAsia="zh-CN"/>
        </w:rPr>
        <w:t>无</w:t>
      </w:r>
      <w:r>
        <w:rPr>
          <w:rFonts w:ascii="宋体" w:hAnsi="宋体"/>
          <w:color w:val="auto"/>
          <w:szCs w:val="21"/>
        </w:rPr>
        <w:t>。</w:t>
      </w:r>
    </w:p>
    <w:bookmarkEnd w:id="696"/>
    <w:bookmarkEnd w:id="697"/>
    <w:p w14:paraId="146C015A">
      <w:pPr>
        <w:keepNext/>
        <w:keepLines/>
        <w:spacing w:before="260" w:after="260" w:line="416" w:lineRule="auto"/>
        <w:outlineLvl w:val="1"/>
        <w:rPr>
          <w:rFonts w:ascii="宋体" w:hAnsi="宋体"/>
          <w:b/>
          <w:bCs/>
          <w:color w:val="auto"/>
          <w:sz w:val="32"/>
          <w:szCs w:val="32"/>
        </w:rPr>
      </w:pPr>
      <w:bookmarkStart w:id="698" w:name="_Toc86935891"/>
      <w:bookmarkStart w:id="699" w:name="_Toc508379741"/>
      <w:bookmarkStart w:id="700" w:name="_Toc495673406"/>
      <w:bookmarkStart w:id="701" w:name="_Toc407135230"/>
      <w:bookmarkStart w:id="702" w:name="_Toc373227728"/>
      <w:bookmarkStart w:id="703" w:name="_Toc389065294"/>
      <w:bookmarkStart w:id="704" w:name="_Toc373478375"/>
      <w:bookmarkStart w:id="705" w:name="_Toc9549"/>
      <w:bookmarkStart w:id="706" w:name="_Toc22273"/>
      <w:r>
        <w:rPr>
          <w:rFonts w:ascii="宋体" w:hAnsi="宋体"/>
          <w:b/>
          <w:bCs/>
          <w:color w:val="auto"/>
          <w:sz w:val="32"/>
          <w:szCs w:val="32"/>
        </w:rPr>
        <w:t>7</w:t>
      </w:r>
      <w:bookmarkStart w:id="707" w:name="_Toc297216178"/>
      <w:bookmarkStart w:id="708" w:name="_Toc297123519"/>
      <w:bookmarkStart w:id="709" w:name="_Toc312678015"/>
      <w:bookmarkStart w:id="710" w:name="_Toc303539128"/>
      <w:bookmarkStart w:id="711" w:name="_Toc304295549"/>
      <w:bookmarkStart w:id="712" w:name="_Toc300934971"/>
      <w:r>
        <w:rPr>
          <w:rFonts w:ascii="宋体" w:hAnsi="宋体"/>
          <w:b/>
          <w:bCs/>
          <w:color w:val="auto"/>
          <w:sz w:val="32"/>
          <w:szCs w:val="32"/>
        </w:rPr>
        <w:t>.6 不</w:t>
      </w:r>
      <w:bookmarkEnd w:id="707"/>
      <w:bookmarkEnd w:id="708"/>
      <w:bookmarkEnd w:id="709"/>
      <w:bookmarkEnd w:id="710"/>
      <w:bookmarkEnd w:id="711"/>
      <w:bookmarkEnd w:id="712"/>
      <w:r>
        <w:rPr>
          <w:rFonts w:ascii="宋体" w:hAnsi="宋体"/>
          <w:b/>
          <w:bCs/>
          <w:color w:val="auto"/>
          <w:sz w:val="32"/>
          <w:szCs w:val="32"/>
        </w:rPr>
        <w:t>利物质条件</w:t>
      </w:r>
      <w:bookmarkEnd w:id="698"/>
      <w:bookmarkEnd w:id="699"/>
      <w:bookmarkEnd w:id="700"/>
      <w:bookmarkEnd w:id="701"/>
      <w:bookmarkEnd w:id="702"/>
      <w:bookmarkEnd w:id="703"/>
      <w:bookmarkEnd w:id="704"/>
      <w:bookmarkEnd w:id="705"/>
      <w:bookmarkEnd w:id="706"/>
    </w:p>
    <w:p w14:paraId="2A459B6E">
      <w:pPr>
        <w:spacing w:line="360" w:lineRule="auto"/>
        <w:ind w:firstLine="420" w:firstLineChars="200"/>
        <w:jc w:val="left"/>
        <w:rPr>
          <w:rFonts w:ascii="宋体" w:hAnsi="宋体"/>
          <w:color w:val="auto"/>
          <w:szCs w:val="21"/>
          <w:u w:val="single"/>
        </w:rPr>
      </w:pPr>
      <w:bookmarkStart w:id="713" w:name="_Toc318581172"/>
      <w:bookmarkStart w:id="714" w:name="_Toc303539129"/>
      <w:bookmarkStart w:id="715" w:name="_Toc304295550"/>
      <w:bookmarkStart w:id="716" w:name="_Toc300934972"/>
      <w:bookmarkStart w:id="717" w:name="_Toc312678016"/>
      <w:bookmarkStart w:id="718" w:name="_Toc297123520"/>
      <w:bookmarkStart w:id="719" w:name="_Toc297216179"/>
      <w:r>
        <w:rPr>
          <w:rFonts w:ascii="宋体" w:hAnsi="宋体"/>
          <w:color w:val="auto"/>
          <w:szCs w:val="21"/>
        </w:rPr>
        <w:t>不利物质条件的其他情形和有关约定：</w:t>
      </w:r>
      <w:r>
        <w:rPr>
          <w:rFonts w:hint="eastAsia" w:ascii="宋体" w:hAnsi="宋体"/>
          <w:color w:val="auto"/>
          <w:szCs w:val="21"/>
          <w:u w:val="single"/>
        </w:rPr>
        <w:t xml:space="preserve">                      </w:t>
      </w:r>
      <w:r>
        <w:rPr>
          <w:rFonts w:ascii="宋体" w:hAnsi="宋体"/>
          <w:color w:val="auto"/>
          <w:szCs w:val="21"/>
        </w:rPr>
        <w:t>。</w:t>
      </w:r>
    </w:p>
    <w:bookmarkEnd w:id="713"/>
    <w:bookmarkEnd w:id="714"/>
    <w:bookmarkEnd w:id="715"/>
    <w:bookmarkEnd w:id="716"/>
    <w:bookmarkEnd w:id="717"/>
    <w:bookmarkEnd w:id="718"/>
    <w:bookmarkEnd w:id="719"/>
    <w:p w14:paraId="6059500B">
      <w:pPr>
        <w:keepNext/>
        <w:keepLines/>
        <w:spacing w:before="260" w:after="260" w:line="416" w:lineRule="auto"/>
        <w:outlineLvl w:val="1"/>
        <w:rPr>
          <w:rFonts w:ascii="宋体" w:hAnsi="宋体"/>
          <w:b/>
          <w:bCs/>
          <w:color w:val="auto"/>
          <w:sz w:val="32"/>
          <w:szCs w:val="32"/>
        </w:rPr>
      </w:pPr>
      <w:bookmarkStart w:id="720" w:name="_Toc508379742"/>
      <w:bookmarkStart w:id="721" w:name="_Toc373227729"/>
      <w:bookmarkStart w:id="722" w:name="_Toc86935892"/>
      <w:bookmarkStart w:id="723" w:name="_Toc373478376"/>
      <w:bookmarkStart w:id="724" w:name="_Toc495673407"/>
      <w:bookmarkStart w:id="725" w:name="_Toc407135231"/>
      <w:bookmarkStart w:id="726" w:name="_Toc389065295"/>
      <w:bookmarkStart w:id="727" w:name="_Toc28967"/>
      <w:bookmarkStart w:id="728" w:name="_Toc20366"/>
      <w:r>
        <w:rPr>
          <w:rFonts w:ascii="宋体" w:hAnsi="宋体"/>
          <w:b/>
          <w:bCs/>
          <w:color w:val="auto"/>
          <w:sz w:val="32"/>
          <w:szCs w:val="32"/>
        </w:rPr>
        <w:t>7</w:t>
      </w:r>
      <w:bookmarkStart w:id="729" w:name="_Toc297216180"/>
      <w:bookmarkStart w:id="730" w:name="_Toc304295551"/>
      <w:bookmarkStart w:id="731" w:name="_Toc312678017"/>
      <w:bookmarkStart w:id="732" w:name="_Toc303539130"/>
      <w:bookmarkStart w:id="733" w:name="_Toc300934973"/>
      <w:bookmarkStart w:id="734" w:name="_Toc297123521"/>
      <w:r>
        <w:rPr>
          <w:rFonts w:ascii="宋体" w:hAnsi="宋体"/>
          <w:b/>
          <w:bCs/>
          <w:color w:val="auto"/>
          <w:sz w:val="32"/>
          <w:szCs w:val="32"/>
        </w:rPr>
        <w:t>.7异常恶劣的气候条件</w:t>
      </w:r>
      <w:bookmarkEnd w:id="720"/>
      <w:bookmarkEnd w:id="721"/>
      <w:bookmarkEnd w:id="722"/>
      <w:bookmarkEnd w:id="723"/>
      <w:bookmarkEnd w:id="724"/>
      <w:bookmarkEnd w:id="725"/>
      <w:bookmarkEnd w:id="726"/>
      <w:bookmarkEnd w:id="727"/>
      <w:bookmarkEnd w:id="728"/>
    </w:p>
    <w:bookmarkEnd w:id="729"/>
    <w:bookmarkEnd w:id="730"/>
    <w:bookmarkEnd w:id="731"/>
    <w:bookmarkEnd w:id="732"/>
    <w:bookmarkEnd w:id="733"/>
    <w:bookmarkEnd w:id="734"/>
    <w:p w14:paraId="1ECA8614">
      <w:pPr>
        <w:spacing w:line="360" w:lineRule="auto"/>
        <w:ind w:firstLine="420" w:firstLineChars="200"/>
        <w:jc w:val="left"/>
        <w:rPr>
          <w:rFonts w:ascii="宋体" w:hAnsi="宋体"/>
          <w:color w:val="auto"/>
          <w:szCs w:val="21"/>
        </w:rPr>
      </w:pPr>
      <w:r>
        <w:rPr>
          <w:rFonts w:ascii="宋体" w:hAnsi="宋体"/>
          <w:color w:val="auto"/>
          <w:szCs w:val="21"/>
        </w:rPr>
        <w:t>发包人和承包人同意以下情形视为异常恶劣的气候条件：</w:t>
      </w:r>
    </w:p>
    <w:p w14:paraId="52307F2D">
      <w:pPr>
        <w:spacing w:line="360" w:lineRule="auto"/>
        <w:ind w:firstLine="420" w:firstLineChars="200"/>
        <w:jc w:val="left"/>
        <w:rPr>
          <w:rFonts w:ascii="宋体" w:hAnsi="宋体"/>
          <w:color w:val="auto"/>
          <w:szCs w:val="21"/>
        </w:rPr>
      </w:pPr>
      <w:r>
        <w:rPr>
          <w:rFonts w:ascii="宋体" w:hAnsi="宋体"/>
          <w:color w:val="auto"/>
          <w:szCs w:val="21"/>
        </w:rPr>
        <w:t>（1）</w:t>
      </w:r>
      <w:r>
        <w:rPr>
          <w:rFonts w:hint="eastAsia" w:ascii="宋体" w:hAnsi="宋体"/>
          <w:color w:val="auto"/>
          <w:szCs w:val="21"/>
          <w:u w:val="single"/>
        </w:rPr>
        <w:t xml:space="preserve">                      </w:t>
      </w:r>
      <w:r>
        <w:rPr>
          <w:rFonts w:ascii="宋体" w:hAnsi="宋体"/>
          <w:color w:val="auto"/>
          <w:szCs w:val="21"/>
        </w:rPr>
        <w:t>；</w:t>
      </w:r>
    </w:p>
    <w:p w14:paraId="61BEC971">
      <w:pPr>
        <w:spacing w:line="360" w:lineRule="auto"/>
        <w:ind w:firstLine="420" w:firstLineChars="200"/>
        <w:jc w:val="left"/>
        <w:rPr>
          <w:rFonts w:ascii="宋体" w:hAnsi="宋体"/>
          <w:color w:val="auto"/>
          <w:szCs w:val="21"/>
        </w:rPr>
      </w:pPr>
      <w:r>
        <w:rPr>
          <w:rFonts w:ascii="宋体" w:hAnsi="宋体"/>
          <w:color w:val="auto"/>
          <w:szCs w:val="21"/>
        </w:rPr>
        <w:t>（2）</w:t>
      </w:r>
      <w:r>
        <w:rPr>
          <w:rFonts w:hint="eastAsia" w:ascii="宋体" w:hAnsi="宋体"/>
          <w:color w:val="auto"/>
          <w:szCs w:val="21"/>
          <w:u w:val="single"/>
        </w:rPr>
        <w:t xml:space="preserve">                      </w:t>
      </w:r>
      <w:r>
        <w:rPr>
          <w:rFonts w:ascii="宋体" w:hAnsi="宋体"/>
          <w:color w:val="auto"/>
          <w:szCs w:val="21"/>
        </w:rPr>
        <w:t>；</w:t>
      </w:r>
    </w:p>
    <w:p w14:paraId="280B5735">
      <w:pPr>
        <w:spacing w:line="360" w:lineRule="auto"/>
        <w:ind w:firstLine="420" w:firstLineChars="200"/>
        <w:jc w:val="left"/>
        <w:rPr>
          <w:rFonts w:ascii="宋体" w:hAnsi="宋体"/>
          <w:color w:val="auto"/>
          <w:szCs w:val="21"/>
        </w:rPr>
      </w:pPr>
      <w:r>
        <w:rPr>
          <w:rFonts w:ascii="宋体" w:hAnsi="宋体"/>
          <w:color w:val="auto"/>
          <w:szCs w:val="21"/>
        </w:rPr>
        <w:t>（3）</w:t>
      </w:r>
      <w:r>
        <w:rPr>
          <w:rFonts w:hint="eastAsia" w:ascii="宋体" w:hAnsi="宋体"/>
          <w:color w:val="auto"/>
          <w:szCs w:val="21"/>
          <w:u w:val="single"/>
        </w:rPr>
        <w:t xml:space="preserve">                      </w:t>
      </w:r>
      <w:r>
        <w:rPr>
          <w:rFonts w:ascii="宋体" w:hAnsi="宋体"/>
          <w:color w:val="auto"/>
          <w:szCs w:val="21"/>
        </w:rPr>
        <w:t>。</w:t>
      </w:r>
    </w:p>
    <w:p w14:paraId="1D4FB32D">
      <w:pPr>
        <w:keepNext/>
        <w:keepLines/>
        <w:spacing w:before="260" w:after="260" w:line="416" w:lineRule="auto"/>
        <w:outlineLvl w:val="1"/>
        <w:rPr>
          <w:rFonts w:ascii="宋体" w:hAnsi="宋体"/>
          <w:b/>
          <w:bCs/>
          <w:color w:val="auto"/>
          <w:sz w:val="32"/>
          <w:szCs w:val="32"/>
        </w:rPr>
      </w:pPr>
      <w:bookmarkStart w:id="735" w:name="_Toc86935893"/>
      <w:bookmarkStart w:id="736" w:name="_Toc10535"/>
      <w:bookmarkStart w:id="737" w:name="_Toc373227730"/>
      <w:bookmarkStart w:id="738" w:name="_Toc389065296"/>
      <w:bookmarkStart w:id="739" w:name="_Toc495673408"/>
      <w:bookmarkStart w:id="740" w:name="_Toc373478377"/>
      <w:bookmarkStart w:id="741" w:name="_Toc18573"/>
      <w:bookmarkStart w:id="742" w:name="_Toc407135232"/>
      <w:bookmarkStart w:id="743" w:name="_Toc508379743"/>
      <w:r>
        <w:rPr>
          <w:rFonts w:ascii="宋体" w:hAnsi="宋体"/>
          <w:b/>
          <w:bCs/>
          <w:color w:val="auto"/>
          <w:sz w:val="32"/>
          <w:szCs w:val="32"/>
        </w:rPr>
        <w:t>7.9 提前竣工</w:t>
      </w:r>
      <w:bookmarkEnd w:id="735"/>
      <w:bookmarkEnd w:id="736"/>
      <w:bookmarkEnd w:id="737"/>
      <w:bookmarkEnd w:id="738"/>
      <w:bookmarkEnd w:id="739"/>
      <w:bookmarkEnd w:id="740"/>
      <w:bookmarkEnd w:id="741"/>
      <w:bookmarkEnd w:id="742"/>
      <w:bookmarkEnd w:id="743"/>
    </w:p>
    <w:p w14:paraId="78C51362">
      <w:pPr>
        <w:spacing w:line="360" w:lineRule="auto"/>
        <w:ind w:firstLine="420" w:firstLineChars="200"/>
        <w:jc w:val="left"/>
        <w:rPr>
          <w:rFonts w:ascii="宋体" w:hAnsi="宋体"/>
          <w:color w:val="auto"/>
          <w:szCs w:val="21"/>
        </w:rPr>
      </w:pPr>
      <w:r>
        <w:rPr>
          <w:rFonts w:ascii="宋体" w:hAnsi="宋体"/>
          <w:color w:val="auto"/>
          <w:szCs w:val="21"/>
        </w:rPr>
        <w:t>7.9.2提前竣工</w:t>
      </w:r>
      <w:r>
        <w:rPr>
          <w:rFonts w:hint="eastAsia" w:ascii="宋体" w:hAnsi="宋体"/>
          <w:color w:val="auto"/>
          <w:szCs w:val="21"/>
        </w:rPr>
        <w:t>（赶工）增加费</w:t>
      </w:r>
      <w:r>
        <w:rPr>
          <w:rFonts w:ascii="宋体" w:hAnsi="宋体"/>
          <w:color w:val="auto"/>
          <w:szCs w:val="21"/>
        </w:rPr>
        <w:t>的</w:t>
      </w:r>
      <w:r>
        <w:rPr>
          <w:rFonts w:hint="eastAsia" w:ascii="宋体" w:hAnsi="宋体"/>
          <w:color w:val="auto"/>
          <w:szCs w:val="21"/>
        </w:rPr>
        <w:t>计算方法</w:t>
      </w:r>
      <w:r>
        <w:rPr>
          <w:rFonts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ascii="宋体" w:hAnsi="宋体"/>
          <w:color w:val="auto"/>
          <w:szCs w:val="21"/>
        </w:rPr>
        <w:t>。</w:t>
      </w:r>
    </w:p>
    <w:p w14:paraId="340787F4">
      <w:pPr>
        <w:keepNext/>
        <w:keepLines/>
        <w:spacing w:before="260" w:after="260" w:line="416" w:lineRule="auto"/>
        <w:outlineLvl w:val="0"/>
        <w:rPr>
          <w:rFonts w:ascii="宋体" w:hAnsi="宋体"/>
          <w:b/>
          <w:bCs/>
          <w:color w:val="auto"/>
          <w:sz w:val="32"/>
          <w:szCs w:val="32"/>
        </w:rPr>
      </w:pPr>
      <w:bookmarkStart w:id="744" w:name="_Toc407135233"/>
      <w:bookmarkStart w:id="745" w:name="_Toc86935894"/>
      <w:bookmarkStart w:id="746" w:name="_Toc495673409"/>
      <w:bookmarkStart w:id="747" w:name="_Toc373227731"/>
      <w:bookmarkStart w:id="748" w:name="_Toc373478378"/>
      <w:bookmarkStart w:id="749" w:name="_Toc351203640"/>
      <w:bookmarkStart w:id="750" w:name="_Toc508379744"/>
      <w:bookmarkStart w:id="751" w:name="_Toc389065297"/>
      <w:bookmarkStart w:id="752" w:name="_Toc9652"/>
      <w:bookmarkStart w:id="753" w:name="_Toc4671"/>
      <w:bookmarkStart w:id="754" w:name="_Toc5543"/>
      <w:bookmarkStart w:id="755" w:name="_Toc18513"/>
      <w:r>
        <w:rPr>
          <w:rFonts w:ascii="宋体" w:hAnsi="宋体"/>
          <w:b/>
          <w:bCs/>
          <w:color w:val="auto"/>
          <w:sz w:val="32"/>
          <w:szCs w:val="32"/>
        </w:rPr>
        <w:t>8. 材料与设备</w:t>
      </w:r>
      <w:bookmarkEnd w:id="744"/>
      <w:bookmarkEnd w:id="745"/>
      <w:bookmarkEnd w:id="746"/>
      <w:bookmarkEnd w:id="747"/>
      <w:bookmarkEnd w:id="748"/>
      <w:bookmarkEnd w:id="749"/>
      <w:bookmarkEnd w:id="750"/>
      <w:bookmarkEnd w:id="751"/>
      <w:bookmarkEnd w:id="752"/>
      <w:bookmarkEnd w:id="753"/>
      <w:bookmarkEnd w:id="754"/>
      <w:bookmarkEnd w:id="755"/>
    </w:p>
    <w:bookmarkEnd w:id="556"/>
    <w:bookmarkEnd w:id="557"/>
    <w:bookmarkEnd w:id="558"/>
    <w:bookmarkEnd w:id="559"/>
    <w:bookmarkEnd w:id="560"/>
    <w:bookmarkEnd w:id="561"/>
    <w:bookmarkEnd w:id="562"/>
    <w:bookmarkEnd w:id="563"/>
    <w:bookmarkEnd w:id="564"/>
    <w:bookmarkEnd w:id="565"/>
    <w:p w14:paraId="1ED7784B">
      <w:pPr>
        <w:keepNext/>
        <w:keepLines/>
        <w:spacing w:before="260" w:after="260" w:line="416" w:lineRule="auto"/>
        <w:outlineLvl w:val="1"/>
        <w:rPr>
          <w:rFonts w:ascii="宋体" w:hAnsi="宋体"/>
          <w:b/>
          <w:bCs/>
          <w:color w:val="auto"/>
          <w:sz w:val="32"/>
          <w:szCs w:val="32"/>
        </w:rPr>
      </w:pPr>
      <w:bookmarkStart w:id="756" w:name="_Toc508379745"/>
      <w:bookmarkStart w:id="757" w:name="_Toc389065298"/>
      <w:bookmarkStart w:id="758" w:name="_Toc495673410"/>
      <w:bookmarkStart w:id="759" w:name="_Toc86935895"/>
      <w:bookmarkStart w:id="760" w:name="_Toc373227732"/>
      <w:bookmarkStart w:id="761" w:name="_Toc407135234"/>
      <w:bookmarkStart w:id="762" w:name="_Toc373478379"/>
      <w:bookmarkStart w:id="763" w:name="_Toc7448"/>
      <w:bookmarkStart w:id="764" w:name="_Toc4272"/>
      <w:r>
        <w:rPr>
          <w:rFonts w:ascii="宋体" w:hAnsi="宋体"/>
          <w:b/>
          <w:bCs/>
          <w:color w:val="auto"/>
          <w:sz w:val="32"/>
          <w:szCs w:val="32"/>
        </w:rPr>
        <w:t>8.2承包人采购材料与工程设备</w:t>
      </w:r>
      <w:bookmarkEnd w:id="756"/>
      <w:bookmarkEnd w:id="757"/>
      <w:bookmarkEnd w:id="758"/>
      <w:bookmarkEnd w:id="759"/>
      <w:bookmarkEnd w:id="760"/>
      <w:bookmarkEnd w:id="761"/>
      <w:bookmarkEnd w:id="762"/>
      <w:bookmarkEnd w:id="763"/>
      <w:bookmarkEnd w:id="764"/>
    </w:p>
    <w:p w14:paraId="5D18CD4C">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kern w:val="0"/>
          <w:szCs w:val="22"/>
        </w:rPr>
        <w:t>除</w:t>
      </w:r>
      <w:r>
        <w:rPr>
          <w:rFonts w:hint="eastAsia" w:ascii="宋体" w:hAnsi="宋体"/>
          <w:color w:val="auto"/>
          <w:kern w:val="0"/>
          <w:szCs w:val="22"/>
        </w:rPr>
        <w:t>已标价工程量清单</w:t>
      </w:r>
      <w:r>
        <w:rPr>
          <w:rFonts w:ascii="宋体" w:hAnsi="宋体"/>
          <w:color w:val="auto"/>
          <w:kern w:val="0"/>
          <w:szCs w:val="22"/>
        </w:rPr>
        <w:t>《发包人</w:t>
      </w:r>
      <w:r>
        <w:rPr>
          <w:rFonts w:hint="eastAsia" w:ascii="宋体" w:hAnsi="宋体"/>
          <w:color w:val="auto"/>
          <w:kern w:val="0"/>
          <w:szCs w:val="22"/>
        </w:rPr>
        <w:t>提供主要</w:t>
      </w:r>
      <w:r>
        <w:rPr>
          <w:rFonts w:ascii="宋体" w:hAnsi="宋体"/>
          <w:color w:val="auto"/>
          <w:kern w:val="0"/>
          <w:szCs w:val="22"/>
        </w:rPr>
        <w:t>材料</w:t>
      </w:r>
      <w:r>
        <w:rPr>
          <w:rFonts w:hint="eastAsia" w:ascii="宋体" w:hAnsi="宋体"/>
          <w:color w:val="auto"/>
          <w:kern w:val="0"/>
          <w:szCs w:val="22"/>
        </w:rPr>
        <w:t>和工程</w:t>
      </w:r>
      <w:r>
        <w:rPr>
          <w:rFonts w:ascii="宋体" w:hAnsi="宋体"/>
          <w:color w:val="auto"/>
          <w:kern w:val="0"/>
          <w:szCs w:val="22"/>
        </w:rPr>
        <w:t>设备一览表》</w:t>
      </w:r>
      <w:r>
        <w:rPr>
          <w:rFonts w:hint="eastAsia" w:ascii="宋体" w:hAnsi="宋体"/>
          <w:color w:val="auto"/>
          <w:kern w:val="0"/>
          <w:szCs w:val="22"/>
        </w:rPr>
        <w:t>（表-21）</w:t>
      </w:r>
      <w:r>
        <w:rPr>
          <w:rFonts w:ascii="宋体" w:hAnsi="宋体"/>
          <w:color w:val="auto"/>
          <w:kern w:val="0"/>
          <w:szCs w:val="22"/>
        </w:rPr>
        <w:t>中明确的材料、工程设备外，由承包人负责材料和工程设备的采购、运输和保管。</w:t>
      </w:r>
      <w:r>
        <w:rPr>
          <w:rFonts w:hint="eastAsia" w:ascii="宋体" w:hAnsi="宋体"/>
          <w:color w:val="auto"/>
          <w:kern w:val="0"/>
          <w:szCs w:val="22"/>
        </w:rPr>
        <w:t>《</w:t>
      </w:r>
      <w:r>
        <w:rPr>
          <w:rFonts w:ascii="宋体" w:hAnsi="宋体"/>
          <w:color w:val="auto"/>
          <w:szCs w:val="22"/>
        </w:rPr>
        <w:t>承包人提供主要材料和工程设备一览表</w:t>
      </w:r>
      <w:r>
        <w:rPr>
          <w:rFonts w:hint="eastAsia" w:ascii="宋体" w:hAnsi="宋体"/>
          <w:color w:val="auto"/>
          <w:szCs w:val="22"/>
        </w:rPr>
        <w:t>》</w:t>
      </w:r>
      <w:r>
        <w:rPr>
          <w:rFonts w:hint="eastAsia" w:ascii="宋体" w:hAnsi="宋体"/>
          <w:color w:val="auto"/>
          <w:kern w:val="0"/>
          <w:szCs w:val="22"/>
        </w:rPr>
        <w:t>（表-22）见已标价工程量清单。</w:t>
      </w:r>
    </w:p>
    <w:p w14:paraId="46374EF3">
      <w:pPr>
        <w:keepNext/>
        <w:keepLines/>
        <w:spacing w:before="260" w:after="260" w:line="416" w:lineRule="auto"/>
        <w:outlineLvl w:val="1"/>
        <w:rPr>
          <w:rFonts w:ascii="宋体" w:hAnsi="宋体"/>
          <w:b/>
          <w:bCs/>
          <w:color w:val="auto"/>
          <w:sz w:val="32"/>
          <w:szCs w:val="32"/>
        </w:rPr>
      </w:pPr>
      <w:bookmarkStart w:id="765" w:name="_Toc86935896"/>
      <w:bookmarkStart w:id="766" w:name="_Toc495673411"/>
      <w:bookmarkStart w:id="767" w:name="_Toc508379746"/>
      <w:bookmarkStart w:id="768" w:name="_Toc407135235"/>
      <w:bookmarkStart w:id="769" w:name="_Toc389065299"/>
      <w:bookmarkStart w:id="770" w:name="_Toc373478380"/>
      <w:bookmarkStart w:id="771" w:name="_Toc373227733"/>
      <w:bookmarkStart w:id="772" w:name="_Toc16548"/>
      <w:bookmarkStart w:id="773" w:name="_Toc2239"/>
      <w:r>
        <w:rPr>
          <w:rFonts w:ascii="宋体" w:hAnsi="宋体"/>
          <w:b/>
          <w:bCs/>
          <w:color w:val="auto"/>
          <w:sz w:val="32"/>
          <w:szCs w:val="32"/>
        </w:rPr>
        <w:t>8</w:t>
      </w:r>
      <w:bookmarkStart w:id="774" w:name="_Toc312677493"/>
      <w:bookmarkStart w:id="775" w:name="_Toc303539136"/>
      <w:bookmarkStart w:id="776" w:name="_Toc304295556"/>
      <w:bookmarkStart w:id="777" w:name="_Toc297216186"/>
      <w:bookmarkStart w:id="778" w:name="_Toc296890995"/>
      <w:bookmarkStart w:id="779" w:name="_Toc296891207"/>
      <w:bookmarkStart w:id="780" w:name="_Toc300934979"/>
      <w:bookmarkStart w:id="781" w:name="_Toc297120467"/>
      <w:bookmarkStart w:id="782" w:name="_Toc296503167"/>
      <w:bookmarkStart w:id="783" w:name="_Toc297123527"/>
      <w:bookmarkStart w:id="784" w:name="_Toc296347166"/>
      <w:bookmarkStart w:id="785" w:name="_Toc297048353"/>
      <w:bookmarkStart w:id="786" w:name="_Toc292559877"/>
      <w:bookmarkStart w:id="787" w:name="_Toc296346668"/>
      <w:bookmarkStart w:id="788" w:name="_Toc296944506"/>
      <w:bookmarkStart w:id="789" w:name="_Toc312678019"/>
      <w:bookmarkStart w:id="790" w:name="_Toc292559372"/>
      <w:bookmarkStart w:id="791" w:name="_Toc280868654"/>
      <w:bookmarkStart w:id="792" w:name="_Toc280868655"/>
      <w:bookmarkStart w:id="793" w:name="_Toc280868656"/>
      <w:bookmarkStart w:id="794" w:name="_Toc267251424"/>
      <w:r>
        <w:rPr>
          <w:rFonts w:ascii="宋体" w:hAnsi="宋体"/>
          <w:b/>
          <w:bCs/>
          <w:color w:val="auto"/>
          <w:sz w:val="32"/>
          <w:szCs w:val="32"/>
        </w:rPr>
        <w:t>.4材料与工程设备的保管与使用</w:t>
      </w:r>
      <w:bookmarkEnd w:id="765"/>
      <w:bookmarkEnd w:id="766"/>
      <w:bookmarkEnd w:id="767"/>
      <w:bookmarkEnd w:id="768"/>
      <w:bookmarkEnd w:id="769"/>
      <w:bookmarkEnd w:id="770"/>
      <w:bookmarkEnd w:id="771"/>
      <w:bookmarkEnd w:id="772"/>
      <w:bookmarkEnd w:id="773"/>
    </w:p>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14:paraId="072E0523">
      <w:pPr>
        <w:spacing w:line="360" w:lineRule="auto"/>
        <w:ind w:firstLine="420" w:firstLineChars="200"/>
        <w:jc w:val="left"/>
        <w:rPr>
          <w:rFonts w:ascii="宋体" w:hAnsi="宋体"/>
          <w:color w:val="auto"/>
          <w:szCs w:val="21"/>
          <w:u w:val="single"/>
        </w:rPr>
      </w:pPr>
      <w:r>
        <w:rPr>
          <w:rFonts w:ascii="宋体" w:hAnsi="宋体"/>
          <w:color w:val="auto"/>
          <w:szCs w:val="21"/>
        </w:rPr>
        <w:t>8</w:t>
      </w:r>
      <w:bookmarkStart w:id="795" w:name="_Toc292559878"/>
      <w:bookmarkStart w:id="796" w:name="_Toc292559373"/>
      <w:bookmarkStart w:id="797" w:name="_Toc297048354"/>
      <w:bookmarkStart w:id="798" w:name="_Toc296944507"/>
      <w:bookmarkStart w:id="799" w:name="_Toc297120468"/>
      <w:bookmarkStart w:id="800" w:name="_Toc297123528"/>
      <w:bookmarkStart w:id="801" w:name="_Toc297216187"/>
      <w:bookmarkStart w:id="802" w:name="_Toc296347167"/>
      <w:bookmarkStart w:id="803" w:name="_Toc296891208"/>
      <w:bookmarkStart w:id="804" w:name="_Toc300934980"/>
      <w:bookmarkStart w:id="805" w:name="_Toc296503168"/>
      <w:bookmarkStart w:id="806" w:name="_Toc312678020"/>
      <w:bookmarkStart w:id="807" w:name="_Toc296890996"/>
      <w:bookmarkStart w:id="808" w:name="_Toc303539137"/>
      <w:bookmarkStart w:id="809" w:name="_Toc312677494"/>
      <w:bookmarkStart w:id="810" w:name="_Toc304295557"/>
      <w:bookmarkStart w:id="811" w:name="_Toc296346669"/>
      <w:bookmarkStart w:id="812" w:name="_Toc318581173"/>
      <w:r>
        <w:rPr>
          <w:rFonts w:ascii="宋体" w:hAnsi="宋体"/>
          <w:color w:val="auto"/>
          <w:szCs w:val="21"/>
        </w:rPr>
        <w:t>.4.1发包人供应的材料设备的保管费用的承担：</w:t>
      </w:r>
      <w:r>
        <w:rPr>
          <w:rFonts w:hint="eastAsia" w:ascii="宋体" w:hAnsi="宋体"/>
          <w:color w:val="auto"/>
          <w:szCs w:val="21"/>
          <w:u w:val="single"/>
        </w:rPr>
        <w:t xml:space="preserve"> </w:t>
      </w:r>
      <w:r>
        <w:rPr>
          <w:rStyle w:val="50"/>
          <w:rFonts w:hint="eastAsia" w:ascii="宋体" w:hAnsi="宋体" w:eastAsia="宋体"/>
          <w:color w:val="auto"/>
          <w:u w:val="single"/>
        </w:rPr>
        <w:t>承包人负责</w:t>
      </w:r>
      <w:r>
        <w:rPr>
          <w:rFonts w:hint="eastAsia" w:ascii="宋体" w:hAnsi="宋体"/>
          <w:color w:val="auto"/>
          <w:szCs w:val="21"/>
          <w:u w:val="single"/>
        </w:rPr>
        <w:t xml:space="preserve"> </w:t>
      </w:r>
      <w:r>
        <w:rPr>
          <w:rFonts w:ascii="宋体" w:hAnsi="宋体"/>
          <w:color w:val="auto"/>
          <w:szCs w:val="21"/>
        </w:rPr>
        <w:t>。</w:t>
      </w:r>
    </w:p>
    <w:bookmarkEnd w:id="795"/>
    <w:bookmarkEnd w:id="796"/>
    <w:p w14:paraId="55631382">
      <w:pPr>
        <w:keepNext/>
        <w:keepLines/>
        <w:spacing w:before="260" w:after="260" w:line="416" w:lineRule="auto"/>
        <w:outlineLvl w:val="1"/>
        <w:rPr>
          <w:rFonts w:ascii="宋体" w:hAnsi="宋体"/>
          <w:b/>
          <w:bCs/>
          <w:color w:val="auto"/>
          <w:sz w:val="32"/>
          <w:szCs w:val="32"/>
        </w:rPr>
      </w:pPr>
      <w:bookmarkStart w:id="813" w:name="_Toc495673412"/>
      <w:bookmarkStart w:id="814" w:name="_Toc86935897"/>
      <w:bookmarkStart w:id="815" w:name="_Toc373227734"/>
      <w:bookmarkStart w:id="816" w:name="_Toc389065300"/>
      <w:bookmarkStart w:id="817" w:name="_Toc407135236"/>
      <w:bookmarkStart w:id="818" w:name="_Toc373478381"/>
      <w:bookmarkStart w:id="819" w:name="_Toc508379747"/>
      <w:bookmarkStart w:id="820" w:name="_Toc1621"/>
      <w:bookmarkStart w:id="821" w:name="_Toc29825"/>
      <w:r>
        <w:rPr>
          <w:rFonts w:ascii="宋体" w:hAnsi="宋体"/>
          <w:b/>
          <w:bCs/>
          <w:color w:val="auto"/>
          <w:sz w:val="32"/>
          <w:szCs w:val="32"/>
        </w:rPr>
        <w:t>8.6 样品</w:t>
      </w:r>
      <w:bookmarkEnd w:id="813"/>
      <w:bookmarkEnd w:id="814"/>
      <w:bookmarkEnd w:id="815"/>
      <w:bookmarkEnd w:id="816"/>
      <w:bookmarkEnd w:id="817"/>
      <w:bookmarkEnd w:id="818"/>
      <w:bookmarkEnd w:id="819"/>
      <w:bookmarkEnd w:id="820"/>
      <w:bookmarkEnd w:id="821"/>
    </w:p>
    <w:p w14:paraId="7B5D3DA8">
      <w:pPr>
        <w:autoSpaceDE w:val="0"/>
        <w:autoSpaceDN w:val="0"/>
        <w:adjustRightInd w:val="0"/>
        <w:spacing w:line="360" w:lineRule="auto"/>
        <w:ind w:firstLine="420" w:firstLineChars="200"/>
        <w:jc w:val="left"/>
        <w:outlineLvl w:val="9"/>
        <w:rPr>
          <w:rFonts w:ascii="宋体" w:hAnsi="宋体"/>
          <w:color w:val="auto"/>
          <w:kern w:val="0"/>
          <w:szCs w:val="21"/>
        </w:rPr>
      </w:pPr>
      <w:r>
        <w:rPr>
          <w:rFonts w:ascii="宋体" w:hAnsi="宋体"/>
          <w:color w:val="auto"/>
          <w:kern w:val="0"/>
          <w:szCs w:val="21"/>
        </w:rPr>
        <w:t>8.6.1样品的报送与封存</w:t>
      </w:r>
    </w:p>
    <w:p w14:paraId="36F74B0D">
      <w:pPr>
        <w:autoSpaceDE w:val="0"/>
        <w:autoSpaceDN w:val="0"/>
        <w:adjustRightInd w:val="0"/>
        <w:spacing w:line="360" w:lineRule="auto"/>
        <w:ind w:firstLine="420" w:firstLineChars="200"/>
        <w:jc w:val="left"/>
        <w:rPr>
          <w:rFonts w:ascii="宋体" w:hAnsi="宋体"/>
          <w:color w:val="auto"/>
          <w:szCs w:val="21"/>
          <w:u w:val="single"/>
        </w:rPr>
      </w:pPr>
      <w:r>
        <w:rPr>
          <w:rFonts w:ascii="宋体" w:hAnsi="宋体"/>
          <w:color w:val="auto"/>
          <w:kern w:val="0"/>
          <w:szCs w:val="21"/>
        </w:rPr>
        <w:t>需要承包人报送样品的材料或工程设备，样品的种类、名称、规格、数量要求：</w:t>
      </w:r>
      <w:r>
        <w:rPr>
          <w:rFonts w:ascii="宋体" w:hAnsi="宋体"/>
          <w:color w:val="auto"/>
          <w:szCs w:val="21"/>
          <w:u w:val="single"/>
        </w:rPr>
        <w:t>主要材料涉及品种、款式、颜色等方面内容的，承包人应提交准备合格的材料样品送发包人选定。</w:t>
      </w:r>
    </w:p>
    <w:p w14:paraId="7E9C7826">
      <w:pPr>
        <w:keepNext/>
        <w:keepLines/>
        <w:spacing w:before="260" w:after="260" w:line="416" w:lineRule="auto"/>
        <w:outlineLvl w:val="1"/>
        <w:rPr>
          <w:rFonts w:ascii="宋体" w:hAnsi="宋体"/>
          <w:b/>
          <w:bCs/>
          <w:color w:val="auto"/>
          <w:sz w:val="32"/>
          <w:szCs w:val="32"/>
        </w:rPr>
      </w:pPr>
      <w:bookmarkStart w:id="822" w:name="_Toc407135237"/>
      <w:bookmarkStart w:id="823" w:name="_Toc373227735"/>
      <w:bookmarkStart w:id="824" w:name="_Toc389065301"/>
      <w:bookmarkStart w:id="825" w:name="_Toc373478382"/>
      <w:bookmarkStart w:id="826" w:name="_Toc508379748"/>
      <w:bookmarkStart w:id="827" w:name="_Toc86935898"/>
      <w:bookmarkStart w:id="828" w:name="_Toc495673413"/>
      <w:bookmarkStart w:id="829" w:name="_Toc19062"/>
      <w:bookmarkStart w:id="830" w:name="_Toc7967"/>
      <w:r>
        <w:rPr>
          <w:rFonts w:ascii="宋体" w:hAnsi="宋体"/>
          <w:b/>
          <w:bCs/>
          <w:color w:val="auto"/>
          <w:sz w:val="32"/>
          <w:szCs w:val="32"/>
        </w:rPr>
        <w:t>8.8 施工设备和临时设施</w:t>
      </w:r>
      <w:bookmarkEnd w:id="822"/>
      <w:bookmarkEnd w:id="823"/>
      <w:bookmarkEnd w:id="824"/>
      <w:bookmarkEnd w:id="825"/>
      <w:bookmarkEnd w:id="826"/>
      <w:bookmarkEnd w:id="827"/>
      <w:bookmarkEnd w:id="828"/>
      <w:bookmarkEnd w:id="829"/>
      <w:bookmarkEnd w:id="830"/>
    </w:p>
    <w:p w14:paraId="55BADC51">
      <w:pPr>
        <w:autoSpaceDE w:val="0"/>
        <w:autoSpaceDN w:val="0"/>
        <w:adjustRightInd w:val="0"/>
        <w:spacing w:line="360" w:lineRule="auto"/>
        <w:ind w:firstLine="420" w:firstLineChars="200"/>
        <w:jc w:val="left"/>
        <w:outlineLvl w:val="2"/>
        <w:rPr>
          <w:rFonts w:ascii="宋体" w:hAnsi="宋体"/>
          <w:color w:val="auto"/>
          <w:szCs w:val="21"/>
        </w:rPr>
      </w:pPr>
      <w:r>
        <w:rPr>
          <w:rFonts w:ascii="宋体" w:hAnsi="宋体"/>
          <w:color w:val="auto"/>
          <w:szCs w:val="21"/>
        </w:rPr>
        <w:t>8.8.1 承包人提供的施工设备和临时设施</w:t>
      </w:r>
    </w:p>
    <w:p w14:paraId="6BA2533A">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color w:val="auto"/>
          <w:szCs w:val="21"/>
        </w:rPr>
        <w:t>承包人用于本工程的主要机械设备清单见合同附件6。</w:t>
      </w:r>
    </w:p>
    <w:p w14:paraId="186D313C">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关于修建临时设施费用承担的约定：</w:t>
      </w:r>
    </w:p>
    <w:p w14:paraId="552EAE69">
      <w:pPr>
        <w:autoSpaceDE w:val="0"/>
        <w:autoSpaceDN w:val="0"/>
        <w:adjustRightInd w:val="0"/>
        <w:spacing w:line="360" w:lineRule="auto"/>
        <w:ind w:firstLine="420" w:firstLineChars="200"/>
        <w:jc w:val="left"/>
        <w:rPr>
          <w:rFonts w:ascii="宋体" w:hAnsi="宋体"/>
          <w:color w:val="auto"/>
          <w:szCs w:val="21"/>
          <w:u w:val="single"/>
        </w:rPr>
      </w:pPr>
      <w:r>
        <w:rPr>
          <w:rFonts w:ascii="宋体" w:hAnsi="宋体"/>
          <w:color w:val="auto"/>
          <w:szCs w:val="21"/>
          <w:u w:val="single"/>
        </w:rPr>
        <w:t>①承包人的临时用地（含项目部驻地等）租用费（含拆迁补偿）、临时用地的环保、恢复、临时用地的青苗补偿及地面附着物拆除等费用均由承包人负责，以上费用在投标报价中综合考虑。</w:t>
      </w:r>
    </w:p>
    <w:p w14:paraId="796FDA36">
      <w:pPr>
        <w:autoSpaceDE w:val="0"/>
        <w:autoSpaceDN w:val="0"/>
        <w:adjustRightInd w:val="0"/>
        <w:spacing w:line="360" w:lineRule="auto"/>
        <w:ind w:firstLine="420" w:firstLineChars="200"/>
        <w:jc w:val="left"/>
        <w:rPr>
          <w:rFonts w:ascii="宋体" w:hAnsi="宋体"/>
          <w:color w:val="auto"/>
          <w:szCs w:val="21"/>
          <w:u w:val="single"/>
        </w:rPr>
      </w:pPr>
      <w:r>
        <w:rPr>
          <w:rFonts w:ascii="宋体" w:hAnsi="宋体"/>
          <w:color w:val="auto"/>
          <w:szCs w:val="21"/>
          <w:u w:val="single"/>
        </w:rPr>
        <w:t>②承包人负责合同实施期间其合同段内临时交通道路（含场内外连接公共交通道路）和交通设施的修建、维修、养护和交通管理工作，并承担一切费用。</w:t>
      </w:r>
    </w:p>
    <w:p w14:paraId="2211E2E6">
      <w:pPr>
        <w:autoSpaceDE w:val="0"/>
        <w:autoSpaceDN w:val="0"/>
        <w:adjustRightInd w:val="0"/>
        <w:spacing w:line="360" w:lineRule="auto"/>
        <w:ind w:firstLine="420" w:firstLineChars="200"/>
        <w:jc w:val="left"/>
        <w:rPr>
          <w:rFonts w:ascii="宋体" w:hAnsi="宋体"/>
          <w:color w:val="auto"/>
          <w:szCs w:val="21"/>
          <w:u w:val="single"/>
        </w:rPr>
      </w:pPr>
      <w:r>
        <w:rPr>
          <w:rFonts w:ascii="宋体" w:hAnsi="宋体"/>
          <w:color w:val="auto"/>
          <w:szCs w:val="21"/>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507A1E2F">
      <w:pPr>
        <w:autoSpaceDE w:val="0"/>
        <w:autoSpaceDN w:val="0"/>
        <w:adjustRightInd w:val="0"/>
        <w:spacing w:line="360" w:lineRule="auto"/>
        <w:ind w:firstLine="420" w:firstLineChars="200"/>
        <w:jc w:val="left"/>
        <w:outlineLvl w:val="2"/>
        <w:rPr>
          <w:rFonts w:ascii="宋体" w:hAnsi="宋体"/>
          <w:color w:val="auto"/>
          <w:szCs w:val="21"/>
        </w:rPr>
      </w:pPr>
      <w:r>
        <w:rPr>
          <w:rFonts w:ascii="宋体" w:hAnsi="宋体"/>
          <w:color w:val="auto"/>
          <w:szCs w:val="21"/>
        </w:rPr>
        <w:t>8.8.2 发包人提供的施工设备和临时设施</w:t>
      </w:r>
    </w:p>
    <w:p w14:paraId="3C87A527">
      <w:pPr>
        <w:autoSpaceDE w:val="0"/>
        <w:autoSpaceDN w:val="0"/>
        <w:adjustRightInd w:val="0"/>
        <w:spacing w:line="360" w:lineRule="auto"/>
        <w:ind w:firstLine="420" w:firstLineChars="200"/>
        <w:jc w:val="left"/>
        <w:rPr>
          <w:rFonts w:ascii="宋体" w:hAnsi="宋体"/>
          <w:color w:val="auto"/>
          <w:szCs w:val="21"/>
        </w:rPr>
      </w:pPr>
      <w:r>
        <w:rPr>
          <w:rFonts w:ascii="宋体" w:hAnsi="宋体"/>
          <w:color w:val="auto"/>
          <w:szCs w:val="21"/>
        </w:rPr>
        <w:t>发包人提供的施工设备和临时设施：</w:t>
      </w:r>
      <w:r>
        <w:rPr>
          <w:rFonts w:hint="eastAsia" w:ascii="宋体" w:hAnsi="宋体"/>
          <w:color w:val="auto"/>
          <w:szCs w:val="21"/>
          <w:u w:val="single"/>
        </w:rPr>
        <w:t xml:space="preserve">                      </w:t>
      </w:r>
      <w:r>
        <w:rPr>
          <w:rFonts w:ascii="宋体" w:hAnsi="宋体"/>
          <w:color w:val="auto"/>
          <w:szCs w:val="21"/>
        </w:rPr>
        <w:t>。</w:t>
      </w:r>
    </w:p>
    <w:p w14:paraId="30BB794B">
      <w:pPr>
        <w:autoSpaceDE w:val="0"/>
        <w:autoSpaceDN w:val="0"/>
        <w:adjustRightInd w:val="0"/>
        <w:spacing w:line="360" w:lineRule="auto"/>
        <w:ind w:firstLine="420" w:firstLineChars="200"/>
        <w:rPr>
          <w:rFonts w:ascii="宋体" w:hAnsi="宋体"/>
          <w:color w:val="auto"/>
          <w:szCs w:val="21"/>
        </w:rPr>
      </w:pPr>
      <w:r>
        <w:rPr>
          <w:rFonts w:ascii="宋体" w:hAnsi="宋体"/>
          <w:color w:val="auto"/>
          <w:szCs w:val="21"/>
        </w:rPr>
        <w:t>发包人提供的施工设备和临时设施的运行、维护、拆除、清运费用的承担人：</w:t>
      </w:r>
      <w:r>
        <w:rPr>
          <w:rFonts w:hint="eastAsia" w:ascii="宋体" w:hAnsi="宋体"/>
          <w:color w:val="auto"/>
          <w:szCs w:val="21"/>
          <w:u w:val="single"/>
        </w:rPr>
        <w:t xml:space="preserve">     </w:t>
      </w:r>
      <w:r>
        <w:rPr>
          <w:rStyle w:val="50"/>
          <w:rFonts w:hint="eastAsia" w:ascii="宋体" w:hAnsi="宋体" w:eastAsia="宋体"/>
          <w:color w:val="auto"/>
          <w:u w:val="single"/>
        </w:rPr>
        <w:t>承包人负责</w:t>
      </w:r>
      <w:r>
        <w:rPr>
          <w:rFonts w:hint="eastAsia" w:ascii="宋体" w:hAnsi="宋体"/>
          <w:color w:val="auto"/>
          <w:szCs w:val="21"/>
          <w:u w:val="single"/>
        </w:rPr>
        <w:t xml:space="preserve">         </w:t>
      </w:r>
      <w:r>
        <w:rPr>
          <w:rFonts w:ascii="宋体" w:hAnsi="宋体"/>
          <w:color w:val="auto"/>
          <w:szCs w:val="21"/>
        </w:rPr>
        <w:t>。</w:t>
      </w:r>
    </w:p>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14:paraId="1CD6D761">
      <w:pPr>
        <w:keepNext/>
        <w:keepLines/>
        <w:spacing w:before="260" w:after="260" w:line="416" w:lineRule="auto"/>
        <w:outlineLvl w:val="0"/>
        <w:rPr>
          <w:rFonts w:ascii="宋体" w:hAnsi="宋体"/>
          <w:b/>
          <w:bCs/>
          <w:color w:val="auto"/>
          <w:sz w:val="32"/>
          <w:szCs w:val="32"/>
        </w:rPr>
      </w:pPr>
      <w:bookmarkStart w:id="831" w:name="_Toc495673414"/>
      <w:bookmarkStart w:id="832" w:name="_Toc389065302"/>
      <w:bookmarkStart w:id="833" w:name="_Toc407135238"/>
      <w:bookmarkStart w:id="834" w:name="_Toc86935899"/>
      <w:bookmarkStart w:id="835" w:name="_Toc351203641"/>
      <w:bookmarkStart w:id="836" w:name="_Toc508379749"/>
      <w:bookmarkStart w:id="837" w:name="_Toc373478383"/>
      <w:bookmarkStart w:id="838" w:name="_Toc373227736"/>
      <w:bookmarkStart w:id="839" w:name="_Toc18761"/>
      <w:bookmarkStart w:id="840" w:name="_Toc19550"/>
      <w:bookmarkStart w:id="841" w:name="_Toc3045"/>
      <w:bookmarkStart w:id="842" w:name="_Toc22664"/>
      <w:r>
        <w:rPr>
          <w:rFonts w:ascii="宋体" w:hAnsi="宋体"/>
          <w:b/>
          <w:bCs/>
          <w:color w:val="auto"/>
          <w:sz w:val="32"/>
          <w:szCs w:val="32"/>
        </w:rPr>
        <w:t>9</w:t>
      </w:r>
      <w:bookmarkEnd w:id="792"/>
      <w:bookmarkEnd w:id="793"/>
      <w:bookmarkEnd w:id="794"/>
      <w:bookmarkStart w:id="843" w:name="_Toc312678021"/>
      <w:bookmarkStart w:id="844" w:name="_Toc297216192"/>
      <w:bookmarkStart w:id="845" w:name="_Toc304295559"/>
      <w:bookmarkStart w:id="846" w:name="_Toc300934982"/>
      <w:bookmarkStart w:id="847" w:name="_Toc297123533"/>
      <w:bookmarkStart w:id="848" w:name="_Toc303539139"/>
      <w:bookmarkStart w:id="849" w:name="_Toc312677495"/>
      <w:bookmarkStart w:id="850" w:name="_Toc292559883"/>
      <w:bookmarkStart w:id="851" w:name="_Toc267251428"/>
      <w:bookmarkStart w:id="852" w:name="_Toc296347172"/>
      <w:bookmarkStart w:id="853" w:name="_Toc296346674"/>
      <w:bookmarkStart w:id="854" w:name="_Toc296944512"/>
      <w:bookmarkStart w:id="855" w:name="_Toc297120473"/>
      <w:bookmarkStart w:id="856" w:name="_Toc296891001"/>
      <w:bookmarkStart w:id="857" w:name="_Toc292559378"/>
      <w:bookmarkStart w:id="858" w:name="_Toc296503173"/>
      <w:bookmarkStart w:id="859" w:name="_Toc297048359"/>
      <w:bookmarkStart w:id="860" w:name="_Toc296891213"/>
      <w:bookmarkStart w:id="861" w:name="_Toc267251427"/>
      <w:r>
        <w:rPr>
          <w:rFonts w:ascii="宋体" w:hAnsi="宋体"/>
          <w:b/>
          <w:bCs/>
          <w:color w:val="auto"/>
          <w:sz w:val="32"/>
          <w:szCs w:val="32"/>
        </w:rPr>
        <w:t>. 试验与检验</w:t>
      </w:r>
      <w:bookmarkEnd w:id="831"/>
      <w:bookmarkEnd w:id="832"/>
      <w:bookmarkEnd w:id="833"/>
      <w:bookmarkEnd w:id="834"/>
      <w:bookmarkEnd w:id="835"/>
      <w:bookmarkEnd w:id="836"/>
      <w:bookmarkEnd w:id="837"/>
      <w:bookmarkEnd w:id="838"/>
      <w:bookmarkEnd w:id="839"/>
      <w:bookmarkEnd w:id="840"/>
      <w:bookmarkEnd w:id="841"/>
      <w:bookmarkEnd w:id="842"/>
    </w:p>
    <w:bookmarkEnd w:id="843"/>
    <w:bookmarkEnd w:id="844"/>
    <w:bookmarkEnd w:id="845"/>
    <w:bookmarkEnd w:id="846"/>
    <w:bookmarkEnd w:id="847"/>
    <w:bookmarkEnd w:id="848"/>
    <w:bookmarkEnd w:id="849"/>
    <w:p w14:paraId="4472BD36">
      <w:pPr>
        <w:keepNext/>
        <w:keepLines/>
        <w:spacing w:before="260" w:after="260" w:line="416" w:lineRule="auto"/>
        <w:outlineLvl w:val="1"/>
        <w:rPr>
          <w:rFonts w:ascii="宋体" w:hAnsi="宋体"/>
          <w:b/>
          <w:bCs/>
          <w:color w:val="auto"/>
          <w:sz w:val="32"/>
          <w:szCs w:val="32"/>
        </w:rPr>
      </w:pPr>
      <w:bookmarkStart w:id="862" w:name="_Toc407135239"/>
      <w:bookmarkStart w:id="863" w:name="_Toc373478384"/>
      <w:bookmarkStart w:id="864" w:name="_Toc373227737"/>
      <w:bookmarkStart w:id="865" w:name="_Toc508379750"/>
      <w:bookmarkStart w:id="866" w:name="_Toc389065303"/>
      <w:bookmarkStart w:id="867" w:name="_Toc86935900"/>
      <w:bookmarkStart w:id="868" w:name="_Toc495673415"/>
      <w:bookmarkStart w:id="869" w:name="_Toc30162"/>
      <w:bookmarkStart w:id="870" w:name="_Toc14258"/>
      <w:r>
        <w:rPr>
          <w:rFonts w:ascii="宋体" w:hAnsi="宋体"/>
          <w:b/>
          <w:bCs/>
          <w:color w:val="auto"/>
          <w:sz w:val="32"/>
          <w:szCs w:val="32"/>
        </w:rPr>
        <w:t>9</w:t>
      </w:r>
      <w:bookmarkStart w:id="871" w:name="_Toc303539140"/>
      <w:bookmarkStart w:id="872" w:name="_Toc300934983"/>
      <w:bookmarkStart w:id="873" w:name="_Toc297123534"/>
      <w:bookmarkStart w:id="874" w:name="_Toc304295560"/>
      <w:bookmarkStart w:id="875" w:name="_Toc312677496"/>
      <w:bookmarkStart w:id="876" w:name="_Toc297216193"/>
      <w:bookmarkStart w:id="877" w:name="_Toc312678022"/>
      <w:r>
        <w:rPr>
          <w:rFonts w:ascii="宋体" w:hAnsi="宋体"/>
          <w:b/>
          <w:bCs/>
          <w:color w:val="auto"/>
          <w:sz w:val="32"/>
          <w:szCs w:val="32"/>
        </w:rPr>
        <w:t>.1试验设备与试验人员</w:t>
      </w:r>
      <w:bookmarkEnd w:id="862"/>
      <w:bookmarkEnd w:id="863"/>
      <w:bookmarkEnd w:id="864"/>
      <w:bookmarkEnd w:id="865"/>
      <w:bookmarkEnd w:id="866"/>
      <w:bookmarkEnd w:id="867"/>
      <w:bookmarkEnd w:id="868"/>
      <w:bookmarkEnd w:id="869"/>
      <w:bookmarkEnd w:id="870"/>
    </w:p>
    <w:bookmarkEnd w:id="871"/>
    <w:bookmarkEnd w:id="872"/>
    <w:bookmarkEnd w:id="873"/>
    <w:bookmarkEnd w:id="874"/>
    <w:bookmarkEnd w:id="875"/>
    <w:bookmarkEnd w:id="876"/>
    <w:bookmarkEnd w:id="877"/>
    <w:p w14:paraId="5306B6A4">
      <w:pPr>
        <w:spacing w:line="360" w:lineRule="auto"/>
        <w:ind w:firstLine="420" w:firstLineChars="200"/>
        <w:jc w:val="left"/>
        <w:outlineLvl w:val="2"/>
        <w:rPr>
          <w:rFonts w:ascii="宋体" w:hAnsi="宋体"/>
          <w:color w:val="auto"/>
          <w:szCs w:val="21"/>
        </w:rPr>
      </w:pPr>
      <w:r>
        <w:rPr>
          <w:rFonts w:ascii="宋体" w:hAnsi="宋体"/>
          <w:color w:val="auto"/>
          <w:szCs w:val="21"/>
        </w:rPr>
        <w:t>9</w:t>
      </w:r>
      <w:bookmarkStart w:id="878" w:name="_Toc312678023"/>
      <w:bookmarkStart w:id="879" w:name="_Toc304295561"/>
      <w:bookmarkStart w:id="880" w:name="_Toc300934984"/>
      <w:bookmarkStart w:id="881" w:name="_Toc297123535"/>
      <w:bookmarkStart w:id="882" w:name="_Toc312677497"/>
      <w:bookmarkStart w:id="883" w:name="_Toc303539141"/>
      <w:bookmarkStart w:id="884" w:name="_Toc297216194"/>
      <w:bookmarkStart w:id="885" w:name="_Toc318581174"/>
      <w:r>
        <w:rPr>
          <w:rFonts w:ascii="宋体" w:hAnsi="宋体"/>
          <w:color w:val="auto"/>
          <w:szCs w:val="21"/>
        </w:rPr>
        <w:t>.1.2 试验设备</w:t>
      </w:r>
    </w:p>
    <w:p w14:paraId="6D7979F8">
      <w:pPr>
        <w:spacing w:line="360" w:lineRule="auto"/>
        <w:ind w:firstLine="420" w:firstLineChars="200"/>
        <w:jc w:val="left"/>
        <w:rPr>
          <w:rFonts w:ascii="宋体" w:hAnsi="宋体"/>
          <w:color w:val="auto"/>
          <w:szCs w:val="21"/>
          <w:u w:val="single"/>
        </w:rPr>
      </w:pPr>
      <w:r>
        <w:rPr>
          <w:rFonts w:ascii="宋体" w:hAnsi="宋体"/>
          <w:color w:val="auto"/>
          <w:szCs w:val="21"/>
        </w:rPr>
        <w:t>施工现场需要配置的试验场所：</w:t>
      </w:r>
      <w:bookmarkEnd w:id="878"/>
      <w:bookmarkEnd w:id="879"/>
      <w:bookmarkEnd w:id="880"/>
      <w:bookmarkEnd w:id="881"/>
      <w:bookmarkEnd w:id="882"/>
      <w:bookmarkEnd w:id="883"/>
      <w:bookmarkEnd w:id="884"/>
      <w:bookmarkStart w:id="886" w:name="_Toc297216195"/>
      <w:bookmarkStart w:id="887" w:name="_Toc297123536"/>
      <w:bookmarkStart w:id="888" w:name="_Toc312678024"/>
      <w:bookmarkStart w:id="889" w:name="_Toc304295562"/>
      <w:bookmarkStart w:id="890" w:name="_Toc300934985"/>
      <w:bookmarkStart w:id="891" w:name="_Toc303539142"/>
      <w:bookmarkStart w:id="892" w:name="_Toc312677498"/>
      <w:r>
        <w:rPr>
          <w:rFonts w:hint="eastAsia" w:ascii="宋体" w:hAnsi="宋体"/>
          <w:color w:val="auto"/>
          <w:szCs w:val="21"/>
          <w:u w:val="single"/>
        </w:rPr>
        <w:t xml:space="preserve">                      </w:t>
      </w:r>
      <w:r>
        <w:rPr>
          <w:rFonts w:ascii="宋体" w:hAnsi="宋体"/>
          <w:color w:val="auto"/>
          <w:szCs w:val="21"/>
        </w:rPr>
        <w:t>。</w:t>
      </w:r>
    </w:p>
    <w:p w14:paraId="332E5CD2">
      <w:pPr>
        <w:spacing w:line="360" w:lineRule="auto"/>
        <w:ind w:firstLine="420" w:firstLineChars="200"/>
        <w:jc w:val="left"/>
        <w:rPr>
          <w:rFonts w:ascii="宋体" w:hAnsi="宋体"/>
          <w:color w:val="auto"/>
          <w:szCs w:val="21"/>
          <w:u w:val="single"/>
        </w:rPr>
      </w:pPr>
      <w:r>
        <w:rPr>
          <w:rFonts w:ascii="宋体" w:hAnsi="宋体"/>
          <w:color w:val="auto"/>
          <w:szCs w:val="21"/>
        </w:rPr>
        <w:t>施工现场需要配备的试验设备：</w:t>
      </w:r>
      <w:r>
        <w:rPr>
          <w:rFonts w:hint="eastAsia" w:ascii="宋体" w:hAnsi="宋体"/>
          <w:color w:val="auto"/>
          <w:szCs w:val="21"/>
          <w:u w:val="single"/>
        </w:rPr>
        <w:t xml:space="preserve">                      </w:t>
      </w:r>
      <w:r>
        <w:rPr>
          <w:rFonts w:ascii="宋体" w:hAnsi="宋体"/>
          <w:color w:val="auto"/>
          <w:szCs w:val="21"/>
        </w:rPr>
        <w:t>。</w:t>
      </w:r>
    </w:p>
    <w:p w14:paraId="656B58D7">
      <w:pPr>
        <w:spacing w:line="360" w:lineRule="auto"/>
        <w:ind w:firstLine="420" w:firstLineChars="200"/>
        <w:jc w:val="left"/>
        <w:rPr>
          <w:rFonts w:ascii="宋体" w:hAnsi="宋体"/>
          <w:color w:val="auto"/>
          <w:szCs w:val="21"/>
          <w:u w:val="single"/>
        </w:rPr>
      </w:pPr>
      <w:r>
        <w:rPr>
          <w:rFonts w:ascii="宋体" w:hAnsi="宋体"/>
          <w:color w:val="auto"/>
          <w:szCs w:val="21"/>
        </w:rPr>
        <w:t>施工现场需要具备的其他试验条件：</w:t>
      </w:r>
      <w:r>
        <w:rPr>
          <w:rFonts w:hint="eastAsia" w:ascii="宋体" w:hAnsi="宋体"/>
          <w:color w:val="auto"/>
          <w:szCs w:val="21"/>
          <w:u w:val="single"/>
        </w:rPr>
        <w:t xml:space="preserve">                      </w:t>
      </w:r>
      <w:r>
        <w:rPr>
          <w:rFonts w:ascii="宋体" w:hAnsi="宋体"/>
          <w:color w:val="auto"/>
          <w:szCs w:val="21"/>
        </w:rPr>
        <w:t>。</w:t>
      </w:r>
    </w:p>
    <w:p w14:paraId="43E1132C">
      <w:pPr>
        <w:keepNext/>
        <w:keepLines/>
        <w:spacing w:before="260" w:after="260" w:line="416" w:lineRule="auto"/>
        <w:outlineLvl w:val="1"/>
        <w:rPr>
          <w:rFonts w:ascii="宋体" w:hAnsi="宋体"/>
          <w:b/>
          <w:bCs/>
          <w:color w:val="auto"/>
          <w:sz w:val="32"/>
          <w:szCs w:val="32"/>
        </w:rPr>
      </w:pPr>
      <w:bookmarkStart w:id="893" w:name="_Toc508379751"/>
      <w:bookmarkStart w:id="894" w:name="_Toc86935901"/>
      <w:bookmarkStart w:id="895" w:name="_Toc389065304"/>
      <w:bookmarkStart w:id="896" w:name="_Toc495673416"/>
      <w:bookmarkStart w:id="897" w:name="_Toc407135240"/>
      <w:bookmarkStart w:id="898" w:name="_Toc373478385"/>
      <w:bookmarkStart w:id="899" w:name="_Toc373227738"/>
      <w:bookmarkStart w:id="900" w:name="_Toc26191"/>
      <w:bookmarkStart w:id="901" w:name="_Toc4727"/>
      <w:r>
        <w:rPr>
          <w:rFonts w:ascii="宋体" w:hAnsi="宋体"/>
          <w:b/>
          <w:bCs/>
          <w:color w:val="auto"/>
          <w:sz w:val="32"/>
          <w:szCs w:val="32"/>
        </w:rPr>
        <w:t>9.4 现场工艺试验</w:t>
      </w:r>
      <w:bookmarkEnd w:id="893"/>
      <w:bookmarkEnd w:id="894"/>
      <w:bookmarkEnd w:id="895"/>
      <w:bookmarkEnd w:id="896"/>
      <w:bookmarkEnd w:id="897"/>
      <w:bookmarkEnd w:id="898"/>
      <w:bookmarkEnd w:id="899"/>
      <w:bookmarkEnd w:id="900"/>
      <w:bookmarkEnd w:id="901"/>
    </w:p>
    <w:p w14:paraId="692A2B50">
      <w:pPr>
        <w:spacing w:line="360" w:lineRule="auto"/>
        <w:ind w:firstLine="420" w:firstLineChars="200"/>
        <w:jc w:val="left"/>
        <w:rPr>
          <w:rFonts w:ascii="宋体" w:hAnsi="宋体"/>
          <w:color w:val="auto"/>
          <w:szCs w:val="21"/>
        </w:rPr>
      </w:pPr>
      <w:r>
        <w:rPr>
          <w:rFonts w:ascii="宋体" w:hAnsi="宋体"/>
          <w:color w:val="auto"/>
          <w:szCs w:val="21"/>
        </w:rPr>
        <w:t>现场工艺试验的有关约定：</w:t>
      </w:r>
      <w:r>
        <w:rPr>
          <w:rFonts w:hint="eastAsia" w:ascii="宋体" w:hAnsi="宋体"/>
          <w:color w:val="auto"/>
          <w:szCs w:val="21"/>
          <w:u w:val="single"/>
        </w:rPr>
        <w:t xml:space="preserve">                      </w:t>
      </w:r>
      <w:r>
        <w:rPr>
          <w:rFonts w:ascii="宋体" w:hAnsi="宋体"/>
          <w:color w:val="auto"/>
          <w:szCs w:val="21"/>
        </w:rPr>
        <w:t>。</w:t>
      </w:r>
    </w:p>
    <w:p w14:paraId="1C046613">
      <w:pPr>
        <w:keepNext/>
        <w:keepLines/>
        <w:spacing w:before="260" w:after="260" w:line="416" w:lineRule="auto"/>
        <w:outlineLvl w:val="1"/>
        <w:rPr>
          <w:rFonts w:ascii="宋体" w:hAnsi="宋体"/>
          <w:b/>
          <w:bCs/>
          <w:color w:val="auto"/>
          <w:sz w:val="32"/>
          <w:szCs w:val="32"/>
        </w:rPr>
      </w:pPr>
      <w:bookmarkStart w:id="902" w:name="_Toc86935902"/>
      <w:bookmarkStart w:id="903" w:name="_Toc407135241"/>
      <w:bookmarkStart w:id="904" w:name="_Toc495673417"/>
      <w:bookmarkStart w:id="905" w:name="_Toc508379752"/>
      <w:bookmarkStart w:id="906" w:name="_Toc7997"/>
      <w:bookmarkStart w:id="907" w:name="_Toc2571"/>
      <w:r>
        <w:rPr>
          <w:rFonts w:ascii="宋体" w:hAnsi="宋体"/>
          <w:b/>
          <w:bCs/>
          <w:color w:val="auto"/>
          <w:sz w:val="32"/>
          <w:szCs w:val="32"/>
        </w:rPr>
        <w:t>9.5 检验费用</w:t>
      </w:r>
      <w:bookmarkEnd w:id="902"/>
      <w:bookmarkEnd w:id="903"/>
      <w:bookmarkEnd w:id="904"/>
      <w:bookmarkEnd w:id="905"/>
      <w:bookmarkEnd w:id="906"/>
      <w:bookmarkEnd w:id="907"/>
    </w:p>
    <w:p w14:paraId="3E59B6AB">
      <w:pPr>
        <w:spacing w:line="360" w:lineRule="auto"/>
        <w:ind w:firstLine="411" w:firstLineChars="196"/>
        <w:rPr>
          <w:rFonts w:ascii="宋体" w:hAnsi="宋体"/>
          <w:color w:val="auto"/>
          <w:szCs w:val="21"/>
        </w:rPr>
      </w:pPr>
      <w:r>
        <w:rPr>
          <w:rFonts w:ascii="宋体" w:hAnsi="宋体"/>
          <w:color w:val="auto"/>
          <w:szCs w:val="21"/>
        </w:rPr>
        <w:t>根据《建设工程质量检测管理办法》（建设部令第141号）以及</w:t>
      </w:r>
      <w:r>
        <w:rPr>
          <w:rFonts w:ascii="宋体" w:hAnsi="宋体"/>
          <w:bCs/>
          <w:color w:val="auto"/>
          <w:szCs w:val="21"/>
        </w:rPr>
        <w:t>《广西壮族自治区建设工程质量检测管理规定》</w:t>
      </w:r>
      <w:r>
        <w:rPr>
          <w:rFonts w:hint="eastAsia" w:ascii="宋体" w:hAnsi="宋体"/>
          <w:bCs/>
          <w:color w:val="auto"/>
          <w:szCs w:val="21"/>
        </w:rPr>
        <w:t>（</w:t>
      </w:r>
      <w:r>
        <w:rPr>
          <w:rFonts w:ascii="宋体" w:hAnsi="宋体"/>
          <w:bCs/>
          <w:color w:val="auto"/>
          <w:szCs w:val="21"/>
        </w:rPr>
        <w:t>桂建管</w:t>
      </w:r>
      <w:r>
        <w:rPr>
          <w:rFonts w:hint="eastAsia" w:ascii="宋体" w:hAnsi="宋体"/>
          <w:bCs/>
          <w:color w:val="auto"/>
          <w:szCs w:val="21"/>
        </w:rPr>
        <w:t>〔</w:t>
      </w:r>
      <w:r>
        <w:rPr>
          <w:rFonts w:ascii="宋体" w:hAnsi="宋体"/>
          <w:bCs/>
          <w:color w:val="auto"/>
          <w:szCs w:val="21"/>
        </w:rPr>
        <w:t>2013</w:t>
      </w:r>
      <w:r>
        <w:rPr>
          <w:rFonts w:hint="eastAsia" w:ascii="宋体" w:hAnsi="宋体"/>
          <w:bCs/>
          <w:color w:val="auto"/>
          <w:szCs w:val="21"/>
        </w:rPr>
        <w:t>〕</w:t>
      </w:r>
      <w:r>
        <w:rPr>
          <w:rFonts w:ascii="宋体" w:hAnsi="宋体"/>
          <w:bCs/>
          <w:color w:val="auto"/>
          <w:szCs w:val="21"/>
        </w:rPr>
        <w:t>11号</w:t>
      </w:r>
      <w:r>
        <w:rPr>
          <w:rFonts w:hint="eastAsia" w:ascii="宋体" w:hAnsi="宋体"/>
          <w:bCs/>
          <w:color w:val="auto"/>
          <w:szCs w:val="21"/>
        </w:rPr>
        <w:t>）</w:t>
      </w:r>
      <w:r>
        <w:rPr>
          <w:rFonts w:ascii="宋体" w:hAnsi="宋体"/>
          <w:color w:val="auto"/>
          <w:szCs w:val="21"/>
        </w:rPr>
        <w:t>规定，工程质量检测业务由招标人委托有相应资质的检测机构检测。费用从招标人的项目建设经费中支出并直接支付给检测机构，不计入合同价款内。</w:t>
      </w:r>
    </w:p>
    <w:bookmarkEnd w:id="885"/>
    <w:bookmarkEnd w:id="886"/>
    <w:bookmarkEnd w:id="887"/>
    <w:bookmarkEnd w:id="888"/>
    <w:bookmarkEnd w:id="889"/>
    <w:bookmarkEnd w:id="890"/>
    <w:bookmarkEnd w:id="891"/>
    <w:bookmarkEnd w:id="892"/>
    <w:p w14:paraId="139CBE5C">
      <w:pPr>
        <w:keepNext/>
        <w:keepLines/>
        <w:spacing w:before="260" w:after="260" w:line="416" w:lineRule="auto"/>
        <w:outlineLvl w:val="0"/>
        <w:rPr>
          <w:rFonts w:ascii="宋体" w:hAnsi="宋体"/>
          <w:b/>
          <w:bCs/>
          <w:color w:val="auto"/>
          <w:sz w:val="32"/>
          <w:szCs w:val="32"/>
        </w:rPr>
      </w:pPr>
      <w:bookmarkStart w:id="908" w:name="_Toc373227739"/>
      <w:bookmarkStart w:id="909" w:name="_Toc86935903"/>
      <w:bookmarkStart w:id="910" w:name="_Toc373478386"/>
      <w:bookmarkStart w:id="911" w:name="_Toc508379753"/>
      <w:bookmarkStart w:id="912" w:name="_Toc495673418"/>
      <w:bookmarkStart w:id="913" w:name="_Toc351203642"/>
      <w:bookmarkStart w:id="914" w:name="_Toc389065305"/>
      <w:bookmarkStart w:id="915" w:name="_Toc407135242"/>
      <w:bookmarkStart w:id="916" w:name="_Toc5776"/>
      <w:bookmarkStart w:id="917" w:name="_Toc24940"/>
      <w:bookmarkStart w:id="918" w:name="_Toc21940"/>
      <w:bookmarkStart w:id="919" w:name="_Toc31126"/>
      <w:r>
        <w:rPr>
          <w:rFonts w:ascii="宋体" w:hAnsi="宋体"/>
          <w:b/>
          <w:bCs/>
          <w:color w:val="auto"/>
          <w:sz w:val="32"/>
          <w:szCs w:val="32"/>
        </w:rPr>
        <w:t>1</w:t>
      </w:r>
      <w:bookmarkEnd w:id="850"/>
      <w:bookmarkEnd w:id="851"/>
      <w:bookmarkEnd w:id="852"/>
      <w:bookmarkEnd w:id="853"/>
      <w:bookmarkEnd w:id="854"/>
      <w:bookmarkEnd w:id="855"/>
      <w:bookmarkEnd w:id="856"/>
      <w:bookmarkEnd w:id="857"/>
      <w:bookmarkEnd w:id="858"/>
      <w:bookmarkEnd w:id="859"/>
      <w:bookmarkEnd w:id="860"/>
      <w:bookmarkEnd w:id="861"/>
      <w:bookmarkStart w:id="920" w:name="_Toc296347192"/>
      <w:bookmarkStart w:id="921" w:name="_Toc297216199"/>
      <w:bookmarkStart w:id="922" w:name="_Toc303539146"/>
      <w:bookmarkStart w:id="923" w:name="_Toc297123540"/>
      <w:bookmarkStart w:id="924" w:name="_Toc297120493"/>
      <w:bookmarkStart w:id="925" w:name="_Toc300934989"/>
      <w:bookmarkStart w:id="926" w:name="_Toc304295566"/>
      <w:bookmarkStart w:id="927" w:name="_Toc296346694"/>
      <w:bookmarkStart w:id="928" w:name="_Toc296944532"/>
      <w:bookmarkStart w:id="929" w:name="_Toc292559903"/>
      <w:bookmarkStart w:id="930" w:name="_Toc296891021"/>
      <w:bookmarkStart w:id="931" w:name="_Toc292559398"/>
      <w:bookmarkStart w:id="932" w:name="_Toc297048379"/>
      <w:bookmarkStart w:id="933" w:name="_Toc296503193"/>
      <w:bookmarkStart w:id="934" w:name="_Toc296891233"/>
      <w:bookmarkStart w:id="935" w:name="_Toc312677499"/>
      <w:bookmarkStart w:id="936" w:name="_Toc312678025"/>
      <w:bookmarkStart w:id="937" w:name="_Toc267251441"/>
      <w:bookmarkStart w:id="938" w:name="_Toc267251439"/>
      <w:bookmarkStart w:id="939" w:name="_Toc267251440"/>
      <w:bookmarkStart w:id="940" w:name="_Toc267251437"/>
      <w:bookmarkStart w:id="941" w:name="_Toc267251433"/>
      <w:bookmarkStart w:id="942" w:name="_Toc267251435"/>
      <w:bookmarkStart w:id="943" w:name="_Toc267251442"/>
      <w:r>
        <w:rPr>
          <w:rFonts w:ascii="宋体" w:hAnsi="宋体"/>
          <w:b/>
          <w:bCs/>
          <w:color w:val="auto"/>
          <w:sz w:val="32"/>
          <w:szCs w:val="32"/>
        </w:rPr>
        <w:t>0. 变更</w:t>
      </w:r>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p>
    <w:bookmarkEnd w:id="935"/>
    <w:bookmarkEnd w:id="936"/>
    <w:p w14:paraId="0EA04AA4">
      <w:pPr>
        <w:keepNext/>
        <w:keepLines/>
        <w:spacing w:before="260" w:after="260" w:line="416" w:lineRule="auto"/>
        <w:outlineLvl w:val="1"/>
        <w:rPr>
          <w:rFonts w:ascii="宋体" w:hAnsi="宋体"/>
          <w:b/>
          <w:bCs/>
          <w:color w:val="auto"/>
          <w:sz w:val="32"/>
          <w:szCs w:val="32"/>
        </w:rPr>
      </w:pPr>
      <w:bookmarkStart w:id="944" w:name="_Toc86935904"/>
      <w:bookmarkStart w:id="945" w:name="_Toc407135243"/>
      <w:bookmarkStart w:id="946" w:name="_Toc495673419"/>
      <w:bookmarkStart w:id="947" w:name="_Toc373478387"/>
      <w:bookmarkStart w:id="948" w:name="_Toc389065306"/>
      <w:bookmarkStart w:id="949" w:name="_Toc508379754"/>
      <w:bookmarkStart w:id="950" w:name="_Toc373227740"/>
      <w:bookmarkStart w:id="951" w:name="_Toc19775"/>
      <w:bookmarkStart w:id="952" w:name="_Toc7759"/>
      <w:r>
        <w:rPr>
          <w:rFonts w:ascii="宋体" w:hAnsi="宋体"/>
          <w:b/>
          <w:bCs/>
          <w:color w:val="auto"/>
          <w:sz w:val="32"/>
          <w:szCs w:val="32"/>
        </w:rPr>
        <w:t>1</w:t>
      </w:r>
      <w:bookmarkStart w:id="953" w:name="_Toc297216200"/>
      <w:bookmarkStart w:id="954" w:name="_Toc296347193"/>
      <w:bookmarkStart w:id="955" w:name="_Toc296944533"/>
      <w:bookmarkStart w:id="956" w:name="_Toc303539147"/>
      <w:bookmarkStart w:id="957" w:name="_Toc304295567"/>
      <w:bookmarkStart w:id="958" w:name="_Toc297120494"/>
      <w:bookmarkStart w:id="959" w:name="_Toc292559399"/>
      <w:bookmarkStart w:id="960" w:name="_Toc292559904"/>
      <w:bookmarkStart w:id="961" w:name="_Toc296503194"/>
      <w:bookmarkStart w:id="962" w:name="_Toc297123541"/>
      <w:bookmarkStart w:id="963" w:name="_Toc296891022"/>
      <w:bookmarkStart w:id="964" w:name="_Toc312677500"/>
      <w:bookmarkStart w:id="965" w:name="_Toc296346695"/>
      <w:bookmarkStart w:id="966" w:name="_Toc312678026"/>
      <w:bookmarkStart w:id="967" w:name="_Toc300934990"/>
      <w:bookmarkStart w:id="968" w:name="_Toc296891234"/>
      <w:bookmarkStart w:id="969" w:name="_Toc297048380"/>
      <w:r>
        <w:rPr>
          <w:rFonts w:ascii="宋体" w:hAnsi="宋体"/>
          <w:b/>
          <w:bCs/>
          <w:color w:val="auto"/>
          <w:sz w:val="32"/>
          <w:szCs w:val="32"/>
        </w:rPr>
        <w:t>0.1变更的范围</w:t>
      </w:r>
      <w:bookmarkEnd w:id="944"/>
      <w:bookmarkEnd w:id="945"/>
      <w:bookmarkEnd w:id="946"/>
      <w:bookmarkEnd w:id="947"/>
      <w:bookmarkEnd w:id="948"/>
      <w:bookmarkEnd w:id="949"/>
      <w:bookmarkEnd w:id="950"/>
      <w:bookmarkEnd w:id="951"/>
      <w:bookmarkEnd w:id="952"/>
    </w:p>
    <w:p w14:paraId="2DE9F56F">
      <w:pPr>
        <w:spacing w:line="360" w:lineRule="auto"/>
        <w:ind w:firstLine="426"/>
        <w:jc w:val="left"/>
        <w:rPr>
          <w:rFonts w:ascii="宋体" w:hAnsi="宋体"/>
          <w:color w:val="auto"/>
          <w:szCs w:val="21"/>
        </w:rPr>
      </w:pPr>
      <w:r>
        <w:rPr>
          <w:rFonts w:ascii="宋体" w:hAnsi="宋体"/>
          <w:color w:val="auto"/>
          <w:szCs w:val="21"/>
        </w:rPr>
        <w:t>关于变更的范围的约定：</w:t>
      </w:r>
      <w:r>
        <w:rPr>
          <w:rFonts w:hint="eastAsia" w:ascii="宋体" w:hAnsi="宋体"/>
          <w:color w:val="auto"/>
          <w:szCs w:val="21"/>
          <w:u w:val="single"/>
        </w:rPr>
        <w:t xml:space="preserve">                      </w:t>
      </w:r>
      <w:r>
        <w:rPr>
          <w:rFonts w:ascii="宋体" w:hAnsi="宋体"/>
          <w:color w:val="auto"/>
          <w:szCs w:val="21"/>
        </w:rPr>
        <w:t>。</w:t>
      </w:r>
    </w:p>
    <w:p w14:paraId="6B83D83F">
      <w:pPr>
        <w:keepNext/>
        <w:keepLines/>
        <w:spacing w:before="260" w:after="260" w:line="416" w:lineRule="auto"/>
        <w:outlineLvl w:val="1"/>
        <w:rPr>
          <w:rFonts w:ascii="宋体" w:hAnsi="宋体"/>
          <w:b/>
          <w:bCs/>
          <w:color w:val="auto"/>
          <w:sz w:val="32"/>
          <w:szCs w:val="32"/>
        </w:rPr>
      </w:pPr>
      <w:bookmarkStart w:id="970" w:name="_Toc86935905"/>
      <w:bookmarkStart w:id="971" w:name="_Toc373478388"/>
      <w:bookmarkStart w:id="972" w:name="_Toc373227741"/>
      <w:bookmarkStart w:id="973" w:name="_Toc508379755"/>
      <w:bookmarkStart w:id="974" w:name="_Toc495673420"/>
      <w:bookmarkStart w:id="975" w:name="_Toc389065307"/>
      <w:bookmarkStart w:id="976" w:name="_Toc407135244"/>
      <w:bookmarkStart w:id="977" w:name="_Toc6590"/>
      <w:bookmarkStart w:id="978" w:name="_Toc13193"/>
      <w:r>
        <w:rPr>
          <w:rFonts w:ascii="宋体" w:hAnsi="宋体"/>
          <w:b/>
          <w:bCs/>
          <w:color w:val="auto"/>
          <w:sz w:val="32"/>
          <w:szCs w:val="32"/>
        </w:rPr>
        <w:t>10.3 变更程序</w:t>
      </w:r>
      <w:bookmarkEnd w:id="970"/>
      <w:bookmarkEnd w:id="971"/>
      <w:bookmarkEnd w:id="972"/>
      <w:bookmarkEnd w:id="973"/>
      <w:bookmarkEnd w:id="974"/>
      <w:bookmarkEnd w:id="975"/>
      <w:bookmarkEnd w:id="976"/>
      <w:bookmarkEnd w:id="977"/>
      <w:bookmarkEnd w:id="978"/>
    </w:p>
    <w:p w14:paraId="7378EF06">
      <w:pPr>
        <w:spacing w:line="360" w:lineRule="auto"/>
        <w:ind w:firstLine="441" w:firstLineChars="210"/>
        <w:outlineLvl w:val="2"/>
        <w:rPr>
          <w:rFonts w:ascii="宋体" w:hAnsi="宋体"/>
          <w:bCs/>
          <w:color w:val="auto"/>
          <w:szCs w:val="21"/>
        </w:rPr>
      </w:pPr>
      <w:r>
        <w:rPr>
          <w:rFonts w:ascii="宋体" w:hAnsi="宋体"/>
          <w:bCs/>
          <w:color w:val="auto"/>
          <w:szCs w:val="21"/>
        </w:rPr>
        <w:t>10.3.1国有投资项目：</w:t>
      </w:r>
    </w:p>
    <w:p w14:paraId="01E1FA40">
      <w:pPr>
        <w:spacing w:line="360" w:lineRule="auto"/>
        <w:ind w:firstLine="441" w:firstLineChars="210"/>
        <w:rPr>
          <w:rFonts w:ascii="宋体" w:hAnsi="宋体"/>
          <w:bCs/>
          <w:color w:val="auto"/>
          <w:szCs w:val="21"/>
        </w:rPr>
      </w:pPr>
      <w:r>
        <w:rPr>
          <w:rFonts w:ascii="宋体" w:hAnsi="宋体"/>
          <w:bCs/>
          <w:color w:val="auto"/>
          <w:szCs w:val="21"/>
        </w:rPr>
        <w:t>⑴设计变更和工程签证，按各市政府或相关部门的规定办理。属不可抗力（自然灾害、突发事件等）造成变更的，按特事特办原则予以办理。</w:t>
      </w:r>
    </w:p>
    <w:p w14:paraId="4893003A">
      <w:pPr>
        <w:spacing w:line="360" w:lineRule="auto"/>
        <w:ind w:firstLine="441" w:firstLineChars="210"/>
        <w:rPr>
          <w:rFonts w:ascii="宋体" w:hAnsi="宋体"/>
          <w:bCs/>
          <w:color w:val="auto"/>
          <w:szCs w:val="21"/>
        </w:rPr>
      </w:pPr>
      <w:r>
        <w:rPr>
          <w:rFonts w:ascii="宋体" w:hAnsi="宋体"/>
          <w:bCs/>
          <w:color w:val="auto"/>
          <w:szCs w:val="21"/>
        </w:rPr>
        <w:t>⑵建设单位在实施项目过程中，若发生单价变动，由建设单位、监理单位、施工单位及其他相关单位共同商定并签字确认。</w:t>
      </w:r>
    </w:p>
    <w:p w14:paraId="14CA107E">
      <w:pPr>
        <w:spacing w:line="360" w:lineRule="auto"/>
        <w:ind w:firstLine="420" w:firstLineChars="200"/>
        <w:jc w:val="left"/>
        <w:rPr>
          <w:rFonts w:ascii="宋体" w:hAnsi="宋体"/>
          <w:bCs/>
          <w:color w:val="auto"/>
          <w:szCs w:val="21"/>
        </w:rPr>
      </w:pPr>
      <w:r>
        <w:rPr>
          <w:rFonts w:ascii="宋体" w:hAnsi="宋体"/>
          <w:bCs/>
          <w:color w:val="auto"/>
          <w:szCs w:val="21"/>
        </w:rPr>
        <w:t>⑶ 当合同规定的合同价款调整情况发生后，承包人未在规定时间内通知发包人，或者未在规定时间内提出调整报告，发包人可以根据有关资料，决定是否调整和调整的金额，并书面通知承包人。</w:t>
      </w:r>
    </w:p>
    <w:p w14:paraId="21A82562">
      <w:pPr>
        <w:spacing w:line="360" w:lineRule="auto"/>
        <w:ind w:firstLine="420" w:firstLineChars="200"/>
        <w:jc w:val="left"/>
        <w:outlineLvl w:val="2"/>
        <w:rPr>
          <w:rFonts w:ascii="宋体" w:hAnsi="宋体"/>
          <w:bCs/>
          <w:color w:val="auto"/>
          <w:szCs w:val="21"/>
        </w:rPr>
      </w:pPr>
      <w:r>
        <w:rPr>
          <w:rFonts w:ascii="宋体" w:hAnsi="宋体"/>
          <w:bCs/>
          <w:color w:val="auto"/>
          <w:szCs w:val="21"/>
        </w:rPr>
        <w:t>10.3.2非国有投资项目：</w:t>
      </w:r>
      <w:r>
        <w:rPr>
          <w:rFonts w:hint="eastAsia" w:ascii="宋体" w:hAnsi="宋体"/>
          <w:color w:val="auto"/>
          <w:szCs w:val="21"/>
          <w:u w:val="single"/>
        </w:rPr>
        <w:t xml:space="preserve">                      </w:t>
      </w:r>
      <w:r>
        <w:rPr>
          <w:rFonts w:ascii="宋体" w:hAnsi="宋体"/>
          <w:bCs/>
          <w:color w:val="auto"/>
          <w:szCs w:val="21"/>
        </w:rPr>
        <w:t>。</w:t>
      </w:r>
    </w:p>
    <w:p w14:paraId="7AC02D77">
      <w:pPr>
        <w:keepNext/>
        <w:keepLines/>
        <w:spacing w:before="260" w:after="260" w:line="416" w:lineRule="auto"/>
        <w:outlineLvl w:val="1"/>
        <w:rPr>
          <w:rFonts w:ascii="宋体" w:hAnsi="宋体"/>
          <w:b/>
          <w:bCs/>
          <w:color w:val="auto"/>
          <w:sz w:val="32"/>
          <w:szCs w:val="32"/>
        </w:rPr>
      </w:pPr>
      <w:bookmarkStart w:id="979" w:name="_Toc407135245"/>
      <w:bookmarkStart w:id="980" w:name="_Toc373478389"/>
      <w:bookmarkStart w:id="981" w:name="_Toc495673421"/>
      <w:bookmarkStart w:id="982" w:name="_Toc389065308"/>
      <w:bookmarkStart w:id="983" w:name="_Toc373227742"/>
      <w:bookmarkStart w:id="984" w:name="_Toc86935906"/>
      <w:bookmarkStart w:id="985" w:name="_Toc508379756"/>
      <w:bookmarkStart w:id="986" w:name="_Toc20243"/>
      <w:bookmarkStart w:id="987" w:name="_Toc4441"/>
      <w:r>
        <w:rPr>
          <w:rFonts w:ascii="宋体" w:hAnsi="宋体"/>
          <w:b/>
          <w:bCs/>
          <w:color w:val="auto"/>
          <w:sz w:val="32"/>
          <w:szCs w:val="32"/>
        </w:rPr>
        <w:t>10.4 变更估价</w:t>
      </w:r>
      <w:bookmarkEnd w:id="979"/>
      <w:bookmarkEnd w:id="980"/>
      <w:bookmarkEnd w:id="981"/>
      <w:bookmarkEnd w:id="982"/>
      <w:bookmarkEnd w:id="983"/>
      <w:bookmarkEnd w:id="984"/>
      <w:bookmarkEnd w:id="985"/>
      <w:bookmarkEnd w:id="986"/>
      <w:bookmarkEnd w:id="987"/>
    </w:p>
    <w:p w14:paraId="06E68BF0">
      <w:pPr>
        <w:spacing w:line="360" w:lineRule="auto"/>
        <w:ind w:firstLine="420" w:firstLineChars="200"/>
        <w:jc w:val="left"/>
        <w:outlineLvl w:val="2"/>
        <w:rPr>
          <w:rFonts w:ascii="宋体" w:hAnsi="宋体"/>
          <w:color w:val="auto"/>
          <w:szCs w:val="21"/>
        </w:rPr>
      </w:pPr>
      <w:r>
        <w:rPr>
          <w:rFonts w:ascii="宋体" w:hAnsi="宋体"/>
          <w:color w:val="auto"/>
          <w:szCs w:val="21"/>
        </w:rPr>
        <w:t>10.4.1 变更估价原则</w:t>
      </w:r>
    </w:p>
    <w:p w14:paraId="0F643565">
      <w:pPr>
        <w:spacing w:line="360" w:lineRule="auto"/>
        <w:ind w:firstLine="420" w:firstLineChars="200"/>
        <w:jc w:val="left"/>
        <w:rPr>
          <w:rFonts w:ascii="宋体" w:hAnsi="宋体"/>
          <w:color w:val="auto"/>
          <w:szCs w:val="21"/>
          <w:u w:val="single"/>
        </w:rPr>
      </w:pPr>
      <w:r>
        <w:rPr>
          <w:rFonts w:ascii="宋体" w:hAnsi="宋体"/>
          <w:color w:val="auto"/>
          <w:szCs w:val="21"/>
        </w:rPr>
        <w:t xml:space="preserve">关于变更估价的约定: </w:t>
      </w:r>
      <w:bookmarkStart w:id="988" w:name="_Toc251051742"/>
      <w:r>
        <w:rPr>
          <w:rFonts w:ascii="宋体" w:hAnsi="宋体"/>
          <w:bCs/>
          <w:color w:val="auto"/>
          <w:szCs w:val="21"/>
          <w:u w:val="single"/>
        </w:rPr>
        <w:t>因设计变更、相关签证引起工程项目、工程量任何变化的，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w:t>
      </w:r>
      <w:r>
        <w:rPr>
          <w:rFonts w:hint="eastAsia" w:ascii="宋体" w:hAnsi="宋体"/>
          <w:bCs/>
          <w:color w:val="auto"/>
          <w:szCs w:val="21"/>
          <w:u w:val="single"/>
        </w:rPr>
        <w:t>（</w:t>
      </w:r>
      <w:r>
        <w:rPr>
          <w:rFonts w:hint="eastAsia" w:ascii="宋体" w:hAnsi="宋体"/>
          <w:b/>
          <w:color w:val="auto"/>
          <w:szCs w:val="22"/>
        </w:rPr>
        <w:t>√</w:t>
      </w:r>
      <w:r>
        <w:rPr>
          <w:rFonts w:ascii="宋体" w:hAnsi="宋体"/>
          <w:bCs/>
          <w:color w:val="auto"/>
          <w:szCs w:val="21"/>
          <w:u w:val="single"/>
        </w:rPr>
        <w:t xml:space="preserve">乘以下浮系数    </w:t>
      </w:r>
      <w:r>
        <w:rPr>
          <w:rFonts w:hint="eastAsia" w:ascii="宋体" w:hAnsi="宋体"/>
          <w:bCs/>
          <w:color w:val="auto"/>
          <w:szCs w:val="21"/>
          <w:u w:val="single"/>
        </w:rPr>
        <w:t xml:space="preserve">  %，</w:t>
      </w:r>
      <w:r>
        <w:rPr>
          <w:rFonts w:hint="eastAsia" w:ascii="宋体" w:hAnsi="宋体"/>
          <w:b/>
          <w:color w:val="auto"/>
          <w:szCs w:val="22"/>
        </w:rPr>
        <w:t>□</w:t>
      </w:r>
      <w:r>
        <w:rPr>
          <w:rFonts w:hint="eastAsia" w:ascii="宋体" w:hAnsi="宋体"/>
          <w:bCs/>
          <w:color w:val="auto"/>
          <w:szCs w:val="21"/>
          <w:u w:val="single"/>
        </w:rPr>
        <w:t>不乘下浮系数）</w:t>
      </w:r>
      <w:r>
        <w:rPr>
          <w:rFonts w:ascii="宋体" w:hAnsi="宋体"/>
          <w:bCs/>
          <w:color w:val="auto"/>
          <w:szCs w:val="21"/>
          <w:u w:val="single"/>
        </w:rPr>
        <w:t>计算，其中材料价格按施工期间的《</w:t>
      </w:r>
      <w:r>
        <w:rPr>
          <w:rFonts w:hint="eastAsia" w:ascii="宋体" w:hAnsi="宋体"/>
          <w:bCs/>
          <w:color w:val="auto"/>
          <w:szCs w:val="21"/>
          <w:u w:val="single"/>
        </w:rPr>
        <w:t>贺州</w:t>
      </w:r>
      <w:r>
        <w:rPr>
          <w:rFonts w:ascii="宋体" w:hAnsi="宋体"/>
          <w:bCs/>
          <w:color w:val="auto"/>
          <w:szCs w:val="21"/>
          <w:u w:val="single"/>
        </w:rPr>
        <w:t>市建设工程造价信息》相应价格信息进行计算；《</w:t>
      </w:r>
      <w:r>
        <w:rPr>
          <w:rFonts w:hint="eastAsia" w:ascii="宋体" w:hAnsi="宋体"/>
          <w:bCs/>
          <w:color w:val="auto"/>
          <w:szCs w:val="21"/>
          <w:u w:val="single"/>
        </w:rPr>
        <w:t>贺州</w:t>
      </w:r>
      <w:r>
        <w:rPr>
          <w:rFonts w:ascii="宋体" w:hAnsi="宋体"/>
          <w:bCs/>
          <w:color w:val="auto"/>
          <w:szCs w:val="21"/>
          <w:u w:val="single"/>
        </w:rPr>
        <w:t xml:space="preserve"> 市建设工程造价信息》没有相应价格信息的按市场价计算；无定额可套的，根据市场价格协商确定综合价格；对于</w:t>
      </w:r>
      <w:r>
        <w:rPr>
          <w:rFonts w:hint="eastAsia" w:ascii="宋体" w:hAnsi="宋体"/>
          <w:bCs/>
          <w:color w:val="auto"/>
          <w:szCs w:val="21"/>
          <w:u w:val="single"/>
        </w:rPr>
        <w:t>政府及</w:t>
      </w:r>
      <w:r>
        <w:rPr>
          <w:rFonts w:ascii="宋体" w:hAnsi="宋体"/>
          <w:bCs/>
          <w:color w:val="auto"/>
          <w:szCs w:val="21"/>
          <w:u w:val="single"/>
        </w:rPr>
        <w:t>国有资</w:t>
      </w:r>
      <w:r>
        <w:rPr>
          <w:rFonts w:hint="eastAsia" w:ascii="宋体" w:hAnsi="宋体"/>
          <w:bCs/>
          <w:color w:val="auto"/>
          <w:szCs w:val="21"/>
          <w:u w:val="single"/>
        </w:rPr>
        <w:t>金</w:t>
      </w:r>
      <w:r>
        <w:rPr>
          <w:rFonts w:ascii="宋体" w:hAnsi="宋体"/>
          <w:bCs/>
          <w:color w:val="auto"/>
          <w:szCs w:val="21"/>
          <w:u w:val="single"/>
        </w:rPr>
        <w:t>投资的项目，新增项目的单价必须经             审定</w:t>
      </w:r>
      <w:bookmarkEnd w:id="988"/>
      <w:r>
        <w:rPr>
          <w:rFonts w:ascii="宋体" w:hAnsi="宋体"/>
          <w:color w:val="auto"/>
          <w:szCs w:val="21"/>
        </w:rPr>
        <w:t>。</w:t>
      </w:r>
      <w:r>
        <w:rPr>
          <w:rFonts w:hint="eastAsia" w:ascii="宋体" w:hAnsi="宋体"/>
          <w:color w:val="auto"/>
          <w:szCs w:val="21"/>
        </w:rPr>
        <w:t>（下浮系数=中标价/招标控制价）</w:t>
      </w:r>
    </w:p>
    <w:p w14:paraId="32421BA6">
      <w:pPr>
        <w:keepNext/>
        <w:keepLines/>
        <w:spacing w:before="260" w:after="260" w:line="416" w:lineRule="auto"/>
        <w:outlineLvl w:val="1"/>
        <w:rPr>
          <w:rFonts w:ascii="宋体" w:hAnsi="宋体"/>
          <w:b/>
          <w:bCs/>
          <w:color w:val="auto"/>
          <w:sz w:val="32"/>
          <w:szCs w:val="32"/>
        </w:rPr>
      </w:pPr>
      <w:bookmarkStart w:id="989" w:name="_Toc389065309"/>
      <w:bookmarkStart w:id="990" w:name="_Toc407135246"/>
      <w:bookmarkStart w:id="991" w:name="_Toc495673422"/>
      <w:bookmarkStart w:id="992" w:name="_Toc373478390"/>
      <w:bookmarkStart w:id="993" w:name="_Toc508379757"/>
      <w:bookmarkStart w:id="994" w:name="_Toc373227743"/>
      <w:bookmarkStart w:id="995" w:name="_Toc86935907"/>
      <w:bookmarkStart w:id="996" w:name="_Toc525"/>
      <w:bookmarkStart w:id="997" w:name="_Toc26721"/>
      <w:r>
        <w:rPr>
          <w:rFonts w:ascii="宋体" w:hAnsi="宋体"/>
          <w:b/>
          <w:bCs/>
          <w:color w:val="auto"/>
          <w:sz w:val="32"/>
          <w:szCs w:val="32"/>
        </w:rPr>
        <w:t>1</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Start w:id="998" w:name="_Toc297123544"/>
      <w:bookmarkStart w:id="999" w:name="_Toc296944536"/>
      <w:bookmarkStart w:id="1000" w:name="_Toc297048383"/>
      <w:bookmarkStart w:id="1001" w:name="_Toc292559402"/>
      <w:bookmarkStart w:id="1002" w:name="_Toc292559907"/>
      <w:bookmarkStart w:id="1003" w:name="_Toc297120497"/>
      <w:bookmarkStart w:id="1004" w:name="_Toc296347196"/>
      <w:bookmarkStart w:id="1005" w:name="_Toc303539150"/>
      <w:bookmarkStart w:id="1006" w:name="_Toc296346698"/>
      <w:bookmarkStart w:id="1007" w:name="_Toc296891025"/>
      <w:bookmarkStart w:id="1008" w:name="_Toc300934993"/>
      <w:bookmarkStart w:id="1009" w:name="_Toc296503197"/>
      <w:bookmarkStart w:id="1010" w:name="_Toc296891237"/>
      <w:bookmarkStart w:id="1011" w:name="_Toc297216203"/>
      <w:bookmarkStart w:id="1012" w:name="_Toc304295570"/>
      <w:bookmarkStart w:id="1013" w:name="_Toc312677503"/>
      <w:bookmarkStart w:id="1014" w:name="_Toc312678029"/>
      <w:r>
        <w:rPr>
          <w:rFonts w:ascii="宋体" w:hAnsi="宋体"/>
          <w:b/>
          <w:bCs/>
          <w:color w:val="auto"/>
          <w:sz w:val="32"/>
          <w:szCs w:val="32"/>
        </w:rPr>
        <w:t>0.5承</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Start w:id="1015" w:name="_Toc292559408"/>
      <w:bookmarkStart w:id="1016" w:name="_Toc297120503"/>
      <w:bookmarkStart w:id="1017" w:name="_Toc296891031"/>
      <w:bookmarkStart w:id="1018" w:name="_Toc296503203"/>
      <w:bookmarkStart w:id="1019" w:name="_Toc296944542"/>
      <w:bookmarkStart w:id="1020" w:name="_Toc297123545"/>
      <w:bookmarkStart w:id="1021" w:name="_Toc296346704"/>
      <w:bookmarkStart w:id="1022" w:name="_Toc297048389"/>
      <w:bookmarkStart w:id="1023" w:name="_Toc296347202"/>
      <w:bookmarkStart w:id="1024" w:name="_Toc296891243"/>
      <w:bookmarkStart w:id="1025" w:name="_Toc292559913"/>
      <w:bookmarkStart w:id="1026" w:name="_Toc300934994"/>
      <w:bookmarkStart w:id="1027" w:name="_Toc303539151"/>
      <w:bookmarkStart w:id="1028" w:name="_Toc297216204"/>
      <w:r>
        <w:rPr>
          <w:rFonts w:ascii="宋体" w:hAnsi="宋体"/>
          <w:b/>
          <w:bCs/>
          <w:color w:val="auto"/>
          <w:sz w:val="32"/>
          <w:szCs w:val="32"/>
        </w:rPr>
        <w:t>包人的合理化建议</w:t>
      </w:r>
      <w:bookmarkEnd w:id="989"/>
      <w:bookmarkEnd w:id="990"/>
      <w:bookmarkEnd w:id="991"/>
      <w:bookmarkEnd w:id="992"/>
      <w:bookmarkEnd w:id="993"/>
      <w:bookmarkEnd w:id="994"/>
      <w:bookmarkEnd w:id="995"/>
      <w:bookmarkEnd w:id="996"/>
      <w:bookmarkEnd w:id="997"/>
    </w:p>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14:paraId="107645B6">
      <w:pPr>
        <w:spacing w:line="360" w:lineRule="auto"/>
        <w:ind w:firstLine="420" w:firstLineChars="200"/>
        <w:jc w:val="left"/>
        <w:rPr>
          <w:rFonts w:ascii="宋体" w:hAnsi="宋体"/>
          <w:color w:val="auto"/>
          <w:szCs w:val="21"/>
        </w:rPr>
      </w:pPr>
      <w:r>
        <w:rPr>
          <w:rFonts w:ascii="宋体" w:hAnsi="宋体"/>
          <w:color w:val="auto"/>
          <w:szCs w:val="21"/>
        </w:rPr>
        <w:t>监理人审查承包人合理化建议的期限：</w:t>
      </w:r>
      <w:r>
        <w:rPr>
          <w:rFonts w:hint="eastAsia" w:ascii="宋体" w:hAnsi="宋体"/>
          <w:color w:val="auto"/>
          <w:szCs w:val="21"/>
          <w:u w:val="single"/>
        </w:rPr>
        <w:t xml:space="preserve">                      </w:t>
      </w:r>
      <w:r>
        <w:rPr>
          <w:rFonts w:ascii="宋体" w:hAnsi="宋体"/>
          <w:color w:val="auto"/>
          <w:szCs w:val="21"/>
        </w:rPr>
        <w:t>。</w:t>
      </w:r>
    </w:p>
    <w:p w14:paraId="6C9F1AED">
      <w:pPr>
        <w:spacing w:line="360" w:lineRule="auto"/>
        <w:ind w:firstLine="420" w:firstLineChars="200"/>
        <w:jc w:val="left"/>
        <w:rPr>
          <w:rFonts w:ascii="宋体" w:hAnsi="宋体"/>
          <w:color w:val="auto"/>
          <w:szCs w:val="21"/>
        </w:rPr>
      </w:pPr>
      <w:r>
        <w:rPr>
          <w:rFonts w:ascii="宋体" w:hAnsi="宋体"/>
          <w:color w:val="auto"/>
          <w:szCs w:val="21"/>
        </w:rPr>
        <w:t>发包人审批承包人合理化建议的期限：</w:t>
      </w:r>
      <w:r>
        <w:rPr>
          <w:rFonts w:hint="eastAsia" w:ascii="宋体" w:hAnsi="宋体"/>
          <w:color w:val="auto"/>
          <w:szCs w:val="21"/>
          <w:u w:val="single"/>
        </w:rPr>
        <w:t xml:space="preserve">                      </w:t>
      </w:r>
      <w:r>
        <w:rPr>
          <w:rFonts w:ascii="宋体" w:hAnsi="宋体"/>
          <w:color w:val="auto"/>
          <w:szCs w:val="21"/>
        </w:rPr>
        <w:t>。</w:t>
      </w:r>
    </w:p>
    <w:p w14:paraId="1884567B">
      <w:pPr>
        <w:spacing w:line="360" w:lineRule="auto"/>
        <w:ind w:firstLine="420" w:firstLineChars="200"/>
        <w:jc w:val="left"/>
        <w:rPr>
          <w:rFonts w:ascii="宋体" w:hAnsi="宋体"/>
          <w:color w:val="auto"/>
          <w:szCs w:val="21"/>
          <w:u w:val="single"/>
        </w:rPr>
      </w:pPr>
      <w:r>
        <w:rPr>
          <w:rFonts w:ascii="宋体" w:hAnsi="宋体"/>
          <w:color w:val="auto"/>
          <w:szCs w:val="21"/>
        </w:rPr>
        <w:t>承</w:t>
      </w:r>
      <w:bookmarkStart w:id="1029" w:name="_Toc296944543"/>
      <w:bookmarkStart w:id="1030" w:name="_Toc297048390"/>
      <w:bookmarkStart w:id="1031" w:name="_Toc292559409"/>
      <w:bookmarkStart w:id="1032" w:name="_Toc303539152"/>
      <w:bookmarkStart w:id="1033" w:name="_Toc312677504"/>
      <w:bookmarkStart w:id="1034" w:name="_Toc300934995"/>
      <w:bookmarkStart w:id="1035" w:name="_Toc296891244"/>
      <w:bookmarkStart w:id="1036" w:name="_Toc297216205"/>
      <w:bookmarkStart w:id="1037" w:name="_Toc304295571"/>
      <w:bookmarkStart w:id="1038" w:name="_Toc297120504"/>
      <w:bookmarkStart w:id="1039" w:name="_Toc296891032"/>
      <w:bookmarkStart w:id="1040" w:name="_Toc296503204"/>
      <w:bookmarkStart w:id="1041" w:name="_Toc318581175"/>
      <w:bookmarkStart w:id="1042" w:name="_Toc297123546"/>
      <w:bookmarkStart w:id="1043" w:name="_Toc296347203"/>
      <w:bookmarkStart w:id="1044" w:name="_Toc292559914"/>
      <w:bookmarkStart w:id="1045" w:name="_Toc296346705"/>
      <w:bookmarkStart w:id="1046" w:name="_Toc312678030"/>
      <w:r>
        <w:rPr>
          <w:rFonts w:ascii="宋体" w:hAnsi="宋体"/>
          <w:color w:val="auto"/>
          <w:szCs w:val="21"/>
        </w:rPr>
        <w:t>包人提出的合理化建议降低了合同价格或者提高了工程经济效益的奖励的方法和金额为：</w:t>
      </w:r>
      <w:r>
        <w:rPr>
          <w:rFonts w:hint="eastAsia" w:ascii="宋体" w:hAnsi="宋体"/>
          <w:color w:val="auto"/>
          <w:szCs w:val="21"/>
          <w:u w:val="single"/>
        </w:rPr>
        <w:t xml:space="preserve">                      </w:t>
      </w:r>
      <w:r>
        <w:rPr>
          <w:rFonts w:ascii="宋体" w:hAnsi="宋体"/>
          <w:color w:val="auto"/>
          <w:szCs w:val="21"/>
        </w:rPr>
        <w:t>。</w:t>
      </w:r>
    </w:p>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14:paraId="4FC65B4C">
      <w:pPr>
        <w:keepNext/>
        <w:keepLines/>
        <w:spacing w:before="260" w:after="260" w:line="416" w:lineRule="auto"/>
        <w:outlineLvl w:val="1"/>
        <w:rPr>
          <w:rFonts w:ascii="宋体" w:hAnsi="宋体"/>
          <w:b/>
          <w:bCs/>
          <w:color w:val="auto"/>
          <w:sz w:val="32"/>
          <w:szCs w:val="32"/>
        </w:rPr>
      </w:pPr>
      <w:bookmarkStart w:id="1047" w:name="_Toc373227744"/>
      <w:bookmarkStart w:id="1048" w:name="_Toc373478391"/>
      <w:bookmarkStart w:id="1049" w:name="_Toc495673423"/>
      <w:bookmarkStart w:id="1050" w:name="_Toc86935908"/>
      <w:bookmarkStart w:id="1051" w:name="_Toc389065310"/>
      <w:bookmarkStart w:id="1052" w:name="_Toc407135247"/>
      <w:bookmarkStart w:id="1053" w:name="_Toc508379758"/>
      <w:bookmarkStart w:id="1054" w:name="_Toc17890"/>
      <w:bookmarkStart w:id="1055" w:name="_Toc30482"/>
      <w:r>
        <w:rPr>
          <w:rFonts w:ascii="宋体" w:hAnsi="宋体"/>
          <w:b/>
          <w:bCs/>
          <w:color w:val="auto"/>
          <w:sz w:val="32"/>
          <w:szCs w:val="32"/>
        </w:rPr>
        <w:t>1</w:t>
      </w:r>
      <w:bookmarkStart w:id="1056" w:name="_Toc296944538"/>
      <w:bookmarkStart w:id="1057" w:name="_Toc297120499"/>
      <w:bookmarkStart w:id="1058" w:name="_Toc297048385"/>
      <w:bookmarkStart w:id="1059" w:name="_Toc297216207"/>
      <w:bookmarkStart w:id="1060" w:name="_Toc297123548"/>
      <w:bookmarkStart w:id="1061" w:name="_Toc292559909"/>
      <w:bookmarkStart w:id="1062" w:name="_Toc303539154"/>
      <w:bookmarkStart w:id="1063" w:name="_Toc296346700"/>
      <w:bookmarkStart w:id="1064" w:name="_Toc296503199"/>
      <w:bookmarkStart w:id="1065" w:name="_Toc296347198"/>
      <w:bookmarkStart w:id="1066" w:name="_Toc312677507"/>
      <w:bookmarkStart w:id="1067" w:name="_Toc300934997"/>
      <w:bookmarkStart w:id="1068" w:name="_Toc296891239"/>
      <w:bookmarkStart w:id="1069" w:name="_Toc312678033"/>
      <w:bookmarkStart w:id="1070" w:name="_Toc296891027"/>
      <w:bookmarkStart w:id="1071" w:name="_Toc304295574"/>
      <w:bookmarkStart w:id="1072" w:name="_Toc292559404"/>
      <w:r>
        <w:rPr>
          <w:rFonts w:ascii="宋体" w:hAnsi="宋体"/>
          <w:b/>
          <w:bCs/>
          <w:color w:val="auto"/>
          <w:sz w:val="32"/>
          <w:szCs w:val="32"/>
        </w:rPr>
        <w:t>0.7 暂估价</w:t>
      </w:r>
      <w:bookmarkEnd w:id="1047"/>
      <w:bookmarkEnd w:id="1048"/>
      <w:bookmarkEnd w:id="1049"/>
      <w:bookmarkEnd w:id="1050"/>
      <w:bookmarkEnd w:id="1051"/>
      <w:bookmarkEnd w:id="1052"/>
      <w:bookmarkEnd w:id="1053"/>
      <w:bookmarkEnd w:id="1054"/>
      <w:bookmarkEnd w:id="1055"/>
    </w:p>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p w14:paraId="289B3799">
      <w:pPr>
        <w:spacing w:line="360" w:lineRule="auto"/>
        <w:ind w:firstLine="420" w:firstLineChars="200"/>
        <w:jc w:val="left"/>
        <w:rPr>
          <w:rFonts w:ascii="宋体" w:hAnsi="宋体"/>
          <w:color w:val="auto"/>
          <w:szCs w:val="21"/>
        </w:rPr>
      </w:pPr>
      <w:r>
        <w:rPr>
          <w:rFonts w:ascii="宋体" w:hAnsi="宋体"/>
          <w:color w:val="auto"/>
          <w:kern w:val="0"/>
          <w:szCs w:val="21"/>
        </w:rPr>
        <w:t>暂</w:t>
      </w:r>
      <w:bookmarkStart w:id="1073" w:name="_Toc312677508"/>
      <w:bookmarkStart w:id="1074" w:name="_Toc318581176"/>
      <w:bookmarkStart w:id="1075" w:name="_Toc312678034"/>
      <w:r>
        <w:rPr>
          <w:rFonts w:ascii="宋体" w:hAnsi="宋体"/>
          <w:color w:val="auto"/>
          <w:kern w:val="0"/>
          <w:szCs w:val="21"/>
        </w:rPr>
        <w:t>估价材料和工程设备的明细详见</w:t>
      </w:r>
      <w:r>
        <w:rPr>
          <w:rFonts w:hint="eastAsia" w:ascii="宋体" w:hAnsi="宋体"/>
          <w:color w:val="auto"/>
          <w:kern w:val="0"/>
          <w:szCs w:val="21"/>
        </w:rPr>
        <w:t>已标价工程量清单《</w:t>
      </w:r>
      <w:r>
        <w:rPr>
          <w:rFonts w:ascii="宋体" w:hAnsi="宋体"/>
          <w:color w:val="auto"/>
          <w:szCs w:val="21"/>
        </w:rPr>
        <w:t>材料（工程设备）暂估价格及调整表</w:t>
      </w:r>
      <w:r>
        <w:rPr>
          <w:rFonts w:hint="eastAsia" w:ascii="宋体" w:hAnsi="宋体"/>
          <w:color w:val="auto"/>
          <w:szCs w:val="21"/>
        </w:rPr>
        <w:t>》</w:t>
      </w:r>
      <w:r>
        <w:rPr>
          <w:rFonts w:hint="eastAsia" w:ascii="宋体" w:hAnsi="宋体"/>
          <w:color w:val="auto"/>
          <w:kern w:val="0"/>
          <w:szCs w:val="21"/>
        </w:rPr>
        <w:t>（表12-2）和《</w:t>
      </w:r>
      <w:r>
        <w:rPr>
          <w:rFonts w:ascii="宋体" w:hAnsi="宋体"/>
          <w:color w:val="auto"/>
          <w:szCs w:val="21"/>
        </w:rPr>
        <w:t>专业工程暂估价表</w:t>
      </w:r>
      <w:r>
        <w:rPr>
          <w:rFonts w:hint="eastAsia" w:ascii="宋体" w:hAnsi="宋体"/>
          <w:color w:val="auto"/>
          <w:szCs w:val="21"/>
        </w:rPr>
        <w:t>》（</w:t>
      </w:r>
      <w:r>
        <w:rPr>
          <w:rFonts w:hint="eastAsia" w:ascii="宋体" w:hAnsi="宋体"/>
          <w:color w:val="auto"/>
          <w:kern w:val="0"/>
          <w:szCs w:val="21"/>
        </w:rPr>
        <w:t>表12-3）</w:t>
      </w:r>
      <w:r>
        <w:rPr>
          <w:rFonts w:ascii="宋体" w:hAnsi="宋体"/>
          <w:color w:val="auto"/>
          <w:kern w:val="0"/>
          <w:szCs w:val="21"/>
        </w:rPr>
        <w:t>。</w:t>
      </w:r>
    </w:p>
    <w:bookmarkEnd w:id="1073"/>
    <w:bookmarkEnd w:id="1074"/>
    <w:bookmarkEnd w:id="1075"/>
    <w:p w14:paraId="7795BB64">
      <w:pPr>
        <w:spacing w:line="360" w:lineRule="auto"/>
        <w:ind w:firstLine="420" w:firstLineChars="200"/>
        <w:jc w:val="left"/>
        <w:outlineLvl w:val="2"/>
        <w:rPr>
          <w:rFonts w:ascii="宋体" w:hAnsi="宋体"/>
          <w:color w:val="auto"/>
          <w:szCs w:val="21"/>
        </w:rPr>
      </w:pPr>
      <w:r>
        <w:rPr>
          <w:rFonts w:ascii="宋体" w:hAnsi="宋体"/>
          <w:color w:val="auto"/>
          <w:szCs w:val="21"/>
        </w:rPr>
        <w:t>1</w:t>
      </w:r>
      <w:bookmarkStart w:id="1076" w:name="_Toc312677509"/>
      <w:bookmarkStart w:id="1077" w:name="_Toc312678035"/>
      <w:bookmarkStart w:id="1078" w:name="_Toc318581177"/>
      <w:r>
        <w:rPr>
          <w:rFonts w:ascii="宋体" w:hAnsi="宋体"/>
          <w:color w:val="auto"/>
          <w:szCs w:val="21"/>
        </w:rPr>
        <w:t>0.7.1 依法必须招标的暂估价项目</w:t>
      </w:r>
    </w:p>
    <w:bookmarkEnd w:id="1076"/>
    <w:bookmarkEnd w:id="1077"/>
    <w:bookmarkEnd w:id="1078"/>
    <w:p w14:paraId="070D82E8">
      <w:pPr>
        <w:spacing w:line="360" w:lineRule="auto"/>
        <w:ind w:firstLine="420" w:firstLineChars="200"/>
        <w:jc w:val="left"/>
        <w:rPr>
          <w:rFonts w:ascii="宋体" w:hAnsi="宋体"/>
          <w:color w:val="auto"/>
          <w:szCs w:val="21"/>
        </w:rPr>
      </w:pPr>
      <w:r>
        <w:rPr>
          <w:rFonts w:ascii="宋体" w:hAnsi="宋体"/>
          <w:color w:val="auto"/>
          <w:szCs w:val="21"/>
        </w:rPr>
        <w:t>对于依法必须招标的暂估价项目的确认和批准采取第</w:t>
      </w:r>
      <w:r>
        <w:rPr>
          <w:rFonts w:hint="eastAsia" w:ascii="宋体" w:hAnsi="宋体"/>
          <w:color w:val="auto"/>
          <w:szCs w:val="21"/>
          <w:u w:val="single"/>
          <w:lang w:val="en-US" w:eastAsia="zh-CN"/>
        </w:rPr>
        <w:t xml:space="preserve">     </w:t>
      </w:r>
      <w:r>
        <w:rPr>
          <w:rFonts w:ascii="宋体" w:hAnsi="宋体"/>
          <w:color w:val="auto"/>
          <w:szCs w:val="21"/>
        </w:rPr>
        <w:t>种方式确定。</w:t>
      </w:r>
    </w:p>
    <w:p w14:paraId="3807233A">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第1种方式：对于依法必须招标的暂估价项目，由承包人招标，对该暂估价项目的确认和批准按照以下约定执行：</w:t>
      </w:r>
    </w:p>
    <w:p w14:paraId="7F684F92">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447D4C48">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2）承包人应当根据施工进度计划，提前14天将招标文件通过监理人报送发包人审批，发包人应当在收到承包人报送的相关文件后7天内完成审批或提出修改意见；发包人有权确定招标控制价并委派评标委员会成员；</w:t>
      </w:r>
    </w:p>
    <w:p w14:paraId="01316FCA">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70434E94">
      <w:pPr>
        <w:spacing w:line="360" w:lineRule="auto"/>
        <w:ind w:firstLine="420" w:firstLineChars="200"/>
        <w:jc w:val="left"/>
        <w:rPr>
          <w:rFonts w:ascii="宋体" w:hAnsi="宋体"/>
          <w:color w:val="auto"/>
          <w:szCs w:val="21"/>
        </w:rPr>
      </w:pPr>
      <w:r>
        <w:rPr>
          <w:rStyle w:val="50"/>
          <w:rFonts w:hint="eastAsia" w:ascii="宋体" w:hAnsi="宋体" w:eastAsia="宋体"/>
          <w:color w:val="auto"/>
          <w:kern w:val="0"/>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321E6CA8">
      <w:pPr>
        <w:spacing w:line="360" w:lineRule="auto"/>
        <w:ind w:firstLine="420" w:firstLineChars="200"/>
        <w:jc w:val="left"/>
        <w:outlineLvl w:val="2"/>
        <w:rPr>
          <w:rFonts w:ascii="宋体" w:hAnsi="宋体"/>
          <w:color w:val="auto"/>
          <w:szCs w:val="21"/>
        </w:rPr>
      </w:pPr>
      <w:r>
        <w:rPr>
          <w:rFonts w:ascii="宋体" w:hAnsi="宋体"/>
          <w:color w:val="auto"/>
          <w:szCs w:val="21"/>
        </w:rPr>
        <w:t>10.7.2 不属于依法必须招标的暂估价项目</w:t>
      </w:r>
    </w:p>
    <w:p w14:paraId="362D4FD7">
      <w:pPr>
        <w:spacing w:line="360" w:lineRule="auto"/>
        <w:ind w:firstLine="420" w:firstLineChars="200"/>
        <w:jc w:val="left"/>
        <w:rPr>
          <w:rFonts w:ascii="宋体" w:hAnsi="宋体"/>
          <w:color w:val="auto"/>
          <w:szCs w:val="21"/>
        </w:rPr>
      </w:pPr>
      <w:r>
        <w:rPr>
          <w:rFonts w:ascii="宋体" w:hAnsi="宋体"/>
          <w:color w:val="auto"/>
          <w:szCs w:val="21"/>
        </w:rPr>
        <w:t>对于不属于依法必须招标的暂估价项目的确认和批准采取第</w:t>
      </w:r>
      <w:r>
        <w:rPr>
          <w:rFonts w:hint="eastAsia" w:ascii="宋体" w:hAnsi="宋体"/>
          <w:color w:val="auto"/>
          <w:szCs w:val="21"/>
          <w:u w:val="single"/>
          <w:lang w:val="en-US" w:eastAsia="zh-CN"/>
        </w:rPr>
        <w:t xml:space="preserve">      </w:t>
      </w:r>
      <w:r>
        <w:rPr>
          <w:rFonts w:ascii="宋体" w:hAnsi="宋体"/>
          <w:color w:val="auto"/>
          <w:szCs w:val="21"/>
        </w:rPr>
        <w:t>种方式确定。</w:t>
      </w:r>
    </w:p>
    <w:p w14:paraId="7F307BBC">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第1种方式：对于不属于依法必须招标的暂估价项目，按本项约定确认和批准：</w:t>
      </w:r>
    </w:p>
    <w:p w14:paraId="15C26902">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152A8AA7">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2）发包人认为承包人确定的供应商、分包人无法满足工程质量或合同要求的，发包人可以要求承包人重新确定暂估价项目的供应商、分包人；（3）承包人应当在签订暂估价合同后7天内，将暂估价合同副本报送发包人留存。</w:t>
      </w:r>
    </w:p>
    <w:p w14:paraId="7B5988BF">
      <w:pPr>
        <w:pStyle w:val="292"/>
        <w:widowControl/>
        <w:spacing w:line="400" w:lineRule="exact"/>
        <w:ind w:firstLine="424" w:firstLineChars="202"/>
        <w:jc w:val="left"/>
        <w:rPr>
          <w:rFonts w:ascii="宋体" w:hAnsi="宋体"/>
          <w:color w:val="auto"/>
          <w:szCs w:val="21"/>
        </w:rPr>
      </w:pPr>
      <w:r>
        <w:rPr>
          <w:rStyle w:val="50"/>
          <w:rFonts w:hint="eastAsia" w:ascii="宋体" w:hAnsi="宋体" w:eastAsia="宋体"/>
          <w:color w:val="auto"/>
          <w:kern w:val="0"/>
        </w:rPr>
        <w:t>第2种方式：承包人按照第10.7.1项[依法必须招标的暂估价项目]约定的第1种方式确定暂估价项目。</w:t>
      </w:r>
    </w:p>
    <w:p w14:paraId="7DC4D545">
      <w:pPr>
        <w:spacing w:line="360" w:lineRule="auto"/>
        <w:ind w:firstLine="420" w:firstLineChars="200"/>
        <w:jc w:val="left"/>
        <w:rPr>
          <w:rFonts w:ascii="宋体" w:hAnsi="宋体"/>
          <w:color w:val="auto"/>
          <w:kern w:val="0"/>
          <w:szCs w:val="21"/>
        </w:rPr>
      </w:pPr>
      <w:r>
        <w:rPr>
          <w:rFonts w:ascii="宋体" w:hAnsi="宋体"/>
          <w:color w:val="auto"/>
          <w:szCs w:val="21"/>
        </w:rPr>
        <w:t>第3种方式：</w:t>
      </w:r>
      <w:r>
        <w:rPr>
          <w:rFonts w:ascii="宋体" w:hAnsi="宋体"/>
          <w:color w:val="auto"/>
          <w:kern w:val="0"/>
          <w:szCs w:val="21"/>
        </w:rPr>
        <w:t>承包人直接实施的暂估价项目</w:t>
      </w:r>
    </w:p>
    <w:p w14:paraId="26F78889">
      <w:pPr>
        <w:spacing w:line="360" w:lineRule="auto"/>
        <w:ind w:firstLine="420" w:firstLineChars="200"/>
        <w:jc w:val="left"/>
        <w:rPr>
          <w:rFonts w:ascii="宋体" w:hAnsi="宋体"/>
          <w:color w:val="auto"/>
          <w:szCs w:val="21"/>
        </w:rPr>
      </w:pPr>
      <w:r>
        <w:rPr>
          <w:rFonts w:ascii="宋体" w:hAnsi="宋体"/>
          <w:color w:val="auto"/>
          <w:szCs w:val="21"/>
        </w:rPr>
        <w:t>承包人直接实施的暂估价项目的约定：</w:t>
      </w:r>
      <w:r>
        <w:rPr>
          <w:rFonts w:hint="eastAsia" w:ascii="宋体" w:hAnsi="宋体"/>
          <w:color w:val="auto"/>
          <w:szCs w:val="21"/>
          <w:u w:val="single"/>
        </w:rPr>
        <w:t xml:space="preserve">                      </w:t>
      </w:r>
      <w:r>
        <w:rPr>
          <w:rFonts w:ascii="宋体" w:hAnsi="宋体"/>
          <w:color w:val="auto"/>
          <w:szCs w:val="21"/>
        </w:rPr>
        <w:t>。</w:t>
      </w:r>
    </w:p>
    <w:p w14:paraId="56E2744B">
      <w:pPr>
        <w:keepNext/>
        <w:keepLines/>
        <w:spacing w:before="260" w:after="260" w:line="416" w:lineRule="auto"/>
        <w:outlineLvl w:val="1"/>
        <w:rPr>
          <w:rFonts w:ascii="宋体" w:hAnsi="宋体"/>
          <w:b/>
          <w:bCs/>
          <w:color w:val="auto"/>
          <w:sz w:val="32"/>
          <w:szCs w:val="32"/>
        </w:rPr>
      </w:pPr>
      <w:bookmarkStart w:id="1079" w:name="_Toc373478392"/>
      <w:bookmarkStart w:id="1080" w:name="_Toc86935909"/>
      <w:bookmarkStart w:id="1081" w:name="_Toc407135248"/>
      <w:bookmarkStart w:id="1082" w:name="_Toc373227745"/>
      <w:bookmarkStart w:id="1083" w:name="_Toc389065311"/>
      <w:bookmarkStart w:id="1084" w:name="_Toc495673424"/>
      <w:bookmarkStart w:id="1085" w:name="_Toc508379759"/>
      <w:bookmarkStart w:id="1086" w:name="_Toc8970"/>
      <w:bookmarkStart w:id="1087" w:name="_Toc8212"/>
      <w:r>
        <w:rPr>
          <w:rFonts w:ascii="宋体" w:hAnsi="宋体"/>
          <w:b/>
          <w:bCs/>
          <w:color w:val="auto"/>
          <w:sz w:val="32"/>
          <w:szCs w:val="32"/>
        </w:rPr>
        <w:t>10.8 暂列金额</w:t>
      </w:r>
      <w:bookmarkEnd w:id="1079"/>
      <w:bookmarkEnd w:id="1080"/>
      <w:bookmarkEnd w:id="1081"/>
      <w:bookmarkEnd w:id="1082"/>
      <w:bookmarkEnd w:id="1083"/>
      <w:bookmarkEnd w:id="1084"/>
      <w:bookmarkEnd w:id="1085"/>
      <w:bookmarkEnd w:id="1086"/>
      <w:bookmarkEnd w:id="1087"/>
    </w:p>
    <w:p w14:paraId="27C6BB33">
      <w:pPr>
        <w:autoSpaceDE w:val="0"/>
        <w:autoSpaceDN w:val="0"/>
        <w:adjustRightInd w:val="0"/>
        <w:spacing w:line="360" w:lineRule="auto"/>
        <w:ind w:firstLine="420" w:firstLineChars="200"/>
        <w:jc w:val="left"/>
        <w:rPr>
          <w:rFonts w:ascii="宋体" w:hAnsi="宋体"/>
          <w:color w:val="auto"/>
          <w:kern w:val="0"/>
          <w:szCs w:val="21"/>
        </w:rPr>
      </w:pPr>
      <w:r>
        <w:rPr>
          <w:rFonts w:ascii="宋体" w:hAnsi="宋体"/>
          <w:color w:val="auto"/>
          <w:kern w:val="0"/>
          <w:szCs w:val="21"/>
        </w:rPr>
        <w:t>合同当事人关于暂列金额使用的约定：</w:t>
      </w:r>
      <w:r>
        <w:rPr>
          <w:rFonts w:hint="eastAsia" w:ascii="宋体" w:hAnsi="宋体"/>
          <w:color w:val="auto"/>
          <w:szCs w:val="21"/>
          <w:u w:val="single"/>
        </w:rPr>
        <w:t xml:space="preserve">                      </w:t>
      </w:r>
      <w:r>
        <w:rPr>
          <w:rFonts w:ascii="宋体" w:hAnsi="宋体"/>
          <w:color w:val="auto"/>
          <w:kern w:val="0"/>
          <w:szCs w:val="21"/>
        </w:rPr>
        <w:t>。</w:t>
      </w:r>
    </w:p>
    <w:p w14:paraId="2782CB5F">
      <w:pPr>
        <w:pStyle w:val="292"/>
        <w:widowControl/>
        <w:spacing w:line="400" w:lineRule="exact"/>
        <w:ind w:firstLine="424" w:firstLineChars="202"/>
        <w:rPr>
          <w:rStyle w:val="50"/>
          <w:rFonts w:hint="eastAsia" w:ascii="宋体" w:hAnsi="宋体" w:eastAsia="宋体"/>
          <w:color w:val="auto"/>
          <w:u w:val="single"/>
        </w:rPr>
      </w:pPr>
      <w:r>
        <w:rPr>
          <w:rStyle w:val="50"/>
          <w:rFonts w:hint="eastAsia" w:ascii="宋体" w:hAnsi="宋体" w:eastAsia="宋体"/>
          <w:color w:val="auto"/>
          <w:u w:val="single"/>
        </w:rPr>
        <w:t xml:space="preserve">（1）已签约合同价中的暂列金额由发包人掌握使用。 </w:t>
      </w:r>
    </w:p>
    <w:p w14:paraId="2A141734">
      <w:pPr>
        <w:autoSpaceDE w:val="0"/>
        <w:autoSpaceDN w:val="0"/>
        <w:adjustRightInd w:val="0"/>
        <w:spacing w:line="360" w:lineRule="auto"/>
        <w:ind w:firstLine="420" w:firstLineChars="200"/>
        <w:jc w:val="left"/>
        <w:rPr>
          <w:rFonts w:ascii="宋体" w:hAnsi="宋体"/>
          <w:color w:val="auto"/>
          <w:kern w:val="0"/>
          <w:szCs w:val="21"/>
          <w:u w:val="single"/>
        </w:rPr>
      </w:pPr>
      <w:r>
        <w:rPr>
          <w:rStyle w:val="50"/>
          <w:rFonts w:hint="eastAsia" w:ascii="宋体" w:hAnsi="宋体" w:eastAsia="宋体"/>
          <w:bCs/>
          <w:color w:val="auto"/>
          <w:u w:val="single"/>
        </w:rPr>
        <w:t>（2）发包人按照规定所作支付后，暂列金额如有余额归发包人</w:t>
      </w:r>
      <w:r>
        <w:rPr>
          <w:rStyle w:val="50"/>
          <w:rFonts w:hint="eastAsia" w:ascii="宋体" w:hAnsi="宋体" w:eastAsia="宋体"/>
          <w:color w:val="auto"/>
          <w:u w:val="single"/>
        </w:rPr>
        <w:t>。</w:t>
      </w:r>
    </w:p>
    <w:p w14:paraId="1DFE2567">
      <w:pPr>
        <w:keepNext/>
        <w:keepLines/>
        <w:numPr>
          <w:ilvl w:val="0"/>
          <w:numId w:val="10"/>
        </w:numPr>
        <w:spacing w:before="60" w:after="60" w:line="413" w:lineRule="auto"/>
        <w:outlineLvl w:val="0"/>
        <w:rPr>
          <w:rFonts w:ascii="宋体" w:hAnsi="宋体"/>
          <w:b/>
          <w:bCs/>
          <w:color w:val="auto"/>
          <w:sz w:val="32"/>
          <w:szCs w:val="32"/>
        </w:rPr>
      </w:pPr>
      <w:bookmarkStart w:id="1088" w:name="_Toc5325"/>
      <w:bookmarkStart w:id="1089" w:name="_Toc13441"/>
      <w:bookmarkStart w:id="1090" w:name="_Toc373478393"/>
      <w:bookmarkStart w:id="1091" w:name="_Toc389065312"/>
      <w:bookmarkStart w:id="1092" w:name="_Toc351203643"/>
      <w:bookmarkStart w:id="1093" w:name="_Toc508379760"/>
      <w:bookmarkStart w:id="1094" w:name="_Toc86935910"/>
      <w:bookmarkStart w:id="1095" w:name="_Toc495673425"/>
      <w:bookmarkStart w:id="1096" w:name="_Toc407135249"/>
      <w:bookmarkStart w:id="1097" w:name="_Toc373227746"/>
      <w:bookmarkStart w:id="1098" w:name="_Toc9878"/>
      <w:bookmarkStart w:id="1099" w:name="_Toc16107"/>
      <w:r>
        <w:rPr>
          <w:rFonts w:ascii="宋体" w:hAnsi="宋体"/>
          <w:b/>
          <w:bCs/>
          <w:color w:val="auto"/>
          <w:sz w:val="32"/>
          <w:szCs w:val="32"/>
        </w:rPr>
        <w:t>价格调整</w:t>
      </w:r>
      <w:bookmarkEnd w:id="1088"/>
      <w:bookmarkEnd w:id="1089"/>
      <w:bookmarkEnd w:id="1090"/>
      <w:bookmarkEnd w:id="1091"/>
      <w:bookmarkEnd w:id="1092"/>
      <w:bookmarkEnd w:id="1093"/>
      <w:bookmarkEnd w:id="1094"/>
      <w:bookmarkEnd w:id="1095"/>
      <w:bookmarkEnd w:id="1096"/>
      <w:bookmarkEnd w:id="1097"/>
      <w:bookmarkEnd w:id="1098"/>
      <w:bookmarkEnd w:id="1099"/>
    </w:p>
    <w:p w14:paraId="5052883F">
      <w:pPr>
        <w:spacing w:line="360" w:lineRule="auto"/>
        <w:ind w:firstLine="420" w:firstLineChars="200"/>
        <w:jc w:val="left"/>
        <w:rPr>
          <w:rFonts w:ascii="宋体" w:hAnsi="宋体"/>
          <w:color w:val="auto"/>
          <w:kern w:val="0"/>
          <w:szCs w:val="21"/>
        </w:rPr>
      </w:pPr>
      <w:r>
        <w:rPr>
          <w:rFonts w:hint="eastAsia" w:ascii="宋体" w:hAnsi="宋体"/>
          <w:color w:val="auto"/>
          <w:kern w:val="0"/>
          <w:szCs w:val="21"/>
        </w:rPr>
        <w:t>①法律变化引起的调整；</w:t>
      </w:r>
    </w:p>
    <w:p w14:paraId="39D61621">
      <w:pPr>
        <w:spacing w:line="360" w:lineRule="auto"/>
        <w:ind w:firstLine="420" w:firstLineChars="200"/>
        <w:jc w:val="left"/>
        <w:rPr>
          <w:rFonts w:ascii="宋体" w:hAnsi="宋体"/>
          <w:color w:val="auto"/>
          <w:kern w:val="0"/>
          <w:szCs w:val="21"/>
        </w:rPr>
      </w:pPr>
      <w:r>
        <w:rPr>
          <w:rFonts w:hint="eastAsia" w:ascii="宋体" w:hAnsi="宋体"/>
          <w:color w:val="auto"/>
          <w:kern w:val="0"/>
          <w:szCs w:val="21"/>
        </w:rPr>
        <w:t>②工程变更、项目特征不符、工程量清单缺项、工程量偏差引起的调整；</w:t>
      </w:r>
    </w:p>
    <w:p w14:paraId="643A852A">
      <w:pPr>
        <w:spacing w:line="360" w:lineRule="auto"/>
        <w:ind w:firstLine="420" w:firstLineChars="200"/>
        <w:jc w:val="left"/>
        <w:rPr>
          <w:rFonts w:ascii="宋体" w:hAnsi="宋体"/>
          <w:color w:val="auto"/>
          <w:kern w:val="0"/>
          <w:szCs w:val="21"/>
        </w:rPr>
      </w:pPr>
      <w:r>
        <w:rPr>
          <w:rFonts w:hint="eastAsia" w:ascii="宋体" w:hAnsi="宋体"/>
          <w:color w:val="auto"/>
          <w:kern w:val="0"/>
          <w:szCs w:val="21"/>
        </w:rPr>
        <w:t>③计日工引起的调整。</w:t>
      </w:r>
    </w:p>
    <w:p w14:paraId="6E4293CD">
      <w:pPr>
        <w:keepNext/>
        <w:keepLines/>
        <w:spacing w:before="260" w:after="260" w:line="416" w:lineRule="auto"/>
        <w:outlineLvl w:val="1"/>
        <w:rPr>
          <w:rFonts w:ascii="宋体" w:hAnsi="宋体"/>
          <w:b/>
          <w:bCs/>
          <w:color w:val="auto"/>
          <w:sz w:val="32"/>
          <w:szCs w:val="32"/>
        </w:rPr>
      </w:pPr>
      <w:bookmarkStart w:id="1100" w:name="_Toc86935911"/>
      <w:bookmarkStart w:id="1101" w:name="_Toc508379761"/>
      <w:bookmarkStart w:id="1102" w:name="_Toc373227747"/>
      <w:bookmarkStart w:id="1103" w:name="_Toc495673426"/>
      <w:bookmarkStart w:id="1104" w:name="_Toc389065313"/>
      <w:bookmarkStart w:id="1105" w:name="_Toc407135250"/>
      <w:bookmarkStart w:id="1106" w:name="_Toc373478394"/>
      <w:bookmarkStart w:id="1107" w:name="_Toc23107"/>
      <w:bookmarkStart w:id="1108" w:name="_Toc23758"/>
      <w:bookmarkStart w:id="1109" w:name="_Toc296944540"/>
      <w:bookmarkStart w:id="1110" w:name="_Toc296891029"/>
      <w:bookmarkStart w:id="1111" w:name="_Toc297216209"/>
      <w:bookmarkStart w:id="1112" w:name="_Toc296347200"/>
      <w:bookmarkStart w:id="1113" w:name="_Toc297120501"/>
      <w:bookmarkStart w:id="1114" w:name="_Toc297123550"/>
      <w:bookmarkStart w:id="1115" w:name="_Toc312678039"/>
      <w:bookmarkStart w:id="1116" w:name="_Toc304295577"/>
      <w:bookmarkStart w:id="1117" w:name="_Toc292559911"/>
      <w:bookmarkStart w:id="1118" w:name="_Toc300935000"/>
      <w:bookmarkStart w:id="1119" w:name="_Toc296891241"/>
      <w:bookmarkStart w:id="1120" w:name="_Toc297048387"/>
      <w:bookmarkStart w:id="1121" w:name="_Toc296346702"/>
      <w:bookmarkStart w:id="1122" w:name="_Toc292559406"/>
      <w:bookmarkStart w:id="1123" w:name="_Toc296503201"/>
      <w:bookmarkStart w:id="1124" w:name="_Toc303539157"/>
      <w:r>
        <w:rPr>
          <w:rFonts w:ascii="宋体" w:hAnsi="宋体"/>
          <w:b/>
          <w:bCs/>
          <w:color w:val="auto"/>
          <w:sz w:val="32"/>
          <w:szCs w:val="32"/>
        </w:rPr>
        <w:t>11.1 市场价格波动引起的调整</w:t>
      </w:r>
      <w:bookmarkEnd w:id="1100"/>
      <w:bookmarkEnd w:id="1101"/>
      <w:bookmarkEnd w:id="1102"/>
      <w:bookmarkEnd w:id="1103"/>
      <w:bookmarkEnd w:id="1104"/>
      <w:bookmarkEnd w:id="1105"/>
      <w:bookmarkEnd w:id="1106"/>
      <w:bookmarkEnd w:id="1107"/>
      <w:bookmarkEnd w:id="1108"/>
    </w:p>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p w14:paraId="4FEE1640">
      <w:pPr>
        <w:spacing w:line="360" w:lineRule="auto"/>
        <w:ind w:firstLine="420" w:firstLineChars="200"/>
        <w:jc w:val="left"/>
        <w:rPr>
          <w:rFonts w:ascii="宋体" w:hAnsi="宋体"/>
          <w:color w:val="auto"/>
          <w:szCs w:val="21"/>
        </w:rPr>
      </w:pPr>
      <w:r>
        <w:rPr>
          <w:rFonts w:ascii="宋体" w:hAnsi="宋体"/>
          <w:color w:val="auto"/>
          <w:kern w:val="0"/>
          <w:szCs w:val="21"/>
        </w:rPr>
        <w:t>市场价格波动是否调整合同价格的约定：</w:t>
      </w:r>
      <w:r>
        <w:rPr>
          <w:rStyle w:val="50"/>
          <w:rFonts w:hint="eastAsia" w:ascii="宋体" w:hAnsi="宋体" w:eastAsia="宋体" w:cs="宋体"/>
          <w:color w:val="auto"/>
          <w:kern w:val="0"/>
          <w:u w:val="single"/>
        </w:rPr>
        <w:t>是。</w:t>
      </w:r>
      <w:r>
        <w:rPr>
          <w:rStyle w:val="50"/>
          <w:rFonts w:hint="eastAsia" w:ascii="宋体" w:hAnsi="宋体" w:eastAsia="宋体" w:cs="宋体"/>
          <w:color w:val="auto"/>
          <w:u w:val="single"/>
        </w:rPr>
        <w:t>非施工单位原因造成的主要材料价差</w:t>
      </w:r>
      <w:r>
        <w:rPr>
          <w:rStyle w:val="50"/>
          <w:rFonts w:hint="eastAsia" w:ascii="宋体" w:hAnsi="宋体" w:eastAsia="宋体" w:cs="宋体"/>
          <w:color w:val="auto"/>
          <w:u w:val="single"/>
          <w:lang w:val="en-US" w:eastAsia="zh-CN"/>
        </w:rPr>
        <w:t>在</w:t>
      </w:r>
      <w:r>
        <w:rPr>
          <w:rStyle w:val="50"/>
          <w:rFonts w:hint="eastAsia" w:ascii="宋体" w:hAnsi="宋体" w:eastAsia="宋体" w:cs="宋体"/>
          <w:color w:val="auto"/>
          <w:u w:val="single"/>
        </w:rPr>
        <w:t>5%以内（含 5%）的，由施工单位承担。合同履行期间材料单价涨幅以基准价格为基础超过5%时，或材料单价跌幅以在已标价工程量清单或预算书中载明的主要材料、工程设备单价为基础超过5%时，其超过部分据实调整；关于基准价格的约定：</w:t>
      </w:r>
      <w:r>
        <w:rPr>
          <w:rStyle w:val="50"/>
          <w:rFonts w:hint="eastAsia" w:ascii="宋体" w:hAnsi="宋体" w:eastAsia="宋体" w:cs="宋体"/>
          <w:color w:val="auto"/>
          <w:kern w:val="0"/>
          <w:u w:val="single"/>
        </w:rPr>
        <w:t>招标的工程以招标控制价确定的市场价格确定为基期材料价格</w:t>
      </w:r>
      <w:r>
        <w:rPr>
          <w:rStyle w:val="50"/>
          <w:rFonts w:hint="eastAsia" w:ascii="宋体" w:hAnsi="宋体" w:eastAsia="宋体" w:cs="宋体"/>
          <w:color w:val="auto"/>
          <w:u w:val="single"/>
        </w:rPr>
        <w:t>；人工、机械费按照我区建设行政主管部门或其授权的工程造价管理机构发布的人工费、机械台班单价或机械使用费系数进行调整；新增项目和工程量变化造成措施费增加取费部分按原中标措施费比例调整，施工方案部分按业主、监理批准的方案套取相关定额计取，造成规费、税金变化按有关规定作相应调整</w:t>
      </w:r>
      <w:r>
        <w:rPr>
          <w:rFonts w:hint="eastAsia" w:ascii="宋体" w:hAnsi="宋体"/>
          <w:color w:val="auto"/>
          <w:szCs w:val="21"/>
          <w:u w:val="single"/>
        </w:rPr>
        <w:t xml:space="preserve"> </w:t>
      </w:r>
      <w:r>
        <w:rPr>
          <w:rFonts w:ascii="宋体" w:hAnsi="宋体"/>
          <w:color w:val="auto"/>
          <w:szCs w:val="21"/>
        </w:rPr>
        <w:t>。</w:t>
      </w:r>
    </w:p>
    <w:p w14:paraId="005EDD3E">
      <w:pPr>
        <w:spacing w:line="360" w:lineRule="auto"/>
        <w:ind w:firstLine="420" w:firstLineChars="200"/>
        <w:jc w:val="left"/>
        <w:rPr>
          <w:rFonts w:ascii="宋体" w:hAnsi="宋体"/>
          <w:color w:val="auto"/>
          <w:szCs w:val="21"/>
        </w:rPr>
      </w:pPr>
      <w:r>
        <w:rPr>
          <w:rFonts w:ascii="宋体" w:hAnsi="宋体"/>
          <w:color w:val="auto"/>
          <w:szCs w:val="21"/>
        </w:rPr>
        <w:t>因市场价格波动调整合同价格，采用以下第种方式对合同价格进行调整：</w:t>
      </w:r>
    </w:p>
    <w:p w14:paraId="6EAA1708">
      <w:pPr>
        <w:spacing w:line="360" w:lineRule="auto"/>
        <w:ind w:firstLine="420" w:firstLineChars="200"/>
        <w:jc w:val="left"/>
        <w:rPr>
          <w:rFonts w:ascii="宋体" w:hAnsi="宋体"/>
          <w:color w:val="auto"/>
          <w:szCs w:val="21"/>
        </w:rPr>
      </w:pPr>
      <w:r>
        <w:rPr>
          <w:rFonts w:ascii="宋体" w:hAnsi="宋体"/>
          <w:color w:val="auto"/>
          <w:szCs w:val="21"/>
        </w:rPr>
        <w:t>第1种方式：采用价格指数进行价格调整。</w:t>
      </w:r>
    </w:p>
    <w:p w14:paraId="6DC96387">
      <w:pPr>
        <w:spacing w:line="360" w:lineRule="auto"/>
        <w:ind w:firstLine="420" w:firstLineChars="200"/>
        <w:rPr>
          <w:rFonts w:ascii="宋体" w:hAnsi="宋体"/>
          <w:color w:val="auto"/>
          <w:szCs w:val="21"/>
          <w:u w:val="single"/>
        </w:rPr>
      </w:pPr>
      <w:r>
        <w:rPr>
          <w:rFonts w:ascii="宋体" w:hAnsi="宋体"/>
          <w:color w:val="auto"/>
          <w:szCs w:val="21"/>
        </w:rPr>
        <w:t>关于各可调因子、定值和变值权重，以及基本价格指数及其来源的约定：</w:t>
      </w:r>
      <w:r>
        <w:rPr>
          <w:rFonts w:hint="eastAsia" w:ascii="宋体" w:hAnsi="宋体"/>
          <w:color w:val="auto"/>
          <w:szCs w:val="21"/>
          <w:u w:val="single"/>
        </w:rPr>
        <w:t xml:space="preserve">                      </w:t>
      </w:r>
      <w:r>
        <w:rPr>
          <w:rFonts w:ascii="宋体" w:hAnsi="宋体"/>
          <w:color w:val="auto"/>
          <w:szCs w:val="21"/>
        </w:rPr>
        <w:t xml:space="preserve">；  </w:t>
      </w:r>
    </w:p>
    <w:p w14:paraId="06CBD643">
      <w:pPr>
        <w:spacing w:line="360" w:lineRule="auto"/>
        <w:ind w:firstLine="420" w:firstLineChars="200"/>
        <w:jc w:val="left"/>
        <w:rPr>
          <w:rFonts w:ascii="宋体" w:hAnsi="宋体"/>
          <w:color w:val="auto"/>
          <w:szCs w:val="21"/>
        </w:rPr>
      </w:pPr>
      <w:r>
        <w:rPr>
          <w:rFonts w:ascii="宋体" w:hAnsi="宋体"/>
          <w:color w:val="auto"/>
          <w:szCs w:val="21"/>
        </w:rPr>
        <w:t>第2种方式：采用造价信息进行价格调整。</w:t>
      </w:r>
    </w:p>
    <w:p w14:paraId="77FE1484">
      <w:pPr>
        <w:spacing w:line="360" w:lineRule="auto"/>
        <w:ind w:firstLine="420" w:firstLineChars="200"/>
        <w:jc w:val="left"/>
        <w:rPr>
          <w:rFonts w:ascii="宋体" w:hAnsi="宋体"/>
          <w:color w:val="auto"/>
          <w:szCs w:val="21"/>
        </w:rPr>
      </w:pPr>
      <w:r>
        <w:rPr>
          <w:rFonts w:ascii="宋体" w:hAnsi="宋体"/>
          <w:color w:val="auto"/>
          <w:szCs w:val="21"/>
        </w:rPr>
        <w:t>（1）允许调整的主要材料（设备）、基期价格、风险系数、投标报价：详见《承包人提供主要材料和设备一览表》。</w:t>
      </w:r>
    </w:p>
    <w:p w14:paraId="39C417C9">
      <w:pPr>
        <w:spacing w:line="360" w:lineRule="auto"/>
        <w:ind w:firstLine="420" w:firstLineChars="200"/>
        <w:jc w:val="left"/>
        <w:rPr>
          <w:rFonts w:ascii="宋体" w:hAnsi="宋体"/>
          <w:color w:val="auto"/>
          <w:szCs w:val="21"/>
        </w:rPr>
      </w:pPr>
      <w:r>
        <w:rPr>
          <w:rFonts w:ascii="宋体" w:hAnsi="宋体"/>
          <w:color w:val="auto"/>
          <w:szCs w:val="21"/>
        </w:rPr>
        <w:t>（2）主要材料确认价：</w:t>
      </w:r>
    </w:p>
    <w:p w14:paraId="6C0D80E3">
      <w:pPr>
        <w:spacing w:line="360" w:lineRule="auto"/>
        <w:ind w:firstLine="420" w:firstLineChars="200"/>
        <w:jc w:val="left"/>
        <w:rPr>
          <w:rFonts w:ascii="宋体" w:hAnsi="宋体"/>
          <w:color w:val="auto"/>
          <w:szCs w:val="21"/>
        </w:rPr>
      </w:pPr>
      <w:r>
        <w:rPr>
          <w:rFonts w:ascii="宋体" w:hAnsi="宋体"/>
          <w:color w:val="auto"/>
          <w:szCs w:val="21"/>
        </w:rPr>
        <w:t>按施工期间《</w:t>
      </w:r>
      <w:r>
        <w:rPr>
          <w:rFonts w:hint="eastAsia" w:ascii="宋体" w:hAnsi="宋体"/>
          <w:color w:val="auto"/>
          <w:szCs w:val="21"/>
          <w:u w:val="single"/>
        </w:rPr>
        <w:t>贺州</w:t>
      </w:r>
      <w:r>
        <w:rPr>
          <w:rFonts w:ascii="宋体" w:hAnsi="宋体"/>
          <w:color w:val="auto"/>
          <w:szCs w:val="21"/>
        </w:rPr>
        <w:t>市建设工程造价信息》加权平均计算，信息价没有的按通用条款规定确定。</w:t>
      </w:r>
    </w:p>
    <w:p w14:paraId="2206E80D">
      <w:pPr>
        <w:spacing w:line="360" w:lineRule="auto"/>
        <w:ind w:firstLine="420" w:firstLineChars="200"/>
        <w:jc w:val="left"/>
        <w:rPr>
          <w:rFonts w:ascii="宋体" w:hAnsi="宋体"/>
          <w:color w:val="auto"/>
          <w:szCs w:val="21"/>
        </w:rPr>
      </w:pPr>
      <w:r>
        <w:rPr>
          <w:rFonts w:ascii="宋体" w:hAnsi="宋体"/>
          <w:color w:val="auto"/>
          <w:szCs w:val="21"/>
        </w:rPr>
        <w:t>（3）价差计算方法：</w:t>
      </w:r>
    </w:p>
    <w:p w14:paraId="63FE2B4E">
      <w:pPr>
        <w:spacing w:line="360" w:lineRule="auto"/>
        <w:ind w:firstLine="420" w:firstLineChars="200"/>
        <w:jc w:val="left"/>
        <w:rPr>
          <w:rFonts w:ascii="宋体" w:hAnsi="宋体"/>
          <w:color w:val="auto"/>
          <w:szCs w:val="21"/>
        </w:rPr>
      </w:pPr>
      <w:r>
        <w:rPr>
          <w:rFonts w:ascii="宋体" w:hAnsi="宋体"/>
          <w:color w:val="auto"/>
          <w:szCs w:val="21"/>
        </w:rPr>
        <w:t>①《承包人提供主要材料和设备一览表》中载明的材料投标报价低于基准价格的：合同履行期间材料单价涨幅以基准价格为基础超过约定的风险范围时，或材料单价跌幅以投标报价为基础超过约定的风险范围时，其超过部分据实调整。</w:t>
      </w:r>
    </w:p>
    <w:p w14:paraId="5C181063">
      <w:pPr>
        <w:spacing w:line="360" w:lineRule="auto"/>
        <w:ind w:firstLine="420" w:firstLineChars="200"/>
        <w:jc w:val="left"/>
        <w:rPr>
          <w:rFonts w:ascii="宋体" w:hAnsi="宋体"/>
          <w:color w:val="auto"/>
          <w:szCs w:val="21"/>
        </w:rPr>
      </w:pPr>
      <w:r>
        <w:rPr>
          <w:rFonts w:ascii="宋体" w:hAnsi="宋体"/>
          <w:color w:val="auto"/>
          <w:szCs w:val="21"/>
        </w:rPr>
        <w:t>②承包人在《承包人提供主要材料和设备一览表》中载明的材料投标报价高于基准价格的：专用合同条款合同履行期间材料单价跌幅以基准价格为基础超过约定的风险范围时，材料单价涨幅以投标报价为基础超过约定的风险范围时，其超过部分据实调整。</w:t>
      </w:r>
    </w:p>
    <w:p w14:paraId="621C02E2">
      <w:pPr>
        <w:spacing w:line="360" w:lineRule="auto"/>
        <w:ind w:firstLine="420" w:firstLineChars="200"/>
        <w:jc w:val="left"/>
        <w:rPr>
          <w:rFonts w:ascii="宋体" w:hAnsi="宋体"/>
          <w:color w:val="auto"/>
          <w:szCs w:val="21"/>
        </w:rPr>
      </w:pPr>
      <w:r>
        <w:rPr>
          <w:rFonts w:ascii="宋体" w:hAnsi="宋体"/>
          <w:color w:val="auto"/>
          <w:szCs w:val="21"/>
        </w:rPr>
        <w:t>③承包人在《承包人提供主要材料和设备一览表》中载明的材料单价等于基准单价的：合同履行期间材料单价涨跌幅以基准单价为基础超过约定的风险范围时，其超过部分据实调整。</w:t>
      </w:r>
    </w:p>
    <w:p w14:paraId="32DF654E">
      <w:pPr>
        <w:spacing w:line="360" w:lineRule="auto"/>
        <w:ind w:firstLine="645"/>
        <w:jc w:val="left"/>
        <w:rPr>
          <w:rFonts w:ascii="宋体" w:hAnsi="宋体"/>
          <w:color w:val="auto"/>
          <w:szCs w:val="21"/>
        </w:rPr>
      </w:pPr>
      <w:r>
        <w:rPr>
          <w:rFonts w:ascii="宋体" w:hAnsi="宋体"/>
          <w:color w:val="auto"/>
          <w:szCs w:val="21"/>
        </w:rPr>
        <w:t>第</w:t>
      </w:r>
      <w:r>
        <w:rPr>
          <w:rFonts w:hint="eastAsia" w:ascii="宋体" w:hAnsi="宋体"/>
          <w:color w:val="auto"/>
          <w:szCs w:val="21"/>
        </w:rPr>
        <w:t>3</w:t>
      </w:r>
      <w:r>
        <w:rPr>
          <w:rFonts w:ascii="宋体" w:hAnsi="宋体"/>
          <w:color w:val="auto"/>
          <w:szCs w:val="21"/>
        </w:rPr>
        <w:t>种方</w:t>
      </w:r>
      <w:r>
        <w:rPr>
          <w:rFonts w:hint="eastAsia" w:ascii="宋体" w:hAnsi="宋体"/>
          <w:color w:val="auto"/>
          <w:szCs w:val="21"/>
        </w:rPr>
        <w:t>式</w:t>
      </w:r>
      <w:r>
        <w:rPr>
          <w:rFonts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w:t>
      </w:r>
    </w:p>
    <w:bookmarkEnd w:id="937"/>
    <w:bookmarkEnd w:id="938"/>
    <w:bookmarkEnd w:id="939"/>
    <w:bookmarkEnd w:id="940"/>
    <w:bookmarkEnd w:id="941"/>
    <w:bookmarkEnd w:id="942"/>
    <w:p w14:paraId="43B4D4DA">
      <w:pPr>
        <w:keepNext/>
        <w:keepLines/>
        <w:spacing w:before="260" w:after="260" w:line="416" w:lineRule="auto"/>
        <w:outlineLvl w:val="0"/>
        <w:rPr>
          <w:rFonts w:ascii="宋体" w:hAnsi="宋体"/>
          <w:b/>
          <w:bCs/>
          <w:color w:val="auto"/>
          <w:sz w:val="32"/>
          <w:szCs w:val="32"/>
        </w:rPr>
      </w:pPr>
      <w:bookmarkStart w:id="1125" w:name="_Toc297120505"/>
      <w:bookmarkStart w:id="1126" w:name="_Toc296944544"/>
      <w:bookmarkStart w:id="1127" w:name="_Toc292559410"/>
      <w:bookmarkStart w:id="1128" w:name="_Toc296891033"/>
      <w:bookmarkStart w:id="1129" w:name="_Toc296347204"/>
      <w:bookmarkStart w:id="1130" w:name="_Toc296503205"/>
      <w:bookmarkStart w:id="1131" w:name="_Toc297048391"/>
      <w:bookmarkStart w:id="1132" w:name="_Toc296891245"/>
      <w:bookmarkStart w:id="1133" w:name="_Toc296346706"/>
      <w:bookmarkStart w:id="1134" w:name="_Toc292559915"/>
      <w:bookmarkStart w:id="1135" w:name="_Toc407135251"/>
      <w:bookmarkStart w:id="1136" w:name="_Toc351203644"/>
      <w:bookmarkStart w:id="1137" w:name="_Toc373478395"/>
      <w:bookmarkStart w:id="1138" w:name="_Toc508379762"/>
      <w:bookmarkStart w:id="1139" w:name="_Toc86935912"/>
      <w:bookmarkStart w:id="1140" w:name="_Toc495673427"/>
      <w:bookmarkStart w:id="1141" w:name="_Toc373227748"/>
      <w:bookmarkStart w:id="1142" w:name="_Toc28453"/>
      <w:bookmarkStart w:id="1143" w:name="_Toc23460"/>
      <w:bookmarkStart w:id="1144" w:name="_Toc22097"/>
      <w:bookmarkStart w:id="1145" w:name="_Toc14173"/>
      <w:bookmarkStart w:id="1146" w:name="_Toc300935002"/>
      <w:bookmarkStart w:id="1147" w:name="_Toc297123552"/>
      <w:bookmarkStart w:id="1148" w:name="_Toc303539159"/>
      <w:bookmarkStart w:id="1149" w:name="_Toc297216211"/>
      <w:bookmarkStart w:id="1150" w:name="_Toc312678040"/>
      <w:bookmarkStart w:id="1151" w:name="_Toc304295579"/>
      <w:r>
        <w:rPr>
          <w:rFonts w:ascii="宋体" w:hAnsi="宋体"/>
          <w:b/>
          <w:bCs/>
          <w:color w:val="auto"/>
          <w:sz w:val="32"/>
          <w:szCs w:val="32"/>
        </w:rPr>
        <w:t xml:space="preserve">12. </w:t>
      </w:r>
      <w:bookmarkEnd w:id="1125"/>
      <w:bookmarkEnd w:id="1126"/>
      <w:bookmarkEnd w:id="1127"/>
      <w:bookmarkEnd w:id="1128"/>
      <w:bookmarkEnd w:id="1129"/>
      <w:bookmarkEnd w:id="1130"/>
      <w:bookmarkEnd w:id="1131"/>
      <w:bookmarkEnd w:id="1132"/>
      <w:bookmarkEnd w:id="1133"/>
      <w:bookmarkEnd w:id="1134"/>
      <w:r>
        <w:rPr>
          <w:rFonts w:ascii="宋体" w:hAnsi="宋体"/>
          <w:b/>
          <w:bCs/>
          <w:color w:val="auto"/>
          <w:sz w:val="32"/>
          <w:szCs w:val="32"/>
        </w:rPr>
        <w:t>合同价格、计量与支付</w:t>
      </w:r>
      <w:bookmarkEnd w:id="1135"/>
      <w:bookmarkEnd w:id="1136"/>
      <w:bookmarkEnd w:id="1137"/>
      <w:bookmarkEnd w:id="1138"/>
      <w:bookmarkEnd w:id="1139"/>
      <w:bookmarkEnd w:id="1140"/>
      <w:bookmarkEnd w:id="1141"/>
      <w:bookmarkEnd w:id="1142"/>
      <w:bookmarkEnd w:id="1143"/>
      <w:bookmarkEnd w:id="1144"/>
      <w:bookmarkEnd w:id="1145"/>
    </w:p>
    <w:bookmarkEnd w:id="1146"/>
    <w:bookmarkEnd w:id="1147"/>
    <w:bookmarkEnd w:id="1148"/>
    <w:bookmarkEnd w:id="1149"/>
    <w:bookmarkEnd w:id="1150"/>
    <w:bookmarkEnd w:id="1151"/>
    <w:p w14:paraId="152C1404">
      <w:pPr>
        <w:keepNext/>
        <w:keepLines/>
        <w:spacing w:before="260" w:after="260" w:line="416" w:lineRule="auto"/>
        <w:outlineLvl w:val="1"/>
        <w:rPr>
          <w:rFonts w:ascii="宋体" w:hAnsi="宋体"/>
          <w:b/>
          <w:bCs/>
          <w:color w:val="auto"/>
          <w:sz w:val="32"/>
          <w:szCs w:val="32"/>
        </w:rPr>
      </w:pPr>
      <w:bookmarkStart w:id="1152" w:name="_Toc292559916"/>
      <w:bookmarkStart w:id="1153" w:name="_Toc267251461"/>
      <w:bookmarkStart w:id="1154" w:name="_Toc292559411"/>
      <w:bookmarkStart w:id="1155" w:name="_Toc296347205"/>
      <w:bookmarkStart w:id="1156" w:name="_Toc296891246"/>
      <w:bookmarkStart w:id="1157" w:name="_Toc296346707"/>
      <w:bookmarkStart w:id="1158" w:name="_Toc297120506"/>
      <w:bookmarkStart w:id="1159" w:name="_Toc297048392"/>
      <w:bookmarkStart w:id="1160" w:name="_Toc296944545"/>
      <w:bookmarkStart w:id="1161" w:name="_Toc296503206"/>
      <w:bookmarkStart w:id="1162" w:name="_Toc296891034"/>
      <w:bookmarkStart w:id="1163" w:name="_Toc495673428"/>
      <w:bookmarkStart w:id="1164" w:name="_Toc86935913"/>
      <w:bookmarkStart w:id="1165" w:name="_Toc389065314"/>
      <w:bookmarkStart w:id="1166" w:name="_Toc373478396"/>
      <w:bookmarkStart w:id="1167" w:name="_Toc508379763"/>
      <w:bookmarkStart w:id="1168" w:name="_Toc373227749"/>
      <w:bookmarkStart w:id="1169" w:name="_Toc407135252"/>
      <w:bookmarkStart w:id="1170" w:name="_Toc26306"/>
      <w:bookmarkStart w:id="1171" w:name="_Toc24764"/>
      <w:bookmarkStart w:id="1172" w:name="_Toc297216212"/>
      <w:bookmarkStart w:id="1173" w:name="_Toc312678041"/>
      <w:bookmarkStart w:id="1174" w:name="_Toc300935003"/>
      <w:bookmarkStart w:id="1175" w:name="_Toc304295580"/>
      <w:bookmarkStart w:id="1176" w:name="_Toc303539160"/>
      <w:bookmarkStart w:id="1177" w:name="_Toc297123553"/>
      <w:r>
        <w:rPr>
          <w:rFonts w:ascii="宋体" w:hAnsi="宋体"/>
          <w:b/>
          <w:bCs/>
          <w:color w:val="auto"/>
          <w:sz w:val="32"/>
          <w:szCs w:val="32"/>
        </w:rPr>
        <w:t>12.1 合</w:t>
      </w:r>
      <w:bookmarkEnd w:id="1152"/>
      <w:bookmarkEnd w:id="1153"/>
      <w:bookmarkEnd w:id="1154"/>
      <w:r>
        <w:rPr>
          <w:rFonts w:ascii="宋体" w:hAnsi="宋体"/>
          <w:b/>
          <w:bCs/>
          <w:color w:val="auto"/>
          <w:sz w:val="32"/>
          <w:szCs w:val="32"/>
        </w:rPr>
        <w:t>同价</w:t>
      </w:r>
      <w:bookmarkEnd w:id="1155"/>
      <w:bookmarkEnd w:id="1156"/>
      <w:bookmarkEnd w:id="1157"/>
      <w:bookmarkEnd w:id="1158"/>
      <w:bookmarkEnd w:id="1159"/>
      <w:bookmarkEnd w:id="1160"/>
      <w:bookmarkEnd w:id="1161"/>
      <w:bookmarkEnd w:id="1162"/>
      <w:r>
        <w:rPr>
          <w:rFonts w:ascii="宋体" w:hAnsi="宋体"/>
          <w:b/>
          <w:bCs/>
          <w:color w:val="auto"/>
          <w:sz w:val="32"/>
          <w:szCs w:val="32"/>
        </w:rPr>
        <w:t>格形式</w:t>
      </w:r>
      <w:bookmarkEnd w:id="1163"/>
      <w:bookmarkEnd w:id="1164"/>
      <w:bookmarkEnd w:id="1165"/>
      <w:bookmarkEnd w:id="1166"/>
      <w:bookmarkEnd w:id="1167"/>
      <w:bookmarkEnd w:id="1168"/>
      <w:bookmarkEnd w:id="1169"/>
      <w:bookmarkEnd w:id="1170"/>
      <w:bookmarkEnd w:id="1171"/>
    </w:p>
    <w:bookmarkEnd w:id="1172"/>
    <w:bookmarkEnd w:id="1173"/>
    <w:bookmarkEnd w:id="1174"/>
    <w:bookmarkEnd w:id="1175"/>
    <w:bookmarkEnd w:id="1176"/>
    <w:bookmarkEnd w:id="1177"/>
    <w:p w14:paraId="7DA4BB18">
      <w:pPr>
        <w:pStyle w:val="292"/>
        <w:widowControl/>
        <w:spacing w:line="400" w:lineRule="exact"/>
        <w:ind w:firstLine="424" w:firstLineChars="202"/>
        <w:jc w:val="left"/>
        <w:rPr>
          <w:rFonts w:hint="eastAsia" w:ascii="宋体" w:hAnsi="宋体"/>
          <w:color w:val="auto"/>
          <w:szCs w:val="21"/>
        </w:rPr>
      </w:pPr>
      <w:bookmarkStart w:id="1178" w:name="_Toc395382553"/>
      <w:bookmarkStart w:id="1179" w:name="_Toc373478397"/>
      <w:bookmarkStart w:id="1180" w:name="_Toc389065315"/>
      <w:bookmarkStart w:id="1181" w:name="_Toc373227750"/>
      <w:bookmarkStart w:id="1182" w:name="_Toc303539161"/>
      <w:bookmarkStart w:id="1183" w:name="_Toc300935004"/>
      <w:bookmarkStart w:id="1184" w:name="_Toc312678042"/>
      <w:bookmarkStart w:id="1185" w:name="_Toc297216213"/>
      <w:bookmarkStart w:id="1186" w:name="_Toc304295581"/>
      <w:bookmarkStart w:id="1187" w:name="_Toc297123554"/>
      <w:bookmarkStart w:id="1188" w:name="_Toc297120507"/>
      <w:bookmarkStart w:id="1189" w:name="_Toc296891035"/>
      <w:bookmarkStart w:id="1190" w:name="_Toc296891247"/>
      <w:bookmarkStart w:id="1191" w:name="_Toc292559917"/>
      <w:bookmarkStart w:id="1192" w:name="_Toc296347206"/>
      <w:bookmarkStart w:id="1193" w:name="_Toc297048393"/>
      <w:bookmarkStart w:id="1194" w:name="_Toc296346708"/>
      <w:bookmarkStart w:id="1195" w:name="_Toc296503207"/>
      <w:bookmarkStart w:id="1196" w:name="_Toc292559412"/>
      <w:bookmarkStart w:id="1197" w:name="_Toc296944546"/>
      <w:r>
        <w:rPr>
          <w:rStyle w:val="50"/>
          <w:rFonts w:hint="eastAsia" w:ascii="宋体" w:hAnsi="宋体" w:eastAsia="宋体"/>
          <w:color w:val="auto"/>
        </w:rPr>
        <w:t>本合同价款采用</w:t>
      </w:r>
      <w:bookmarkEnd w:id="1178"/>
      <w:r>
        <w:rPr>
          <w:rStyle w:val="50"/>
          <w:rFonts w:hint="eastAsia" w:ascii="宋体" w:hAnsi="宋体" w:eastAsia="宋体"/>
          <w:color w:val="auto"/>
          <w:u w:val="single"/>
        </w:rPr>
        <w:t>固定综合单价方式</w:t>
      </w:r>
      <w:r>
        <w:rPr>
          <w:rStyle w:val="50"/>
          <w:rFonts w:hint="eastAsia" w:ascii="宋体" w:hAnsi="宋体" w:eastAsia="宋体"/>
          <w:color w:val="auto"/>
        </w:rPr>
        <w:t>确定，合同价格包含增值税，本工程计价时采用的增值税计税方法为：一般计税法。</w:t>
      </w:r>
    </w:p>
    <w:p w14:paraId="09F51D0A">
      <w:pPr>
        <w:spacing w:line="360" w:lineRule="auto"/>
        <w:ind w:firstLine="420" w:firstLineChars="200"/>
        <w:jc w:val="left"/>
        <w:outlineLvl w:val="2"/>
        <w:rPr>
          <w:rFonts w:ascii="宋体" w:hAns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w:t>
      </w:r>
      <w:r>
        <w:rPr>
          <w:rFonts w:ascii="宋体" w:hAnsi="宋体"/>
          <w:color w:val="auto"/>
          <w:szCs w:val="21"/>
        </w:rPr>
        <w:t>单价合同。</w:t>
      </w:r>
    </w:p>
    <w:p w14:paraId="29917B44">
      <w:pPr>
        <w:spacing w:line="360" w:lineRule="auto"/>
        <w:ind w:firstLine="420" w:firstLineChars="200"/>
        <w:jc w:val="left"/>
        <w:rPr>
          <w:rFonts w:ascii="宋体" w:hAnsi="宋体"/>
          <w:color w:val="auto"/>
          <w:szCs w:val="21"/>
        </w:rPr>
      </w:pPr>
      <w:r>
        <w:rPr>
          <w:rFonts w:ascii="宋体" w:hAnsi="宋体"/>
          <w:color w:val="auto"/>
          <w:szCs w:val="21"/>
        </w:rPr>
        <w:t>本合同价款采用固定综合单价方式确定。</w:t>
      </w:r>
    </w:p>
    <w:p w14:paraId="6D896DA5">
      <w:pPr>
        <w:spacing w:line="360" w:lineRule="auto"/>
        <w:ind w:firstLine="420" w:firstLineChars="200"/>
        <w:jc w:val="left"/>
        <w:rPr>
          <w:rFonts w:ascii="宋体" w:hAnsi="宋体"/>
          <w:color w:val="auto"/>
          <w:szCs w:val="21"/>
        </w:rPr>
      </w:pPr>
      <w:r>
        <w:rPr>
          <w:rFonts w:ascii="宋体" w:hAnsi="宋体"/>
          <w:color w:val="auto"/>
          <w:szCs w:val="21"/>
        </w:rPr>
        <w:t>综合单价包含的风险范围：</w:t>
      </w:r>
      <w:r>
        <w:rPr>
          <w:rFonts w:ascii="宋体" w:hAnsi="宋体"/>
          <w:color w:val="auto"/>
          <w:szCs w:val="21"/>
          <w:u w:val="single"/>
        </w:rPr>
        <w:t>除工程变更、政策性调整、《承包人提供主要材料和设备一览表》约定的材料、设备价格变动风险以外因素。</w:t>
      </w:r>
    </w:p>
    <w:p w14:paraId="0C5EF72F">
      <w:pPr>
        <w:spacing w:line="360" w:lineRule="auto"/>
        <w:ind w:firstLine="441" w:firstLineChars="210"/>
        <w:rPr>
          <w:rFonts w:ascii="宋体" w:hAnsi="宋体"/>
          <w:color w:val="auto"/>
          <w:szCs w:val="21"/>
        </w:rPr>
      </w:pPr>
      <w:r>
        <w:rPr>
          <w:rFonts w:ascii="宋体" w:hAnsi="宋体"/>
          <w:color w:val="auto"/>
          <w:szCs w:val="21"/>
        </w:rPr>
        <w:t>风险范围以外合同价格的调整方法：</w:t>
      </w:r>
    </w:p>
    <w:p w14:paraId="297036FA">
      <w:pPr>
        <w:spacing w:line="360" w:lineRule="auto"/>
        <w:ind w:firstLine="441" w:firstLineChars="210"/>
        <w:rPr>
          <w:rFonts w:ascii="宋体" w:hAnsi="宋体"/>
          <w:color w:val="auto"/>
          <w:szCs w:val="21"/>
        </w:rPr>
      </w:pPr>
      <w:r>
        <w:rPr>
          <w:rFonts w:ascii="宋体" w:hAnsi="宋体"/>
          <w:color w:val="auto"/>
          <w:szCs w:val="21"/>
        </w:rPr>
        <w:t>①工程变更：按10.4.1变更估价原则的约定调整。</w:t>
      </w:r>
    </w:p>
    <w:p w14:paraId="15625979">
      <w:pPr>
        <w:spacing w:line="360" w:lineRule="auto"/>
        <w:ind w:firstLine="441" w:firstLineChars="210"/>
        <w:rPr>
          <w:rFonts w:ascii="宋体" w:hAnsi="宋体"/>
          <w:color w:val="auto"/>
          <w:szCs w:val="21"/>
        </w:rPr>
      </w:pPr>
      <w:r>
        <w:rPr>
          <w:rFonts w:ascii="宋体" w:hAnsi="宋体"/>
          <w:color w:val="auto"/>
          <w:szCs w:val="21"/>
        </w:rPr>
        <w:t>②政策性调整：</w:t>
      </w:r>
      <w:r>
        <w:rPr>
          <w:rFonts w:hint="eastAsia" w:ascii="宋体" w:hAnsi="宋体"/>
          <w:color w:val="auto"/>
        </w:rPr>
        <w:t>按自治区</w:t>
      </w:r>
      <w:r>
        <w:rPr>
          <w:rFonts w:hint="eastAsia" w:ascii="宋体" w:hAnsi="宋体" w:cs="宋体"/>
          <w:color w:val="auto"/>
        </w:rPr>
        <w:t>住房城乡</w:t>
      </w:r>
      <w:r>
        <w:rPr>
          <w:rFonts w:hint="eastAsia" w:ascii="宋体" w:hAnsi="宋体"/>
          <w:color w:val="auto"/>
        </w:rPr>
        <w:t>建设行政主管部门颁布的文件执行。</w:t>
      </w:r>
    </w:p>
    <w:p w14:paraId="43D2A754">
      <w:pPr>
        <w:spacing w:line="360" w:lineRule="auto"/>
        <w:ind w:firstLine="441" w:firstLineChars="210"/>
        <w:rPr>
          <w:rFonts w:ascii="宋体" w:hAnsi="宋体"/>
          <w:color w:val="auto"/>
          <w:szCs w:val="21"/>
        </w:rPr>
      </w:pPr>
      <w:r>
        <w:rPr>
          <w:rFonts w:ascii="宋体" w:hAnsi="宋体"/>
          <w:color w:val="auto"/>
          <w:szCs w:val="21"/>
        </w:rPr>
        <w:t>③材料价格风险：按11.1的约定调整。</w:t>
      </w:r>
    </w:p>
    <w:p w14:paraId="44EBF782">
      <w:pPr>
        <w:spacing w:line="360" w:lineRule="auto"/>
        <w:ind w:firstLine="420" w:firstLineChars="200"/>
        <w:jc w:val="left"/>
        <w:rPr>
          <w:rFonts w:ascii="宋体" w:hAnsi="宋体"/>
          <w:color w:val="auto"/>
          <w:szCs w:val="21"/>
        </w:rPr>
      </w:pPr>
      <w:r>
        <w:rPr>
          <w:rFonts w:ascii="宋体" w:hAnsi="宋体"/>
          <w:color w:val="auto"/>
          <w:szCs w:val="21"/>
        </w:rPr>
        <w:t>④其它：</w:t>
      </w:r>
      <w:r>
        <w:rPr>
          <w:rFonts w:hint="eastAsia" w:ascii="宋体" w:hAnsi="宋体"/>
          <w:color w:val="auto"/>
          <w:szCs w:val="21"/>
          <w:u w:val="single"/>
        </w:rPr>
        <w:t xml:space="preserve">                      </w:t>
      </w:r>
      <w:r>
        <w:rPr>
          <w:rFonts w:ascii="宋体" w:hAnsi="宋体"/>
          <w:color w:val="auto"/>
          <w:szCs w:val="21"/>
        </w:rPr>
        <w:t>。</w:t>
      </w:r>
    </w:p>
    <w:p w14:paraId="6278760D">
      <w:pPr>
        <w:spacing w:line="360" w:lineRule="auto"/>
        <w:ind w:firstLine="420" w:firstLineChars="200"/>
        <w:jc w:val="left"/>
        <w:outlineLvl w:val="2"/>
        <w:rPr>
          <w:rFonts w:ascii="宋体" w:hAns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w:t>
      </w:r>
      <w:r>
        <w:rPr>
          <w:rFonts w:ascii="宋体" w:hAnsi="宋体"/>
          <w:color w:val="auto"/>
          <w:szCs w:val="21"/>
        </w:rPr>
        <w:t>总价合同。</w:t>
      </w:r>
    </w:p>
    <w:p w14:paraId="5FC26A3C">
      <w:pPr>
        <w:spacing w:line="360" w:lineRule="auto"/>
        <w:ind w:firstLine="420" w:firstLineChars="200"/>
        <w:jc w:val="left"/>
        <w:rPr>
          <w:rFonts w:ascii="宋体" w:hAnsi="宋体"/>
          <w:color w:val="auto"/>
          <w:szCs w:val="21"/>
        </w:rPr>
      </w:pPr>
      <w:r>
        <w:rPr>
          <w:rFonts w:ascii="宋体" w:hAnsi="宋体"/>
          <w:color w:val="auto"/>
          <w:szCs w:val="21"/>
        </w:rPr>
        <w:t>总价包含的风险范围：</w:t>
      </w:r>
      <w:r>
        <w:rPr>
          <w:rFonts w:hint="eastAsia" w:ascii="宋体" w:hAnsi="宋体"/>
          <w:color w:val="auto"/>
          <w:szCs w:val="21"/>
          <w:u w:val="single"/>
        </w:rPr>
        <w:t xml:space="preserve">                      </w:t>
      </w:r>
      <w:r>
        <w:rPr>
          <w:rFonts w:ascii="宋体" w:hAnsi="宋体"/>
          <w:color w:val="auto"/>
          <w:szCs w:val="21"/>
        </w:rPr>
        <w:t>。</w:t>
      </w:r>
    </w:p>
    <w:p w14:paraId="6F3BB53E">
      <w:pPr>
        <w:spacing w:line="360" w:lineRule="auto"/>
        <w:ind w:firstLine="420" w:firstLineChars="200"/>
        <w:jc w:val="left"/>
        <w:rPr>
          <w:rFonts w:ascii="宋体" w:hAnsi="宋体"/>
          <w:color w:val="auto"/>
          <w:szCs w:val="22"/>
        </w:rPr>
      </w:pPr>
      <w:r>
        <w:rPr>
          <w:rFonts w:ascii="宋体" w:hAnsi="宋体"/>
          <w:color w:val="auto"/>
          <w:szCs w:val="22"/>
        </w:rPr>
        <w:t>风险范围以外合同价格的调整方法：</w:t>
      </w:r>
      <w:r>
        <w:rPr>
          <w:rFonts w:hint="eastAsia" w:ascii="宋体" w:hAnsi="宋体"/>
          <w:color w:val="auto"/>
          <w:szCs w:val="21"/>
          <w:u w:val="single"/>
        </w:rPr>
        <w:t xml:space="preserve">                      </w:t>
      </w:r>
      <w:r>
        <w:rPr>
          <w:rFonts w:ascii="宋体" w:hAnsi="宋体"/>
          <w:color w:val="auto"/>
          <w:szCs w:val="22"/>
        </w:rPr>
        <w:t>。</w:t>
      </w:r>
    </w:p>
    <w:p w14:paraId="675A3A47">
      <w:pPr>
        <w:spacing w:line="360" w:lineRule="auto"/>
        <w:ind w:firstLine="420" w:firstLineChars="200"/>
        <w:jc w:val="left"/>
        <w:outlineLvl w:val="2"/>
        <w:rPr>
          <w:rFonts w:ascii="宋体" w:hAnsi="宋体"/>
          <w:color w:val="auto"/>
          <w:szCs w:val="22"/>
        </w:rPr>
      </w:pPr>
      <w:r>
        <w:rPr>
          <w:rFonts w:hint="eastAsia" w:ascii="宋体" w:hAnsi="宋体"/>
          <w:color w:val="auto"/>
          <w:szCs w:val="22"/>
        </w:rPr>
        <w:t>（</w:t>
      </w:r>
      <w:r>
        <w:rPr>
          <w:rFonts w:ascii="宋体" w:hAnsi="宋体"/>
          <w:color w:val="auto"/>
          <w:szCs w:val="22"/>
        </w:rPr>
        <w:t>3</w:t>
      </w:r>
      <w:r>
        <w:rPr>
          <w:rFonts w:hint="eastAsia" w:ascii="宋体" w:hAnsi="宋体"/>
          <w:color w:val="auto"/>
          <w:szCs w:val="22"/>
        </w:rPr>
        <w:t>）</w:t>
      </w:r>
      <w:r>
        <w:rPr>
          <w:rFonts w:ascii="宋体" w:hAnsi="宋体"/>
          <w:color w:val="auto"/>
          <w:szCs w:val="22"/>
        </w:rPr>
        <w:t>其他价格方式：</w:t>
      </w:r>
      <w:r>
        <w:rPr>
          <w:rFonts w:hint="eastAsia" w:ascii="宋体" w:hAnsi="宋体"/>
          <w:color w:val="auto"/>
          <w:szCs w:val="21"/>
          <w:u w:val="single"/>
        </w:rPr>
        <w:t xml:space="preserve">                      </w:t>
      </w:r>
      <w:r>
        <w:rPr>
          <w:rFonts w:ascii="宋体" w:hAnsi="宋体"/>
          <w:color w:val="auto"/>
          <w:szCs w:val="22"/>
        </w:rPr>
        <w:t>。</w:t>
      </w:r>
    </w:p>
    <w:p w14:paraId="0F81733A">
      <w:pPr>
        <w:keepNext/>
        <w:keepLines/>
        <w:spacing w:before="260" w:after="260" w:line="416" w:lineRule="auto"/>
        <w:outlineLvl w:val="1"/>
        <w:rPr>
          <w:rFonts w:ascii="宋体" w:hAnsi="宋体"/>
          <w:b/>
          <w:bCs/>
          <w:color w:val="auto"/>
          <w:sz w:val="32"/>
          <w:szCs w:val="32"/>
        </w:rPr>
      </w:pPr>
      <w:bookmarkStart w:id="1198" w:name="_Toc86935914"/>
      <w:bookmarkStart w:id="1199" w:name="_Toc495673429"/>
      <w:bookmarkStart w:id="1200" w:name="_Toc407135253"/>
      <w:bookmarkStart w:id="1201" w:name="_Toc508379764"/>
      <w:bookmarkStart w:id="1202" w:name="_Toc10703"/>
      <w:bookmarkStart w:id="1203" w:name="_Toc24359"/>
      <w:r>
        <w:rPr>
          <w:rFonts w:ascii="宋体" w:hAnsi="宋体"/>
          <w:b/>
          <w:bCs/>
          <w:color w:val="auto"/>
          <w:sz w:val="32"/>
          <w:szCs w:val="32"/>
        </w:rPr>
        <w:t>12.2 预付款</w:t>
      </w:r>
      <w:bookmarkEnd w:id="1179"/>
      <w:bookmarkEnd w:id="1180"/>
      <w:bookmarkEnd w:id="1181"/>
      <w:bookmarkEnd w:id="1198"/>
      <w:bookmarkEnd w:id="1199"/>
      <w:bookmarkEnd w:id="1200"/>
      <w:bookmarkEnd w:id="1201"/>
      <w:bookmarkEnd w:id="1202"/>
      <w:bookmarkEnd w:id="1203"/>
    </w:p>
    <w:bookmarkEnd w:id="1182"/>
    <w:bookmarkEnd w:id="1183"/>
    <w:bookmarkEnd w:id="1184"/>
    <w:bookmarkEnd w:id="1185"/>
    <w:bookmarkEnd w:id="1186"/>
    <w:bookmarkEnd w:id="1187"/>
    <w:p w14:paraId="4650B099">
      <w:pPr>
        <w:spacing w:line="360" w:lineRule="auto"/>
        <w:ind w:firstLine="420" w:firstLineChars="200"/>
        <w:jc w:val="left"/>
        <w:outlineLvl w:val="2"/>
        <w:rPr>
          <w:rFonts w:ascii="宋体" w:hAnsi="宋体"/>
          <w:color w:val="auto"/>
          <w:szCs w:val="21"/>
        </w:rPr>
      </w:pPr>
      <w:r>
        <w:rPr>
          <w:rFonts w:ascii="宋体" w:hAnsi="宋体"/>
          <w:color w:val="auto"/>
          <w:szCs w:val="21"/>
        </w:rPr>
        <w:t>12.2.1 预付款的支付</w:t>
      </w:r>
    </w:p>
    <w:p w14:paraId="2D603633">
      <w:pPr>
        <w:spacing w:line="360" w:lineRule="auto"/>
        <w:ind w:firstLine="420" w:firstLineChars="200"/>
        <w:jc w:val="left"/>
        <w:rPr>
          <w:rFonts w:ascii="宋体" w:hAnsi="宋体"/>
          <w:color w:val="auto"/>
          <w:szCs w:val="21"/>
        </w:rPr>
      </w:pPr>
      <w:r>
        <w:rPr>
          <w:rFonts w:ascii="宋体" w:hAnsi="宋体"/>
          <w:color w:val="auto"/>
          <w:szCs w:val="21"/>
        </w:rPr>
        <w:t>预付款支付比例或金额：</w:t>
      </w:r>
      <w:r>
        <w:rPr>
          <w:rFonts w:ascii="宋体" w:hAnsi="宋体"/>
          <w:color w:val="auto"/>
          <w:szCs w:val="21"/>
          <w:u w:val="single"/>
        </w:rPr>
        <w:t>合同价款扣除建安劳保费、发包人材料价款、暂估专业工程、暂列金额后的</w:t>
      </w:r>
      <w:r>
        <w:rPr>
          <w:rFonts w:hint="eastAsia" w:ascii="宋体" w:hAnsi="宋体"/>
          <w:color w:val="auto"/>
          <w:szCs w:val="21"/>
          <w:u w:val="single"/>
          <w:lang w:val="en-US" w:eastAsia="zh-CN"/>
        </w:rPr>
        <w:t>30</w:t>
      </w:r>
      <w:r>
        <w:rPr>
          <w:rFonts w:ascii="宋体" w:hAnsi="宋体"/>
          <w:color w:val="auto"/>
          <w:szCs w:val="21"/>
          <w:u w:val="single"/>
        </w:rPr>
        <w:t xml:space="preserve">% </w:t>
      </w:r>
      <w:r>
        <w:rPr>
          <w:rFonts w:ascii="宋体" w:hAnsi="宋体"/>
          <w:color w:val="auto"/>
          <w:szCs w:val="21"/>
        </w:rPr>
        <w:t>。</w:t>
      </w:r>
    </w:p>
    <w:p w14:paraId="7DF5BF1E">
      <w:pPr>
        <w:spacing w:line="360" w:lineRule="auto"/>
        <w:ind w:firstLine="420" w:firstLineChars="200"/>
        <w:jc w:val="left"/>
        <w:rPr>
          <w:rFonts w:ascii="宋体" w:hAnsi="宋体"/>
          <w:color w:val="auto"/>
          <w:szCs w:val="21"/>
        </w:rPr>
      </w:pPr>
      <w:r>
        <w:rPr>
          <w:rFonts w:ascii="宋体" w:hAnsi="宋体"/>
          <w:color w:val="auto"/>
          <w:szCs w:val="21"/>
        </w:rPr>
        <w:t>预付款支付期限：</w:t>
      </w:r>
      <w:r>
        <w:rPr>
          <w:rFonts w:hint="eastAsia" w:ascii="宋体" w:hAnsi="宋体"/>
          <w:color w:val="auto"/>
          <w:szCs w:val="21"/>
          <w:u w:val="single"/>
        </w:rPr>
        <w:t>合同签订</w:t>
      </w:r>
      <w:r>
        <w:rPr>
          <w:rStyle w:val="50"/>
          <w:rFonts w:hint="eastAsia" w:ascii="宋体" w:hAnsi="宋体" w:eastAsia="宋体"/>
          <w:color w:val="auto"/>
          <w:u w:val="single"/>
        </w:rPr>
        <w:t>且收到承包人预付款申请材料</w:t>
      </w:r>
      <w:r>
        <w:rPr>
          <w:rFonts w:hint="eastAsia" w:ascii="宋体" w:hAnsi="宋体"/>
          <w:color w:val="auto"/>
          <w:szCs w:val="21"/>
          <w:u w:val="single"/>
        </w:rPr>
        <w:t>后7个工作日内支付</w:t>
      </w:r>
      <w:r>
        <w:rPr>
          <w:rFonts w:ascii="宋体" w:hAnsi="宋体"/>
          <w:color w:val="auto"/>
          <w:szCs w:val="21"/>
        </w:rPr>
        <w:t>。</w:t>
      </w:r>
    </w:p>
    <w:p w14:paraId="05677A1C">
      <w:pPr>
        <w:spacing w:line="360" w:lineRule="auto"/>
        <w:ind w:firstLine="420" w:firstLineChars="200"/>
        <w:jc w:val="left"/>
        <w:rPr>
          <w:rFonts w:ascii="宋体" w:hAnsi="宋体"/>
          <w:color w:val="auto"/>
          <w:szCs w:val="21"/>
        </w:rPr>
      </w:pPr>
      <w:r>
        <w:rPr>
          <w:rFonts w:ascii="宋体" w:hAnsi="宋体"/>
          <w:color w:val="auto"/>
          <w:szCs w:val="21"/>
        </w:rPr>
        <w:t>预付款扣回的方式：</w:t>
      </w:r>
      <w:r>
        <w:rPr>
          <w:rStyle w:val="50"/>
          <w:rFonts w:hint="eastAsia" w:ascii="宋体" w:hAnsi="宋体" w:eastAsia="宋体"/>
          <w:color w:val="auto"/>
          <w:u w:val="single"/>
        </w:rPr>
        <w:t>在承包人完成金额累计达到合同价的20%后，发包人从每次应付给承包人的合同价款中扣回工程预付款，每次扣还的比例为当期</w:t>
      </w:r>
      <w:r>
        <w:rPr>
          <w:rStyle w:val="50"/>
          <w:rFonts w:hint="eastAsia" w:ascii="宋体" w:hAnsi="宋体" w:eastAsia="宋体"/>
          <w:color w:val="auto"/>
          <w:u w:val="single"/>
          <w:lang w:eastAsia="zh-CN"/>
        </w:rPr>
        <w:t>应</w:t>
      </w:r>
      <w:r>
        <w:rPr>
          <w:rStyle w:val="50"/>
          <w:rFonts w:hint="eastAsia" w:ascii="宋体" w:hAnsi="宋体" w:eastAsia="宋体"/>
          <w:color w:val="auto"/>
          <w:u w:val="single"/>
        </w:rPr>
        <w:t>拨付合同价款的50%，</w:t>
      </w:r>
      <w:r>
        <w:rPr>
          <w:rFonts w:hint="eastAsia" w:ascii="宋体" w:hAnsi="宋体"/>
          <w:color w:val="auto"/>
          <w:szCs w:val="21"/>
          <w:u w:val="single"/>
        </w:rPr>
        <w:t>最迟于完成工程量</w:t>
      </w:r>
      <w:r>
        <w:rPr>
          <w:rFonts w:hint="eastAsia" w:ascii="宋体" w:hAnsi="宋体"/>
          <w:color w:val="auto"/>
          <w:szCs w:val="21"/>
          <w:u w:val="single"/>
          <w:lang w:eastAsia="zh-CN"/>
        </w:rPr>
        <w:t>达到合同总价</w:t>
      </w:r>
      <w:r>
        <w:rPr>
          <w:rFonts w:hint="eastAsia" w:ascii="宋体" w:hAnsi="宋体"/>
          <w:color w:val="auto"/>
          <w:szCs w:val="21"/>
          <w:u w:val="single"/>
        </w:rPr>
        <w:t>70%</w:t>
      </w:r>
      <w:r>
        <w:rPr>
          <w:rFonts w:hint="eastAsia" w:ascii="宋体" w:hAnsi="宋体"/>
          <w:color w:val="auto"/>
          <w:szCs w:val="21"/>
          <w:u w:val="single"/>
          <w:lang w:eastAsia="zh-CN"/>
        </w:rPr>
        <w:t>前</w:t>
      </w:r>
      <w:r>
        <w:rPr>
          <w:rFonts w:hint="eastAsia" w:ascii="宋体" w:hAnsi="宋体"/>
          <w:color w:val="auto"/>
          <w:szCs w:val="21"/>
          <w:u w:val="single"/>
        </w:rPr>
        <w:t>全部扣清</w:t>
      </w:r>
      <w:r>
        <w:rPr>
          <w:rFonts w:ascii="宋体" w:hAnsi="宋体"/>
          <w:color w:val="auto"/>
          <w:szCs w:val="21"/>
          <w:u w:val="single"/>
        </w:rPr>
        <w:t>。</w:t>
      </w:r>
    </w:p>
    <w:p w14:paraId="48FC3957">
      <w:pPr>
        <w:spacing w:line="360" w:lineRule="auto"/>
        <w:ind w:firstLine="420" w:firstLineChars="200"/>
        <w:jc w:val="left"/>
        <w:outlineLvl w:val="2"/>
        <w:rPr>
          <w:rFonts w:ascii="宋体" w:hAnsi="宋体"/>
          <w:color w:val="auto"/>
          <w:szCs w:val="21"/>
        </w:rPr>
      </w:pPr>
      <w:r>
        <w:rPr>
          <w:rFonts w:ascii="宋体" w:hAnsi="宋体"/>
          <w:color w:val="auto"/>
          <w:szCs w:val="21"/>
        </w:rPr>
        <w:t>12.2.2 预付款担保</w:t>
      </w:r>
    </w:p>
    <w:p w14:paraId="32365ABB">
      <w:pPr>
        <w:spacing w:line="360" w:lineRule="auto"/>
        <w:ind w:firstLine="420" w:firstLineChars="200"/>
        <w:jc w:val="left"/>
        <w:rPr>
          <w:rFonts w:ascii="宋体" w:hAnsi="宋体"/>
          <w:color w:val="auto"/>
          <w:szCs w:val="21"/>
        </w:rPr>
      </w:pPr>
      <w:r>
        <w:rPr>
          <w:rFonts w:ascii="宋体" w:hAnsi="宋体"/>
          <w:color w:val="auto"/>
          <w:szCs w:val="21"/>
        </w:rPr>
        <w:t>承包人提交预付款担保的期限：</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ascii="宋体" w:hAnsi="宋体"/>
          <w:color w:val="auto"/>
          <w:szCs w:val="21"/>
        </w:rPr>
        <w:t>。</w:t>
      </w:r>
    </w:p>
    <w:p w14:paraId="5FF20422">
      <w:pPr>
        <w:spacing w:line="360" w:lineRule="auto"/>
        <w:ind w:firstLine="420" w:firstLineChars="200"/>
        <w:jc w:val="left"/>
        <w:rPr>
          <w:rFonts w:ascii="宋体" w:hAnsi="宋体"/>
          <w:color w:val="auto"/>
          <w:szCs w:val="21"/>
        </w:rPr>
      </w:pPr>
      <w:r>
        <w:rPr>
          <w:rFonts w:ascii="宋体" w:hAnsi="宋体"/>
          <w:color w:val="auto"/>
          <w:szCs w:val="21"/>
        </w:rPr>
        <w:t>预付款担保的形式为：</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ascii="宋体" w:hAnsi="宋体"/>
          <w:color w:val="auto"/>
          <w:szCs w:val="21"/>
        </w:rPr>
        <w:t>。</w:t>
      </w:r>
    </w:p>
    <w:p w14:paraId="2A30C37A">
      <w:pPr>
        <w:spacing w:line="360" w:lineRule="auto"/>
        <w:ind w:firstLine="420" w:firstLineChars="200"/>
        <w:jc w:val="left"/>
        <w:rPr>
          <w:rFonts w:ascii="宋体" w:hAnsi="宋体"/>
          <w:color w:val="auto"/>
          <w:szCs w:val="21"/>
        </w:rPr>
      </w:pPr>
      <w:r>
        <w:rPr>
          <w:rFonts w:hint="eastAsia" w:ascii="宋体" w:hAnsi="宋体"/>
          <w:color w:val="auto"/>
          <w:szCs w:val="21"/>
        </w:rPr>
        <w:t>预付款担保格式见合同附件7。</w:t>
      </w:r>
    </w:p>
    <w:bookmarkEnd w:id="1188"/>
    <w:bookmarkEnd w:id="1189"/>
    <w:bookmarkEnd w:id="1190"/>
    <w:bookmarkEnd w:id="1191"/>
    <w:bookmarkEnd w:id="1192"/>
    <w:bookmarkEnd w:id="1193"/>
    <w:bookmarkEnd w:id="1194"/>
    <w:bookmarkEnd w:id="1195"/>
    <w:bookmarkEnd w:id="1196"/>
    <w:bookmarkEnd w:id="1197"/>
    <w:p w14:paraId="1E98BDE8">
      <w:pPr>
        <w:keepNext/>
        <w:keepLines/>
        <w:spacing w:before="260" w:after="260" w:line="416" w:lineRule="auto"/>
        <w:outlineLvl w:val="1"/>
        <w:rPr>
          <w:rFonts w:ascii="宋体" w:hAnsi="宋体"/>
          <w:b/>
          <w:bCs/>
          <w:color w:val="auto"/>
          <w:sz w:val="32"/>
          <w:szCs w:val="32"/>
        </w:rPr>
      </w:pPr>
      <w:bookmarkStart w:id="1204" w:name="_Toc389065316"/>
      <w:bookmarkStart w:id="1205" w:name="_Toc373478398"/>
      <w:bookmarkStart w:id="1206" w:name="_Toc407135254"/>
      <w:bookmarkStart w:id="1207" w:name="_Toc373227751"/>
      <w:bookmarkStart w:id="1208" w:name="_Toc508379765"/>
      <w:bookmarkStart w:id="1209" w:name="_Toc86935915"/>
      <w:bookmarkStart w:id="1210" w:name="_Toc495673430"/>
      <w:bookmarkStart w:id="1211" w:name="_Toc15610"/>
      <w:bookmarkStart w:id="1212" w:name="_Toc17217"/>
      <w:r>
        <w:rPr>
          <w:rFonts w:ascii="宋体" w:hAnsi="宋体"/>
          <w:b/>
          <w:bCs/>
          <w:color w:val="auto"/>
          <w:sz w:val="32"/>
          <w:szCs w:val="32"/>
        </w:rPr>
        <w:t>12.3 计量</w:t>
      </w:r>
      <w:bookmarkEnd w:id="1204"/>
      <w:bookmarkEnd w:id="1205"/>
      <w:bookmarkEnd w:id="1206"/>
      <w:bookmarkEnd w:id="1207"/>
      <w:bookmarkEnd w:id="1208"/>
      <w:bookmarkEnd w:id="1209"/>
      <w:bookmarkEnd w:id="1210"/>
      <w:bookmarkEnd w:id="1211"/>
      <w:bookmarkEnd w:id="1212"/>
    </w:p>
    <w:p w14:paraId="6D4745A5">
      <w:pPr>
        <w:spacing w:line="360" w:lineRule="auto"/>
        <w:ind w:firstLine="420" w:firstLineChars="200"/>
        <w:jc w:val="left"/>
        <w:outlineLvl w:val="2"/>
        <w:rPr>
          <w:rFonts w:ascii="宋体" w:hAnsi="宋体"/>
          <w:color w:val="auto"/>
          <w:szCs w:val="21"/>
        </w:rPr>
      </w:pPr>
      <w:r>
        <w:rPr>
          <w:rFonts w:ascii="宋体" w:hAnsi="宋体"/>
          <w:color w:val="auto"/>
          <w:szCs w:val="21"/>
        </w:rPr>
        <w:t>12.3.1 计量原则</w:t>
      </w:r>
    </w:p>
    <w:p w14:paraId="0DB4CDC0">
      <w:pPr>
        <w:spacing w:line="360" w:lineRule="auto"/>
        <w:ind w:firstLine="420" w:firstLineChars="200"/>
        <w:jc w:val="left"/>
        <w:rPr>
          <w:rFonts w:ascii="宋体" w:hAnsi="宋体"/>
          <w:color w:val="auto"/>
          <w:szCs w:val="21"/>
        </w:rPr>
      </w:pPr>
      <w:r>
        <w:rPr>
          <w:rFonts w:ascii="宋体" w:hAnsi="宋体"/>
          <w:color w:val="auto"/>
          <w:szCs w:val="21"/>
        </w:rPr>
        <w:t>工程量计算规则：</w:t>
      </w:r>
      <w:r>
        <w:rPr>
          <w:rFonts w:ascii="宋体" w:hAnsi="宋体"/>
          <w:color w:val="auto"/>
          <w:szCs w:val="21"/>
          <w:u w:val="single"/>
        </w:rPr>
        <w:t>工程的计量均以《建设工程工程量清单计价规范》（GB50500－2013）和及其广西壮族自治区实施细则、《建设工程工程量清单计算规范》（GB50854~50862－2013）及其广西实施细则、本工程补充项目清单为准。</w:t>
      </w:r>
    </w:p>
    <w:p w14:paraId="2428FE99">
      <w:pPr>
        <w:spacing w:line="360" w:lineRule="auto"/>
        <w:ind w:firstLine="420" w:firstLineChars="200"/>
        <w:jc w:val="left"/>
        <w:outlineLvl w:val="2"/>
        <w:rPr>
          <w:rFonts w:ascii="宋体" w:hAnsi="宋体"/>
          <w:color w:val="auto"/>
          <w:szCs w:val="21"/>
        </w:rPr>
      </w:pPr>
      <w:r>
        <w:rPr>
          <w:rFonts w:ascii="宋体" w:hAnsi="宋体"/>
          <w:color w:val="auto"/>
          <w:szCs w:val="21"/>
        </w:rPr>
        <w:t>12.3.2 计量周期</w:t>
      </w:r>
    </w:p>
    <w:p w14:paraId="1F5D4FBB">
      <w:pPr>
        <w:spacing w:line="360" w:lineRule="auto"/>
        <w:ind w:firstLine="420" w:firstLineChars="200"/>
        <w:jc w:val="left"/>
        <w:rPr>
          <w:rFonts w:ascii="宋体" w:hAnsi="宋体"/>
          <w:color w:val="auto"/>
          <w:szCs w:val="21"/>
        </w:rPr>
      </w:pPr>
      <w:r>
        <w:rPr>
          <w:rFonts w:ascii="宋体" w:hAnsi="宋体"/>
          <w:color w:val="auto"/>
          <w:szCs w:val="21"/>
        </w:rPr>
        <w:t>关于计量周期的约定：</w:t>
      </w:r>
      <w:r>
        <w:rPr>
          <w:rFonts w:ascii="宋体" w:hAnsi="宋体"/>
          <w:color w:val="auto"/>
          <w:szCs w:val="21"/>
          <w:u w:val="single"/>
        </w:rPr>
        <w:t>每月25日前</w:t>
      </w:r>
      <w:r>
        <w:rPr>
          <w:rFonts w:ascii="宋体" w:hAnsi="宋体"/>
          <w:color w:val="auto"/>
          <w:szCs w:val="21"/>
        </w:rPr>
        <w:t>。</w:t>
      </w:r>
    </w:p>
    <w:p w14:paraId="3E00CE1F">
      <w:pPr>
        <w:spacing w:line="360" w:lineRule="auto"/>
        <w:ind w:firstLine="420" w:firstLineChars="200"/>
        <w:jc w:val="left"/>
        <w:outlineLvl w:val="2"/>
        <w:rPr>
          <w:rFonts w:ascii="宋体" w:hAnsi="宋体"/>
          <w:color w:val="auto"/>
          <w:szCs w:val="21"/>
        </w:rPr>
      </w:pPr>
      <w:r>
        <w:rPr>
          <w:rFonts w:ascii="宋体" w:hAnsi="宋体"/>
          <w:color w:val="auto"/>
          <w:szCs w:val="21"/>
        </w:rPr>
        <w:t>12.3.3 单价合同的计量</w:t>
      </w:r>
    </w:p>
    <w:p w14:paraId="73DD75E4">
      <w:pPr>
        <w:spacing w:line="360" w:lineRule="auto"/>
        <w:ind w:firstLine="420" w:firstLineChars="200"/>
        <w:jc w:val="left"/>
        <w:rPr>
          <w:rFonts w:ascii="宋体" w:hAnsi="宋体"/>
          <w:color w:val="auto"/>
          <w:szCs w:val="21"/>
        </w:rPr>
      </w:pPr>
      <w:r>
        <w:rPr>
          <w:rFonts w:ascii="宋体" w:hAnsi="宋体"/>
          <w:color w:val="auto"/>
          <w:szCs w:val="21"/>
        </w:rPr>
        <w:t>关于单价合同计量的约定：</w:t>
      </w:r>
    </w:p>
    <w:p w14:paraId="54F2E110">
      <w:pPr>
        <w:spacing w:line="360" w:lineRule="auto"/>
        <w:ind w:firstLine="441" w:firstLineChars="210"/>
        <w:rPr>
          <w:rFonts w:ascii="宋体" w:hAnsi="宋体"/>
          <w:color w:val="auto"/>
          <w:szCs w:val="21"/>
        </w:rPr>
      </w:pPr>
      <w:r>
        <w:rPr>
          <w:rFonts w:ascii="宋体" w:hAnsi="宋体"/>
          <w:color w:val="auto"/>
          <w:szCs w:val="21"/>
        </w:rPr>
        <w:t>(1) 工程量清单所列的工程量，不能作为承包人按合同履行其责任依据，实际施工中发生的工程量增加或减少并不影响承包人履行合同的责任，工程结算以完成的实际工程量为准。</w:t>
      </w:r>
    </w:p>
    <w:p w14:paraId="69DDDC8B">
      <w:pPr>
        <w:spacing w:line="360" w:lineRule="auto"/>
        <w:ind w:firstLine="441" w:firstLineChars="210"/>
        <w:rPr>
          <w:rFonts w:ascii="宋体" w:hAnsi="宋体"/>
          <w:color w:val="auto"/>
          <w:szCs w:val="21"/>
        </w:rPr>
      </w:pPr>
      <w:r>
        <w:rPr>
          <w:rFonts w:ascii="宋体" w:hAnsi="宋体"/>
          <w:color w:val="auto"/>
          <w:szCs w:val="21"/>
        </w:rPr>
        <w:t>(2) 除另有规定外，工程师应按照合同通过计量来核实确定已完成的工程量和价款，承包人应得到该价款扣除保留金后的金额。当工程师要对已完工的工程量进行计量时，应适时地通知承包人参加。</w:t>
      </w:r>
    </w:p>
    <w:p w14:paraId="6F76D877">
      <w:pPr>
        <w:spacing w:line="360" w:lineRule="auto"/>
        <w:ind w:firstLine="420" w:firstLineChars="200"/>
        <w:jc w:val="left"/>
        <w:outlineLvl w:val="2"/>
        <w:rPr>
          <w:rFonts w:ascii="宋体" w:hAnsi="宋体"/>
          <w:color w:val="auto"/>
          <w:szCs w:val="21"/>
        </w:rPr>
      </w:pPr>
      <w:r>
        <w:rPr>
          <w:rFonts w:ascii="宋体" w:hAnsi="宋体"/>
          <w:color w:val="auto"/>
          <w:szCs w:val="21"/>
        </w:rPr>
        <w:t>12.3.4 总价合同的计量</w:t>
      </w:r>
    </w:p>
    <w:p w14:paraId="382B7242">
      <w:pPr>
        <w:spacing w:line="360" w:lineRule="auto"/>
        <w:ind w:firstLine="420" w:firstLineChars="200"/>
        <w:jc w:val="left"/>
        <w:rPr>
          <w:rFonts w:ascii="宋体" w:hAnsi="宋体"/>
          <w:color w:val="auto"/>
          <w:szCs w:val="21"/>
        </w:rPr>
      </w:pPr>
      <w:r>
        <w:rPr>
          <w:rFonts w:ascii="宋体" w:hAnsi="宋体"/>
          <w:color w:val="auto"/>
          <w:szCs w:val="21"/>
        </w:rPr>
        <w:t>关于总价合同计量的约定：</w:t>
      </w:r>
      <w:r>
        <w:rPr>
          <w:rFonts w:hint="eastAsia" w:ascii="宋体" w:hAnsi="宋体"/>
          <w:color w:val="auto"/>
          <w:szCs w:val="21"/>
        </w:rPr>
        <w:t>除工程变更外，原图纸范围内的工程量不得按实计量。进度款按支付分解表支付，按通用条款</w:t>
      </w:r>
      <w:r>
        <w:rPr>
          <w:rFonts w:ascii="宋体" w:hAnsi="宋体"/>
          <w:color w:val="auto"/>
          <w:szCs w:val="21"/>
        </w:rPr>
        <w:t>第</w:t>
      </w:r>
      <w:r>
        <w:rPr>
          <w:rFonts w:ascii="宋体" w:hAnsi="宋体"/>
          <w:color w:val="auto"/>
          <w:kern w:val="0"/>
          <w:szCs w:val="21"/>
        </w:rPr>
        <w:t>12.3.4</w:t>
      </w:r>
      <w:r>
        <w:rPr>
          <w:rFonts w:ascii="宋体" w:hAnsi="宋体"/>
          <w:color w:val="auto"/>
          <w:szCs w:val="21"/>
        </w:rPr>
        <w:t>项</w:t>
      </w:r>
      <w:r>
        <w:rPr>
          <w:rFonts w:ascii="宋体" w:hAnsi="宋体"/>
          <w:color w:val="auto"/>
          <w:kern w:val="0"/>
          <w:szCs w:val="21"/>
        </w:rPr>
        <w:t>〔总价合同的计量〕</w:t>
      </w:r>
      <w:r>
        <w:rPr>
          <w:rFonts w:ascii="宋体" w:hAnsi="宋体"/>
          <w:color w:val="auto"/>
          <w:szCs w:val="21"/>
        </w:rPr>
        <w:t>约定</w:t>
      </w:r>
      <w:r>
        <w:rPr>
          <w:rFonts w:hint="eastAsia" w:ascii="宋体" w:hAnsi="宋体"/>
          <w:color w:val="auto"/>
          <w:szCs w:val="21"/>
        </w:rPr>
        <w:t>进行计量，但</w:t>
      </w:r>
      <w:r>
        <w:rPr>
          <w:rFonts w:ascii="宋体" w:hAnsi="宋体"/>
          <w:color w:val="auto"/>
          <w:kern w:val="0"/>
          <w:szCs w:val="21"/>
        </w:rPr>
        <w:t>合同价款按照支付分解表进行支付。</w:t>
      </w:r>
    </w:p>
    <w:p w14:paraId="33B64EE0">
      <w:pPr>
        <w:spacing w:line="360" w:lineRule="auto"/>
        <w:ind w:firstLine="420" w:firstLineChars="200"/>
        <w:jc w:val="left"/>
        <w:outlineLvl w:val="2"/>
        <w:rPr>
          <w:rFonts w:ascii="宋体" w:hAnsi="宋体"/>
          <w:color w:val="auto"/>
          <w:szCs w:val="21"/>
        </w:rPr>
      </w:pPr>
      <w:r>
        <w:rPr>
          <w:rFonts w:ascii="宋体" w:hAnsi="宋体"/>
          <w:color w:val="auto"/>
          <w:szCs w:val="21"/>
        </w:rPr>
        <w:t>12.3.6 其他价格形式合同的计量</w:t>
      </w:r>
    </w:p>
    <w:p w14:paraId="65859502">
      <w:pPr>
        <w:spacing w:line="360" w:lineRule="auto"/>
        <w:ind w:firstLine="420" w:firstLineChars="200"/>
        <w:jc w:val="left"/>
        <w:rPr>
          <w:rFonts w:ascii="宋体" w:hAnsi="宋体"/>
          <w:color w:val="auto"/>
          <w:szCs w:val="21"/>
          <w:u w:val="single"/>
        </w:rPr>
      </w:pPr>
      <w:r>
        <w:rPr>
          <w:rFonts w:ascii="宋体" w:hAnsi="宋体"/>
          <w:color w:val="auto"/>
          <w:szCs w:val="21"/>
        </w:rPr>
        <w:t>其他价格形式的计量方式和程序：。</w:t>
      </w:r>
    </w:p>
    <w:p w14:paraId="7C13D5F9">
      <w:pPr>
        <w:keepNext/>
        <w:keepLines/>
        <w:spacing w:before="260" w:after="260" w:line="416" w:lineRule="auto"/>
        <w:outlineLvl w:val="1"/>
        <w:rPr>
          <w:rFonts w:ascii="宋体" w:hAnsi="宋体"/>
          <w:b/>
          <w:bCs/>
          <w:color w:val="auto"/>
          <w:sz w:val="32"/>
          <w:szCs w:val="32"/>
        </w:rPr>
      </w:pPr>
      <w:bookmarkStart w:id="1213" w:name="_Toc373227752"/>
      <w:bookmarkStart w:id="1214" w:name="_Toc508379766"/>
      <w:bookmarkStart w:id="1215" w:name="_Toc86935916"/>
      <w:bookmarkStart w:id="1216" w:name="_Toc389065317"/>
      <w:bookmarkStart w:id="1217" w:name="_Toc495673431"/>
      <w:bookmarkStart w:id="1218" w:name="_Toc407135255"/>
      <w:bookmarkStart w:id="1219" w:name="_Toc373478399"/>
      <w:bookmarkStart w:id="1220" w:name="_Toc565"/>
      <w:bookmarkStart w:id="1221" w:name="_Toc19475"/>
      <w:r>
        <w:rPr>
          <w:rFonts w:ascii="宋体" w:hAnsi="宋体"/>
          <w:b/>
          <w:bCs/>
          <w:color w:val="auto"/>
          <w:sz w:val="32"/>
          <w:szCs w:val="32"/>
        </w:rPr>
        <w:t>12.4 工程进度款支付</w:t>
      </w:r>
      <w:bookmarkEnd w:id="1213"/>
      <w:bookmarkEnd w:id="1214"/>
      <w:bookmarkEnd w:id="1215"/>
      <w:bookmarkEnd w:id="1216"/>
      <w:bookmarkEnd w:id="1217"/>
      <w:bookmarkEnd w:id="1218"/>
      <w:bookmarkEnd w:id="1219"/>
      <w:bookmarkEnd w:id="1220"/>
      <w:bookmarkEnd w:id="1221"/>
    </w:p>
    <w:p w14:paraId="4EF3AE69">
      <w:pPr>
        <w:spacing w:line="360" w:lineRule="auto"/>
        <w:ind w:firstLine="420" w:firstLineChars="200"/>
        <w:jc w:val="left"/>
        <w:outlineLvl w:val="2"/>
        <w:rPr>
          <w:rFonts w:ascii="宋体" w:hAnsi="宋体"/>
          <w:color w:val="auto"/>
          <w:szCs w:val="21"/>
        </w:rPr>
      </w:pPr>
      <w:bookmarkStart w:id="1222" w:name="_Toc296347210"/>
      <w:bookmarkStart w:id="1223" w:name="_Toc297216215"/>
      <w:bookmarkStart w:id="1224" w:name="_Toc297048397"/>
      <w:bookmarkStart w:id="1225" w:name="_Toc296346712"/>
      <w:bookmarkStart w:id="1226" w:name="_Toc292559921"/>
      <w:bookmarkStart w:id="1227" w:name="_Toc303539163"/>
      <w:bookmarkStart w:id="1228" w:name="_Toc297123556"/>
      <w:bookmarkStart w:id="1229" w:name="_Toc296891039"/>
      <w:bookmarkStart w:id="1230" w:name="_Toc292559416"/>
      <w:bookmarkStart w:id="1231" w:name="_Toc300935006"/>
      <w:bookmarkStart w:id="1232" w:name="_Toc296891251"/>
      <w:bookmarkStart w:id="1233" w:name="_Toc297120511"/>
      <w:bookmarkStart w:id="1234" w:name="_Toc296944550"/>
      <w:bookmarkStart w:id="1235" w:name="_Toc296503211"/>
      <w:r>
        <w:rPr>
          <w:rFonts w:ascii="宋体" w:hAnsi="宋体"/>
          <w:color w:val="auto"/>
          <w:szCs w:val="21"/>
        </w:rPr>
        <w:t>12.4.1 付款周期</w:t>
      </w:r>
    </w:p>
    <w:p w14:paraId="5EDBEDD7">
      <w:pPr>
        <w:spacing w:line="360" w:lineRule="auto"/>
        <w:ind w:firstLine="420" w:firstLineChars="200"/>
        <w:jc w:val="left"/>
        <w:rPr>
          <w:rFonts w:ascii="宋体" w:hAnsi="宋体"/>
          <w:color w:val="auto"/>
          <w:szCs w:val="21"/>
        </w:rPr>
      </w:pPr>
      <w:r>
        <w:rPr>
          <w:rFonts w:ascii="宋体" w:hAnsi="宋体"/>
          <w:color w:val="auto"/>
          <w:szCs w:val="21"/>
        </w:rPr>
        <w:t>关于付款周期的约定：</w:t>
      </w:r>
      <w:r>
        <w:rPr>
          <w:rFonts w:hint="eastAsia" w:ascii="宋体" w:hAnsi="宋体" w:cs="宋体"/>
          <w:color w:val="auto"/>
          <w:szCs w:val="22"/>
          <w:u w:val="single"/>
        </w:rPr>
        <w:t>工程款原则上按月支付，合同内进度款支付限额为已完成工程量的80</w:t>
      </w:r>
      <w:r>
        <w:rPr>
          <w:rFonts w:ascii="宋体" w:hAnsi="宋体"/>
          <w:color w:val="auto"/>
          <w:szCs w:val="22"/>
          <w:u w:val="single"/>
        </w:rPr>
        <w:t>%</w:t>
      </w:r>
      <w:r>
        <w:rPr>
          <w:rFonts w:hint="eastAsia" w:ascii="宋体" w:hAnsi="宋体" w:cs="宋体"/>
          <w:color w:val="auto"/>
          <w:szCs w:val="22"/>
          <w:u w:val="single"/>
        </w:rPr>
        <w:t>，工程变更部分进度款支付限额为已完成工程量的</w:t>
      </w:r>
      <w:r>
        <w:rPr>
          <w:rFonts w:hint="eastAsia" w:ascii="宋体" w:hAnsi="宋体" w:cs="宋体"/>
          <w:color w:val="auto"/>
          <w:szCs w:val="22"/>
          <w:u w:val="single"/>
          <w:lang w:val="en-US" w:eastAsia="zh-CN"/>
        </w:rPr>
        <w:t>8</w:t>
      </w:r>
      <w:r>
        <w:rPr>
          <w:rFonts w:hint="eastAsia" w:ascii="宋体" w:hAnsi="宋体" w:cs="宋体"/>
          <w:color w:val="auto"/>
          <w:szCs w:val="22"/>
          <w:u w:val="single"/>
        </w:rPr>
        <w:t>0</w:t>
      </w:r>
      <w:r>
        <w:rPr>
          <w:rFonts w:ascii="宋体" w:hAnsi="宋体"/>
          <w:color w:val="auto"/>
          <w:szCs w:val="22"/>
          <w:u w:val="single"/>
        </w:rPr>
        <w:t>%</w:t>
      </w:r>
      <w:r>
        <w:rPr>
          <w:rFonts w:hint="eastAsia" w:ascii="宋体" w:hAnsi="宋体" w:cs="宋体"/>
          <w:color w:val="auto"/>
          <w:szCs w:val="22"/>
          <w:u w:val="single"/>
        </w:rPr>
        <w:t>；工程完工验收达到质量要求，工程款支付至</w:t>
      </w:r>
      <w:r>
        <w:rPr>
          <w:rFonts w:hint="eastAsia" w:ascii="宋体" w:hAnsi="宋体" w:cs="宋体"/>
          <w:color w:val="auto"/>
          <w:szCs w:val="22"/>
          <w:u w:val="single"/>
          <w:lang w:eastAsia="zh-CN"/>
        </w:rPr>
        <w:t>合同</w:t>
      </w:r>
      <w:r>
        <w:rPr>
          <w:rFonts w:hint="eastAsia" w:ascii="宋体" w:hAnsi="宋体" w:cs="宋体"/>
          <w:color w:val="auto"/>
          <w:szCs w:val="22"/>
          <w:u w:val="single"/>
        </w:rPr>
        <w:t>总价的9</w:t>
      </w:r>
      <w:r>
        <w:rPr>
          <w:rFonts w:hint="eastAsia" w:ascii="宋体" w:hAnsi="宋体" w:cs="宋体"/>
          <w:color w:val="auto"/>
          <w:szCs w:val="22"/>
          <w:u w:val="single"/>
          <w:lang w:val="en-US" w:eastAsia="zh-CN"/>
        </w:rPr>
        <w:t>0</w:t>
      </w:r>
      <w:r>
        <w:rPr>
          <w:rFonts w:ascii="宋体" w:hAnsi="宋体"/>
          <w:color w:val="auto"/>
          <w:szCs w:val="22"/>
          <w:u w:val="single"/>
        </w:rPr>
        <w:t>%</w:t>
      </w:r>
      <w:r>
        <w:rPr>
          <w:rFonts w:hint="eastAsia" w:ascii="宋体" w:hAnsi="宋体" w:cs="宋体"/>
          <w:color w:val="auto"/>
          <w:szCs w:val="22"/>
          <w:u w:val="single"/>
        </w:rPr>
        <w:t>；结算经审定后，工程款支付至结算总价的97</w:t>
      </w:r>
      <w:r>
        <w:rPr>
          <w:rFonts w:ascii="宋体" w:hAnsi="宋体"/>
          <w:color w:val="auto"/>
          <w:szCs w:val="22"/>
          <w:u w:val="single"/>
        </w:rPr>
        <w:t>%</w:t>
      </w:r>
      <w:r>
        <w:rPr>
          <w:rFonts w:hint="eastAsia" w:ascii="宋体" w:hAnsi="宋体" w:cs="宋体"/>
          <w:color w:val="auto"/>
          <w:szCs w:val="22"/>
          <w:u w:val="single"/>
        </w:rPr>
        <w:t>；发包人按工程价款结算总额的</w:t>
      </w:r>
      <w:r>
        <w:rPr>
          <w:rFonts w:hint="eastAsia" w:ascii="宋体" w:hAnsi="宋体"/>
          <w:color w:val="auto"/>
          <w:szCs w:val="22"/>
          <w:u w:val="single"/>
        </w:rPr>
        <w:t>3</w:t>
      </w:r>
      <w:r>
        <w:rPr>
          <w:rFonts w:ascii="宋体" w:hAnsi="宋体"/>
          <w:color w:val="auto"/>
          <w:szCs w:val="22"/>
          <w:u w:val="single"/>
        </w:rPr>
        <w:t>%</w:t>
      </w:r>
      <w:r>
        <w:rPr>
          <w:rFonts w:hint="eastAsia" w:ascii="宋体" w:hAnsi="宋体" w:cs="宋体"/>
          <w:color w:val="auto"/>
          <w:szCs w:val="22"/>
          <w:u w:val="single"/>
        </w:rPr>
        <w:t>预留工程质量保修金，待工程质量缺陷责任期满后返还</w:t>
      </w:r>
      <w:r>
        <w:rPr>
          <w:rFonts w:ascii="宋体" w:hAnsi="宋体"/>
          <w:bCs/>
          <w:color w:val="auto"/>
          <w:szCs w:val="21"/>
          <w:u w:val="single"/>
        </w:rPr>
        <w:t>。</w:t>
      </w:r>
    </w:p>
    <w:p w14:paraId="682C8C56">
      <w:pPr>
        <w:spacing w:line="360" w:lineRule="auto"/>
        <w:ind w:firstLine="420" w:firstLineChars="200"/>
        <w:jc w:val="left"/>
        <w:outlineLvl w:val="2"/>
        <w:rPr>
          <w:rFonts w:ascii="宋体" w:hAnsi="宋体"/>
          <w:color w:val="auto"/>
          <w:szCs w:val="21"/>
        </w:rPr>
      </w:pPr>
      <w:r>
        <w:rPr>
          <w:rFonts w:ascii="宋体" w:hAnsi="宋体"/>
          <w:color w:val="auto"/>
          <w:szCs w:val="21"/>
        </w:rPr>
        <w:t>12.4.2 进度付款申请单的编制</w:t>
      </w:r>
    </w:p>
    <w:p w14:paraId="03707414">
      <w:pPr>
        <w:spacing w:line="360" w:lineRule="auto"/>
        <w:ind w:firstLine="420" w:firstLineChars="200"/>
        <w:jc w:val="left"/>
        <w:rPr>
          <w:rFonts w:ascii="宋体" w:hAnsi="宋体"/>
          <w:color w:val="auto"/>
          <w:szCs w:val="21"/>
          <w:u w:val="single"/>
        </w:rPr>
      </w:pPr>
      <w:r>
        <w:rPr>
          <w:rFonts w:ascii="宋体" w:hAnsi="宋体"/>
          <w:color w:val="auto"/>
          <w:szCs w:val="21"/>
        </w:rPr>
        <w:t>关于进度付款申请单编制的约定：</w:t>
      </w:r>
      <w:r>
        <w:rPr>
          <w:rStyle w:val="50"/>
          <w:rFonts w:hint="eastAsia" w:ascii="宋体" w:hAnsi="宋体" w:eastAsia="宋体"/>
          <w:color w:val="auto"/>
          <w:u w:val="single"/>
        </w:rPr>
        <w:t>承包人应在每个计量周期到期后的7天内向发包人提交已完工程进度款支付申请一式四份，详细说明此周期自己认为有权得到的款额，包括分包人已完工程的价款，按有关规定编制</w:t>
      </w:r>
      <w:r>
        <w:rPr>
          <w:rFonts w:ascii="宋体" w:hAnsi="宋体"/>
          <w:color w:val="auto"/>
          <w:szCs w:val="21"/>
          <w:u w:val="single"/>
        </w:rPr>
        <w:t>。</w:t>
      </w:r>
    </w:p>
    <w:p w14:paraId="26A2EB4D">
      <w:pPr>
        <w:spacing w:line="360" w:lineRule="auto"/>
        <w:ind w:firstLine="420" w:firstLineChars="200"/>
        <w:jc w:val="left"/>
        <w:outlineLvl w:val="2"/>
        <w:rPr>
          <w:rFonts w:ascii="宋体" w:hAnsi="宋体"/>
          <w:color w:val="auto"/>
          <w:szCs w:val="21"/>
        </w:rPr>
      </w:pPr>
      <w:r>
        <w:rPr>
          <w:rFonts w:ascii="宋体" w:hAnsi="宋体"/>
          <w:color w:val="auto"/>
          <w:szCs w:val="21"/>
        </w:rPr>
        <w:t>1</w:t>
      </w:r>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r>
        <w:rPr>
          <w:rFonts w:ascii="宋体" w:hAnsi="宋体"/>
          <w:color w:val="auto"/>
          <w:szCs w:val="21"/>
        </w:rPr>
        <w:t>2.4.3 进度付款申请单的提交</w:t>
      </w:r>
    </w:p>
    <w:p w14:paraId="5D5A6D50">
      <w:pPr>
        <w:spacing w:line="360" w:lineRule="auto"/>
        <w:ind w:firstLine="420" w:firstLineChars="200"/>
        <w:jc w:val="left"/>
        <w:rPr>
          <w:rFonts w:ascii="宋体" w:hAnsi="宋体"/>
          <w:color w:val="auto"/>
          <w:szCs w:val="21"/>
        </w:rPr>
      </w:pPr>
      <w:r>
        <w:rPr>
          <w:rFonts w:ascii="宋体" w:hAnsi="宋体"/>
          <w:color w:val="auto"/>
          <w:szCs w:val="21"/>
        </w:rPr>
        <w:t>（1）单价合同进度付款申请单提交的约定：</w:t>
      </w:r>
      <w:r>
        <w:rPr>
          <w:rStyle w:val="50"/>
          <w:rFonts w:hint="eastAsia" w:ascii="宋体" w:hAnsi="宋体" w:eastAsia="宋体"/>
          <w:color w:val="auto"/>
          <w:u w:val="single"/>
        </w:rPr>
        <w:t>承包人应在每个计量周期到期后的7天内向发包人提交已完工程进度款支付申请一式四份，详细说明此周期自己认为有权得到的款额，包括分包人已完工程的价款，按有关规定编制</w:t>
      </w:r>
      <w:r>
        <w:rPr>
          <w:rFonts w:ascii="宋体" w:hAnsi="宋体"/>
          <w:color w:val="auto"/>
          <w:szCs w:val="21"/>
          <w:u w:val="single"/>
        </w:rPr>
        <w:t>。</w:t>
      </w:r>
    </w:p>
    <w:p w14:paraId="4EE9CEE3">
      <w:pPr>
        <w:spacing w:line="360" w:lineRule="auto"/>
        <w:ind w:firstLine="420" w:firstLineChars="200"/>
        <w:jc w:val="left"/>
        <w:rPr>
          <w:rFonts w:ascii="宋体" w:hAnsi="宋体"/>
          <w:color w:val="auto"/>
          <w:szCs w:val="21"/>
        </w:rPr>
      </w:pPr>
      <w:r>
        <w:rPr>
          <w:rFonts w:ascii="宋体" w:hAnsi="宋体"/>
          <w:color w:val="auto"/>
          <w:szCs w:val="21"/>
        </w:rPr>
        <w:t>（2）总价合同进度付款申请单提交的约定：</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ascii="宋体" w:hAnsi="宋体"/>
          <w:color w:val="auto"/>
          <w:szCs w:val="21"/>
        </w:rPr>
        <w:t>。</w:t>
      </w:r>
    </w:p>
    <w:p w14:paraId="7B0623CE">
      <w:pPr>
        <w:spacing w:line="360" w:lineRule="auto"/>
        <w:ind w:firstLine="420" w:firstLineChars="200"/>
        <w:jc w:val="left"/>
        <w:rPr>
          <w:rFonts w:ascii="宋体" w:hAnsi="宋体"/>
          <w:color w:val="auto"/>
          <w:szCs w:val="21"/>
          <w:u w:val="single"/>
        </w:rPr>
      </w:pPr>
      <w:r>
        <w:rPr>
          <w:rFonts w:ascii="宋体" w:hAnsi="宋体"/>
          <w:color w:val="auto"/>
          <w:szCs w:val="21"/>
        </w:rPr>
        <w:t>（3）其他价格形式合同进度付款申请单提交的约定：</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ascii="宋体" w:hAnsi="宋体"/>
          <w:color w:val="auto"/>
          <w:szCs w:val="21"/>
        </w:rPr>
        <w:t>。</w:t>
      </w:r>
    </w:p>
    <w:p w14:paraId="1F0A524A">
      <w:pPr>
        <w:spacing w:line="360" w:lineRule="auto"/>
        <w:ind w:firstLine="420" w:firstLineChars="200"/>
        <w:jc w:val="left"/>
        <w:outlineLvl w:val="2"/>
        <w:rPr>
          <w:rFonts w:ascii="宋体" w:hAnsi="宋体"/>
          <w:color w:val="auto"/>
          <w:szCs w:val="21"/>
        </w:rPr>
      </w:pPr>
      <w:r>
        <w:rPr>
          <w:rFonts w:ascii="宋体" w:hAnsi="宋体"/>
          <w:color w:val="auto"/>
          <w:szCs w:val="21"/>
        </w:rPr>
        <w:t>12.4.4 进度款审核和支付</w:t>
      </w:r>
    </w:p>
    <w:p w14:paraId="2A33528C">
      <w:pPr>
        <w:spacing w:line="360" w:lineRule="auto"/>
        <w:ind w:firstLine="420" w:firstLineChars="200"/>
        <w:jc w:val="left"/>
        <w:rPr>
          <w:rFonts w:ascii="宋体" w:hAnsi="宋体"/>
          <w:color w:val="auto"/>
          <w:szCs w:val="21"/>
          <w:u w:val="single"/>
        </w:rPr>
      </w:pPr>
      <w:r>
        <w:rPr>
          <w:rFonts w:ascii="宋体" w:hAnsi="宋体"/>
          <w:color w:val="auto"/>
          <w:szCs w:val="21"/>
        </w:rPr>
        <w:t>（1）监理人审查并报送发包人的期限：</w:t>
      </w:r>
      <w:r>
        <w:rPr>
          <w:rFonts w:hint="eastAsia" w:ascii="宋体" w:hAnsi="宋体"/>
          <w:color w:val="auto"/>
          <w:szCs w:val="21"/>
          <w:u w:val="single"/>
        </w:rPr>
        <w:t xml:space="preserve">                      </w:t>
      </w:r>
      <w:r>
        <w:rPr>
          <w:rFonts w:ascii="宋体" w:hAnsi="宋体"/>
          <w:color w:val="auto"/>
          <w:szCs w:val="21"/>
        </w:rPr>
        <w:t>。</w:t>
      </w:r>
    </w:p>
    <w:p w14:paraId="365D7904">
      <w:pPr>
        <w:spacing w:line="360" w:lineRule="auto"/>
        <w:ind w:firstLine="420" w:firstLineChars="200"/>
        <w:jc w:val="left"/>
        <w:rPr>
          <w:rFonts w:ascii="宋体" w:hAnsi="宋体"/>
          <w:color w:val="auto"/>
          <w:szCs w:val="21"/>
          <w:u w:val="single"/>
        </w:rPr>
      </w:pPr>
      <w:r>
        <w:rPr>
          <w:rFonts w:ascii="宋体" w:hAnsi="宋体"/>
          <w:color w:val="auto"/>
          <w:szCs w:val="21"/>
        </w:rPr>
        <w:t>发包人完成审批并签发进度款支付证书的期限：</w:t>
      </w:r>
      <w:r>
        <w:rPr>
          <w:rFonts w:hint="eastAsia" w:ascii="宋体" w:hAnsi="宋体"/>
          <w:color w:val="auto"/>
          <w:szCs w:val="21"/>
          <w:u w:val="single"/>
        </w:rPr>
        <w:t xml:space="preserve">                      </w:t>
      </w:r>
      <w:r>
        <w:rPr>
          <w:rFonts w:ascii="宋体" w:hAnsi="宋体"/>
          <w:color w:val="auto"/>
          <w:szCs w:val="21"/>
        </w:rPr>
        <w:t>。</w:t>
      </w:r>
    </w:p>
    <w:p w14:paraId="593CA16A">
      <w:pPr>
        <w:spacing w:line="360" w:lineRule="auto"/>
        <w:ind w:firstLine="420" w:firstLineChars="200"/>
        <w:jc w:val="left"/>
        <w:rPr>
          <w:rFonts w:ascii="宋体" w:hAnsi="宋体"/>
          <w:color w:val="auto"/>
          <w:szCs w:val="21"/>
        </w:rPr>
      </w:pPr>
      <w:r>
        <w:rPr>
          <w:rFonts w:ascii="宋体" w:hAnsi="宋体"/>
          <w:color w:val="auto"/>
          <w:szCs w:val="21"/>
        </w:rPr>
        <w:t>（2）发包人支付进度款的期限：</w:t>
      </w:r>
      <w:r>
        <w:rPr>
          <w:rFonts w:hint="eastAsia" w:ascii="宋体" w:hAnsi="宋体"/>
          <w:color w:val="auto"/>
          <w:szCs w:val="21"/>
          <w:u w:val="single"/>
        </w:rPr>
        <w:t xml:space="preserve">                      </w:t>
      </w:r>
      <w:r>
        <w:rPr>
          <w:rFonts w:ascii="宋体" w:hAnsi="宋体"/>
          <w:color w:val="auto"/>
          <w:szCs w:val="21"/>
        </w:rPr>
        <w:t>。</w:t>
      </w:r>
    </w:p>
    <w:p w14:paraId="06D58DE1">
      <w:pPr>
        <w:spacing w:line="360" w:lineRule="auto"/>
        <w:ind w:firstLine="525" w:firstLineChars="250"/>
        <w:jc w:val="left"/>
        <w:rPr>
          <w:rFonts w:ascii="宋体" w:hAnsi="宋体"/>
          <w:color w:val="auto"/>
          <w:szCs w:val="21"/>
        </w:rPr>
      </w:pPr>
      <w:r>
        <w:rPr>
          <w:rFonts w:ascii="宋体" w:hAnsi="宋体"/>
          <w:color w:val="auto"/>
          <w:szCs w:val="21"/>
        </w:rPr>
        <w:t>发包人逾期支付进度款的违约金的计算方式：</w:t>
      </w:r>
      <w:r>
        <w:rPr>
          <w:rFonts w:hint="eastAsia" w:ascii="宋体" w:hAnsi="宋体"/>
          <w:color w:val="auto"/>
          <w:szCs w:val="21"/>
          <w:u w:val="single"/>
        </w:rPr>
        <w:t xml:space="preserve">                      </w:t>
      </w:r>
      <w:r>
        <w:rPr>
          <w:rFonts w:ascii="宋体" w:hAnsi="宋体"/>
          <w:color w:val="auto"/>
          <w:szCs w:val="21"/>
        </w:rPr>
        <w:t>。</w:t>
      </w:r>
    </w:p>
    <w:p w14:paraId="26D65897">
      <w:pPr>
        <w:spacing w:line="360" w:lineRule="auto"/>
        <w:ind w:firstLine="525" w:firstLineChars="250"/>
        <w:jc w:val="left"/>
        <w:rPr>
          <w:rFonts w:ascii="宋体" w:hAnsi="宋体"/>
          <w:color w:val="auto"/>
          <w:szCs w:val="21"/>
        </w:rPr>
      </w:pPr>
      <w:r>
        <w:rPr>
          <w:rFonts w:ascii="宋体" w:hAnsi="宋体"/>
          <w:color w:val="auto"/>
          <w:szCs w:val="21"/>
        </w:rPr>
        <w:t>进度款支付方式：</w:t>
      </w:r>
      <w:r>
        <w:rPr>
          <w:rFonts w:ascii="宋体" w:hAnsi="宋体"/>
          <w:color w:val="auto"/>
          <w:szCs w:val="21"/>
          <w:u w:val="single"/>
        </w:rPr>
        <w:t>银行转账</w:t>
      </w:r>
      <w:r>
        <w:rPr>
          <w:rFonts w:ascii="宋体" w:hAnsi="宋体"/>
          <w:color w:val="auto"/>
          <w:szCs w:val="21"/>
        </w:rPr>
        <w:t>。</w:t>
      </w:r>
    </w:p>
    <w:p w14:paraId="4CB86D63">
      <w:pPr>
        <w:pStyle w:val="295"/>
        <w:spacing w:line="360" w:lineRule="auto"/>
        <w:ind w:firstLine="525" w:firstLineChars="250"/>
        <w:jc w:val="left"/>
        <w:rPr>
          <w:rStyle w:val="50"/>
          <w:rFonts w:hint="eastAsia" w:hAnsi="宋体"/>
          <w:color w:val="auto"/>
        </w:rPr>
      </w:pPr>
      <w:r>
        <w:rPr>
          <w:rFonts w:ascii="宋体" w:hAnsi="宋体"/>
          <w:color w:val="auto"/>
          <w:szCs w:val="21"/>
        </w:rPr>
        <w:t>（</w:t>
      </w:r>
      <w:r>
        <w:rPr>
          <w:rFonts w:hint="eastAsia" w:ascii="宋体" w:hAnsi="宋体"/>
          <w:color w:val="auto"/>
          <w:szCs w:val="21"/>
          <w:lang w:val="en-US" w:eastAsia="zh-CN"/>
        </w:rPr>
        <w:t>3</w:t>
      </w:r>
      <w:r>
        <w:rPr>
          <w:rFonts w:ascii="宋体" w:hAnsi="宋体"/>
          <w:color w:val="auto"/>
          <w:szCs w:val="21"/>
        </w:rPr>
        <w:t>）</w:t>
      </w:r>
      <w:r>
        <w:rPr>
          <w:rStyle w:val="50"/>
          <w:rFonts w:hint="eastAsia" w:ascii="宋体" w:hAnsi="宋体"/>
          <w:color w:val="auto"/>
        </w:rPr>
        <w:t>农民工工资支付</w:t>
      </w:r>
    </w:p>
    <w:p w14:paraId="2BDF858B">
      <w:pPr>
        <w:pStyle w:val="295"/>
        <w:spacing w:line="360" w:lineRule="auto"/>
        <w:ind w:firstLine="525" w:firstLineChars="250"/>
        <w:jc w:val="left"/>
        <w:rPr>
          <w:rStyle w:val="50"/>
          <w:rFonts w:hint="eastAsia" w:hAnsi="宋体"/>
          <w:color w:val="auto"/>
          <w:kern w:val="0"/>
        </w:rPr>
      </w:pPr>
      <w:r>
        <w:rPr>
          <w:rStyle w:val="50"/>
          <w:rFonts w:hint="eastAsia"/>
          <w:color w:val="auto"/>
          <w:kern w:val="0"/>
        </w:rPr>
        <w:t>1</w:t>
      </w:r>
      <w:r>
        <w:rPr>
          <w:rStyle w:val="50"/>
          <w:rFonts w:hint="eastAsia" w:ascii="宋体" w:hAnsi="宋体"/>
          <w:color w:val="auto"/>
          <w:kern w:val="0"/>
        </w:rPr>
        <w:t>）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1D1C8E3B">
      <w:pPr>
        <w:pStyle w:val="295"/>
        <w:spacing w:line="360" w:lineRule="auto"/>
        <w:ind w:firstLine="525" w:firstLineChars="250"/>
        <w:jc w:val="left"/>
        <w:rPr>
          <w:rStyle w:val="50"/>
          <w:rFonts w:hint="eastAsia" w:hAnsi="宋体"/>
          <w:color w:val="auto"/>
          <w:kern w:val="0"/>
        </w:rPr>
      </w:pPr>
      <w:r>
        <w:rPr>
          <w:rStyle w:val="50"/>
          <w:rFonts w:hint="eastAsia"/>
          <w:color w:val="auto"/>
          <w:kern w:val="0"/>
        </w:rPr>
        <w:t>2</w:t>
      </w:r>
      <w:r>
        <w:rPr>
          <w:rStyle w:val="50"/>
          <w:rFonts w:hint="eastAsia" w:ascii="宋体" w:hAnsi="宋体"/>
          <w:color w:val="auto"/>
          <w:kern w:val="0"/>
        </w:rPr>
        <w:t>）人工费应应与工程进度款分帐管理。必须按时足额支付，人工费拨付周期不得超过</w:t>
      </w:r>
      <w:r>
        <w:rPr>
          <w:rStyle w:val="50"/>
          <w:rFonts w:hint="eastAsia"/>
          <w:color w:val="auto"/>
          <w:kern w:val="0"/>
        </w:rPr>
        <w:t>1</w:t>
      </w:r>
      <w:r>
        <w:rPr>
          <w:rStyle w:val="50"/>
          <w:rFonts w:hint="eastAsia" w:ascii="宋体" w:hAnsi="宋体"/>
          <w:color w:val="auto"/>
          <w:kern w:val="0"/>
        </w:rPr>
        <w:t>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7F610728">
      <w:pPr>
        <w:pStyle w:val="295"/>
        <w:spacing w:line="360" w:lineRule="auto"/>
        <w:ind w:firstLine="525" w:firstLineChars="250"/>
        <w:jc w:val="left"/>
        <w:rPr>
          <w:rStyle w:val="50"/>
          <w:rFonts w:hint="eastAsia" w:hAnsi="宋体"/>
          <w:color w:val="auto"/>
          <w:kern w:val="0"/>
        </w:rPr>
      </w:pPr>
      <w:r>
        <w:rPr>
          <w:rStyle w:val="50"/>
          <w:rFonts w:hint="eastAsia"/>
          <w:color w:val="auto"/>
          <w:kern w:val="0"/>
        </w:rPr>
        <w:t>3</w:t>
      </w:r>
      <w:r>
        <w:rPr>
          <w:rStyle w:val="50"/>
          <w:rFonts w:hint="eastAsia" w:ascii="宋体" w:hAnsi="宋体"/>
          <w:color w:val="auto"/>
          <w:kern w:val="0"/>
        </w:rPr>
        <w:t xml:space="preserve">）发包人依据工程进度，审核承包人申报的工程进度款，按照与承包人约定的人工费支付比例     </w:t>
      </w:r>
      <w:r>
        <w:rPr>
          <w:rStyle w:val="50"/>
          <w:rFonts w:hint="eastAsia"/>
          <w:color w:val="auto"/>
          <w:kern w:val="0"/>
        </w:rPr>
        <w:t>%</w:t>
      </w:r>
      <w:r>
        <w:rPr>
          <w:rStyle w:val="50"/>
          <w:rFonts w:hint="eastAsia" w:ascii="宋体" w:hAnsi="宋体"/>
          <w:color w:val="auto"/>
          <w:kern w:val="0"/>
        </w:rPr>
        <w:t>（房建项目不少于</w:t>
      </w:r>
      <w:r>
        <w:rPr>
          <w:rStyle w:val="50"/>
          <w:rFonts w:hint="eastAsia"/>
          <w:color w:val="auto"/>
          <w:kern w:val="0"/>
        </w:rPr>
        <w:t>20%</w:t>
      </w:r>
      <w:r>
        <w:rPr>
          <w:rStyle w:val="50"/>
          <w:rFonts w:hint="eastAsia" w:ascii="宋体" w:hAnsi="宋体"/>
          <w:color w:val="auto"/>
          <w:kern w:val="0"/>
        </w:rPr>
        <w:t>，市政项目不少于</w:t>
      </w:r>
      <w:r>
        <w:rPr>
          <w:rStyle w:val="50"/>
          <w:rFonts w:hint="eastAsia"/>
          <w:color w:val="auto"/>
          <w:kern w:val="0"/>
        </w:rPr>
        <w:t>15%</w:t>
      </w:r>
      <w:r>
        <w:rPr>
          <w:rStyle w:val="50"/>
          <w:rFonts w:hint="eastAsia" w:ascii="宋体" w:hAnsi="宋体"/>
          <w:color w:val="auto"/>
          <w:kern w:val="0"/>
        </w:rPr>
        <w:t>），将人工费按约定支付比例及时足额拨付至承包人的农民工工资专用账户，其余工程进度款项由发包人支付到承包人的单位基本户。</w:t>
      </w:r>
    </w:p>
    <w:p w14:paraId="007F1A20">
      <w:pPr>
        <w:pStyle w:val="295"/>
        <w:spacing w:line="360" w:lineRule="auto"/>
        <w:ind w:firstLine="525" w:firstLineChars="250"/>
        <w:jc w:val="left"/>
        <w:rPr>
          <w:rStyle w:val="50"/>
          <w:rFonts w:hint="eastAsia" w:hAnsi="宋体"/>
          <w:color w:val="auto"/>
          <w:kern w:val="0"/>
        </w:rPr>
      </w:pPr>
      <w:r>
        <w:rPr>
          <w:rStyle w:val="50"/>
          <w:rFonts w:hint="eastAsia"/>
          <w:color w:val="auto"/>
          <w:kern w:val="0"/>
        </w:rPr>
        <w:t>4</w:t>
      </w:r>
      <w:r>
        <w:rPr>
          <w:rStyle w:val="50"/>
          <w:rFonts w:hint="eastAsia" w:ascii="宋体" w:hAnsi="宋体"/>
          <w:color w:val="auto"/>
          <w:kern w:val="0"/>
        </w:rPr>
        <w:t xml:space="preserve">）工程建设领域总包单位对农民工工资支付负总责，推行分包单位农民工工资委托总包单位代发制度（以下简称总包代发制度）。工程建设项目施行总包代发制度的，总包单位与分包单位签订委托工资支付协议。 </w:t>
      </w:r>
    </w:p>
    <w:p w14:paraId="2D00AB92">
      <w:pPr>
        <w:pStyle w:val="295"/>
        <w:spacing w:line="360" w:lineRule="auto"/>
        <w:ind w:firstLine="525" w:firstLineChars="250"/>
        <w:jc w:val="left"/>
        <w:rPr>
          <w:rStyle w:val="50"/>
          <w:rFonts w:hint="eastAsia" w:hAnsi="宋体"/>
          <w:color w:val="auto"/>
          <w:kern w:val="0"/>
        </w:rPr>
      </w:pPr>
      <w:r>
        <w:rPr>
          <w:rStyle w:val="50"/>
          <w:rFonts w:hint="eastAsia"/>
          <w:color w:val="auto"/>
          <w:kern w:val="0"/>
        </w:rPr>
        <w:t>5</w:t>
      </w:r>
      <w:r>
        <w:rPr>
          <w:rStyle w:val="50"/>
          <w:rFonts w:hint="eastAsia" w:ascii="宋体" w:hAnsi="宋体"/>
          <w:color w:val="auto"/>
          <w:kern w:val="0"/>
        </w:rPr>
        <w:t>）凡未向付款单位提供农民工工资专用账户的，或者请款单位在申请工程进度款时未将人工费单列的，付款单位有权拒绝支付工程进度款。</w:t>
      </w:r>
    </w:p>
    <w:p w14:paraId="367F3B0E">
      <w:pPr>
        <w:pStyle w:val="295"/>
        <w:spacing w:line="360" w:lineRule="auto"/>
        <w:ind w:firstLine="525" w:firstLineChars="250"/>
        <w:jc w:val="left"/>
        <w:rPr>
          <w:rStyle w:val="50"/>
          <w:rFonts w:hint="eastAsia" w:hAnsi="宋体"/>
          <w:color w:val="auto"/>
          <w:kern w:val="0"/>
        </w:rPr>
      </w:pPr>
      <w:r>
        <w:rPr>
          <w:rStyle w:val="50"/>
          <w:rFonts w:hint="eastAsia"/>
          <w:color w:val="auto"/>
          <w:kern w:val="0"/>
        </w:rPr>
        <w:t>6</w:t>
      </w:r>
      <w:r>
        <w:rPr>
          <w:rStyle w:val="50"/>
          <w:rFonts w:hint="eastAsia" w:ascii="宋体" w:hAnsi="宋体"/>
          <w:color w:val="auto"/>
          <w:kern w:val="0"/>
        </w:rPr>
        <w:t>）人工费使用要求：专款专用，除发放农民工工资外，不得用于其他用途。</w:t>
      </w:r>
    </w:p>
    <w:p w14:paraId="01DB47A7">
      <w:pPr>
        <w:pStyle w:val="295"/>
        <w:spacing w:line="360" w:lineRule="auto"/>
        <w:ind w:firstLine="525" w:firstLineChars="250"/>
        <w:jc w:val="left"/>
        <w:rPr>
          <w:rStyle w:val="50"/>
          <w:rFonts w:hint="eastAsia" w:hAnsi="宋体"/>
          <w:color w:val="auto"/>
          <w:kern w:val="0"/>
        </w:rPr>
      </w:pPr>
      <w:r>
        <w:rPr>
          <w:rStyle w:val="50"/>
          <w:rFonts w:hint="eastAsia"/>
          <w:color w:val="auto"/>
          <w:kern w:val="0"/>
        </w:rPr>
        <w:t>7</w:t>
      </w:r>
      <w:r>
        <w:rPr>
          <w:rStyle w:val="50"/>
          <w:rFonts w:hint="eastAsia" w:ascii="宋体" w:hAnsi="宋体"/>
          <w:color w:val="auto"/>
          <w:kern w:val="0"/>
        </w:rPr>
        <w:t>）承包人将人工费支付情况定期报告发包人和监理单位，并提供相应的材料接受建设行政主管部门和劳动保障行政主管部门对此事项监管。</w:t>
      </w:r>
    </w:p>
    <w:p w14:paraId="194B23BB">
      <w:pPr>
        <w:spacing w:line="360" w:lineRule="auto"/>
        <w:ind w:firstLine="525" w:firstLineChars="250"/>
        <w:jc w:val="left"/>
        <w:rPr>
          <w:rFonts w:ascii="宋体" w:hAnsi="宋体"/>
          <w:color w:val="auto"/>
          <w:szCs w:val="21"/>
        </w:rPr>
      </w:pPr>
      <w:r>
        <w:rPr>
          <w:rStyle w:val="50"/>
          <w:rFonts w:hint="eastAsia" w:eastAsia="宋体"/>
          <w:color w:val="auto"/>
          <w:kern w:val="0"/>
        </w:rPr>
        <w:t>8</w:t>
      </w:r>
      <w:r>
        <w:rPr>
          <w:rStyle w:val="50"/>
          <w:rFonts w:hint="eastAsia" w:ascii="宋体" w:hAnsi="宋体" w:eastAsia="宋体"/>
          <w:color w:val="auto"/>
          <w:kern w:val="0"/>
        </w:rPr>
        <w:t>）人工费支付专用账户：××××公司农民工工资支付专用账户。账号：</w:t>
      </w:r>
      <w:r>
        <w:rPr>
          <w:rStyle w:val="50"/>
          <w:rFonts w:hint="eastAsia" w:ascii="宋体" w:hAnsi="宋体" w:eastAsia="宋体"/>
          <w:color w:val="auto"/>
          <w:kern w:val="0"/>
          <w:u w:val="single"/>
        </w:rPr>
        <w:t xml:space="preserve">    </w:t>
      </w:r>
      <w:r>
        <w:rPr>
          <w:rStyle w:val="50"/>
          <w:rFonts w:hint="eastAsia" w:ascii="宋体" w:hAnsi="宋体" w:eastAsia="宋体"/>
          <w:color w:val="auto"/>
          <w:kern w:val="0"/>
          <w:u w:val="single"/>
          <w:lang w:val="en-US" w:eastAsia="zh-CN"/>
        </w:rPr>
        <w:t xml:space="preserve">                   </w:t>
      </w:r>
      <w:r>
        <w:rPr>
          <w:rStyle w:val="50"/>
          <w:rFonts w:hint="eastAsia" w:ascii="宋体" w:hAnsi="宋体" w:eastAsia="宋体"/>
          <w:color w:val="auto"/>
          <w:kern w:val="0"/>
          <w:u w:val="single"/>
        </w:rPr>
        <w:t xml:space="preserve">  </w:t>
      </w:r>
      <w:r>
        <w:rPr>
          <w:rStyle w:val="50"/>
          <w:rFonts w:hint="eastAsia" w:ascii="宋体" w:hAnsi="宋体" w:eastAsia="宋体"/>
          <w:color w:val="auto"/>
          <w:kern w:val="0"/>
        </w:rPr>
        <w:t xml:space="preserve">         </w:t>
      </w:r>
    </w:p>
    <w:p w14:paraId="3C31BDF1">
      <w:pPr>
        <w:spacing w:line="360" w:lineRule="auto"/>
        <w:ind w:firstLine="525" w:firstLineChars="250"/>
        <w:jc w:val="left"/>
        <w:outlineLvl w:val="2"/>
        <w:rPr>
          <w:rFonts w:ascii="宋体" w:hAnsi="宋体"/>
          <w:color w:val="auto"/>
          <w:szCs w:val="21"/>
        </w:rPr>
      </w:pPr>
      <w:r>
        <w:rPr>
          <w:rFonts w:ascii="宋体" w:hAnsi="宋体"/>
          <w:color w:val="auto"/>
          <w:szCs w:val="21"/>
        </w:rPr>
        <w:t>12.4.6 支付分解表的编制</w:t>
      </w:r>
    </w:p>
    <w:p w14:paraId="1E07D844">
      <w:pPr>
        <w:spacing w:line="360" w:lineRule="auto"/>
        <w:ind w:firstLine="525" w:firstLineChars="250"/>
        <w:jc w:val="left"/>
        <w:rPr>
          <w:rFonts w:ascii="宋体" w:hAnsi="宋体"/>
          <w:color w:val="auto"/>
          <w:szCs w:val="21"/>
          <w:u w:val="single"/>
        </w:rPr>
      </w:pPr>
      <w:r>
        <w:rPr>
          <w:rFonts w:ascii="宋体" w:hAnsi="宋体"/>
          <w:color w:val="auto"/>
          <w:szCs w:val="21"/>
        </w:rPr>
        <w:t>2</w:t>
      </w:r>
      <w:r>
        <w:rPr>
          <w:rFonts w:hint="eastAsia" w:ascii="宋体" w:hAnsi="宋体"/>
          <w:color w:val="auto"/>
          <w:szCs w:val="21"/>
        </w:rPr>
        <w:t xml:space="preserve">. </w:t>
      </w:r>
      <w:r>
        <w:rPr>
          <w:rFonts w:ascii="宋体" w:hAnsi="宋体"/>
          <w:color w:val="auto"/>
          <w:szCs w:val="21"/>
        </w:rPr>
        <w:t>总价合同支付分解表的编制与审批：</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ascii="宋体" w:hAnsi="宋体"/>
          <w:color w:val="auto"/>
          <w:szCs w:val="21"/>
        </w:rPr>
        <w:t>。</w:t>
      </w:r>
    </w:p>
    <w:p w14:paraId="20E3FD55">
      <w:pPr>
        <w:spacing w:line="360" w:lineRule="auto"/>
        <w:ind w:firstLine="525" w:firstLineChars="250"/>
        <w:jc w:val="left"/>
        <w:rPr>
          <w:rFonts w:ascii="宋体" w:hAnsi="宋体"/>
          <w:color w:val="auto"/>
          <w:szCs w:val="21"/>
          <w:u w:val="single"/>
        </w:rPr>
      </w:pPr>
      <w:r>
        <w:rPr>
          <w:rFonts w:ascii="宋体" w:hAnsi="宋体"/>
          <w:color w:val="auto"/>
          <w:szCs w:val="21"/>
        </w:rPr>
        <w:t>3</w:t>
      </w:r>
      <w:r>
        <w:rPr>
          <w:rFonts w:hint="eastAsia" w:ascii="宋体" w:hAnsi="宋体"/>
          <w:color w:val="auto"/>
          <w:szCs w:val="21"/>
        </w:rPr>
        <w:t xml:space="preserve">. </w:t>
      </w:r>
      <w:r>
        <w:rPr>
          <w:rFonts w:ascii="宋体" w:hAnsi="宋体"/>
          <w:color w:val="auto"/>
          <w:szCs w:val="21"/>
        </w:rPr>
        <w:t>单价合同的总价项目支付分解表的编制与审批：</w:t>
      </w:r>
      <w:r>
        <w:rPr>
          <w:rFonts w:hint="eastAsia" w:ascii="宋体" w:hAnsi="宋体"/>
          <w:color w:val="auto"/>
          <w:szCs w:val="21"/>
        </w:rPr>
        <w:t>总价项目不采用支付分解表的方式计算，而按《建设工程工程量清单计价规范（GB50500-2013）广西壮族自治区实施细则》的规定执行</w:t>
      </w:r>
      <w:r>
        <w:rPr>
          <w:rFonts w:ascii="宋体" w:hAnsi="宋体"/>
          <w:color w:val="auto"/>
          <w:szCs w:val="21"/>
        </w:rPr>
        <w:t>。</w:t>
      </w:r>
    </w:p>
    <w:bookmarkEnd w:id="943"/>
    <w:p w14:paraId="5DED0C2F">
      <w:pPr>
        <w:keepNext/>
        <w:keepLines/>
        <w:spacing w:before="260" w:after="260" w:line="416" w:lineRule="auto"/>
        <w:outlineLvl w:val="0"/>
        <w:rPr>
          <w:rFonts w:ascii="宋体" w:hAnsi="宋体"/>
          <w:b/>
          <w:bCs/>
          <w:color w:val="auto"/>
          <w:sz w:val="32"/>
          <w:szCs w:val="32"/>
        </w:rPr>
      </w:pPr>
      <w:bookmarkStart w:id="1236" w:name="_Toc495673432"/>
      <w:bookmarkStart w:id="1237" w:name="_Toc373478400"/>
      <w:bookmarkStart w:id="1238" w:name="_Toc351203645"/>
      <w:bookmarkStart w:id="1239" w:name="_Toc389065318"/>
      <w:bookmarkStart w:id="1240" w:name="_Toc373227753"/>
      <w:bookmarkStart w:id="1241" w:name="_Toc407135256"/>
      <w:bookmarkStart w:id="1242" w:name="_Toc86935917"/>
      <w:bookmarkStart w:id="1243" w:name="_Toc508379767"/>
      <w:bookmarkStart w:id="1244" w:name="_Toc19205"/>
      <w:bookmarkStart w:id="1245" w:name="_Toc1099"/>
      <w:bookmarkStart w:id="1246" w:name="_Toc15167"/>
      <w:bookmarkStart w:id="1247" w:name="_Toc22704"/>
      <w:bookmarkStart w:id="1248" w:name="_Toc297120519"/>
      <w:bookmarkStart w:id="1249" w:name="_Toc297216223"/>
      <w:bookmarkStart w:id="1250" w:name="_Toc297048405"/>
      <w:bookmarkStart w:id="1251" w:name="_Toc300935015"/>
      <w:bookmarkStart w:id="1252" w:name="_Toc292559929"/>
      <w:bookmarkStart w:id="1253" w:name="_Toc296347218"/>
      <w:bookmarkStart w:id="1254" w:name="_Toc297123564"/>
      <w:bookmarkStart w:id="1255" w:name="_Toc304295593"/>
      <w:bookmarkStart w:id="1256" w:name="_Toc296503219"/>
      <w:bookmarkStart w:id="1257" w:name="_Toc292559424"/>
      <w:bookmarkStart w:id="1258" w:name="_Toc296944558"/>
      <w:bookmarkStart w:id="1259" w:name="_Toc303539172"/>
      <w:bookmarkStart w:id="1260" w:name="_Toc296891047"/>
      <w:bookmarkStart w:id="1261" w:name="_Toc312678053"/>
      <w:bookmarkStart w:id="1262" w:name="_Toc296346720"/>
      <w:bookmarkStart w:id="1263" w:name="_Toc296891259"/>
      <w:r>
        <w:rPr>
          <w:rFonts w:ascii="宋体" w:hAnsi="宋体"/>
          <w:b/>
          <w:bCs/>
          <w:color w:val="auto"/>
          <w:sz w:val="32"/>
          <w:szCs w:val="32"/>
        </w:rPr>
        <w:t>13. 验收和工程试车</w:t>
      </w:r>
      <w:bookmarkEnd w:id="1236"/>
      <w:bookmarkEnd w:id="1237"/>
      <w:bookmarkEnd w:id="1238"/>
      <w:bookmarkEnd w:id="1239"/>
      <w:bookmarkEnd w:id="1240"/>
      <w:bookmarkEnd w:id="1241"/>
      <w:bookmarkEnd w:id="1242"/>
      <w:bookmarkEnd w:id="1243"/>
      <w:bookmarkEnd w:id="1244"/>
      <w:bookmarkEnd w:id="1245"/>
      <w:bookmarkEnd w:id="1246"/>
      <w:bookmarkEnd w:id="1247"/>
    </w:p>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p w14:paraId="124F87A8">
      <w:pPr>
        <w:keepNext/>
        <w:keepLines/>
        <w:spacing w:before="260" w:after="260" w:line="416" w:lineRule="auto"/>
        <w:outlineLvl w:val="1"/>
        <w:rPr>
          <w:rFonts w:ascii="宋体" w:hAnsi="宋体"/>
          <w:b/>
          <w:bCs/>
          <w:color w:val="auto"/>
          <w:sz w:val="32"/>
          <w:szCs w:val="32"/>
        </w:rPr>
      </w:pPr>
      <w:bookmarkStart w:id="1264" w:name="_Toc389065319"/>
      <w:bookmarkStart w:id="1265" w:name="_Toc373478401"/>
      <w:bookmarkStart w:id="1266" w:name="_Toc86935918"/>
      <w:bookmarkStart w:id="1267" w:name="_Toc495673433"/>
      <w:bookmarkStart w:id="1268" w:name="_Toc508379768"/>
      <w:bookmarkStart w:id="1269" w:name="_Toc407135257"/>
      <w:bookmarkStart w:id="1270" w:name="_Toc373227754"/>
      <w:bookmarkStart w:id="1271" w:name="_Toc10018"/>
      <w:bookmarkStart w:id="1272" w:name="_Toc10829"/>
      <w:r>
        <w:rPr>
          <w:rFonts w:ascii="宋体" w:hAnsi="宋体"/>
          <w:b/>
          <w:bCs/>
          <w:color w:val="auto"/>
          <w:sz w:val="32"/>
          <w:szCs w:val="32"/>
        </w:rPr>
        <w:t>13.1 分部分项工程验收</w:t>
      </w:r>
      <w:bookmarkEnd w:id="1264"/>
      <w:bookmarkEnd w:id="1265"/>
      <w:bookmarkEnd w:id="1266"/>
      <w:bookmarkEnd w:id="1267"/>
      <w:bookmarkEnd w:id="1268"/>
      <w:bookmarkEnd w:id="1269"/>
      <w:bookmarkEnd w:id="1270"/>
      <w:bookmarkEnd w:id="1271"/>
      <w:bookmarkEnd w:id="1272"/>
    </w:p>
    <w:p w14:paraId="079E0D9E">
      <w:pPr>
        <w:spacing w:line="360" w:lineRule="auto"/>
        <w:ind w:firstLine="420" w:firstLineChars="200"/>
        <w:jc w:val="left"/>
        <w:rPr>
          <w:rFonts w:ascii="宋体" w:hAnsi="宋体"/>
          <w:color w:val="auto"/>
          <w:szCs w:val="21"/>
        </w:rPr>
      </w:pPr>
      <w:r>
        <w:rPr>
          <w:rFonts w:ascii="宋体" w:hAnsi="宋体"/>
          <w:color w:val="auto"/>
          <w:szCs w:val="21"/>
        </w:rPr>
        <w:t>13.1.2监理人不能按时进行验收时，应提前小时提交书面延期要求。</w:t>
      </w:r>
    </w:p>
    <w:p w14:paraId="6A4010ED">
      <w:pPr>
        <w:spacing w:line="360" w:lineRule="auto"/>
        <w:ind w:firstLine="420" w:firstLineChars="200"/>
        <w:jc w:val="left"/>
        <w:rPr>
          <w:rFonts w:ascii="宋体" w:hAnsi="宋体"/>
          <w:b/>
          <w:color w:val="auto"/>
          <w:szCs w:val="21"/>
        </w:rPr>
      </w:pPr>
      <w:r>
        <w:rPr>
          <w:rFonts w:ascii="宋体" w:hAnsi="宋体"/>
          <w:color w:val="auto"/>
          <w:szCs w:val="21"/>
        </w:rPr>
        <w:t>关于延期最长不得超过：</w:t>
      </w:r>
      <w:r>
        <w:rPr>
          <w:rFonts w:hint="eastAsia" w:ascii="宋体" w:hAnsi="宋体"/>
          <w:color w:val="auto"/>
          <w:szCs w:val="21"/>
          <w:u w:val="single"/>
        </w:rPr>
        <w:t xml:space="preserve">   </w:t>
      </w:r>
      <w:r>
        <w:rPr>
          <w:rFonts w:ascii="宋体" w:hAnsi="宋体"/>
          <w:color w:val="auto"/>
          <w:szCs w:val="21"/>
        </w:rPr>
        <w:t>小时。</w:t>
      </w:r>
    </w:p>
    <w:p w14:paraId="2E46600B">
      <w:pPr>
        <w:keepNext/>
        <w:keepLines/>
        <w:spacing w:before="260" w:after="260" w:line="416" w:lineRule="auto"/>
        <w:outlineLvl w:val="1"/>
        <w:rPr>
          <w:rFonts w:ascii="宋体" w:hAnsi="宋体"/>
          <w:b/>
          <w:bCs/>
          <w:color w:val="auto"/>
          <w:sz w:val="32"/>
          <w:szCs w:val="32"/>
        </w:rPr>
      </w:pPr>
      <w:bookmarkStart w:id="1273" w:name="_Toc407135258"/>
      <w:bookmarkStart w:id="1274" w:name="_Toc508379769"/>
      <w:bookmarkStart w:id="1275" w:name="_Toc373478402"/>
      <w:bookmarkStart w:id="1276" w:name="_Toc495673434"/>
      <w:bookmarkStart w:id="1277" w:name="_Toc389065320"/>
      <w:bookmarkStart w:id="1278" w:name="_Toc86935919"/>
      <w:bookmarkStart w:id="1279" w:name="_Toc373227755"/>
      <w:bookmarkStart w:id="1280" w:name="_Toc19175"/>
      <w:bookmarkStart w:id="1281" w:name="_Toc18693"/>
      <w:bookmarkStart w:id="1282" w:name="_Toc300935016"/>
      <w:bookmarkStart w:id="1283" w:name="_Toc292559428"/>
      <w:bookmarkStart w:id="1284" w:name="_Toc296503223"/>
      <w:bookmarkStart w:id="1285" w:name="_Toc297123565"/>
      <w:bookmarkStart w:id="1286" w:name="_Toc297216224"/>
      <w:bookmarkStart w:id="1287" w:name="_Toc292559933"/>
      <w:bookmarkStart w:id="1288" w:name="_Toc296347222"/>
      <w:bookmarkStart w:id="1289" w:name="_Toc296346724"/>
      <w:bookmarkStart w:id="1290" w:name="_Toc303539173"/>
      <w:bookmarkStart w:id="1291" w:name="_Toc297120523"/>
      <w:bookmarkStart w:id="1292" w:name="_Toc296891263"/>
      <w:bookmarkStart w:id="1293" w:name="_Toc304295596"/>
      <w:bookmarkStart w:id="1294" w:name="_Toc312678056"/>
      <w:bookmarkStart w:id="1295" w:name="_Toc296944562"/>
      <w:bookmarkStart w:id="1296" w:name="_Toc297048409"/>
      <w:bookmarkStart w:id="1297" w:name="_Toc296891051"/>
      <w:bookmarkStart w:id="1298" w:name="_Toc267251473"/>
      <w:bookmarkStart w:id="1299" w:name="_Toc267251476"/>
      <w:bookmarkStart w:id="1300" w:name="_Toc267251470"/>
      <w:bookmarkStart w:id="1301" w:name="_Toc267251471"/>
      <w:bookmarkStart w:id="1302" w:name="_Toc267251472"/>
      <w:bookmarkStart w:id="1303" w:name="_Toc267251474"/>
      <w:bookmarkStart w:id="1304" w:name="_Toc267251475"/>
      <w:r>
        <w:rPr>
          <w:rFonts w:ascii="宋体" w:hAnsi="宋体"/>
          <w:b/>
          <w:bCs/>
          <w:color w:val="auto"/>
          <w:sz w:val="32"/>
          <w:szCs w:val="32"/>
        </w:rPr>
        <w:t>13.2 竣工验收</w:t>
      </w:r>
      <w:bookmarkEnd w:id="1273"/>
      <w:bookmarkEnd w:id="1274"/>
      <w:bookmarkEnd w:id="1275"/>
      <w:bookmarkEnd w:id="1276"/>
      <w:bookmarkEnd w:id="1277"/>
      <w:bookmarkEnd w:id="1278"/>
      <w:bookmarkEnd w:id="1279"/>
      <w:bookmarkEnd w:id="1280"/>
      <w:bookmarkEnd w:id="1281"/>
    </w:p>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p w14:paraId="15DB8F5F">
      <w:pPr>
        <w:spacing w:line="360" w:lineRule="auto"/>
        <w:ind w:firstLine="420" w:firstLineChars="200"/>
        <w:jc w:val="left"/>
        <w:outlineLvl w:val="2"/>
        <w:rPr>
          <w:rFonts w:ascii="宋体" w:hAnsi="宋体"/>
          <w:color w:val="auto"/>
          <w:szCs w:val="21"/>
        </w:rPr>
      </w:pPr>
      <w:bookmarkStart w:id="1305" w:name="_Toc280868704"/>
      <w:bookmarkStart w:id="1306" w:name="_Toc280868705"/>
      <w:bookmarkStart w:id="1307" w:name="_Toc280868706"/>
      <w:bookmarkStart w:id="1308" w:name="_Toc280868707"/>
      <w:bookmarkStart w:id="1309" w:name="_Toc280868708"/>
      <w:bookmarkStart w:id="1310" w:name="_Toc280868709"/>
      <w:r>
        <w:rPr>
          <w:rFonts w:ascii="宋体" w:hAnsi="宋体"/>
          <w:color w:val="auto"/>
          <w:szCs w:val="21"/>
        </w:rPr>
        <w:t>13.2.1竣工验收条件</w:t>
      </w:r>
    </w:p>
    <w:p w14:paraId="677ED47C">
      <w:pPr>
        <w:spacing w:line="360" w:lineRule="auto"/>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w:t>
      </w:r>
      <w:r>
        <w:rPr>
          <w:rFonts w:ascii="宋体" w:hAnsi="宋体"/>
          <w:color w:val="auto"/>
          <w:szCs w:val="21"/>
        </w:rPr>
        <w:t>承包人负责整理和提交的竣工验收资料应当符合工程所在地建设行政主管部门和(或)城市建设档案管理机构有关施工资料的要求，具体内容包括：</w:t>
      </w:r>
      <w:r>
        <w:rPr>
          <w:rStyle w:val="50"/>
          <w:rFonts w:hint="eastAsia" w:ascii="宋体" w:hAnsi="宋体" w:eastAsia="宋体"/>
          <w:color w:val="auto"/>
          <w:u w:val="single"/>
        </w:rPr>
        <w:t>按工程所在地建设行政主管部门（或）城市建设档案管理机构有关施工资料的要求</w:t>
      </w:r>
      <w:r>
        <w:rPr>
          <w:rFonts w:ascii="宋体" w:hAnsi="宋体"/>
          <w:color w:val="auto"/>
          <w:szCs w:val="21"/>
        </w:rPr>
        <w:t>。。</w:t>
      </w:r>
    </w:p>
    <w:p w14:paraId="3FCE60B9">
      <w:pPr>
        <w:spacing w:line="360" w:lineRule="auto"/>
        <w:ind w:firstLine="420" w:firstLineChars="200"/>
        <w:rPr>
          <w:rFonts w:ascii="宋体" w:hAnsi="宋体"/>
          <w:color w:val="auto"/>
          <w:szCs w:val="21"/>
        </w:rPr>
      </w:pPr>
      <w:r>
        <w:rPr>
          <w:rFonts w:ascii="宋体" w:hAnsi="宋体"/>
          <w:color w:val="auto"/>
          <w:szCs w:val="21"/>
        </w:rPr>
        <w:t>竣工验收资料的份数：</w:t>
      </w:r>
      <w:r>
        <w:rPr>
          <w:rStyle w:val="50"/>
          <w:rFonts w:hint="eastAsia" w:ascii="宋体" w:hAnsi="宋体" w:eastAsia="宋体"/>
          <w:bCs/>
          <w:color w:val="auto"/>
          <w:u w:val="single"/>
        </w:rPr>
        <w:t>承包人应在竣工后30天内按照建设行政主管部门及发包人的要求提供有关竣工资料</w:t>
      </w:r>
      <w:r>
        <w:rPr>
          <w:rStyle w:val="50"/>
          <w:rFonts w:hint="eastAsia" w:ascii="宋体" w:hAnsi="宋体" w:eastAsia="宋体"/>
          <w:bCs/>
          <w:color w:val="auto"/>
        </w:rPr>
        <w:t>，</w:t>
      </w:r>
      <w:r>
        <w:rPr>
          <w:rStyle w:val="50"/>
          <w:rFonts w:hint="eastAsia" w:ascii="宋体" w:hAnsi="宋体" w:eastAsia="宋体"/>
          <w:bCs/>
          <w:color w:val="auto"/>
          <w:u w:val="single"/>
        </w:rPr>
        <w:t>其套数除满足各政府部门存档案需要外还需另提供</w:t>
      </w:r>
      <w:r>
        <w:rPr>
          <w:rStyle w:val="50"/>
          <w:rFonts w:hint="eastAsia" w:ascii="宋体" w:hAnsi="宋体" w:eastAsia="宋体"/>
          <w:bCs/>
          <w:color w:val="auto"/>
          <w:u w:val="single"/>
          <w:lang w:val="en-US" w:eastAsia="zh-CN"/>
        </w:rPr>
        <w:t xml:space="preserve">   </w:t>
      </w:r>
      <w:r>
        <w:rPr>
          <w:rStyle w:val="50"/>
          <w:rFonts w:hint="eastAsia" w:ascii="宋体" w:hAnsi="宋体" w:eastAsia="宋体"/>
          <w:bCs/>
          <w:color w:val="auto"/>
          <w:u w:val="single"/>
        </w:rPr>
        <w:t>套原件由发包人存档备用</w:t>
      </w:r>
      <w:r>
        <w:rPr>
          <w:rFonts w:ascii="宋体" w:hAnsi="宋体"/>
          <w:color w:val="auto"/>
          <w:szCs w:val="21"/>
        </w:rPr>
        <w:t>。</w:t>
      </w:r>
    </w:p>
    <w:p w14:paraId="2956417B">
      <w:pPr>
        <w:spacing w:line="360" w:lineRule="auto"/>
        <w:ind w:firstLine="420" w:firstLineChars="200"/>
        <w:jc w:val="left"/>
        <w:rPr>
          <w:rFonts w:ascii="宋体" w:hAnsi="宋体"/>
          <w:color w:val="auto"/>
          <w:szCs w:val="21"/>
        </w:rPr>
      </w:pPr>
      <w:r>
        <w:rPr>
          <w:rFonts w:ascii="宋体" w:hAnsi="宋体"/>
          <w:bCs/>
          <w:color w:val="auto"/>
          <w:szCs w:val="21"/>
        </w:rPr>
        <w:t>承包人提供竣工图的约定：</w:t>
      </w:r>
      <w:r>
        <w:rPr>
          <w:rFonts w:ascii="宋体" w:hAnsi="宋体"/>
          <w:bCs/>
          <w:color w:val="auto"/>
          <w:szCs w:val="21"/>
          <w:u w:val="single"/>
        </w:rPr>
        <w:t>竣工验收正式通过后5天（工程造价在500万元以下含500万元）、10天（工程造价在500万元至1000万元之间含1000万元）、15天（工程造价在1000万元以上），提供竣工图的数量分别为2套、4套、6套。</w:t>
      </w:r>
    </w:p>
    <w:p w14:paraId="086C43BC">
      <w:pPr>
        <w:spacing w:line="360" w:lineRule="auto"/>
        <w:ind w:firstLine="420" w:firstLineChars="200"/>
        <w:jc w:val="left"/>
        <w:outlineLvl w:val="2"/>
        <w:rPr>
          <w:rFonts w:ascii="宋体" w:hAnsi="宋体"/>
          <w:color w:val="auto"/>
          <w:szCs w:val="21"/>
        </w:rPr>
      </w:pPr>
      <w:r>
        <w:rPr>
          <w:rFonts w:ascii="宋体" w:hAnsi="宋体"/>
          <w:color w:val="auto"/>
          <w:szCs w:val="21"/>
        </w:rPr>
        <w:t>13.2.2竣工验收程序</w:t>
      </w:r>
    </w:p>
    <w:bookmarkEnd w:id="1305"/>
    <w:p w14:paraId="309B042A">
      <w:pPr>
        <w:spacing w:line="360" w:lineRule="auto"/>
        <w:ind w:firstLine="420" w:firstLineChars="200"/>
        <w:jc w:val="left"/>
        <w:rPr>
          <w:rFonts w:ascii="宋体" w:hAnsi="宋体"/>
          <w:color w:val="auto"/>
          <w:szCs w:val="21"/>
          <w:u w:val="single"/>
        </w:rPr>
      </w:pPr>
      <w:r>
        <w:rPr>
          <w:rFonts w:ascii="宋体" w:hAnsi="宋体"/>
          <w:color w:val="auto"/>
          <w:kern w:val="0"/>
          <w:szCs w:val="21"/>
        </w:rPr>
        <w:t>关于竣工验收程序的约定：</w:t>
      </w:r>
      <w:r>
        <w:rPr>
          <w:rFonts w:hint="eastAsia" w:ascii="宋体" w:hAnsi="宋体"/>
          <w:color w:val="auto"/>
          <w:szCs w:val="21"/>
          <w:u w:val="single"/>
        </w:rPr>
        <w:t>在项目完工且收到承包人验收申请后5个工作日内组织开展履约验收。</w:t>
      </w:r>
      <w:r>
        <w:rPr>
          <w:rStyle w:val="50"/>
          <w:rFonts w:hint="eastAsia" w:ascii="宋体" w:hAnsi="宋体" w:eastAsia="宋体"/>
          <w:color w:val="auto"/>
          <w:kern w:val="0"/>
          <w:u w:val="single"/>
        </w:rPr>
        <w:t>按工程所在地建设行政主管部门的规定，</w:t>
      </w:r>
      <w:r>
        <w:rPr>
          <w:rStyle w:val="50"/>
          <w:rFonts w:hint="eastAsia" w:ascii="宋体" w:hAnsi="宋体" w:eastAsia="宋体"/>
          <w:color w:val="auto"/>
          <w:u w:val="single"/>
        </w:rPr>
        <w:t>经验收合格的工程，实际竣工日期为承包人按照提交竣工验收申请报告或按照本款重新提交竣工验收申请报告的日期（以两者中时间在后者为准）</w:t>
      </w:r>
      <w:r>
        <w:rPr>
          <w:rFonts w:ascii="宋体" w:hAnsi="宋体"/>
          <w:color w:val="auto"/>
          <w:szCs w:val="21"/>
          <w:u w:val="single"/>
        </w:rPr>
        <w:t>。</w:t>
      </w:r>
    </w:p>
    <w:p w14:paraId="64338BDA">
      <w:pPr>
        <w:spacing w:line="360" w:lineRule="auto"/>
        <w:ind w:firstLine="420" w:firstLineChars="200"/>
        <w:jc w:val="left"/>
        <w:rPr>
          <w:rFonts w:ascii="宋体" w:hAnsi="宋体"/>
          <w:color w:val="auto"/>
          <w:szCs w:val="21"/>
        </w:rPr>
      </w:pPr>
      <w:r>
        <w:rPr>
          <w:rFonts w:ascii="宋体" w:hAnsi="宋体"/>
          <w:color w:val="auto"/>
          <w:kern w:val="0"/>
          <w:szCs w:val="21"/>
        </w:rPr>
        <w:t>发包人不按照本项约定组织竣工验收、颁发工程接收证书的违约金的计算方法：</w:t>
      </w:r>
      <w:r>
        <w:rPr>
          <w:rFonts w:hint="eastAsia" w:ascii="宋体" w:hAnsi="宋体"/>
          <w:color w:val="auto"/>
          <w:szCs w:val="21"/>
          <w:u w:val="single"/>
        </w:rPr>
        <w:t xml:space="preserve">                      </w:t>
      </w:r>
      <w:r>
        <w:rPr>
          <w:rFonts w:ascii="宋体" w:hAnsi="宋体"/>
          <w:color w:val="auto"/>
          <w:szCs w:val="21"/>
        </w:rPr>
        <w:t>。</w:t>
      </w:r>
    </w:p>
    <w:bookmarkEnd w:id="1306"/>
    <w:p w14:paraId="0328724C">
      <w:pPr>
        <w:spacing w:line="360" w:lineRule="auto"/>
        <w:ind w:firstLine="420" w:firstLineChars="200"/>
        <w:jc w:val="left"/>
        <w:outlineLvl w:val="2"/>
        <w:rPr>
          <w:rFonts w:ascii="宋体" w:hAnsi="宋体"/>
          <w:color w:val="auto"/>
          <w:szCs w:val="21"/>
        </w:rPr>
      </w:pPr>
      <w:r>
        <w:rPr>
          <w:rFonts w:ascii="宋体" w:hAnsi="宋体"/>
          <w:color w:val="auto"/>
          <w:szCs w:val="21"/>
        </w:rPr>
        <w:t>13.2.5移交、接收全部与部分工程</w:t>
      </w:r>
    </w:p>
    <w:bookmarkEnd w:id="1307"/>
    <w:p w14:paraId="0C38E168">
      <w:pPr>
        <w:spacing w:line="360" w:lineRule="auto"/>
        <w:ind w:firstLine="420" w:firstLineChars="200"/>
        <w:jc w:val="left"/>
        <w:rPr>
          <w:rFonts w:ascii="宋体" w:hAnsi="宋体"/>
          <w:color w:val="auto"/>
          <w:kern w:val="0"/>
          <w:szCs w:val="21"/>
        </w:rPr>
      </w:pPr>
      <w:r>
        <w:rPr>
          <w:rFonts w:ascii="宋体" w:hAnsi="宋体"/>
          <w:color w:val="auto"/>
          <w:kern w:val="0"/>
          <w:szCs w:val="21"/>
        </w:rPr>
        <w:t>承包人向发包人移交工程的期限：</w:t>
      </w:r>
      <w:r>
        <w:rPr>
          <w:rStyle w:val="50"/>
          <w:rFonts w:hint="eastAsia" w:ascii="宋体" w:hAnsi="宋体" w:eastAsia="宋体" w:cs="Times New Roman"/>
          <w:color w:val="auto"/>
          <w:u w:val="single"/>
        </w:rPr>
        <w:t>竣工验收合格之日起</w:t>
      </w:r>
      <w:r>
        <w:rPr>
          <w:rStyle w:val="50"/>
          <w:rFonts w:hint="eastAsia" w:ascii="宋体" w:hAnsi="宋体" w:eastAsia="宋体" w:cs="Times New Roman"/>
          <w:color w:val="auto"/>
          <w:u w:val="single"/>
          <w:lang w:val="en-US" w:eastAsia="zh-CN"/>
        </w:rPr>
        <w:t xml:space="preserve">   </w:t>
      </w:r>
      <w:r>
        <w:rPr>
          <w:rStyle w:val="50"/>
          <w:rFonts w:hint="eastAsia" w:ascii="宋体" w:hAnsi="宋体" w:eastAsia="宋体" w:cs="Times New Roman"/>
          <w:color w:val="auto"/>
          <w:u w:val="single"/>
        </w:rPr>
        <w:t>天内</w:t>
      </w:r>
      <w:r>
        <w:rPr>
          <w:rFonts w:ascii="宋体" w:hAnsi="宋体"/>
          <w:color w:val="auto"/>
          <w:szCs w:val="21"/>
        </w:rPr>
        <w:t>。</w:t>
      </w:r>
    </w:p>
    <w:p w14:paraId="4CDD650B">
      <w:pPr>
        <w:spacing w:line="360" w:lineRule="auto"/>
        <w:ind w:firstLine="420" w:firstLineChars="200"/>
        <w:jc w:val="left"/>
        <w:rPr>
          <w:rFonts w:ascii="宋体" w:hAnsi="宋体"/>
          <w:color w:val="auto"/>
          <w:szCs w:val="21"/>
          <w:u w:val="single"/>
        </w:rPr>
      </w:pPr>
      <w:r>
        <w:rPr>
          <w:rFonts w:ascii="宋体" w:hAnsi="宋体"/>
          <w:color w:val="auto"/>
          <w:kern w:val="0"/>
          <w:szCs w:val="21"/>
        </w:rPr>
        <w:t>发包人未按本合同约定接收全部或部分工程的，违约金的计算方法为：</w:t>
      </w:r>
      <w:r>
        <w:rPr>
          <w:rFonts w:hint="eastAsia" w:ascii="宋体" w:hAnsi="宋体"/>
          <w:color w:val="auto"/>
          <w:szCs w:val="21"/>
          <w:u w:val="single"/>
        </w:rPr>
        <w:t xml:space="preserve">                      </w:t>
      </w:r>
      <w:r>
        <w:rPr>
          <w:rFonts w:ascii="宋体" w:hAnsi="宋体"/>
          <w:color w:val="auto"/>
          <w:szCs w:val="21"/>
        </w:rPr>
        <w:t>。</w:t>
      </w:r>
    </w:p>
    <w:bookmarkEnd w:id="1308"/>
    <w:p w14:paraId="25155C87">
      <w:pPr>
        <w:spacing w:line="360" w:lineRule="auto"/>
        <w:ind w:firstLine="420" w:firstLineChars="200"/>
        <w:jc w:val="left"/>
        <w:rPr>
          <w:rFonts w:ascii="宋体" w:hAnsi="宋体"/>
          <w:color w:val="auto"/>
          <w:szCs w:val="21"/>
          <w:u w:val="single"/>
        </w:rPr>
      </w:pPr>
      <w:r>
        <w:rPr>
          <w:rFonts w:ascii="宋体" w:hAnsi="宋体"/>
          <w:color w:val="auto"/>
          <w:szCs w:val="21"/>
        </w:rPr>
        <w:t>承包人未按时移交工程的，违约金的计算方法为：</w:t>
      </w:r>
      <w:r>
        <w:rPr>
          <w:rFonts w:hint="eastAsia" w:ascii="宋体" w:hAnsi="宋体"/>
          <w:color w:val="auto"/>
          <w:szCs w:val="21"/>
          <w:u w:val="single"/>
        </w:rPr>
        <w:t xml:space="preserve">                      </w:t>
      </w:r>
      <w:r>
        <w:rPr>
          <w:rFonts w:ascii="宋体" w:hAnsi="宋体"/>
          <w:color w:val="auto"/>
          <w:szCs w:val="21"/>
        </w:rPr>
        <w:t>。</w:t>
      </w:r>
    </w:p>
    <w:p w14:paraId="0B69AFD4">
      <w:pPr>
        <w:keepNext/>
        <w:keepLines/>
        <w:spacing w:before="260" w:after="260" w:line="416" w:lineRule="auto"/>
        <w:outlineLvl w:val="1"/>
        <w:rPr>
          <w:rFonts w:ascii="宋体" w:hAnsi="宋体"/>
          <w:b/>
          <w:bCs/>
          <w:color w:val="auto"/>
          <w:sz w:val="32"/>
          <w:szCs w:val="32"/>
        </w:rPr>
      </w:pPr>
      <w:bookmarkStart w:id="1311" w:name="_Toc373227756"/>
      <w:bookmarkStart w:id="1312" w:name="_Toc407135259"/>
      <w:bookmarkStart w:id="1313" w:name="_Toc86935920"/>
      <w:bookmarkStart w:id="1314" w:name="_Toc389065321"/>
      <w:bookmarkStart w:id="1315" w:name="_Toc373478403"/>
      <w:bookmarkStart w:id="1316" w:name="_Toc495673435"/>
      <w:bookmarkStart w:id="1317" w:name="_Toc508379770"/>
      <w:bookmarkStart w:id="1318" w:name="_Toc25595"/>
      <w:bookmarkStart w:id="1319" w:name="_Toc1122"/>
      <w:r>
        <w:rPr>
          <w:rFonts w:ascii="宋体" w:hAnsi="宋体"/>
          <w:b/>
          <w:bCs/>
          <w:color w:val="auto"/>
          <w:sz w:val="32"/>
          <w:szCs w:val="32"/>
        </w:rPr>
        <w:t>13.3 工程试车</w:t>
      </w:r>
      <w:bookmarkEnd w:id="1311"/>
      <w:bookmarkEnd w:id="1312"/>
      <w:bookmarkEnd w:id="1313"/>
      <w:bookmarkEnd w:id="1314"/>
      <w:bookmarkEnd w:id="1315"/>
      <w:bookmarkEnd w:id="1316"/>
      <w:bookmarkEnd w:id="1317"/>
      <w:bookmarkEnd w:id="1318"/>
      <w:bookmarkEnd w:id="1319"/>
    </w:p>
    <w:bookmarkEnd w:id="1309"/>
    <w:p w14:paraId="66F00628">
      <w:pPr>
        <w:spacing w:line="360" w:lineRule="auto"/>
        <w:ind w:firstLine="420" w:firstLineChars="200"/>
        <w:jc w:val="left"/>
        <w:outlineLvl w:val="2"/>
        <w:rPr>
          <w:rFonts w:ascii="宋体" w:hAnsi="宋体"/>
          <w:color w:val="auto"/>
          <w:kern w:val="0"/>
          <w:szCs w:val="21"/>
        </w:rPr>
      </w:pPr>
      <w:r>
        <w:rPr>
          <w:rFonts w:ascii="宋体" w:hAnsi="宋体"/>
          <w:color w:val="auto"/>
          <w:kern w:val="0"/>
          <w:szCs w:val="21"/>
        </w:rPr>
        <w:t>13.3.1 试车程序</w:t>
      </w:r>
    </w:p>
    <w:p w14:paraId="0D6526B9">
      <w:pPr>
        <w:spacing w:line="360" w:lineRule="auto"/>
        <w:ind w:firstLine="420" w:firstLineChars="200"/>
        <w:jc w:val="left"/>
        <w:rPr>
          <w:rFonts w:ascii="宋体" w:hAnsi="宋体"/>
          <w:color w:val="auto"/>
          <w:szCs w:val="21"/>
          <w:u w:val="single"/>
        </w:rPr>
      </w:pPr>
      <w:r>
        <w:rPr>
          <w:rFonts w:ascii="宋体" w:hAnsi="宋体"/>
          <w:color w:val="auto"/>
          <w:kern w:val="0"/>
          <w:szCs w:val="21"/>
        </w:rPr>
        <w:t>工程试车内容：</w:t>
      </w:r>
      <w:r>
        <w:rPr>
          <w:rFonts w:hint="eastAsia" w:ascii="宋体" w:hAnsi="宋体"/>
          <w:color w:val="auto"/>
          <w:szCs w:val="21"/>
          <w:u w:val="single"/>
        </w:rPr>
        <w:t xml:space="preserve">                      </w:t>
      </w:r>
      <w:r>
        <w:rPr>
          <w:rFonts w:ascii="宋体" w:hAnsi="宋体"/>
          <w:color w:val="auto"/>
          <w:szCs w:val="21"/>
        </w:rPr>
        <w:t>。</w:t>
      </w:r>
    </w:p>
    <w:p w14:paraId="16977CBC">
      <w:pPr>
        <w:spacing w:line="360" w:lineRule="auto"/>
        <w:ind w:firstLine="420" w:firstLineChars="200"/>
        <w:jc w:val="left"/>
        <w:rPr>
          <w:rFonts w:ascii="宋体" w:hAnsi="宋体"/>
          <w:color w:val="auto"/>
          <w:kern w:val="0"/>
          <w:szCs w:val="21"/>
        </w:rPr>
      </w:pPr>
      <w:r>
        <w:rPr>
          <w:rFonts w:ascii="宋体" w:hAnsi="宋体"/>
          <w:color w:val="auto"/>
          <w:kern w:val="0"/>
          <w:szCs w:val="21"/>
        </w:rPr>
        <w:t>（1）单机无负荷试车费用由承担；</w:t>
      </w:r>
    </w:p>
    <w:p w14:paraId="02096AA6">
      <w:pPr>
        <w:spacing w:line="360" w:lineRule="auto"/>
        <w:ind w:firstLine="420" w:firstLineChars="200"/>
        <w:jc w:val="left"/>
        <w:rPr>
          <w:rFonts w:ascii="宋体" w:hAnsi="宋体"/>
          <w:color w:val="auto"/>
          <w:kern w:val="0"/>
          <w:szCs w:val="21"/>
        </w:rPr>
      </w:pPr>
      <w:r>
        <w:rPr>
          <w:rFonts w:ascii="宋体" w:hAnsi="宋体"/>
          <w:color w:val="auto"/>
          <w:kern w:val="0"/>
          <w:szCs w:val="21"/>
        </w:rPr>
        <w:t>（2）无负荷联动试车费用由承担。</w:t>
      </w:r>
    </w:p>
    <w:p w14:paraId="3BE87FB1">
      <w:pPr>
        <w:spacing w:line="360" w:lineRule="auto"/>
        <w:ind w:firstLine="420" w:firstLineChars="200"/>
        <w:jc w:val="left"/>
        <w:outlineLvl w:val="2"/>
        <w:rPr>
          <w:rFonts w:ascii="宋体" w:hAnsi="宋体"/>
          <w:color w:val="auto"/>
          <w:kern w:val="0"/>
          <w:szCs w:val="21"/>
        </w:rPr>
      </w:pPr>
      <w:r>
        <w:rPr>
          <w:rFonts w:ascii="宋体" w:hAnsi="宋体"/>
          <w:color w:val="auto"/>
          <w:kern w:val="0"/>
          <w:szCs w:val="21"/>
        </w:rPr>
        <w:t>13.3.3 投料试车</w:t>
      </w:r>
    </w:p>
    <w:p w14:paraId="63FFC1DC">
      <w:pPr>
        <w:spacing w:line="360" w:lineRule="auto"/>
        <w:ind w:firstLine="420" w:firstLineChars="200"/>
        <w:jc w:val="left"/>
        <w:rPr>
          <w:rFonts w:ascii="宋体" w:hAnsi="宋体"/>
          <w:color w:val="auto"/>
          <w:szCs w:val="21"/>
          <w:u w:val="single"/>
        </w:rPr>
      </w:pPr>
      <w:r>
        <w:rPr>
          <w:rFonts w:ascii="宋体" w:hAnsi="宋体"/>
          <w:color w:val="auto"/>
          <w:kern w:val="0"/>
          <w:szCs w:val="21"/>
        </w:rPr>
        <w:t>关于投料试车相关事项的约定：</w:t>
      </w:r>
      <w:r>
        <w:rPr>
          <w:rFonts w:hint="eastAsia" w:ascii="宋体" w:hAnsi="宋体"/>
          <w:color w:val="auto"/>
          <w:szCs w:val="21"/>
          <w:u w:val="single"/>
        </w:rPr>
        <w:t xml:space="preserve">                      </w:t>
      </w:r>
      <w:r>
        <w:rPr>
          <w:rFonts w:ascii="宋体" w:hAnsi="宋体"/>
          <w:color w:val="auto"/>
          <w:szCs w:val="21"/>
        </w:rPr>
        <w:t>。</w:t>
      </w:r>
    </w:p>
    <w:p w14:paraId="6BF802F2">
      <w:pPr>
        <w:keepNext/>
        <w:keepLines/>
        <w:spacing w:before="260" w:after="260" w:line="416" w:lineRule="auto"/>
        <w:outlineLvl w:val="1"/>
        <w:rPr>
          <w:rFonts w:ascii="宋体" w:hAnsi="宋体"/>
          <w:b/>
          <w:bCs/>
          <w:color w:val="auto"/>
          <w:sz w:val="32"/>
          <w:szCs w:val="32"/>
        </w:rPr>
      </w:pPr>
      <w:bookmarkStart w:id="1320" w:name="_Toc86935921"/>
      <w:bookmarkStart w:id="1321" w:name="_Toc508379771"/>
      <w:bookmarkStart w:id="1322" w:name="_Toc495673436"/>
      <w:bookmarkStart w:id="1323" w:name="_Toc407135260"/>
      <w:bookmarkStart w:id="1324" w:name="_Toc389065322"/>
      <w:bookmarkStart w:id="1325" w:name="_Toc373478404"/>
      <w:bookmarkStart w:id="1326" w:name="_Toc373227757"/>
      <w:bookmarkStart w:id="1327" w:name="_Toc7044"/>
      <w:bookmarkStart w:id="1328" w:name="_Toc15816"/>
      <w:r>
        <w:rPr>
          <w:rFonts w:ascii="宋体" w:hAnsi="宋体"/>
          <w:b/>
          <w:bCs/>
          <w:color w:val="auto"/>
          <w:sz w:val="32"/>
          <w:szCs w:val="32"/>
        </w:rPr>
        <w:t>13.6 竣工退场</w:t>
      </w:r>
      <w:bookmarkEnd w:id="1320"/>
      <w:bookmarkEnd w:id="1321"/>
      <w:bookmarkEnd w:id="1322"/>
      <w:bookmarkEnd w:id="1323"/>
      <w:bookmarkEnd w:id="1324"/>
      <w:bookmarkEnd w:id="1325"/>
      <w:bookmarkEnd w:id="1326"/>
      <w:bookmarkEnd w:id="1327"/>
      <w:bookmarkEnd w:id="1328"/>
    </w:p>
    <w:p w14:paraId="3E788EED">
      <w:pPr>
        <w:spacing w:line="360" w:lineRule="auto"/>
        <w:ind w:firstLine="420" w:firstLineChars="200"/>
        <w:jc w:val="left"/>
        <w:outlineLvl w:val="2"/>
        <w:rPr>
          <w:rFonts w:ascii="宋体" w:hAnsi="宋体"/>
          <w:color w:val="auto"/>
          <w:kern w:val="0"/>
          <w:szCs w:val="21"/>
        </w:rPr>
      </w:pPr>
      <w:r>
        <w:rPr>
          <w:rFonts w:ascii="宋体" w:hAnsi="宋体"/>
          <w:color w:val="auto"/>
          <w:kern w:val="0"/>
          <w:szCs w:val="21"/>
        </w:rPr>
        <w:t>13.6.1 竣工退场</w:t>
      </w:r>
    </w:p>
    <w:p w14:paraId="127AF727">
      <w:pPr>
        <w:spacing w:line="360" w:lineRule="auto"/>
        <w:ind w:firstLine="420" w:firstLineChars="200"/>
        <w:jc w:val="left"/>
        <w:rPr>
          <w:rFonts w:ascii="宋体" w:hAnsi="宋体"/>
          <w:color w:val="auto"/>
          <w:kern w:val="0"/>
          <w:szCs w:val="21"/>
        </w:rPr>
      </w:pPr>
      <w:r>
        <w:rPr>
          <w:rFonts w:ascii="宋体" w:hAnsi="宋体"/>
          <w:color w:val="auto"/>
          <w:kern w:val="0"/>
          <w:szCs w:val="21"/>
        </w:rPr>
        <w:t>承包人完成竣工退场的期限：</w:t>
      </w:r>
      <w:r>
        <w:rPr>
          <w:rStyle w:val="50"/>
          <w:rFonts w:hint="eastAsia" w:ascii="宋体" w:hAnsi="宋体" w:eastAsia="宋体"/>
          <w:color w:val="auto"/>
          <w:u w:val="single"/>
        </w:rPr>
        <w:t>竣工验收合格之日起</w:t>
      </w:r>
      <w:r>
        <w:rPr>
          <w:rStyle w:val="50"/>
          <w:rFonts w:hint="eastAsia" w:ascii="宋体" w:hAnsi="宋体" w:eastAsia="宋体"/>
          <w:color w:val="auto"/>
          <w:u w:val="single"/>
          <w:lang w:val="en-US" w:eastAsia="zh-CN"/>
        </w:rPr>
        <w:t xml:space="preserve">   </w:t>
      </w:r>
      <w:r>
        <w:rPr>
          <w:rStyle w:val="50"/>
          <w:rFonts w:hint="eastAsia" w:ascii="宋体" w:hAnsi="宋体" w:eastAsia="宋体"/>
          <w:color w:val="auto"/>
          <w:u w:val="single"/>
        </w:rPr>
        <w:t>天内，承包人应将除为安全需要以外的所有其它物资、机具、设备和设施，全部撤离现场</w:t>
      </w:r>
      <w:r>
        <w:rPr>
          <w:rFonts w:ascii="宋体" w:hAnsi="宋体"/>
          <w:color w:val="auto"/>
          <w:kern w:val="0"/>
          <w:szCs w:val="21"/>
        </w:rPr>
        <w:t>。</w:t>
      </w:r>
      <w:bookmarkStart w:id="1329" w:name="_Toc373478405"/>
      <w:bookmarkStart w:id="1330" w:name="_Toc351203646"/>
      <w:bookmarkStart w:id="1331" w:name="_Toc373227758"/>
      <w:bookmarkStart w:id="1332" w:name="_Toc389065323"/>
      <w:bookmarkStart w:id="1333" w:name="_Toc407135261"/>
      <w:bookmarkStart w:id="1334" w:name="_Toc495673437"/>
      <w:bookmarkStart w:id="1335" w:name="_Toc508379772"/>
      <w:bookmarkStart w:id="1336" w:name="_Toc86935922"/>
      <w:bookmarkStart w:id="1337" w:name="_Toc30830"/>
      <w:bookmarkStart w:id="1338" w:name="_Toc29330"/>
      <w:bookmarkStart w:id="1339" w:name="_Toc31943"/>
      <w:bookmarkStart w:id="1340" w:name="_Toc2030"/>
    </w:p>
    <w:p w14:paraId="634734FF">
      <w:pPr>
        <w:spacing w:line="360" w:lineRule="auto"/>
        <w:ind w:firstLine="420" w:firstLineChars="200"/>
        <w:jc w:val="left"/>
        <w:rPr>
          <w:rFonts w:ascii="宋体" w:hAnsi="宋体"/>
          <w:color w:val="auto"/>
          <w:kern w:val="0"/>
          <w:szCs w:val="21"/>
        </w:rPr>
      </w:pPr>
    </w:p>
    <w:p w14:paraId="5A214F56">
      <w:pPr>
        <w:spacing w:line="360" w:lineRule="auto"/>
        <w:ind w:firstLine="420" w:firstLineChars="200"/>
        <w:jc w:val="left"/>
        <w:rPr>
          <w:rFonts w:ascii="宋体" w:hAnsi="宋体"/>
          <w:color w:val="auto"/>
          <w:kern w:val="0"/>
          <w:szCs w:val="21"/>
        </w:rPr>
      </w:pPr>
    </w:p>
    <w:p w14:paraId="231A9E87">
      <w:pPr>
        <w:spacing w:line="360" w:lineRule="auto"/>
        <w:ind w:firstLine="420" w:firstLineChars="200"/>
        <w:jc w:val="left"/>
        <w:rPr>
          <w:rFonts w:ascii="宋体" w:hAnsi="宋体"/>
          <w:color w:val="auto"/>
          <w:kern w:val="0"/>
          <w:szCs w:val="21"/>
        </w:rPr>
      </w:pPr>
    </w:p>
    <w:p w14:paraId="2CE4D267">
      <w:pPr>
        <w:spacing w:line="360" w:lineRule="auto"/>
        <w:ind w:firstLine="420" w:firstLineChars="200"/>
        <w:jc w:val="left"/>
        <w:rPr>
          <w:rFonts w:ascii="宋体" w:hAnsi="宋体"/>
          <w:color w:val="auto"/>
          <w:kern w:val="0"/>
          <w:szCs w:val="21"/>
        </w:rPr>
      </w:pPr>
    </w:p>
    <w:p w14:paraId="28A028DC">
      <w:pPr>
        <w:numPr>
          <w:ilvl w:val="0"/>
          <w:numId w:val="11"/>
        </w:numPr>
        <w:spacing w:line="360" w:lineRule="auto"/>
        <w:jc w:val="left"/>
        <w:rPr>
          <w:rFonts w:ascii="宋体" w:hAnsi="宋体"/>
          <w:b/>
          <w:bCs/>
          <w:color w:val="auto"/>
          <w:sz w:val="32"/>
          <w:szCs w:val="32"/>
        </w:rPr>
      </w:pPr>
      <w:r>
        <w:rPr>
          <w:rFonts w:ascii="宋体" w:hAnsi="宋体"/>
          <w:b/>
          <w:bCs/>
          <w:color w:val="auto"/>
          <w:sz w:val="32"/>
          <w:szCs w:val="32"/>
        </w:rPr>
        <w:t>竣工结算</w:t>
      </w:r>
      <w:bookmarkEnd w:id="1329"/>
      <w:bookmarkEnd w:id="1330"/>
      <w:bookmarkEnd w:id="1331"/>
      <w:bookmarkEnd w:id="1332"/>
      <w:bookmarkEnd w:id="1333"/>
      <w:bookmarkEnd w:id="1334"/>
      <w:bookmarkEnd w:id="1335"/>
      <w:bookmarkEnd w:id="1336"/>
      <w:bookmarkEnd w:id="1337"/>
      <w:bookmarkEnd w:id="1338"/>
      <w:bookmarkEnd w:id="1339"/>
      <w:bookmarkEnd w:id="1340"/>
      <w:bookmarkStart w:id="1341" w:name="_Toc389065324"/>
      <w:bookmarkStart w:id="1342" w:name="_Toc407135262"/>
      <w:bookmarkStart w:id="1343" w:name="_Toc508379773"/>
      <w:bookmarkStart w:id="1344" w:name="_Toc495673438"/>
      <w:bookmarkStart w:id="1345" w:name="_Toc373478406"/>
      <w:bookmarkStart w:id="1346" w:name="_Toc373227759"/>
      <w:bookmarkStart w:id="1347" w:name="_Toc86935923"/>
      <w:bookmarkStart w:id="1348" w:name="_Toc20695"/>
      <w:bookmarkStart w:id="1349" w:name="_Toc7904"/>
    </w:p>
    <w:p w14:paraId="411EFD56">
      <w:pPr>
        <w:numPr>
          <w:ilvl w:val="0"/>
          <w:numId w:val="0"/>
        </w:numPr>
        <w:spacing w:line="360" w:lineRule="auto"/>
        <w:jc w:val="left"/>
        <w:rPr>
          <w:rFonts w:ascii="宋体" w:hAnsi="宋体"/>
          <w:b/>
          <w:bCs/>
          <w:color w:val="auto"/>
          <w:sz w:val="32"/>
          <w:szCs w:val="32"/>
        </w:rPr>
      </w:pPr>
      <w:r>
        <w:rPr>
          <w:rFonts w:ascii="宋体" w:hAnsi="宋体"/>
          <w:b/>
          <w:bCs/>
          <w:color w:val="auto"/>
          <w:sz w:val="32"/>
          <w:szCs w:val="32"/>
        </w:rPr>
        <w:t>14.1 竣工付款申请</w:t>
      </w:r>
      <w:bookmarkEnd w:id="1341"/>
      <w:bookmarkEnd w:id="1342"/>
      <w:bookmarkEnd w:id="1343"/>
      <w:bookmarkEnd w:id="1344"/>
      <w:bookmarkEnd w:id="1345"/>
      <w:bookmarkEnd w:id="1346"/>
      <w:bookmarkEnd w:id="1347"/>
      <w:bookmarkEnd w:id="1348"/>
      <w:bookmarkEnd w:id="1349"/>
    </w:p>
    <w:p w14:paraId="4423B4D4">
      <w:pPr>
        <w:spacing w:line="360" w:lineRule="auto"/>
        <w:ind w:firstLine="420" w:firstLineChars="200"/>
        <w:jc w:val="left"/>
        <w:rPr>
          <w:rFonts w:ascii="宋体" w:hAnsi="宋体"/>
          <w:color w:val="auto"/>
          <w:szCs w:val="21"/>
        </w:rPr>
      </w:pPr>
      <w:r>
        <w:rPr>
          <w:rFonts w:ascii="宋体" w:hAnsi="宋体"/>
          <w:color w:val="auto"/>
          <w:szCs w:val="21"/>
        </w:rPr>
        <w:t>承包人提交竣工付款申请单的期限：</w:t>
      </w:r>
      <w:r>
        <w:rPr>
          <w:rFonts w:hint="eastAsia" w:ascii="宋体" w:hAnsi="宋体"/>
          <w:color w:val="auto"/>
          <w:szCs w:val="21"/>
          <w:u w:val="single"/>
        </w:rPr>
        <w:t xml:space="preserve">                      </w:t>
      </w:r>
      <w:r>
        <w:rPr>
          <w:rFonts w:ascii="宋体" w:hAnsi="宋体"/>
          <w:color w:val="auto"/>
          <w:szCs w:val="21"/>
        </w:rPr>
        <w:t>。</w:t>
      </w:r>
    </w:p>
    <w:p w14:paraId="745A5717">
      <w:pPr>
        <w:spacing w:line="360" w:lineRule="auto"/>
        <w:ind w:firstLine="420" w:firstLineChars="200"/>
        <w:jc w:val="left"/>
        <w:rPr>
          <w:rFonts w:ascii="宋体" w:hAnsi="宋体"/>
          <w:color w:val="auto"/>
          <w:szCs w:val="21"/>
          <w:u w:val="single"/>
        </w:rPr>
      </w:pPr>
      <w:r>
        <w:rPr>
          <w:rFonts w:ascii="宋体" w:hAnsi="宋体"/>
          <w:color w:val="auto"/>
          <w:szCs w:val="21"/>
        </w:rPr>
        <w:t>竣工付款申请单应包括的内容：</w:t>
      </w:r>
      <w:r>
        <w:rPr>
          <w:rStyle w:val="50"/>
          <w:rFonts w:hint="eastAsia" w:ascii="宋体" w:hAnsi="宋体" w:eastAsia="宋体"/>
          <w:color w:val="auto"/>
          <w:u w:val="single"/>
        </w:rPr>
        <w:t>竣工结算审定总价、已支付工程价款、应扣留质量保修金、应支付的竣工付款金额等</w:t>
      </w:r>
      <w:r>
        <w:rPr>
          <w:rFonts w:ascii="宋体" w:hAnsi="宋体"/>
          <w:color w:val="auto"/>
          <w:szCs w:val="21"/>
        </w:rPr>
        <w:t>。</w:t>
      </w:r>
    </w:p>
    <w:p w14:paraId="1251DDEE">
      <w:pPr>
        <w:spacing w:line="360" w:lineRule="auto"/>
        <w:ind w:firstLine="420" w:firstLineChars="200"/>
        <w:jc w:val="left"/>
        <w:rPr>
          <w:rFonts w:ascii="宋体" w:hAnsi="宋体"/>
          <w:color w:val="auto"/>
          <w:szCs w:val="21"/>
          <w:u w:val="single"/>
        </w:rPr>
      </w:pPr>
    </w:p>
    <w:p w14:paraId="3927FBE0">
      <w:pPr>
        <w:keepNext/>
        <w:keepLines/>
        <w:spacing w:before="260" w:after="260" w:line="416" w:lineRule="auto"/>
        <w:outlineLvl w:val="1"/>
        <w:rPr>
          <w:rFonts w:ascii="宋体" w:hAnsi="宋体"/>
          <w:b/>
          <w:bCs/>
          <w:color w:val="auto"/>
          <w:sz w:val="32"/>
          <w:szCs w:val="32"/>
        </w:rPr>
      </w:pPr>
      <w:bookmarkStart w:id="1350" w:name="_Toc373478407"/>
      <w:bookmarkStart w:id="1351" w:name="_Toc508379774"/>
      <w:bookmarkStart w:id="1352" w:name="_Toc389065325"/>
      <w:bookmarkStart w:id="1353" w:name="_Toc373227760"/>
      <w:bookmarkStart w:id="1354" w:name="_Toc407135263"/>
      <w:bookmarkStart w:id="1355" w:name="_Toc495673439"/>
      <w:bookmarkStart w:id="1356" w:name="_Toc86935924"/>
      <w:bookmarkStart w:id="1357" w:name="_Toc32461"/>
      <w:bookmarkStart w:id="1358" w:name="_Toc13900"/>
      <w:r>
        <w:rPr>
          <w:rFonts w:ascii="宋体" w:hAnsi="宋体"/>
          <w:b/>
          <w:bCs/>
          <w:color w:val="auto"/>
          <w:sz w:val="32"/>
          <w:szCs w:val="32"/>
        </w:rPr>
        <w:t>14.2 竣工结算审核</w:t>
      </w:r>
      <w:bookmarkEnd w:id="1350"/>
      <w:bookmarkEnd w:id="1351"/>
      <w:bookmarkEnd w:id="1352"/>
      <w:bookmarkEnd w:id="1353"/>
      <w:bookmarkEnd w:id="1354"/>
      <w:bookmarkEnd w:id="1355"/>
      <w:bookmarkEnd w:id="1356"/>
      <w:bookmarkEnd w:id="1357"/>
      <w:bookmarkEnd w:id="1358"/>
    </w:p>
    <w:p w14:paraId="07FEB25B">
      <w:pPr>
        <w:spacing w:line="360" w:lineRule="auto"/>
        <w:ind w:firstLine="420" w:firstLineChars="200"/>
        <w:jc w:val="left"/>
        <w:rPr>
          <w:rFonts w:ascii="宋体" w:hAnsi="宋体"/>
          <w:color w:val="auto"/>
          <w:szCs w:val="21"/>
        </w:rPr>
      </w:pPr>
      <w:r>
        <w:rPr>
          <w:rFonts w:ascii="宋体" w:hAnsi="宋体"/>
          <w:color w:val="auto"/>
          <w:szCs w:val="21"/>
        </w:rPr>
        <w:t>发包人审批竣工付款申请单的期限：</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47BD6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53CC3355">
            <w:pPr>
              <w:spacing w:line="360" w:lineRule="auto"/>
              <w:rPr>
                <w:rFonts w:ascii="宋体" w:hAnsi="宋体"/>
                <w:bCs/>
                <w:color w:val="auto"/>
                <w:szCs w:val="21"/>
              </w:rPr>
            </w:pPr>
          </w:p>
        </w:tc>
        <w:tc>
          <w:tcPr>
            <w:tcW w:w="2466" w:type="dxa"/>
            <w:vAlign w:val="center"/>
          </w:tcPr>
          <w:p w14:paraId="5411C7E6">
            <w:pPr>
              <w:spacing w:line="360" w:lineRule="auto"/>
              <w:ind w:firstLine="27" w:firstLineChars="13"/>
              <w:jc w:val="center"/>
              <w:rPr>
                <w:rFonts w:ascii="宋体" w:hAnsi="宋体"/>
                <w:bCs/>
                <w:color w:val="auto"/>
                <w:szCs w:val="21"/>
              </w:rPr>
            </w:pPr>
            <w:r>
              <w:rPr>
                <w:rFonts w:ascii="宋体" w:hAnsi="宋体"/>
                <w:bCs/>
                <w:color w:val="auto"/>
                <w:szCs w:val="21"/>
              </w:rPr>
              <w:t>工程竣工结算报告金额</w:t>
            </w:r>
          </w:p>
        </w:tc>
        <w:tc>
          <w:tcPr>
            <w:tcW w:w="5967" w:type="dxa"/>
            <w:vAlign w:val="center"/>
          </w:tcPr>
          <w:p w14:paraId="711E7549">
            <w:pPr>
              <w:spacing w:line="360" w:lineRule="auto"/>
              <w:ind w:firstLine="441" w:firstLineChars="210"/>
              <w:jc w:val="center"/>
              <w:rPr>
                <w:rFonts w:ascii="宋体" w:hAnsi="宋体"/>
                <w:bCs/>
                <w:color w:val="auto"/>
                <w:szCs w:val="21"/>
              </w:rPr>
            </w:pPr>
            <w:r>
              <w:rPr>
                <w:rFonts w:ascii="宋体" w:hAnsi="宋体"/>
                <w:bCs/>
                <w:color w:val="auto"/>
                <w:szCs w:val="21"/>
              </w:rPr>
              <w:t>发包人审查时间</w:t>
            </w:r>
          </w:p>
        </w:tc>
      </w:tr>
      <w:tr w14:paraId="0968F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C4654F3">
            <w:pPr>
              <w:spacing w:line="360" w:lineRule="auto"/>
              <w:jc w:val="center"/>
              <w:rPr>
                <w:rFonts w:ascii="宋体" w:hAnsi="宋体"/>
                <w:bCs/>
                <w:color w:val="auto"/>
                <w:szCs w:val="21"/>
              </w:rPr>
            </w:pPr>
            <w:r>
              <w:rPr>
                <w:rFonts w:ascii="宋体" w:hAnsi="宋体"/>
                <w:bCs/>
                <w:color w:val="auto"/>
                <w:szCs w:val="21"/>
              </w:rPr>
              <w:t>1</w:t>
            </w:r>
          </w:p>
        </w:tc>
        <w:tc>
          <w:tcPr>
            <w:tcW w:w="2466" w:type="dxa"/>
            <w:vAlign w:val="center"/>
          </w:tcPr>
          <w:p w14:paraId="374130C4">
            <w:pPr>
              <w:spacing w:line="360" w:lineRule="auto"/>
              <w:ind w:firstLine="27" w:firstLineChars="13"/>
              <w:jc w:val="center"/>
              <w:rPr>
                <w:rFonts w:ascii="宋体" w:hAnsi="宋体"/>
                <w:bCs/>
                <w:color w:val="auto"/>
                <w:szCs w:val="21"/>
              </w:rPr>
            </w:pPr>
            <w:r>
              <w:rPr>
                <w:rFonts w:ascii="宋体" w:hAnsi="宋体"/>
                <w:bCs/>
                <w:color w:val="auto"/>
                <w:szCs w:val="21"/>
              </w:rPr>
              <w:t>500万元以下</w:t>
            </w:r>
          </w:p>
        </w:tc>
        <w:tc>
          <w:tcPr>
            <w:tcW w:w="5967" w:type="dxa"/>
            <w:vAlign w:val="center"/>
          </w:tcPr>
          <w:p w14:paraId="7086BA86">
            <w:pPr>
              <w:spacing w:line="360" w:lineRule="auto"/>
              <w:ind w:firstLine="441" w:firstLineChars="210"/>
              <w:jc w:val="center"/>
              <w:rPr>
                <w:rFonts w:ascii="宋体" w:hAnsi="宋体"/>
                <w:bCs/>
                <w:color w:val="auto"/>
                <w:szCs w:val="21"/>
              </w:rPr>
            </w:pPr>
            <w:r>
              <w:rPr>
                <w:rFonts w:ascii="宋体" w:hAnsi="宋体"/>
                <w:bCs/>
                <w:color w:val="auto"/>
                <w:szCs w:val="21"/>
              </w:rPr>
              <w:t>从接到竣工结算报告和完整的竣工结算资料之日起20天</w:t>
            </w:r>
          </w:p>
        </w:tc>
      </w:tr>
      <w:tr w14:paraId="0466A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8CD558D">
            <w:pPr>
              <w:spacing w:line="360" w:lineRule="auto"/>
              <w:jc w:val="center"/>
              <w:rPr>
                <w:rFonts w:ascii="宋体" w:hAnsi="宋体"/>
                <w:bCs/>
                <w:color w:val="auto"/>
                <w:szCs w:val="21"/>
              </w:rPr>
            </w:pPr>
            <w:r>
              <w:rPr>
                <w:rFonts w:ascii="宋体" w:hAnsi="宋体"/>
                <w:bCs/>
                <w:color w:val="auto"/>
                <w:szCs w:val="21"/>
              </w:rPr>
              <w:t>2</w:t>
            </w:r>
          </w:p>
        </w:tc>
        <w:tc>
          <w:tcPr>
            <w:tcW w:w="2466" w:type="dxa"/>
            <w:vAlign w:val="center"/>
          </w:tcPr>
          <w:p w14:paraId="39712E30">
            <w:pPr>
              <w:spacing w:line="360" w:lineRule="auto"/>
              <w:ind w:firstLine="27" w:firstLineChars="13"/>
              <w:jc w:val="center"/>
              <w:rPr>
                <w:rFonts w:ascii="宋体" w:hAnsi="宋体"/>
                <w:bCs/>
                <w:color w:val="auto"/>
                <w:szCs w:val="21"/>
              </w:rPr>
            </w:pPr>
            <w:r>
              <w:rPr>
                <w:rFonts w:ascii="宋体" w:hAnsi="宋体"/>
                <w:bCs/>
                <w:color w:val="auto"/>
                <w:szCs w:val="21"/>
              </w:rPr>
              <w:t>500万元-2000万元</w:t>
            </w:r>
          </w:p>
        </w:tc>
        <w:tc>
          <w:tcPr>
            <w:tcW w:w="5967" w:type="dxa"/>
            <w:vAlign w:val="center"/>
          </w:tcPr>
          <w:p w14:paraId="792C445A">
            <w:pPr>
              <w:spacing w:line="360" w:lineRule="auto"/>
              <w:ind w:firstLine="441" w:firstLineChars="210"/>
              <w:jc w:val="center"/>
              <w:rPr>
                <w:rFonts w:ascii="宋体" w:hAnsi="宋体"/>
                <w:bCs/>
                <w:color w:val="auto"/>
                <w:szCs w:val="21"/>
              </w:rPr>
            </w:pPr>
            <w:r>
              <w:rPr>
                <w:rFonts w:ascii="宋体" w:hAnsi="宋体"/>
                <w:bCs/>
                <w:color w:val="auto"/>
                <w:szCs w:val="21"/>
              </w:rPr>
              <w:t>从接到竣工结算报告和完整的竣工结算资料之日起30天</w:t>
            </w:r>
          </w:p>
        </w:tc>
      </w:tr>
      <w:tr w14:paraId="1157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8840E19">
            <w:pPr>
              <w:spacing w:line="360" w:lineRule="auto"/>
              <w:jc w:val="center"/>
              <w:rPr>
                <w:rFonts w:ascii="宋体" w:hAnsi="宋体"/>
                <w:bCs/>
                <w:color w:val="auto"/>
                <w:szCs w:val="21"/>
              </w:rPr>
            </w:pPr>
            <w:r>
              <w:rPr>
                <w:rFonts w:ascii="宋体" w:hAnsi="宋体"/>
                <w:bCs/>
                <w:color w:val="auto"/>
                <w:szCs w:val="21"/>
              </w:rPr>
              <w:t>3</w:t>
            </w:r>
          </w:p>
        </w:tc>
        <w:tc>
          <w:tcPr>
            <w:tcW w:w="2466" w:type="dxa"/>
            <w:vAlign w:val="center"/>
          </w:tcPr>
          <w:p w14:paraId="62589290">
            <w:pPr>
              <w:spacing w:line="360" w:lineRule="auto"/>
              <w:ind w:firstLine="27" w:firstLineChars="13"/>
              <w:jc w:val="center"/>
              <w:rPr>
                <w:rFonts w:ascii="宋体" w:hAnsi="宋体"/>
                <w:bCs/>
                <w:color w:val="auto"/>
                <w:szCs w:val="21"/>
              </w:rPr>
            </w:pPr>
            <w:r>
              <w:rPr>
                <w:rFonts w:ascii="宋体" w:hAnsi="宋体"/>
                <w:bCs/>
                <w:color w:val="auto"/>
                <w:szCs w:val="21"/>
              </w:rPr>
              <w:t>2000万元-5000万元</w:t>
            </w:r>
          </w:p>
        </w:tc>
        <w:tc>
          <w:tcPr>
            <w:tcW w:w="5967" w:type="dxa"/>
            <w:vAlign w:val="center"/>
          </w:tcPr>
          <w:p w14:paraId="0CC6B4FD">
            <w:pPr>
              <w:spacing w:line="360" w:lineRule="auto"/>
              <w:ind w:firstLine="441" w:firstLineChars="210"/>
              <w:jc w:val="center"/>
              <w:rPr>
                <w:rFonts w:ascii="宋体" w:hAnsi="宋体"/>
                <w:bCs/>
                <w:color w:val="auto"/>
                <w:szCs w:val="21"/>
              </w:rPr>
            </w:pPr>
            <w:r>
              <w:rPr>
                <w:rFonts w:ascii="宋体" w:hAnsi="宋体"/>
                <w:bCs/>
                <w:color w:val="auto"/>
                <w:szCs w:val="21"/>
              </w:rPr>
              <w:t>从接到竣工结算报告和完整的竣工结算资料之日起45天</w:t>
            </w:r>
          </w:p>
        </w:tc>
      </w:tr>
      <w:tr w14:paraId="05B9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01F76E1E">
            <w:pPr>
              <w:spacing w:line="360" w:lineRule="auto"/>
              <w:jc w:val="center"/>
              <w:rPr>
                <w:rFonts w:ascii="宋体" w:hAnsi="宋体"/>
                <w:bCs/>
                <w:color w:val="auto"/>
                <w:szCs w:val="21"/>
              </w:rPr>
            </w:pPr>
            <w:r>
              <w:rPr>
                <w:rFonts w:ascii="宋体" w:hAnsi="宋体"/>
                <w:bCs/>
                <w:color w:val="auto"/>
                <w:szCs w:val="21"/>
              </w:rPr>
              <w:t>4</w:t>
            </w:r>
          </w:p>
        </w:tc>
        <w:tc>
          <w:tcPr>
            <w:tcW w:w="2466" w:type="dxa"/>
            <w:vAlign w:val="center"/>
          </w:tcPr>
          <w:p w14:paraId="6BBAE49B">
            <w:pPr>
              <w:spacing w:line="360" w:lineRule="auto"/>
              <w:ind w:firstLine="27" w:firstLineChars="13"/>
              <w:jc w:val="center"/>
              <w:rPr>
                <w:rFonts w:ascii="宋体" w:hAnsi="宋体"/>
                <w:bCs/>
                <w:color w:val="auto"/>
                <w:szCs w:val="21"/>
              </w:rPr>
            </w:pPr>
            <w:r>
              <w:rPr>
                <w:rFonts w:ascii="宋体" w:hAnsi="宋体"/>
                <w:bCs/>
                <w:color w:val="auto"/>
                <w:szCs w:val="21"/>
              </w:rPr>
              <w:t>5000万元以上</w:t>
            </w:r>
          </w:p>
        </w:tc>
        <w:tc>
          <w:tcPr>
            <w:tcW w:w="5967" w:type="dxa"/>
            <w:vAlign w:val="center"/>
          </w:tcPr>
          <w:p w14:paraId="7CF428D9">
            <w:pPr>
              <w:spacing w:line="360" w:lineRule="auto"/>
              <w:ind w:firstLine="441" w:firstLineChars="210"/>
              <w:jc w:val="center"/>
              <w:rPr>
                <w:rFonts w:ascii="宋体" w:hAnsi="宋体"/>
                <w:bCs/>
                <w:color w:val="auto"/>
                <w:szCs w:val="21"/>
              </w:rPr>
            </w:pPr>
            <w:r>
              <w:rPr>
                <w:rFonts w:ascii="宋体" w:hAnsi="宋体"/>
                <w:bCs/>
                <w:color w:val="auto"/>
                <w:szCs w:val="21"/>
              </w:rPr>
              <w:t>从接到竣工结算报告和完整的竣工结算资料之日起60天</w:t>
            </w:r>
          </w:p>
        </w:tc>
      </w:tr>
    </w:tbl>
    <w:p w14:paraId="0AE866CF">
      <w:pPr>
        <w:spacing w:line="360" w:lineRule="auto"/>
        <w:ind w:firstLine="420" w:firstLineChars="200"/>
        <w:jc w:val="left"/>
        <w:rPr>
          <w:rFonts w:ascii="宋体" w:hAnsi="宋体"/>
          <w:color w:val="auto"/>
          <w:szCs w:val="21"/>
        </w:rPr>
      </w:pPr>
      <w:r>
        <w:rPr>
          <w:rFonts w:ascii="宋体" w:hAnsi="宋体"/>
          <w:bCs/>
          <w:color w:val="auto"/>
          <w:szCs w:val="21"/>
        </w:rPr>
        <w:t>因承包人提供的结算资料不完整而需要补充或承包人不按时对账耽误时间时，审查时间应相应顺延</w:t>
      </w:r>
      <w:r>
        <w:rPr>
          <w:rFonts w:ascii="宋体" w:hAnsi="宋体"/>
          <w:color w:val="auto"/>
          <w:szCs w:val="21"/>
        </w:rPr>
        <w:t>。</w:t>
      </w:r>
    </w:p>
    <w:p w14:paraId="26A322A7">
      <w:pPr>
        <w:spacing w:line="360" w:lineRule="auto"/>
        <w:ind w:firstLine="420" w:firstLineChars="200"/>
        <w:jc w:val="left"/>
        <w:rPr>
          <w:rFonts w:ascii="宋体" w:hAnsi="宋体"/>
          <w:color w:val="auto"/>
          <w:szCs w:val="21"/>
        </w:rPr>
      </w:pPr>
      <w:r>
        <w:rPr>
          <w:rFonts w:ascii="宋体" w:hAnsi="宋体"/>
          <w:color w:val="auto"/>
          <w:szCs w:val="21"/>
        </w:rPr>
        <w:t>发包人完成竣工付款的期限：</w:t>
      </w:r>
      <w:r>
        <w:rPr>
          <w:rFonts w:hint="eastAsia" w:ascii="宋体" w:hAnsi="宋体"/>
          <w:color w:val="auto"/>
          <w:szCs w:val="21"/>
          <w:u w:val="single"/>
        </w:rPr>
        <w:t xml:space="preserve">                      </w:t>
      </w:r>
      <w:r>
        <w:rPr>
          <w:rFonts w:ascii="宋体" w:hAnsi="宋体"/>
          <w:color w:val="auto"/>
          <w:szCs w:val="21"/>
        </w:rPr>
        <w:t>。</w:t>
      </w:r>
    </w:p>
    <w:p w14:paraId="7FE31B05">
      <w:pPr>
        <w:spacing w:line="360" w:lineRule="auto"/>
        <w:ind w:firstLine="420" w:firstLineChars="200"/>
        <w:jc w:val="left"/>
        <w:rPr>
          <w:rFonts w:ascii="宋体" w:hAnsi="宋体"/>
          <w:color w:val="auto"/>
          <w:szCs w:val="21"/>
          <w:u w:val="single"/>
        </w:rPr>
      </w:pPr>
      <w:r>
        <w:rPr>
          <w:rFonts w:ascii="宋体" w:hAnsi="宋体"/>
          <w:color w:val="auto"/>
          <w:szCs w:val="21"/>
        </w:rPr>
        <w:t>关于竣工付款证书异议部分复核的方式和程序：</w:t>
      </w:r>
      <w:r>
        <w:rPr>
          <w:rFonts w:hint="eastAsia" w:ascii="宋体" w:hAnsi="宋体"/>
          <w:color w:val="auto"/>
          <w:szCs w:val="21"/>
          <w:u w:val="single"/>
        </w:rPr>
        <w:t xml:space="preserve">                      </w:t>
      </w:r>
      <w:r>
        <w:rPr>
          <w:rFonts w:ascii="宋体" w:hAnsi="宋体"/>
          <w:color w:val="auto"/>
          <w:szCs w:val="21"/>
        </w:rPr>
        <w:t>。</w:t>
      </w:r>
    </w:p>
    <w:p w14:paraId="53DD0FB8">
      <w:pPr>
        <w:keepNext/>
        <w:keepLines/>
        <w:spacing w:before="260" w:after="260" w:line="416" w:lineRule="auto"/>
        <w:outlineLvl w:val="1"/>
        <w:rPr>
          <w:rFonts w:ascii="宋体" w:hAnsi="宋体"/>
          <w:b/>
          <w:bCs/>
          <w:color w:val="auto"/>
          <w:sz w:val="32"/>
          <w:szCs w:val="32"/>
        </w:rPr>
      </w:pPr>
      <w:bookmarkStart w:id="1359" w:name="_Toc373227761"/>
      <w:bookmarkStart w:id="1360" w:name="_Toc495673440"/>
      <w:bookmarkStart w:id="1361" w:name="_Toc389065326"/>
      <w:bookmarkStart w:id="1362" w:name="_Toc373478408"/>
      <w:bookmarkStart w:id="1363" w:name="_Toc508379775"/>
      <w:bookmarkStart w:id="1364" w:name="_Toc86935925"/>
      <w:bookmarkStart w:id="1365" w:name="_Toc407135264"/>
      <w:bookmarkStart w:id="1366" w:name="_Toc361"/>
      <w:bookmarkStart w:id="1367" w:name="_Toc26096"/>
      <w:r>
        <w:rPr>
          <w:rFonts w:ascii="宋体" w:hAnsi="宋体"/>
          <w:b/>
          <w:bCs/>
          <w:color w:val="auto"/>
          <w:sz w:val="32"/>
          <w:szCs w:val="32"/>
        </w:rPr>
        <w:t>14.4 最终结清</w:t>
      </w:r>
      <w:bookmarkEnd w:id="1359"/>
      <w:bookmarkEnd w:id="1360"/>
      <w:bookmarkEnd w:id="1361"/>
      <w:bookmarkEnd w:id="1362"/>
      <w:bookmarkEnd w:id="1363"/>
      <w:bookmarkEnd w:id="1364"/>
      <w:bookmarkEnd w:id="1365"/>
      <w:bookmarkEnd w:id="1366"/>
      <w:bookmarkEnd w:id="1367"/>
    </w:p>
    <w:p w14:paraId="780B4340">
      <w:pPr>
        <w:spacing w:line="360" w:lineRule="auto"/>
        <w:ind w:firstLine="420" w:firstLineChars="200"/>
        <w:jc w:val="left"/>
        <w:outlineLvl w:val="2"/>
        <w:rPr>
          <w:rFonts w:ascii="宋体" w:hAnsi="宋体"/>
          <w:color w:val="auto"/>
          <w:kern w:val="0"/>
          <w:szCs w:val="21"/>
        </w:rPr>
      </w:pPr>
      <w:r>
        <w:rPr>
          <w:rFonts w:ascii="宋体" w:hAnsi="宋体"/>
          <w:color w:val="auto"/>
          <w:kern w:val="0"/>
          <w:szCs w:val="21"/>
        </w:rPr>
        <w:t>14.4.1 最终结清申请单</w:t>
      </w:r>
    </w:p>
    <w:p w14:paraId="47BF44A5">
      <w:pPr>
        <w:spacing w:line="360" w:lineRule="auto"/>
        <w:ind w:firstLine="420" w:firstLineChars="200"/>
        <w:jc w:val="left"/>
        <w:rPr>
          <w:rFonts w:ascii="宋体" w:hAnsi="宋体"/>
          <w:color w:val="auto"/>
          <w:kern w:val="0"/>
          <w:szCs w:val="21"/>
        </w:rPr>
      </w:pPr>
      <w:r>
        <w:rPr>
          <w:rFonts w:ascii="宋体" w:hAnsi="宋体"/>
          <w:color w:val="auto"/>
          <w:kern w:val="0"/>
          <w:szCs w:val="21"/>
        </w:rPr>
        <w:t>承包人提交最终结清申请单的份数：</w:t>
      </w:r>
      <w:r>
        <w:rPr>
          <w:rFonts w:hint="eastAsia" w:ascii="宋体" w:hAnsi="宋体"/>
          <w:color w:val="auto"/>
          <w:szCs w:val="21"/>
          <w:u w:val="single"/>
        </w:rPr>
        <w:t xml:space="preserve">                      </w:t>
      </w:r>
      <w:r>
        <w:rPr>
          <w:rFonts w:ascii="宋体" w:hAnsi="宋体"/>
          <w:color w:val="auto"/>
          <w:szCs w:val="21"/>
        </w:rPr>
        <w:t>。</w:t>
      </w:r>
    </w:p>
    <w:p w14:paraId="296F9141">
      <w:pPr>
        <w:spacing w:line="360" w:lineRule="auto"/>
        <w:ind w:firstLine="420" w:firstLineChars="200"/>
        <w:jc w:val="left"/>
        <w:rPr>
          <w:rFonts w:ascii="宋体" w:hAnsi="宋体"/>
          <w:color w:val="auto"/>
          <w:szCs w:val="21"/>
        </w:rPr>
      </w:pPr>
      <w:r>
        <w:rPr>
          <w:rFonts w:ascii="宋体" w:hAnsi="宋体"/>
          <w:color w:val="auto"/>
          <w:kern w:val="0"/>
          <w:szCs w:val="21"/>
        </w:rPr>
        <w:t>承包人提交最终结算申请单的期限：</w:t>
      </w:r>
      <w:r>
        <w:rPr>
          <w:rFonts w:hint="eastAsia" w:ascii="宋体" w:hAnsi="宋体"/>
          <w:color w:val="auto"/>
          <w:szCs w:val="21"/>
          <w:u w:val="single"/>
        </w:rPr>
        <w:t xml:space="preserve">                      </w:t>
      </w:r>
      <w:r>
        <w:rPr>
          <w:rFonts w:ascii="宋体" w:hAnsi="宋体"/>
          <w:color w:val="auto"/>
          <w:szCs w:val="21"/>
        </w:rPr>
        <w:t xml:space="preserve">。 </w:t>
      </w:r>
    </w:p>
    <w:p w14:paraId="575E4164">
      <w:pPr>
        <w:spacing w:line="360" w:lineRule="auto"/>
        <w:ind w:firstLine="420" w:firstLineChars="200"/>
        <w:jc w:val="left"/>
        <w:outlineLvl w:val="2"/>
        <w:rPr>
          <w:rFonts w:ascii="宋体" w:hAnsi="宋体"/>
          <w:color w:val="auto"/>
          <w:szCs w:val="21"/>
        </w:rPr>
      </w:pPr>
      <w:r>
        <w:rPr>
          <w:rFonts w:ascii="宋体" w:hAnsi="宋体"/>
          <w:color w:val="auto"/>
          <w:szCs w:val="21"/>
        </w:rPr>
        <w:t>14.4.2 最终结清证书和支付</w:t>
      </w:r>
    </w:p>
    <w:p w14:paraId="5D8378A8">
      <w:pPr>
        <w:spacing w:line="360" w:lineRule="auto"/>
        <w:ind w:firstLine="420" w:firstLineChars="200"/>
        <w:jc w:val="left"/>
        <w:rPr>
          <w:rFonts w:ascii="宋体" w:hAnsi="宋体"/>
          <w:color w:val="auto"/>
          <w:szCs w:val="21"/>
        </w:rPr>
      </w:pPr>
      <w:r>
        <w:rPr>
          <w:rFonts w:ascii="宋体" w:hAnsi="宋体"/>
          <w:color w:val="auto"/>
          <w:szCs w:val="21"/>
        </w:rPr>
        <w:t>（1）发包人完成最终结清申请单的审批并颁发最终结清证书的期限：</w:t>
      </w:r>
      <w:r>
        <w:rPr>
          <w:rFonts w:hint="eastAsia" w:ascii="宋体" w:hAnsi="宋体"/>
          <w:color w:val="auto"/>
          <w:szCs w:val="21"/>
          <w:u w:val="single"/>
        </w:rPr>
        <w:t xml:space="preserve">                      </w:t>
      </w:r>
      <w:r>
        <w:rPr>
          <w:rFonts w:ascii="宋体" w:hAnsi="宋体"/>
          <w:color w:val="auto"/>
          <w:szCs w:val="21"/>
        </w:rPr>
        <w:t>。</w:t>
      </w:r>
    </w:p>
    <w:p w14:paraId="6633B994">
      <w:pPr>
        <w:spacing w:line="360" w:lineRule="auto"/>
        <w:ind w:firstLine="420" w:firstLineChars="200"/>
        <w:jc w:val="left"/>
        <w:rPr>
          <w:rFonts w:ascii="宋体" w:hAnsi="宋体"/>
          <w:color w:val="auto"/>
          <w:szCs w:val="21"/>
        </w:rPr>
      </w:pPr>
      <w:r>
        <w:rPr>
          <w:rFonts w:ascii="宋体" w:hAnsi="宋体"/>
          <w:color w:val="auto"/>
          <w:szCs w:val="21"/>
        </w:rPr>
        <w:t>（2）发包人完成支付的期限：</w:t>
      </w:r>
      <w:r>
        <w:rPr>
          <w:rFonts w:hint="eastAsia" w:ascii="宋体" w:hAnsi="宋体"/>
          <w:color w:val="auto"/>
          <w:szCs w:val="21"/>
          <w:u w:val="single"/>
        </w:rPr>
        <w:t xml:space="preserve">                      </w:t>
      </w:r>
      <w:r>
        <w:rPr>
          <w:rFonts w:ascii="宋体" w:hAnsi="宋体"/>
          <w:color w:val="auto"/>
          <w:szCs w:val="21"/>
        </w:rPr>
        <w:t>。</w:t>
      </w:r>
    </w:p>
    <w:bookmarkEnd w:id="1298"/>
    <w:bookmarkEnd w:id="1299"/>
    <w:bookmarkEnd w:id="1300"/>
    <w:bookmarkEnd w:id="1301"/>
    <w:bookmarkEnd w:id="1302"/>
    <w:bookmarkEnd w:id="1303"/>
    <w:bookmarkEnd w:id="1304"/>
    <w:bookmarkEnd w:id="1310"/>
    <w:p w14:paraId="3187A3E3">
      <w:pPr>
        <w:keepNext/>
        <w:keepLines/>
        <w:spacing w:before="260" w:after="260" w:line="416" w:lineRule="auto"/>
        <w:outlineLvl w:val="0"/>
        <w:rPr>
          <w:rFonts w:ascii="宋体" w:hAnsi="宋体"/>
          <w:b/>
          <w:bCs/>
          <w:color w:val="auto"/>
          <w:sz w:val="32"/>
          <w:szCs w:val="32"/>
        </w:rPr>
      </w:pPr>
      <w:bookmarkStart w:id="1368" w:name="_Toc373227762"/>
      <w:bookmarkStart w:id="1369" w:name="_Toc351203647"/>
      <w:bookmarkStart w:id="1370" w:name="_Toc508379776"/>
      <w:bookmarkStart w:id="1371" w:name="_Toc495673441"/>
      <w:bookmarkStart w:id="1372" w:name="_Toc389065327"/>
      <w:bookmarkStart w:id="1373" w:name="_Toc373478409"/>
      <w:bookmarkStart w:id="1374" w:name="_Toc407135265"/>
      <w:bookmarkStart w:id="1375" w:name="_Toc86935926"/>
      <w:bookmarkStart w:id="1376" w:name="_Toc18438"/>
      <w:bookmarkStart w:id="1377" w:name="_Toc250"/>
      <w:bookmarkStart w:id="1378" w:name="_Toc29515"/>
      <w:bookmarkStart w:id="1379" w:name="_Toc5436"/>
      <w:bookmarkStart w:id="1380" w:name="_Toc267251483"/>
      <w:bookmarkStart w:id="1381" w:name="_Toc267251482"/>
      <w:bookmarkStart w:id="1382" w:name="_Toc267251484"/>
      <w:bookmarkStart w:id="1383" w:name="_Toc267251485"/>
      <w:bookmarkStart w:id="1384" w:name="_Toc267251486"/>
      <w:bookmarkStart w:id="1385" w:name="_Toc267251490"/>
      <w:bookmarkStart w:id="1386" w:name="_Toc267251489"/>
      <w:bookmarkStart w:id="1387" w:name="_Toc267251488"/>
      <w:bookmarkStart w:id="1388" w:name="_Toc267251494"/>
      <w:bookmarkStart w:id="1389" w:name="_Toc267251493"/>
      <w:bookmarkStart w:id="1390" w:name="_Toc267251497"/>
      <w:bookmarkStart w:id="1391" w:name="_Toc267251492"/>
      <w:bookmarkStart w:id="1392" w:name="_Toc267251491"/>
      <w:bookmarkStart w:id="1393" w:name="_Toc267251503"/>
      <w:bookmarkStart w:id="1394" w:name="_Toc267251496"/>
      <w:bookmarkStart w:id="1395" w:name="_Toc267251502"/>
      <w:bookmarkStart w:id="1396" w:name="_Toc267251499"/>
      <w:bookmarkStart w:id="1397" w:name="_Toc267251498"/>
      <w:bookmarkStart w:id="1398" w:name="_Toc267251501"/>
      <w:bookmarkStart w:id="1399" w:name="_Toc267251495"/>
      <w:bookmarkStart w:id="1400" w:name="_Toc267251504"/>
      <w:bookmarkStart w:id="1401" w:name="_Toc267251506"/>
      <w:bookmarkStart w:id="1402" w:name="_Toc267251507"/>
      <w:bookmarkStart w:id="1403" w:name="_Toc267251508"/>
      <w:bookmarkStart w:id="1404" w:name="_Toc267251510"/>
      <w:bookmarkStart w:id="1405" w:name="_Toc267251515"/>
      <w:bookmarkStart w:id="1406" w:name="_Toc267251513"/>
      <w:bookmarkStart w:id="1407" w:name="_Toc267251514"/>
      <w:bookmarkStart w:id="1408" w:name="_Toc267251511"/>
      <w:bookmarkStart w:id="1409" w:name="_Toc267251509"/>
      <w:r>
        <w:rPr>
          <w:rFonts w:ascii="宋体" w:hAnsi="宋体"/>
          <w:b/>
          <w:bCs/>
          <w:color w:val="auto"/>
          <w:sz w:val="32"/>
          <w:szCs w:val="32"/>
        </w:rPr>
        <w:t>15. 缺陷责任期与保修</w:t>
      </w:r>
      <w:bookmarkEnd w:id="1368"/>
      <w:bookmarkEnd w:id="1369"/>
      <w:bookmarkEnd w:id="1370"/>
      <w:bookmarkEnd w:id="1371"/>
      <w:bookmarkEnd w:id="1372"/>
      <w:bookmarkEnd w:id="1373"/>
      <w:bookmarkEnd w:id="1374"/>
      <w:bookmarkEnd w:id="1375"/>
      <w:bookmarkEnd w:id="1376"/>
      <w:bookmarkEnd w:id="1377"/>
      <w:bookmarkEnd w:id="1378"/>
      <w:bookmarkEnd w:id="1379"/>
    </w:p>
    <w:p w14:paraId="66B2CB58">
      <w:pPr>
        <w:keepNext/>
        <w:keepLines/>
        <w:spacing w:before="260" w:after="260" w:line="416" w:lineRule="auto"/>
        <w:outlineLvl w:val="1"/>
        <w:rPr>
          <w:rFonts w:ascii="宋体" w:hAnsi="宋体"/>
          <w:b/>
          <w:bCs/>
          <w:color w:val="auto"/>
          <w:sz w:val="32"/>
          <w:szCs w:val="32"/>
        </w:rPr>
      </w:pPr>
      <w:bookmarkStart w:id="1410" w:name="_Toc495673442"/>
      <w:bookmarkStart w:id="1411" w:name="_Toc11482"/>
      <w:bookmarkStart w:id="1412" w:name="_Toc4851"/>
      <w:bookmarkStart w:id="1413" w:name="_Toc508379777"/>
      <w:bookmarkStart w:id="1414" w:name="_Toc373227763"/>
      <w:bookmarkStart w:id="1415" w:name="_Toc407135266"/>
      <w:bookmarkStart w:id="1416" w:name="_Toc373478410"/>
      <w:bookmarkStart w:id="1417" w:name="_Toc86935927"/>
      <w:bookmarkStart w:id="1418" w:name="_Toc389065328"/>
      <w:r>
        <w:rPr>
          <w:rFonts w:ascii="宋体" w:hAnsi="宋体"/>
          <w:b/>
          <w:bCs/>
          <w:color w:val="auto"/>
          <w:sz w:val="32"/>
          <w:szCs w:val="32"/>
        </w:rPr>
        <w:t>15.2缺陷责任期</w:t>
      </w:r>
      <w:bookmarkEnd w:id="1380"/>
      <w:bookmarkEnd w:id="1410"/>
      <w:bookmarkEnd w:id="1411"/>
      <w:bookmarkEnd w:id="1412"/>
      <w:bookmarkEnd w:id="1413"/>
      <w:bookmarkEnd w:id="1414"/>
      <w:bookmarkEnd w:id="1415"/>
      <w:bookmarkEnd w:id="1416"/>
      <w:bookmarkEnd w:id="1417"/>
      <w:bookmarkEnd w:id="1418"/>
    </w:p>
    <w:p w14:paraId="73C97E79">
      <w:pPr>
        <w:pStyle w:val="292"/>
        <w:widowControl/>
        <w:spacing w:line="400" w:lineRule="exact"/>
        <w:ind w:firstLine="567" w:firstLineChars="270"/>
        <w:rPr>
          <w:rFonts w:hint="eastAsia" w:ascii="宋体" w:hAnsi="宋体" w:eastAsia="宋体" w:cs="Times New Roman"/>
          <w:color w:val="auto"/>
          <w:kern w:val="2"/>
          <w:sz w:val="21"/>
          <w:szCs w:val="21"/>
          <w:u w:val="single"/>
          <w:lang w:val="en-US" w:eastAsia="zh-CN" w:bidi="ar-SA"/>
        </w:rPr>
      </w:pPr>
      <w:r>
        <w:rPr>
          <w:rFonts w:ascii="宋体" w:hAnsi="宋体" w:eastAsia="宋体" w:cs="Times New Roman"/>
          <w:color w:val="auto"/>
          <w:kern w:val="2"/>
          <w:sz w:val="21"/>
          <w:szCs w:val="21"/>
          <w:lang w:val="en-US" w:eastAsia="zh-CN" w:bidi="ar-SA"/>
        </w:rPr>
        <w:t>缺陷责任期的具体期限：</w:t>
      </w:r>
      <w:r>
        <w:rPr>
          <w:rFonts w:hint="eastAsia" w:ascii="宋体" w:hAnsi="宋体" w:eastAsia="宋体" w:cs="Times New Roman"/>
          <w:color w:val="auto"/>
          <w:kern w:val="2"/>
          <w:sz w:val="21"/>
          <w:szCs w:val="21"/>
          <w:u w:val="single"/>
          <w:lang w:val="en-US" w:eastAsia="zh-CN" w:bidi="ar-SA"/>
        </w:rPr>
        <w:t xml:space="preserve"> 24个月</w:t>
      </w:r>
      <w:r>
        <w:rPr>
          <w:rFonts w:ascii="宋体" w:hAnsi="宋体" w:eastAsia="宋体" w:cs="Times New Roman"/>
          <w:color w:val="auto"/>
          <w:kern w:val="2"/>
          <w:sz w:val="21"/>
          <w:szCs w:val="21"/>
          <w:u w:val="single"/>
          <w:lang w:val="en-US" w:eastAsia="zh-CN" w:bidi="ar-SA"/>
        </w:rPr>
        <w:t>。</w:t>
      </w:r>
      <w:r>
        <w:rPr>
          <w:rFonts w:hint="eastAsia" w:ascii="宋体" w:hAnsi="宋体" w:eastAsia="宋体" w:cs="Times New Roman"/>
          <w:color w:val="auto"/>
          <w:kern w:val="2"/>
          <w:sz w:val="21"/>
          <w:szCs w:val="21"/>
          <w:u w:val="single"/>
          <w:lang w:val="en-US" w:eastAsia="zh-CN" w:bidi="ar-SA"/>
        </w:rPr>
        <w:t>缺陷责任期自工程通过竣工验收合格之日起计算（因承包人原因导致工程无法按合同约定期限进行竣工验收的，缺陷责任期从实际通过竣工验收之日起计算）。单位工程先于全部工程进行验收，单位工程缺陷责任期自单位工程验收合格之日起算。</w:t>
      </w:r>
    </w:p>
    <w:p w14:paraId="6789903D">
      <w:pPr>
        <w:spacing w:line="360" w:lineRule="auto"/>
        <w:ind w:firstLine="420" w:firstLineChars="200"/>
        <w:jc w:val="left"/>
        <w:rPr>
          <w:rFonts w:ascii="宋体" w:hAnsi="宋体" w:eastAsia="宋体" w:cs="Times New Roman"/>
          <w:color w:val="auto"/>
          <w:kern w:val="2"/>
          <w:sz w:val="21"/>
          <w:szCs w:val="21"/>
          <w:u w:val="single"/>
          <w:lang w:val="en-US" w:eastAsia="zh-CN" w:bidi="ar-SA"/>
        </w:rPr>
      </w:pPr>
      <w:r>
        <w:rPr>
          <w:rFonts w:hint="eastAsia" w:ascii="宋体" w:hAnsi="宋体" w:eastAsia="宋体" w:cs="Times New Roman"/>
          <w:color w:val="auto"/>
          <w:kern w:val="2"/>
          <w:sz w:val="21"/>
          <w:szCs w:val="21"/>
          <w:u w:val="single"/>
          <w:lang w:val="en-US" w:eastAsia="zh-CN" w:bidi="ar-SA"/>
        </w:rPr>
        <w:t>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w:t>
      </w:r>
    </w:p>
    <w:p w14:paraId="731422FA">
      <w:pPr>
        <w:spacing w:line="360" w:lineRule="auto"/>
        <w:ind w:firstLine="420" w:firstLineChars="200"/>
        <w:jc w:val="left"/>
        <w:rPr>
          <w:rFonts w:ascii="宋体" w:hAnsi="宋体"/>
          <w:color w:val="auto"/>
          <w:szCs w:val="21"/>
          <w:u w:val="single"/>
        </w:rPr>
      </w:pPr>
    </w:p>
    <w:p w14:paraId="34B9919E">
      <w:pPr>
        <w:keepNext/>
        <w:keepLines/>
        <w:spacing w:before="260" w:after="260" w:line="416" w:lineRule="auto"/>
        <w:outlineLvl w:val="1"/>
        <w:rPr>
          <w:rFonts w:ascii="宋体" w:hAnsi="宋体"/>
          <w:b/>
          <w:bCs/>
          <w:color w:val="auto"/>
          <w:sz w:val="32"/>
          <w:szCs w:val="32"/>
        </w:rPr>
      </w:pPr>
      <w:bookmarkStart w:id="1419" w:name="_Toc495673443"/>
      <w:bookmarkStart w:id="1420" w:name="_Toc407135267"/>
      <w:bookmarkStart w:id="1421" w:name="_Toc86935928"/>
      <w:bookmarkStart w:id="1422" w:name="_Toc373227764"/>
      <w:bookmarkStart w:id="1423" w:name="_Toc508379778"/>
      <w:bookmarkStart w:id="1424" w:name="_Toc389065329"/>
      <w:bookmarkStart w:id="1425" w:name="_Toc373478411"/>
      <w:bookmarkStart w:id="1426" w:name="_Toc27841"/>
      <w:bookmarkStart w:id="1427" w:name="_Toc5358"/>
      <w:r>
        <w:rPr>
          <w:rFonts w:ascii="宋体" w:hAnsi="宋体"/>
          <w:b/>
          <w:bCs/>
          <w:color w:val="auto"/>
          <w:sz w:val="32"/>
          <w:szCs w:val="32"/>
        </w:rPr>
        <w:t>15.3 质量保证金</w:t>
      </w:r>
      <w:bookmarkEnd w:id="1419"/>
      <w:bookmarkEnd w:id="1420"/>
      <w:bookmarkEnd w:id="1421"/>
      <w:bookmarkEnd w:id="1422"/>
      <w:bookmarkEnd w:id="1423"/>
      <w:bookmarkEnd w:id="1424"/>
      <w:bookmarkEnd w:id="1425"/>
      <w:bookmarkEnd w:id="1426"/>
      <w:bookmarkEnd w:id="1427"/>
    </w:p>
    <w:p w14:paraId="0BFACAAC">
      <w:pPr>
        <w:pStyle w:val="292"/>
        <w:widowControl/>
        <w:spacing w:line="400" w:lineRule="exact"/>
        <w:ind w:firstLine="420" w:firstLineChars="200"/>
        <w:rPr>
          <w:rFonts w:ascii="宋体" w:hAnsi="宋体"/>
          <w:color w:val="auto"/>
          <w:szCs w:val="21"/>
        </w:rPr>
      </w:pPr>
      <w:r>
        <w:rPr>
          <w:rFonts w:ascii="宋体" w:hAnsi="宋体"/>
          <w:color w:val="auto"/>
          <w:szCs w:val="21"/>
        </w:rPr>
        <w:t>关于是否扣留质量保证金的约定：</w:t>
      </w:r>
      <w:r>
        <w:rPr>
          <w:rStyle w:val="50"/>
          <w:rFonts w:hint="eastAsia" w:ascii="宋体" w:hAnsi="宋体" w:eastAsia="宋体"/>
          <w:color w:val="auto"/>
        </w:rPr>
        <w:t>质量保证金</w:t>
      </w:r>
      <w:r>
        <w:rPr>
          <w:rStyle w:val="50"/>
          <w:rFonts w:hint="eastAsia" w:ascii="宋体" w:hAnsi="宋体" w:eastAsia="宋体" w:cs="宋体"/>
          <w:bCs/>
          <w:color w:val="auto"/>
          <w:u w:val="single"/>
        </w:rPr>
        <w:t>金额为工程结算价的3%</w:t>
      </w:r>
      <w:r>
        <w:rPr>
          <w:rStyle w:val="50"/>
          <w:rFonts w:hint="eastAsia" w:ascii="宋体" w:hAnsi="宋体" w:eastAsia="宋体" w:cs="宋体"/>
          <w:color w:val="auto"/>
        </w:rPr>
        <w:t>，</w:t>
      </w:r>
      <w:r>
        <w:rPr>
          <w:rStyle w:val="50"/>
          <w:rFonts w:hint="eastAsia" w:ascii="宋体" w:hAnsi="宋体" w:eastAsia="宋体"/>
          <w:color w:val="auto"/>
        </w:rPr>
        <w:t>质量保证金</w:t>
      </w:r>
      <w:r>
        <w:rPr>
          <w:rStyle w:val="50"/>
          <w:rFonts w:hint="eastAsia" w:ascii="宋体" w:hAnsi="宋体" w:eastAsia="宋体" w:cs="宋体"/>
          <w:bCs/>
          <w:color w:val="auto"/>
          <w:u w:val="single"/>
        </w:rPr>
        <w:t>金额的暂扣方式</w:t>
      </w:r>
      <w:r>
        <w:rPr>
          <w:rStyle w:val="50"/>
          <w:rFonts w:hint="eastAsia" w:ascii="宋体" w:hAnsi="宋体" w:eastAsia="宋体" w:cs="宋体"/>
          <w:bCs/>
          <w:color w:val="auto"/>
        </w:rPr>
        <w:t>：</w:t>
      </w:r>
      <w:r>
        <w:rPr>
          <w:rStyle w:val="50"/>
          <w:rFonts w:hint="eastAsia" w:ascii="宋体" w:hAnsi="宋体" w:eastAsia="宋体" w:cs="宋体"/>
          <w:bCs/>
          <w:color w:val="auto"/>
          <w:u w:val="single"/>
        </w:rPr>
        <w:t>由发包人在工程结算款里扣除</w:t>
      </w:r>
      <w:r>
        <w:rPr>
          <w:rFonts w:ascii="宋体" w:hAnsi="宋体"/>
          <w:color w:val="auto"/>
          <w:szCs w:val="21"/>
        </w:rPr>
        <w:t>。</w:t>
      </w:r>
    </w:p>
    <w:p w14:paraId="7313B0F0">
      <w:pPr>
        <w:spacing w:line="360" w:lineRule="auto"/>
        <w:ind w:firstLine="420" w:firstLineChars="200"/>
        <w:jc w:val="left"/>
        <w:outlineLvl w:val="2"/>
        <w:rPr>
          <w:rFonts w:ascii="宋体" w:hAnsi="宋体"/>
          <w:color w:val="auto"/>
          <w:szCs w:val="21"/>
        </w:rPr>
      </w:pPr>
      <w:r>
        <w:rPr>
          <w:rFonts w:ascii="宋体" w:hAnsi="宋体"/>
          <w:color w:val="auto"/>
          <w:szCs w:val="21"/>
        </w:rPr>
        <w:t>15.3.1 承包人提供质量保证金的方式</w:t>
      </w:r>
    </w:p>
    <w:p w14:paraId="51FC3E90">
      <w:pPr>
        <w:spacing w:line="360" w:lineRule="auto"/>
        <w:ind w:firstLine="420" w:firstLineChars="200"/>
        <w:jc w:val="left"/>
        <w:rPr>
          <w:rFonts w:ascii="宋体" w:hAnsi="宋体"/>
          <w:color w:val="auto"/>
          <w:szCs w:val="21"/>
        </w:rPr>
      </w:pPr>
      <w:r>
        <w:rPr>
          <w:rFonts w:ascii="宋体" w:hAnsi="宋体"/>
          <w:color w:val="auto"/>
          <w:szCs w:val="21"/>
        </w:rPr>
        <w:t>质量保证金采用以下第</w:t>
      </w:r>
      <w:r>
        <w:rPr>
          <w:rFonts w:hint="eastAsia" w:ascii="宋体" w:hAnsi="宋体"/>
          <w:color w:val="auto"/>
          <w:szCs w:val="21"/>
          <w:u w:val="single"/>
        </w:rPr>
        <w:t>（2）</w:t>
      </w:r>
      <w:r>
        <w:rPr>
          <w:rFonts w:ascii="宋体" w:hAnsi="宋体"/>
          <w:color w:val="auto"/>
          <w:szCs w:val="21"/>
        </w:rPr>
        <w:t>种方式：</w:t>
      </w:r>
    </w:p>
    <w:p w14:paraId="3F277EA5">
      <w:pPr>
        <w:autoSpaceDE w:val="0"/>
        <w:autoSpaceDN w:val="0"/>
        <w:adjustRightInd w:val="0"/>
        <w:spacing w:line="360" w:lineRule="auto"/>
        <w:ind w:firstLine="420" w:firstLineChars="200"/>
        <w:jc w:val="left"/>
        <w:rPr>
          <w:rFonts w:ascii="宋体" w:hAnsi="宋体"/>
          <w:color w:val="auto"/>
          <w:kern w:val="0"/>
          <w:szCs w:val="21"/>
        </w:rPr>
      </w:pPr>
      <w:r>
        <w:rPr>
          <w:rFonts w:ascii="宋体" w:hAnsi="宋体"/>
          <w:color w:val="auto"/>
          <w:kern w:val="0"/>
          <w:szCs w:val="21"/>
        </w:rPr>
        <w:t>（1）</w:t>
      </w:r>
      <w:r>
        <w:rPr>
          <w:rStyle w:val="50"/>
          <w:rFonts w:hint="eastAsia" w:ascii="宋体" w:hAnsi="宋体" w:eastAsia="宋体" w:cs="宋体"/>
          <w:color w:val="auto"/>
          <w:kern w:val="0"/>
        </w:rPr>
        <w:t>质量保证金保函</w:t>
      </w:r>
      <w:r>
        <w:rPr>
          <w:rStyle w:val="50"/>
          <w:rFonts w:hint="eastAsia" w:ascii="宋体" w:hAnsi="宋体" w:eastAsia="宋体" w:cs="宋体"/>
          <w:color w:val="auto"/>
        </w:rPr>
        <w:t>（银行保函、电子保函、保证保险保函、工程担保保函，</w:t>
      </w:r>
      <w:r>
        <w:rPr>
          <w:rStyle w:val="50"/>
          <w:rFonts w:hint="eastAsia" w:ascii="宋体" w:hAnsi="宋体" w:eastAsia="宋体" w:cs="宋体"/>
          <w:color w:val="auto"/>
          <w:kern w:val="0"/>
        </w:rPr>
        <w:t>工程担保保证人应将出具的保函相关信息录入“广西建筑市场监管云”平台（http://gxjzsc.caihcloud.com），以实现保函查询及验真功能。</w:t>
      </w:r>
      <w:r>
        <w:rPr>
          <w:rStyle w:val="50"/>
          <w:rFonts w:hint="eastAsia" w:ascii="宋体" w:hAnsi="宋体" w:eastAsia="宋体" w:cs="宋体"/>
          <w:color w:val="auto"/>
        </w:rPr>
        <w:t>）</w:t>
      </w:r>
      <w:r>
        <w:rPr>
          <w:rFonts w:ascii="宋体" w:hAnsi="宋体"/>
          <w:color w:val="auto"/>
          <w:kern w:val="0"/>
          <w:szCs w:val="21"/>
        </w:rPr>
        <w:t>，保证金额为：</w:t>
      </w:r>
      <w:r>
        <w:rPr>
          <w:rFonts w:hint="eastAsia" w:ascii="宋体" w:hAnsi="宋体"/>
          <w:color w:val="auto"/>
          <w:szCs w:val="21"/>
          <w:u w:val="single"/>
        </w:rPr>
        <w:t xml:space="preserve">                      </w:t>
      </w:r>
      <w:r>
        <w:rPr>
          <w:rFonts w:ascii="宋体" w:hAnsi="宋体"/>
          <w:color w:val="auto"/>
          <w:kern w:val="0"/>
          <w:szCs w:val="21"/>
        </w:rPr>
        <w:t>；</w:t>
      </w:r>
    </w:p>
    <w:p w14:paraId="4033B4EA">
      <w:pPr>
        <w:autoSpaceDE w:val="0"/>
        <w:autoSpaceDN w:val="0"/>
        <w:adjustRightInd w:val="0"/>
        <w:spacing w:line="360" w:lineRule="auto"/>
        <w:ind w:firstLine="420" w:firstLineChars="200"/>
        <w:jc w:val="left"/>
        <w:rPr>
          <w:rFonts w:ascii="宋体" w:hAnsi="宋体"/>
          <w:color w:val="auto"/>
          <w:kern w:val="0"/>
          <w:szCs w:val="21"/>
        </w:rPr>
      </w:pPr>
      <w:r>
        <w:rPr>
          <w:rFonts w:ascii="宋体" w:hAnsi="宋体"/>
          <w:color w:val="auto"/>
          <w:kern w:val="0"/>
          <w:szCs w:val="21"/>
        </w:rPr>
        <w:t>（2）</w:t>
      </w:r>
      <w:r>
        <w:rPr>
          <w:rFonts w:hint="eastAsia" w:ascii="宋体" w:hAnsi="宋体" w:cs="宋体"/>
          <w:color w:val="auto"/>
          <w:szCs w:val="22"/>
        </w:rPr>
        <w:t>发包人按工程价款结算总额的</w:t>
      </w:r>
      <w:r>
        <w:rPr>
          <w:rFonts w:hint="eastAsia" w:ascii="宋体" w:hAnsi="宋体"/>
          <w:color w:val="auto"/>
          <w:szCs w:val="22"/>
          <w:u w:val="single"/>
        </w:rPr>
        <w:t>3</w:t>
      </w:r>
      <w:r>
        <w:rPr>
          <w:rFonts w:ascii="宋体" w:hAnsi="宋体"/>
          <w:color w:val="auto"/>
          <w:szCs w:val="22"/>
        </w:rPr>
        <w:t>%</w:t>
      </w:r>
      <w:r>
        <w:rPr>
          <w:rFonts w:hint="eastAsia" w:ascii="宋体" w:hAnsi="宋体" w:cs="宋体"/>
          <w:color w:val="auto"/>
          <w:szCs w:val="22"/>
        </w:rPr>
        <w:t>（不得超过</w:t>
      </w:r>
      <w:r>
        <w:rPr>
          <w:rFonts w:ascii="宋体" w:hAnsi="宋体"/>
          <w:color w:val="auto"/>
          <w:szCs w:val="22"/>
        </w:rPr>
        <w:t>3%</w:t>
      </w:r>
      <w:r>
        <w:rPr>
          <w:rFonts w:hint="eastAsia" w:ascii="宋体" w:hAnsi="宋体" w:cs="宋体"/>
          <w:color w:val="auto"/>
          <w:szCs w:val="22"/>
        </w:rPr>
        <w:t>）预留工程质量保修金，待缺陷责任期满后返还，是否付息及利息计算方式为：</w:t>
      </w:r>
      <w:r>
        <w:rPr>
          <w:rStyle w:val="50"/>
          <w:rFonts w:hint="eastAsia" w:ascii="宋体" w:hAnsi="宋体" w:eastAsia="宋体" w:cs="宋体"/>
          <w:bCs/>
          <w:color w:val="auto"/>
          <w:u w:val="single"/>
        </w:rPr>
        <w:t>否</w:t>
      </w:r>
      <w:r>
        <w:rPr>
          <w:rFonts w:hint="eastAsia" w:ascii="宋体" w:hAnsi="宋体" w:cs="宋体"/>
          <w:color w:val="auto"/>
          <w:kern w:val="0"/>
          <w:szCs w:val="22"/>
        </w:rPr>
        <w:t>；</w:t>
      </w:r>
    </w:p>
    <w:p w14:paraId="071E33C4">
      <w:pPr>
        <w:autoSpaceDE w:val="0"/>
        <w:autoSpaceDN w:val="0"/>
        <w:adjustRightInd w:val="0"/>
        <w:spacing w:line="360" w:lineRule="auto"/>
        <w:ind w:firstLine="420" w:firstLineChars="200"/>
        <w:jc w:val="left"/>
        <w:rPr>
          <w:rFonts w:ascii="宋体" w:hAnsi="宋体"/>
          <w:color w:val="auto"/>
          <w:kern w:val="0"/>
          <w:szCs w:val="21"/>
        </w:rPr>
      </w:pPr>
      <w:r>
        <w:rPr>
          <w:rFonts w:ascii="宋体" w:hAnsi="宋体"/>
          <w:color w:val="auto"/>
          <w:kern w:val="0"/>
          <w:szCs w:val="21"/>
        </w:rPr>
        <w:t>（3）其他方式</w:t>
      </w:r>
      <w:r>
        <w:rPr>
          <w:rFonts w:hint="eastAsia" w:ascii="宋体" w:hAnsi="宋体"/>
          <w:color w:val="auto"/>
          <w:kern w:val="0"/>
          <w:szCs w:val="21"/>
        </w:rPr>
        <w:t>：</w:t>
      </w:r>
      <w:r>
        <w:rPr>
          <w:rStyle w:val="50"/>
          <w:rFonts w:hint="eastAsia" w:ascii="宋体" w:hAnsi="宋体" w:eastAsia="宋体" w:cs="宋体"/>
          <w:color w:val="auto"/>
          <w:u w:val="single"/>
        </w:rPr>
        <w:t>银行转账、电汇</w:t>
      </w:r>
      <w:r>
        <w:rPr>
          <w:rStyle w:val="50"/>
          <w:rFonts w:hint="eastAsia" w:ascii="宋体" w:hAnsi="宋体"/>
          <w:color w:val="auto"/>
          <w:u w:val="single"/>
        </w:rPr>
        <w:t>或网上支付等形式</w:t>
      </w:r>
      <w:r>
        <w:rPr>
          <w:rFonts w:ascii="宋体" w:hAnsi="宋体"/>
          <w:bCs/>
          <w:color w:val="auto"/>
          <w:szCs w:val="21"/>
        </w:rPr>
        <w:t>。</w:t>
      </w:r>
    </w:p>
    <w:p w14:paraId="403B36FE">
      <w:pPr>
        <w:spacing w:line="360" w:lineRule="auto"/>
        <w:ind w:firstLine="420" w:firstLineChars="200"/>
        <w:jc w:val="left"/>
        <w:outlineLvl w:val="2"/>
        <w:rPr>
          <w:rFonts w:ascii="宋体" w:hAnsi="宋体"/>
          <w:color w:val="auto"/>
          <w:szCs w:val="21"/>
        </w:rPr>
      </w:pPr>
      <w:r>
        <w:rPr>
          <w:rFonts w:ascii="宋体" w:hAnsi="宋体"/>
          <w:color w:val="auto"/>
          <w:szCs w:val="21"/>
        </w:rPr>
        <w:t>15.3.2 质量保证金的扣留</w:t>
      </w:r>
    </w:p>
    <w:p w14:paraId="3DB4A4DF">
      <w:pPr>
        <w:spacing w:line="360" w:lineRule="auto"/>
        <w:ind w:firstLine="420" w:firstLineChars="200"/>
        <w:jc w:val="left"/>
        <w:rPr>
          <w:rFonts w:ascii="宋体" w:hAnsi="宋体"/>
          <w:color w:val="auto"/>
          <w:szCs w:val="21"/>
        </w:rPr>
      </w:pPr>
      <w:r>
        <w:rPr>
          <w:rFonts w:ascii="宋体" w:hAnsi="宋体"/>
          <w:color w:val="auto"/>
          <w:szCs w:val="21"/>
        </w:rPr>
        <w:t>质量保证金的扣留采取以下第</w:t>
      </w:r>
      <w:r>
        <w:rPr>
          <w:rFonts w:hint="eastAsia" w:ascii="宋体" w:hAnsi="宋体"/>
          <w:color w:val="auto"/>
          <w:szCs w:val="21"/>
          <w:u w:val="single"/>
        </w:rPr>
        <w:t>（2）</w:t>
      </w:r>
      <w:r>
        <w:rPr>
          <w:rFonts w:ascii="宋体" w:hAnsi="宋体"/>
          <w:color w:val="auto"/>
          <w:szCs w:val="21"/>
        </w:rPr>
        <w:t>种方式：</w:t>
      </w:r>
    </w:p>
    <w:p w14:paraId="75445E93">
      <w:pPr>
        <w:autoSpaceDE w:val="0"/>
        <w:autoSpaceDN w:val="0"/>
        <w:adjustRightInd w:val="0"/>
        <w:spacing w:line="360" w:lineRule="auto"/>
        <w:ind w:firstLine="420" w:firstLineChars="200"/>
        <w:jc w:val="left"/>
        <w:rPr>
          <w:rFonts w:ascii="宋体" w:hAnsi="宋体"/>
          <w:color w:val="auto"/>
          <w:kern w:val="0"/>
          <w:szCs w:val="21"/>
        </w:rPr>
      </w:pPr>
      <w:r>
        <w:rPr>
          <w:rFonts w:ascii="宋体" w:hAnsi="宋体"/>
          <w:color w:val="auto"/>
          <w:kern w:val="0"/>
          <w:szCs w:val="21"/>
        </w:rPr>
        <w:t>（1）在支付工程进度款时逐次扣留，在此情形下，质量保证金的计算基数不包括预付款的支付、扣回以及价格调整的金额；</w:t>
      </w:r>
    </w:p>
    <w:p w14:paraId="7B756F1F">
      <w:pPr>
        <w:autoSpaceDE w:val="0"/>
        <w:autoSpaceDN w:val="0"/>
        <w:adjustRightInd w:val="0"/>
        <w:spacing w:line="360" w:lineRule="auto"/>
        <w:ind w:firstLine="420" w:firstLineChars="200"/>
        <w:jc w:val="left"/>
        <w:rPr>
          <w:rFonts w:ascii="宋体" w:hAnsi="宋体"/>
          <w:color w:val="auto"/>
          <w:kern w:val="0"/>
          <w:szCs w:val="21"/>
        </w:rPr>
      </w:pPr>
      <w:r>
        <w:rPr>
          <w:rFonts w:ascii="宋体" w:hAnsi="宋体"/>
          <w:color w:val="auto"/>
          <w:kern w:val="0"/>
          <w:szCs w:val="21"/>
        </w:rPr>
        <w:t>（2）工程竣工结算时一次性扣留质量保证金；</w:t>
      </w:r>
    </w:p>
    <w:p w14:paraId="45D9F3F1">
      <w:pPr>
        <w:pStyle w:val="292"/>
        <w:widowControl/>
        <w:autoSpaceDE w:val="0"/>
        <w:autoSpaceDN w:val="0"/>
        <w:adjustRightInd w:val="0"/>
        <w:spacing w:line="400" w:lineRule="exact"/>
        <w:ind w:firstLine="424" w:firstLineChars="202"/>
        <w:jc w:val="left"/>
        <w:rPr>
          <w:rFonts w:ascii="宋体" w:hAnsi="宋体"/>
          <w:color w:val="auto"/>
          <w:kern w:val="0"/>
          <w:szCs w:val="21"/>
        </w:rPr>
      </w:pPr>
      <w:r>
        <w:rPr>
          <w:rFonts w:ascii="宋体" w:hAnsi="宋体"/>
          <w:color w:val="auto"/>
          <w:kern w:val="0"/>
          <w:szCs w:val="21"/>
        </w:rPr>
        <w:t>（3）其他扣留方式:</w:t>
      </w:r>
      <w:r>
        <w:rPr>
          <w:rStyle w:val="50"/>
          <w:rFonts w:hint="eastAsia" w:ascii="宋体" w:hAnsi="宋体" w:eastAsia="宋体"/>
          <w:color w:val="auto"/>
          <w:kern w:val="0"/>
        </w:rPr>
        <w:t>银行转账、电汇或网上支付、保函（银行保函、电子保函、保证保险保函、工程担保保函）等形式。</w:t>
      </w:r>
    </w:p>
    <w:p w14:paraId="6195F7C7">
      <w:pPr>
        <w:spacing w:line="360" w:lineRule="auto"/>
        <w:ind w:firstLine="420" w:firstLineChars="200"/>
        <w:jc w:val="left"/>
        <w:rPr>
          <w:rFonts w:ascii="宋体" w:hAnsi="宋体"/>
          <w:color w:val="auto"/>
          <w:kern w:val="0"/>
          <w:szCs w:val="21"/>
          <w:u w:val="single"/>
        </w:rPr>
      </w:pPr>
      <w:r>
        <w:rPr>
          <w:rFonts w:ascii="宋体" w:hAnsi="宋体"/>
          <w:color w:val="auto"/>
          <w:szCs w:val="21"/>
        </w:rPr>
        <w:t>关于质量保证金的补充约定：</w:t>
      </w:r>
      <w:r>
        <w:rPr>
          <w:rFonts w:hint="eastAsia" w:ascii="宋体" w:hAnsi="宋体"/>
          <w:color w:val="auto"/>
          <w:szCs w:val="21"/>
          <w:u w:val="single"/>
        </w:rPr>
        <w:t xml:space="preserve">                      </w:t>
      </w:r>
      <w:r>
        <w:rPr>
          <w:rFonts w:ascii="宋体" w:hAnsi="宋体"/>
          <w:color w:val="auto"/>
          <w:kern w:val="0"/>
          <w:szCs w:val="21"/>
        </w:rPr>
        <w:t>。</w:t>
      </w:r>
    </w:p>
    <w:bookmarkEnd w:id="1381"/>
    <w:bookmarkEnd w:id="1382"/>
    <w:p w14:paraId="76FFA143">
      <w:pPr>
        <w:keepNext/>
        <w:keepLines/>
        <w:spacing w:before="260" w:after="260" w:line="416" w:lineRule="auto"/>
        <w:outlineLvl w:val="1"/>
        <w:rPr>
          <w:rFonts w:ascii="宋体" w:hAnsi="宋体"/>
          <w:b/>
          <w:bCs/>
          <w:color w:val="auto"/>
          <w:sz w:val="32"/>
          <w:szCs w:val="32"/>
        </w:rPr>
      </w:pPr>
      <w:bookmarkStart w:id="1428" w:name="_Toc373227765"/>
      <w:bookmarkStart w:id="1429" w:name="_Toc373478412"/>
      <w:bookmarkStart w:id="1430" w:name="_Toc389065330"/>
      <w:bookmarkStart w:id="1431" w:name="_Toc407135268"/>
      <w:bookmarkStart w:id="1432" w:name="_Toc508379779"/>
      <w:bookmarkStart w:id="1433" w:name="_Toc495673444"/>
      <w:bookmarkStart w:id="1434" w:name="_Toc86935929"/>
      <w:bookmarkStart w:id="1435" w:name="_Toc11001"/>
      <w:bookmarkStart w:id="1436" w:name="_Toc12700"/>
      <w:r>
        <w:rPr>
          <w:rFonts w:ascii="宋体" w:hAnsi="宋体"/>
          <w:b/>
          <w:bCs/>
          <w:color w:val="auto"/>
          <w:sz w:val="32"/>
          <w:szCs w:val="32"/>
        </w:rPr>
        <w:t>15.4保修</w:t>
      </w:r>
      <w:bookmarkEnd w:id="1428"/>
      <w:bookmarkEnd w:id="1429"/>
      <w:bookmarkEnd w:id="1430"/>
      <w:bookmarkEnd w:id="1431"/>
      <w:bookmarkEnd w:id="1432"/>
      <w:bookmarkEnd w:id="1433"/>
      <w:bookmarkEnd w:id="1434"/>
      <w:bookmarkEnd w:id="1435"/>
      <w:bookmarkEnd w:id="1436"/>
    </w:p>
    <w:bookmarkEnd w:id="1383"/>
    <w:p w14:paraId="2342FFD3">
      <w:pPr>
        <w:spacing w:line="360" w:lineRule="auto"/>
        <w:ind w:firstLine="409" w:firstLineChars="195"/>
        <w:jc w:val="left"/>
        <w:outlineLvl w:val="2"/>
        <w:rPr>
          <w:rFonts w:ascii="宋体" w:hAnsi="宋体"/>
          <w:color w:val="auto"/>
          <w:szCs w:val="21"/>
        </w:rPr>
      </w:pPr>
      <w:r>
        <w:rPr>
          <w:rFonts w:ascii="宋体" w:hAnsi="宋体"/>
          <w:color w:val="auto"/>
          <w:szCs w:val="21"/>
        </w:rPr>
        <w:t>15.4.1 保修责任</w:t>
      </w:r>
    </w:p>
    <w:p w14:paraId="51506DED">
      <w:pPr>
        <w:spacing w:line="360" w:lineRule="auto"/>
        <w:ind w:firstLine="409" w:firstLineChars="195"/>
        <w:jc w:val="left"/>
        <w:rPr>
          <w:rFonts w:ascii="宋体" w:hAnsi="宋体"/>
          <w:color w:val="auto"/>
          <w:kern w:val="0"/>
          <w:szCs w:val="21"/>
        </w:rPr>
      </w:pPr>
      <w:r>
        <w:rPr>
          <w:rFonts w:ascii="宋体" w:hAnsi="宋体"/>
          <w:color w:val="auto"/>
          <w:szCs w:val="21"/>
        </w:rPr>
        <w:t>工程保修期为：</w:t>
      </w:r>
      <w:r>
        <w:rPr>
          <w:rFonts w:hint="eastAsia" w:ascii="宋体" w:hAnsi="宋体"/>
          <w:color w:val="auto"/>
          <w:szCs w:val="21"/>
          <w:u w:val="single"/>
        </w:rPr>
        <w:t xml:space="preserve">      </w:t>
      </w:r>
      <w:r>
        <w:rPr>
          <w:rStyle w:val="50"/>
          <w:rFonts w:hint="eastAsia" w:ascii="宋体" w:hAnsi="宋体" w:eastAsia="宋体"/>
          <w:color w:val="auto"/>
          <w:kern w:val="0"/>
          <w:u w:val="single"/>
        </w:rPr>
        <w:t>按国家有关规定</w:t>
      </w:r>
      <w:r>
        <w:rPr>
          <w:rFonts w:hint="eastAsia" w:ascii="宋体" w:hAnsi="宋体"/>
          <w:color w:val="auto"/>
          <w:szCs w:val="21"/>
          <w:u w:val="single"/>
        </w:rPr>
        <w:t xml:space="preserve">      </w:t>
      </w:r>
      <w:r>
        <w:rPr>
          <w:rFonts w:ascii="宋体" w:hAnsi="宋体"/>
          <w:color w:val="auto"/>
          <w:kern w:val="0"/>
          <w:szCs w:val="21"/>
        </w:rPr>
        <w:t>。</w:t>
      </w:r>
    </w:p>
    <w:p w14:paraId="5ADD920D">
      <w:pPr>
        <w:spacing w:line="360" w:lineRule="auto"/>
        <w:ind w:firstLine="409" w:firstLineChars="195"/>
        <w:jc w:val="left"/>
        <w:rPr>
          <w:rFonts w:ascii="宋体" w:hAnsi="宋体"/>
          <w:color w:val="auto"/>
          <w:kern w:val="0"/>
          <w:szCs w:val="21"/>
          <w:u w:val="single"/>
        </w:rPr>
      </w:pPr>
      <w:r>
        <w:rPr>
          <w:rFonts w:hint="eastAsia" w:ascii="宋体" w:hAnsi="宋体"/>
          <w:color w:val="auto"/>
          <w:szCs w:val="21"/>
        </w:rPr>
        <w:t>工程保修书具体内容见合同附件8。</w:t>
      </w:r>
    </w:p>
    <w:p w14:paraId="2261FB23">
      <w:pPr>
        <w:spacing w:line="360" w:lineRule="auto"/>
        <w:ind w:firstLine="409" w:firstLineChars="195"/>
        <w:jc w:val="left"/>
        <w:outlineLvl w:val="2"/>
        <w:rPr>
          <w:rFonts w:ascii="宋体" w:hAnsi="宋体"/>
          <w:color w:val="auto"/>
          <w:szCs w:val="21"/>
        </w:rPr>
      </w:pPr>
      <w:r>
        <w:rPr>
          <w:rFonts w:ascii="宋体" w:hAnsi="宋体"/>
          <w:color w:val="auto"/>
          <w:szCs w:val="21"/>
        </w:rPr>
        <w:t>15.4.3 修复通知</w:t>
      </w:r>
    </w:p>
    <w:p w14:paraId="3F4F333C">
      <w:pPr>
        <w:spacing w:line="360" w:lineRule="auto"/>
        <w:ind w:firstLine="409" w:firstLineChars="195"/>
        <w:jc w:val="left"/>
        <w:rPr>
          <w:rFonts w:ascii="宋体" w:hAnsi="宋体"/>
          <w:color w:val="auto"/>
          <w:kern w:val="0"/>
          <w:szCs w:val="21"/>
          <w:u w:val="single"/>
        </w:rPr>
      </w:pPr>
      <w:r>
        <w:rPr>
          <w:rFonts w:ascii="宋体" w:hAnsi="宋体"/>
          <w:color w:val="auto"/>
          <w:kern w:val="0"/>
          <w:szCs w:val="21"/>
        </w:rPr>
        <w:t>承包人收到保修通知并到达工程现场的合理时间：</w:t>
      </w:r>
      <w:r>
        <w:rPr>
          <w:rFonts w:hint="eastAsia" w:ascii="宋体" w:hAnsi="宋体"/>
          <w:color w:val="auto"/>
          <w:szCs w:val="21"/>
          <w:u w:val="single"/>
        </w:rPr>
        <w:t xml:space="preserve">       </w:t>
      </w:r>
      <w:r>
        <w:rPr>
          <w:rFonts w:hint="eastAsia" w:ascii="宋体" w:hAnsi="宋体"/>
          <w:color w:val="auto"/>
          <w:szCs w:val="21"/>
          <w:u w:val="single"/>
          <w:lang w:val="en-US" w:eastAsia="zh-CN"/>
        </w:rPr>
        <w:t>48小时内</w:t>
      </w:r>
      <w:r>
        <w:rPr>
          <w:rFonts w:hint="eastAsia" w:ascii="宋体" w:hAnsi="宋体"/>
          <w:color w:val="auto"/>
          <w:szCs w:val="21"/>
          <w:u w:val="single"/>
        </w:rPr>
        <w:t xml:space="preserve">      </w:t>
      </w:r>
      <w:r>
        <w:rPr>
          <w:rFonts w:ascii="宋体" w:hAnsi="宋体"/>
          <w:color w:val="auto"/>
          <w:kern w:val="0"/>
          <w:szCs w:val="21"/>
        </w:rPr>
        <w:t>。</w:t>
      </w:r>
    </w:p>
    <w:bookmarkEnd w:id="1384"/>
    <w:bookmarkEnd w:id="1385"/>
    <w:bookmarkEnd w:id="1386"/>
    <w:bookmarkEnd w:id="1387"/>
    <w:p w14:paraId="7F1A9444">
      <w:pPr>
        <w:keepNext/>
        <w:keepLines/>
        <w:spacing w:before="260" w:after="260" w:line="416" w:lineRule="auto"/>
        <w:outlineLvl w:val="0"/>
        <w:rPr>
          <w:rFonts w:ascii="宋体" w:hAnsi="宋体"/>
          <w:b/>
          <w:bCs/>
          <w:color w:val="auto"/>
          <w:sz w:val="32"/>
          <w:szCs w:val="32"/>
        </w:rPr>
      </w:pPr>
      <w:bookmarkStart w:id="1437" w:name="_Toc389065331"/>
      <w:bookmarkStart w:id="1438" w:name="_Toc351203648"/>
      <w:bookmarkStart w:id="1439" w:name="_Toc373227766"/>
      <w:bookmarkStart w:id="1440" w:name="_Toc407135269"/>
      <w:bookmarkStart w:id="1441" w:name="_Toc373478413"/>
      <w:bookmarkStart w:id="1442" w:name="_Toc495673445"/>
      <w:bookmarkStart w:id="1443" w:name="_Toc508379780"/>
      <w:bookmarkStart w:id="1444" w:name="_Toc86935930"/>
      <w:bookmarkStart w:id="1445" w:name="_Toc16633"/>
      <w:bookmarkStart w:id="1446" w:name="_Toc21562"/>
      <w:bookmarkStart w:id="1447" w:name="_Toc27548"/>
      <w:bookmarkStart w:id="1448" w:name="_Toc16360"/>
      <w:bookmarkStart w:id="1449" w:name="_Toc280868717"/>
      <w:bookmarkStart w:id="1450" w:name="_Toc280868718"/>
      <w:r>
        <w:rPr>
          <w:rFonts w:ascii="宋体" w:hAnsi="宋体"/>
          <w:b/>
          <w:bCs/>
          <w:color w:val="auto"/>
          <w:sz w:val="32"/>
          <w:szCs w:val="32"/>
        </w:rPr>
        <w:t>16. 违约</w:t>
      </w:r>
      <w:bookmarkEnd w:id="1437"/>
      <w:bookmarkEnd w:id="1438"/>
      <w:bookmarkEnd w:id="1439"/>
      <w:bookmarkEnd w:id="1440"/>
      <w:bookmarkEnd w:id="1441"/>
      <w:bookmarkEnd w:id="1442"/>
      <w:bookmarkEnd w:id="1443"/>
      <w:bookmarkEnd w:id="1444"/>
      <w:bookmarkEnd w:id="1445"/>
      <w:bookmarkEnd w:id="1446"/>
      <w:bookmarkEnd w:id="1447"/>
      <w:bookmarkEnd w:id="1448"/>
    </w:p>
    <w:p w14:paraId="71C98940">
      <w:pPr>
        <w:keepNext/>
        <w:keepLines/>
        <w:spacing w:before="260" w:after="260" w:line="416" w:lineRule="auto"/>
        <w:outlineLvl w:val="1"/>
        <w:rPr>
          <w:rFonts w:ascii="宋体" w:hAnsi="宋体"/>
          <w:b/>
          <w:bCs/>
          <w:color w:val="auto"/>
          <w:sz w:val="32"/>
          <w:szCs w:val="32"/>
        </w:rPr>
      </w:pPr>
      <w:bookmarkStart w:id="1451" w:name="_Toc373478414"/>
      <w:bookmarkStart w:id="1452" w:name="_Toc389065332"/>
      <w:bookmarkStart w:id="1453" w:name="_Toc373227767"/>
      <w:bookmarkStart w:id="1454" w:name="_Toc407135270"/>
      <w:bookmarkStart w:id="1455" w:name="_Toc495673446"/>
      <w:bookmarkStart w:id="1456" w:name="_Toc508379781"/>
      <w:bookmarkStart w:id="1457" w:name="_Toc86935931"/>
      <w:bookmarkStart w:id="1458" w:name="_Toc23874"/>
      <w:bookmarkStart w:id="1459" w:name="_Toc2586"/>
      <w:r>
        <w:rPr>
          <w:rFonts w:ascii="宋体" w:hAnsi="宋体"/>
          <w:b/>
          <w:bCs/>
          <w:color w:val="auto"/>
          <w:sz w:val="32"/>
          <w:szCs w:val="32"/>
        </w:rPr>
        <w:t>16.1 发包人违约</w:t>
      </w:r>
      <w:bookmarkEnd w:id="1451"/>
      <w:bookmarkEnd w:id="1452"/>
      <w:bookmarkEnd w:id="1453"/>
      <w:bookmarkEnd w:id="1454"/>
      <w:bookmarkEnd w:id="1455"/>
      <w:bookmarkEnd w:id="1456"/>
      <w:bookmarkEnd w:id="1457"/>
      <w:bookmarkEnd w:id="1458"/>
      <w:bookmarkEnd w:id="1459"/>
    </w:p>
    <w:p w14:paraId="58940DBE">
      <w:pPr>
        <w:spacing w:line="360" w:lineRule="auto"/>
        <w:ind w:firstLine="420" w:firstLineChars="200"/>
        <w:jc w:val="left"/>
        <w:outlineLvl w:val="2"/>
        <w:rPr>
          <w:rFonts w:ascii="宋体" w:hAnsi="宋体"/>
          <w:color w:val="auto"/>
          <w:szCs w:val="21"/>
        </w:rPr>
      </w:pPr>
      <w:r>
        <w:rPr>
          <w:rFonts w:ascii="宋体" w:hAnsi="宋体"/>
          <w:color w:val="auto"/>
          <w:szCs w:val="21"/>
        </w:rPr>
        <w:t>16.1.1发包人违约的情形</w:t>
      </w:r>
    </w:p>
    <w:p w14:paraId="30B102C7">
      <w:pPr>
        <w:pStyle w:val="292"/>
        <w:widowControl/>
        <w:spacing w:line="400" w:lineRule="exact"/>
        <w:ind w:firstLine="424" w:firstLineChars="202"/>
        <w:jc w:val="left"/>
        <w:rPr>
          <w:rFonts w:ascii="宋体" w:hAnsi="宋体"/>
          <w:color w:val="auto"/>
          <w:kern w:val="0"/>
          <w:szCs w:val="21"/>
        </w:rPr>
      </w:pPr>
      <w:r>
        <w:rPr>
          <w:rFonts w:ascii="宋体" w:hAnsi="宋体"/>
          <w:color w:val="auto"/>
          <w:kern w:val="0"/>
          <w:szCs w:val="21"/>
        </w:rPr>
        <w:t>发包人违约的其他情形：</w:t>
      </w:r>
    </w:p>
    <w:p w14:paraId="5E14C3A3">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（1）承包人违反合同约定进行转包或违法分包的；</w:t>
      </w:r>
    </w:p>
    <w:p w14:paraId="7BF6A2BC">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（2）承包人违反合同约定采购和使用不合格的材料和工程设备的；</w:t>
      </w:r>
    </w:p>
    <w:p w14:paraId="010C0F3B">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 xml:space="preserve">（3）因承包人原因导致工程质量不符合合同要求的； </w:t>
      </w:r>
    </w:p>
    <w:p w14:paraId="486E4C22">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（4）承包人未经发包人批准，私自将已按照合同约定进入施工现场的材料或设备撤离施工现场的；</w:t>
      </w:r>
    </w:p>
    <w:p w14:paraId="0BA24355">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（5）承包人未能按施工进度计划及时完成合同约定的工作，造成工期延误的；</w:t>
      </w:r>
    </w:p>
    <w:p w14:paraId="58810A80">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（6）承包人在缺陷责任期及保修期内，未能在合理期限对工程缺陷进行修复，或拒绝按发包人要求进行修复的；</w:t>
      </w:r>
    </w:p>
    <w:p w14:paraId="50B4DE06">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（7）承包人明确表示或者以其行为表明不履行合同主要义务的；</w:t>
      </w:r>
    </w:p>
    <w:p w14:paraId="7E4ED792">
      <w:pPr>
        <w:pStyle w:val="292"/>
        <w:widowControl/>
        <w:spacing w:line="400" w:lineRule="exact"/>
        <w:ind w:firstLine="424" w:firstLineChars="202"/>
        <w:jc w:val="left"/>
        <w:rPr>
          <w:rStyle w:val="50"/>
          <w:rFonts w:hint="eastAsia" w:ascii="宋体" w:hAnsi="宋体" w:eastAsia="宋体"/>
          <w:color w:val="auto"/>
          <w:kern w:val="0"/>
        </w:rPr>
      </w:pPr>
      <w:r>
        <w:rPr>
          <w:rStyle w:val="50"/>
          <w:rFonts w:hint="eastAsia" w:ascii="宋体" w:hAnsi="宋体" w:eastAsia="宋体"/>
          <w:color w:val="auto"/>
          <w:kern w:val="0"/>
        </w:rPr>
        <w:t>（8）承包人未能按照合同约定履行其他义务的。</w:t>
      </w:r>
    </w:p>
    <w:p w14:paraId="17B09761">
      <w:pPr>
        <w:spacing w:line="360" w:lineRule="auto"/>
        <w:ind w:firstLine="420" w:firstLineChars="200"/>
        <w:jc w:val="left"/>
        <w:rPr>
          <w:rFonts w:ascii="宋体" w:hAnsi="宋体"/>
          <w:color w:val="auto"/>
          <w:kern w:val="0"/>
          <w:szCs w:val="21"/>
          <w:u w:val="single"/>
        </w:rPr>
      </w:pPr>
      <w:r>
        <w:rPr>
          <w:rStyle w:val="50"/>
          <w:rFonts w:hint="eastAsia" w:ascii="宋体" w:hAnsi="宋体" w:eastAsia="宋体"/>
          <w:color w:val="auto"/>
          <w:kern w:val="0"/>
        </w:rPr>
        <w:t>承包人发生除本项第（7）目约定以外的其他违约情况时，发包人可向承包人发出整改通知，要求其在指定的期限内改正。</w:t>
      </w:r>
    </w:p>
    <w:p w14:paraId="18647F1A">
      <w:pPr>
        <w:spacing w:line="360" w:lineRule="auto"/>
        <w:ind w:firstLine="420" w:firstLineChars="200"/>
        <w:jc w:val="left"/>
        <w:outlineLvl w:val="2"/>
        <w:rPr>
          <w:rFonts w:ascii="宋体" w:hAnsi="宋体"/>
          <w:color w:val="auto"/>
          <w:kern w:val="0"/>
          <w:szCs w:val="21"/>
        </w:rPr>
      </w:pPr>
      <w:r>
        <w:rPr>
          <w:rFonts w:ascii="宋体" w:hAnsi="宋体"/>
          <w:color w:val="auto"/>
          <w:kern w:val="0"/>
          <w:szCs w:val="21"/>
        </w:rPr>
        <w:t>16.1.2 发包人违约的责任</w:t>
      </w:r>
    </w:p>
    <w:p w14:paraId="28DDB4A1">
      <w:pPr>
        <w:spacing w:line="360" w:lineRule="auto"/>
        <w:ind w:firstLine="420" w:firstLineChars="200"/>
        <w:jc w:val="left"/>
        <w:rPr>
          <w:rFonts w:ascii="宋体" w:hAnsi="宋体"/>
          <w:color w:val="auto"/>
          <w:kern w:val="0"/>
          <w:szCs w:val="21"/>
        </w:rPr>
      </w:pPr>
      <w:r>
        <w:rPr>
          <w:rFonts w:ascii="宋体" w:hAnsi="宋体"/>
          <w:color w:val="auto"/>
          <w:kern w:val="0"/>
          <w:szCs w:val="21"/>
        </w:rPr>
        <w:t>发包人违约责任的承担方式和计算方法：</w:t>
      </w:r>
    </w:p>
    <w:p w14:paraId="54CCD3CB">
      <w:pPr>
        <w:spacing w:line="360" w:lineRule="auto"/>
        <w:ind w:firstLine="420" w:firstLineChars="200"/>
        <w:jc w:val="left"/>
        <w:rPr>
          <w:rFonts w:ascii="宋体" w:hAnsi="宋体"/>
          <w:color w:val="auto"/>
          <w:kern w:val="0"/>
          <w:szCs w:val="21"/>
          <w:u w:val="single"/>
        </w:rPr>
      </w:pPr>
      <w:r>
        <w:rPr>
          <w:rFonts w:ascii="宋体" w:hAnsi="宋体"/>
          <w:color w:val="auto"/>
          <w:kern w:val="0"/>
          <w:szCs w:val="21"/>
        </w:rPr>
        <w:t>（1）因发包人原因未能在计划开工日期前7天内下达开工通知的违约责任：</w:t>
      </w:r>
      <w:r>
        <w:rPr>
          <w:rFonts w:hint="eastAsia" w:ascii="宋体" w:hAnsi="宋体"/>
          <w:color w:val="auto"/>
          <w:szCs w:val="21"/>
          <w:u w:val="single"/>
        </w:rPr>
        <w:t xml:space="preserve">                      </w:t>
      </w:r>
      <w:r>
        <w:rPr>
          <w:rFonts w:ascii="宋体" w:hAnsi="宋体"/>
          <w:color w:val="auto"/>
          <w:kern w:val="0"/>
          <w:szCs w:val="21"/>
        </w:rPr>
        <w:t>。</w:t>
      </w:r>
    </w:p>
    <w:p w14:paraId="1F3454AA">
      <w:pPr>
        <w:spacing w:line="360" w:lineRule="auto"/>
        <w:ind w:firstLine="420" w:firstLineChars="200"/>
        <w:jc w:val="left"/>
        <w:rPr>
          <w:rFonts w:ascii="宋体" w:hAnsi="宋体"/>
          <w:color w:val="auto"/>
          <w:kern w:val="0"/>
          <w:szCs w:val="21"/>
        </w:rPr>
      </w:pPr>
      <w:r>
        <w:rPr>
          <w:rFonts w:ascii="宋体" w:hAnsi="宋体"/>
          <w:color w:val="auto"/>
          <w:kern w:val="0"/>
          <w:szCs w:val="21"/>
        </w:rPr>
        <w:t>（2）因发包人原因未能按合同约定支付合同价款的违约责任：</w:t>
      </w:r>
      <w:r>
        <w:rPr>
          <w:rFonts w:hint="eastAsia" w:ascii="宋体" w:hAnsi="宋体"/>
          <w:color w:val="auto"/>
          <w:szCs w:val="21"/>
          <w:u w:val="single"/>
        </w:rPr>
        <w:t xml:space="preserve">                      </w:t>
      </w:r>
      <w:r>
        <w:rPr>
          <w:rFonts w:ascii="宋体" w:hAnsi="宋体"/>
          <w:color w:val="auto"/>
          <w:kern w:val="0"/>
          <w:szCs w:val="21"/>
        </w:rPr>
        <w:t>。</w:t>
      </w:r>
    </w:p>
    <w:p w14:paraId="290D0B3A">
      <w:pPr>
        <w:spacing w:line="360" w:lineRule="auto"/>
        <w:ind w:firstLine="420" w:firstLineChars="200"/>
        <w:jc w:val="left"/>
        <w:rPr>
          <w:rFonts w:ascii="宋体" w:hAnsi="宋体"/>
          <w:color w:val="auto"/>
          <w:kern w:val="0"/>
          <w:szCs w:val="21"/>
        </w:rPr>
      </w:pPr>
      <w:r>
        <w:rPr>
          <w:rFonts w:ascii="宋体" w:hAnsi="宋体"/>
          <w:color w:val="auto"/>
          <w:kern w:val="0"/>
          <w:szCs w:val="21"/>
        </w:rPr>
        <w:t>（3）发包人违反第10.1款〔变更的范围〕第（2）项约定，自行实施被取消的工作或转由他人实施的违约责任：</w:t>
      </w:r>
      <w:r>
        <w:rPr>
          <w:rFonts w:hint="eastAsia" w:ascii="宋体" w:hAnsi="宋体"/>
          <w:color w:val="auto"/>
          <w:szCs w:val="21"/>
          <w:u w:val="single"/>
        </w:rPr>
        <w:t xml:space="preserve">                      </w:t>
      </w:r>
      <w:r>
        <w:rPr>
          <w:rFonts w:ascii="宋体" w:hAnsi="宋体"/>
          <w:color w:val="auto"/>
          <w:kern w:val="0"/>
          <w:szCs w:val="21"/>
        </w:rPr>
        <w:t>。</w:t>
      </w:r>
    </w:p>
    <w:p w14:paraId="071EB837">
      <w:pPr>
        <w:spacing w:line="360" w:lineRule="auto"/>
        <w:ind w:firstLine="420" w:firstLineChars="200"/>
        <w:jc w:val="left"/>
        <w:rPr>
          <w:rFonts w:ascii="宋体" w:hAnsi="宋体"/>
          <w:color w:val="auto"/>
          <w:kern w:val="0"/>
          <w:szCs w:val="21"/>
        </w:rPr>
      </w:pPr>
      <w:r>
        <w:rPr>
          <w:rFonts w:ascii="宋体" w:hAnsi="宋体"/>
          <w:color w:val="auto"/>
          <w:kern w:val="0"/>
          <w:szCs w:val="21"/>
        </w:rPr>
        <w:t>（4）发包人提供的材料、工程设备的规格、数量或质量不符合合同约定，或因发包人原因导致交货日期延误或交货地点变更等情况的违约责任：</w:t>
      </w:r>
      <w:r>
        <w:rPr>
          <w:rFonts w:hint="eastAsia" w:ascii="宋体" w:hAnsi="宋体"/>
          <w:color w:val="auto"/>
          <w:szCs w:val="21"/>
          <w:u w:val="single"/>
        </w:rPr>
        <w:t xml:space="preserve">                      </w:t>
      </w:r>
      <w:r>
        <w:rPr>
          <w:rFonts w:ascii="宋体" w:hAnsi="宋体"/>
          <w:color w:val="auto"/>
          <w:kern w:val="0"/>
          <w:szCs w:val="21"/>
        </w:rPr>
        <w:t>。</w:t>
      </w:r>
    </w:p>
    <w:p w14:paraId="2E3A756A">
      <w:pPr>
        <w:spacing w:line="360" w:lineRule="auto"/>
        <w:ind w:firstLine="420" w:firstLineChars="200"/>
        <w:jc w:val="left"/>
        <w:rPr>
          <w:rFonts w:ascii="宋体" w:hAnsi="宋体"/>
          <w:color w:val="auto"/>
          <w:kern w:val="0"/>
          <w:szCs w:val="21"/>
          <w:u w:val="single"/>
        </w:rPr>
      </w:pPr>
      <w:r>
        <w:rPr>
          <w:rFonts w:ascii="宋体" w:hAnsi="宋体"/>
          <w:color w:val="auto"/>
          <w:kern w:val="0"/>
          <w:szCs w:val="21"/>
        </w:rPr>
        <w:t>（5）因发包人违反合同约定造成暂停施工的违约责任：</w:t>
      </w:r>
      <w:r>
        <w:rPr>
          <w:rFonts w:hint="eastAsia" w:ascii="宋体" w:hAnsi="宋体"/>
          <w:color w:val="auto"/>
          <w:szCs w:val="21"/>
          <w:u w:val="single"/>
        </w:rPr>
        <w:t xml:space="preserve">                      </w:t>
      </w:r>
      <w:r>
        <w:rPr>
          <w:rFonts w:ascii="宋体" w:hAnsi="宋体"/>
          <w:color w:val="auto"/>
          <w:kern w:val="0"/>
          <w:szCs w:val="21"/>
        </w:rPr>
        <w:t>。</w:t>
      </w:r>
    </w:p>
    <w:p w14:paraId="0CD86232">
      <w:pPr>
        <w:spacing w:line="360" w:lineRule="auto"/>
        <w:ind w:firstLine="420" w:firstLineChars="200"/>
        <w:jc w:val="left"/>
        <w:rPr>
          <w:rFonts w:ascii="宋体" w:hAnsi="宋体"/>
          <w:color w:val="auto"/>
          <w:kern w:val="0"/>
          <w:szCs w:val="21"/>
        </w:rPr>
      </w:pPr>
      <w:r>
        <w:rPr>
          <w:rFonts w:ascii="宋体" w:hAnsi="宋体"/>
          <w:color w:val="auto"/>
          <w:kern w:val="0"/>
          <w:szCs w:val="21"/>
        </w:rPr>
        <w:t>（6）发包人无正当理由没有在约定期限内发出复工指示，导致承包人无法复工的违约责任：</w:t>
      </w:r>
      <w:r>
        <w:rPr>
          <w:rFonts w:hint="eastAsia" w:ascii="宋体" w:hAnsi="宋体"/>
          <w:color w:val="auto"/>
          <w:szCs w:val="21"/>
          <w:u w:val="single"/>
        </w:rPr>
        <w:t xml:space="preserve">                      </w:t>
      </w:r>
      <w:r>
        <w:rPr>
          <w:rFonts w:ascii="宋体" w:hAnsi="宋体"/>
          <w:color w:val="auto"/>
          <w:kern w:val="0"/>
          <w:szCs w:val="21"/>
        </w:rPr>
        <w:t>。</w:t>
      </w:r>
    </w:p>
    <w:p w14:paraId="5FFDE38A">
      <w:pPr>
        <w:spacing w:line="360" w:lineRule="auto"/>
        <w:ind w:firstLine="420" w:firstLineChars="200"/>
        <w:jc w:val="left"/>
        <w:rPr>
          <w:rFonts w:ascii="宋体" w:hAnsi="宋体"/>
          <w:color w:val="auto"/>
          <w:kern w:val="0"/>
          <w:szCs w:val="21"/>
        </w:rPr>
      </w:pPr>
      <w:r>
        <w:rPr>
          <w:rFonts w:ascii="宋体" w:hAnsi="宋体"/>
          <w:color w:val="auto"/>
          <w:kern w:val="0"/>
          <w:szCs w:val="21"/>
        </w:rPr>
        <w:t>（7）其他：</w:t>
      </w:r>
      <w:r>
        <w:rPr>
          <w:rFonts w:hint="eastAsia" w:ascii="宋体" w:hAnsi="宋体"/>
          <w:color w:val="auto"/>
          <w:szCs w:val="21"/>
          <w:u w:val="single"/>
        </w:rPr>
        <w:t xml:space="preserve">                      </w:t>
      </w:r>
      <w:r>
        <w:rPr>
          <w:rFonts w:ascii="宋体" w:hAnsi="宋体"/>
          <w:color w:val="auto"/>
          <w:kern w:val="0"/>
          <w:szCs w:val="21"/>
        </w:rPr>
        <w:t>。</w:t>
      </w:r>
    </w:p>
    <w:p w14:paraId="67492F9C">
      <w:pPr>
        <w:spacing w:line="360" w:lineRule="auto"/>
        <w:ind w:firstLine="420" w:firstLineChars="200"/>
        <w:jc w:val="left"/>
        <w:outlineLvl w:val="2"/>
        <w:rPr>
          <w:rFonts w:ascii="宋体" w:hAnsi="宋体"/>
          <w:color w:val="auto"/>
          <w:szCs w:val="21"/>
        </w:rPr>
      </w:pPr>
      <w:r>
        <w:rPr>
          <w:rFonts w:ascii="宋体" w:hAnsi="宋体"/>
          <w:color w:val="auto"/>
          <w:szCs w:val="21"/>
        </w:rPr>
        <w:t>16.1.3 因发包人违约解除合同</w:t>
      </w:r>
    </w:p>
    <w:p w14:paraId="56B1E201">
      <w:pPr>
        <w:autoSpaceDE w:val="0"/>
        <w:autoSpaceDN w:val="0"/>
        <w:adjustRightInd w:val="0"/>
        <w:spacing w:line="360" w:lineRule="auto"/>
        <w:ind w:firstLine="420" w:firstLineChars="200"/>
        <w:jc w:val="left"/>
        <w:rPr>
          <w:rFonts w:ascii="宋体" w:hAnsi="宋体"/>
          <w:color w:val="auto"/>
          <w:kern w:val="0"/>
          <w:szCs w:val="21"/>
        </w:rPr>
      </w:pPr>
      <w:r>
        <w:rPr>
          <w:rFonts w:ascii="宋体" w:hAnsi="宋体"/>
          <w:color w:val="auto"/>
          <w:kern w:val="0"/>
          <w:szCs w:val="21"/>
        </w:rPr>
        <w:t>承包人按16.1.1项〔发包人违约的情形〕约定暂停施工满天后发包人仍不纠正其违约行为并致使合同目的不能实现的，承包人有权解除合同。</w:t>
      </w:r>
    </w:p>
    <w:p w14:paraId="25B1E42A">
      <w:pPr>
        <w:keepNext/>
        <w:keepLines/>
        <w:spacing w:before="260" w:after="260" w:line="416" w:lineRule="auto"/>
        <w:outlineLvl w:val="1"/>
        <w:rPr>
          <w:rFonts w:ascii="宋体" w:hAnsi="宋体"/>
          <w:b/>
          <w:bCs/>
          <w:color w:val="auto"/>
          <w:sz w:val="32"/>
          <w:szCs w:val="32"/>
        </w:rPr>
      </w:pPr>
      <w:bookmarkStart w:id="1460" w:name="_Toc508379782"/>
      <w:bookmarkStart w:id="1461" w:name="_Toc495673447"/>
      <w:bookmarkStart w:id="1462" w:name="_Toc86935932"/>
      <w:bookmarkStart w:id="1463" w:name="_Toc389065333"/>
      <w:bookmarkStart w:id="1464" w:name="_Toc373478415"/>
      <w:bookmarkStart w:id="1465" w:name="_Toc407135271"/>
      <w:bookmarkStart w:id="1466" w:name="_Toc373227768"/>
      <w:bookmarkStart w:id="1467" w:name="_Toc15696"/>
      <w:bookmarkStart w:id="1468" w:name="_Toc11342"/>
      <w:r>
        <w:rPr>
          <w:rFonts w:ascii="宋体" w:hAnsi="宋体"/>
          <w:b/>
          <w:bCs/>
          <w:color w:val="auto"/>
          <w:sz w:val="32"/>
          <w:szCs w:val="32"/>
        </w:rPr>
        <w:t>16.2 承包人违约</w:t>
      </w:r>
      <w:bookmarkEnd w:id="1460"/>
      <w:bookmarkEnd w:id="1461"/>
      <w:bookmarkEnd w:id="1462"/>
      <w:bookmarkEnd w:id="1463"/>
      <w:bookmarkEnd w:id="1464"/>
      <w:bookmarkEnd w:id="1465"/>
      <w:bookmarkEnd w:id="1466"/>
      <w:bookmarkEnd w:id="1467"/>
      <w:bookmarkEnd w:id="1468"/>
    </w:p>
    <w:p w14:paraId="43225814">
      <w:pPr>
        <w:spacing w:line="360" w:lineRule="auto"/>
        <w:ind w:firstLine="420" w:firstLineChars="200"/>
        <w:jc w:val="left"/>
        <w:outlineLvl w:val="2"/>
        <w:rPr>
          <w:rFonts w:ascii="宋体" w:hAnsi="宋体"/>
          <w:color w:val="auto"/>
          <w:kern w:val="0"/>
          <w:szCs w:val="21"/>
        </w:rPr>
      </w:pPr>
      <w:r>
        <w:rPr>
          <w:rFonts w:ascii="宋体" w:hAnsi="宋体"/>
          <w:color w:val="auto"/>
          <w:kern w:val="0"/>
          <w:szCs w:val="21"/>
        </w:rPr>
        <w:t>16.2.1 承包人违约的情形</w:t>
      </w:r>
    </w:p>
    <w:p w14:paraId="21071CF1">
      <w:pPr>
        <w:spacing w:line="360" w:lineRule="auto"/>
        <w:ind w:firstLine="420" w:firstLineChars="200"/>
        <w:jc w:val="left"/>
        <w:rPr>
          <w:rFonts w:ascii="宋体" w:hAnsi="宋体"/>
          <w:color w:val="auto"/>
          <w:kern w:val="0"/>
          <w:szCs w:val="21"/>
          <w:u w:val="single"/>
        </w:rPr>
      </w:pPr>
      <w:r>
        <w:rPr>
          <w:rFonts w:ascii="宋体" w:hAnsi="宋体"/>
          <w:color w:val="auto"/>
          <w:kern w:val="0"/>
          <w:szCs w:val="21"/>
        </w:rPr>
        <w:t>承包人违约的其他情形：</w:t>
      </w:r>
      <w:r>
        <w:rPr>
          <w:rFonts w:hint="eastAsia" w:ascii="宋体" w:hAnsi="宋体"/>
          <w:color w:val="auto"/>
          <w:szCs w:val="21"/>
          <w:u w:val="single"/>
        </w:rPr>
        <w:t xml:space="preserve">                      </w:t>
      </w:r>
      <w:r>
        <w:rPr>
          <w:rFonts w:ascii="宋体" w:hAnsi="宋体"/>
          <w:color w:val="auto"/>
          <w:kern w:val="0"/>
          <w:szCs w:val="21"/>
        </w:rPr>
        <w:t>。</w:t>
      </w:r>
    </w:p>
    <w:p w14:paraId="50B90512">
      <w:pPr>
        <w:spacing w:line="360" w:lineRule="auto"/>
        <w:ind w:firstLine="420" w:firstLineChars="200"/>
        <w:jc w:val="left"/>
        <w:outlineLvl w:val="2"/>
        <w:rPr>
          <w:rFonts w:ascii="宋体" w:hAnsi="宋体"/>
          <w:color w:val="auto"/>
          <w:kern w:val="0"/>
          <w:szCs w:val="21"/>
        </w:rPr>
      </w:pPr>
      <w:r>
        <w:rPr>
          <w:rFonts w:ascii="宋体" w:hAnsi="宋体"/>
          <w:color w:val="auto"/>
          <w:kern w:val="0"/>
          <w:szCs w:val="21"/>
        </w:rPr>
        <w:t>16.2.2承包人违约的责任</w:t>
      </w:r>
    </w:p>
    <w:p w14:paraId="0998AE61">
      <w:pPr>
        <w:spacing w:line="360" w:lineRule="auto"/>
        <w:ind w:firstLine="420" w:firstLineChars="200"/>
        <w:jc w:val="left"/>
        <w:rPr>
          <w:rFonts w:ascii="宋体" w:hAnsi="宋体"/>
          <w:color w:val="auto"/>
          <w:kern w:val="0"/>
          <w:szCs w:val="21"/>
        </w:rPr>
      </w:pPr>
      <w:r>
        <w:rPr>
          <w:rFonts w:ascii="宋体" w:hAnsi="宋体"/>
          <w:color w:val="auto"/>
          <w:kern w:val="0"/>
          <w:szCs w:val="21"/>
        </w:rPr>
        <w:t>承包人违约责任的承担方式和计算方法：</w:t>
      </w:r>
    </w:p>
    <w:p w14:paraId="16D31DC2">
      <w:pPr>
        <w:spacing w:line="360" w:lineRule="auto"/>
        <w:ind w:firstLine="420" w:firstLineChars="200"/>
        <w:jc w:val="left"/>
        <w:rPr>
          <w:rFonts w:ascii="宋体" w:hAnsi="宋体"/>
          <w:color w:val="auto"/>
          <w:kern w:val="0"/>
          <w:szCs w:val="21"/>
        </w:rPr>
      </w:pPr>
      <w:r>
        <w:rPr>
          <w:rFonts w:ascii="宋体" w:hAnsi="宋体"/>
          <w:color w:val="auto"/>
          <w:kern w:val="0"/>
          <w:szCs w:val="21"/>
        </w:rPr>
        <w:t>（1）承包人未按本合同通用条款第16.2.1（2）</w:t>
      </w:r>
      <w:r>
        <w:rPr>
          <w:rFonts w:hint="eastAsia" w:ascii="宋体" w:hAnsi="宋体"/>
          <w:color w:val="auto"/>
          <w:kern w:val="0"/>
          <w:szCs w:val="21"/>
        </w:rPr>
        <w:t>、</w:t>
      </w:r>
      <w:r>
        <w:rPr>
          <w:rFonts w:ascii="宋体" w:hAnsi="宋体"/>
          <w:color w:val="auto"/>
          <w:kern w:val="0"/>
          <w:szCs w:val="21"/>
        </w:rPr>
        <w:t>（3）条内容完成的，承包人无条件返工处理，修复至工程质量要求并承担相关费用，并在发包人规定的时间内完成返工，否则发包人有权扣罚该分项工程10%的工程款作为处罚。</w:t>
      </w:r>
    </w:p>
    <w:p w14:paraId="4993ABBE">
      <w:pPr>
        <w:spacing w:line="360" w:lineRule="auto"/>
        <w:ind w:firstLine="420" w:firstLineChars="200"/>
        <w:jc w:val="left"/>
        <w:rPr>
          <w:rFonts w:ascii="宋体" w:hAnsi="宋体"/>
          <w:color w:val="auto"/>
          <w:kern w:val="0"/>
          <w:szCs w:val="21"/>
        </w:rPr>
      </w:pPr>
      <w:r>
        <w:rPr>
          <w:rFonts w:ascii="宋体" w:hAnsi="宋体"/>
          <w:color w:val="auto"/>
          <w:kern w:val="0"/>
          <w:szCs w:val="21"/>
        </w:rPr>
        <w:t>（2）承包人有本合同通用条款第16.2.1（6）条情形的，或经监理人检验认为修复质量不合格而承包人拒绝再进行修补的，发包人将扣除承包人全部质量保修金。</w:t>
      </w:r>
    </w:p>
    <w:p w14:paraId="572DC78B">
      <w:pPr>
        <w:spacing w:line="360" w:lineRule="auto"/>
        <w:ind w:firstLine="420" w:firstLineChars="200"/>
        <w:jc w:val="left"/>
        <w:rPr>
          <w:rFonts w:ascii="宋体" w:hAnsi="宋体"/>
          <w:color w:val="auto"/>
          <w:kern w:val="0"/>
          <w:szCs w:val="21"/>
        </w:rPr>
      </w:pPr>
      <w:r>
        <w:rPr>
          <w:rFonts w:ascii="宋体" w:hAnsi="宋体"/>
          <w:color w:val="auto"/>
          <w:kern w:val="0"/>
          <w:szCs w:val="21"/>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528A276D">
      <w:pPr>
        <w:spacing w:line="360" w:lineRule="auto"/>
        <w:ind w:firstLine="420" w:firstLineChars="200"/>
        <w:jc w:val="left"/>
        <w:outlineLvl w:val="2"/>
        <w:rPr>
          <w:rFonts w:ascii="宋体" w:hAnsi="宋体"/>
          <w:color w:val="auto"/>
          <w:szCs w:val="21"/>
        </w:rPr>
      </w:pPr>
      <w:r>
        <w:rPr>
          <w:rFonts w:ascii="宋体" w:hAnsi="宋体"/>
          <w:color w:val="auto"/>
          <w:szCs w:val="21"/>
        </w:rPr>
        <w:t>16.2.3 因承包人违约解除合同</w:t>
      </w:r>
    </w:p>
    <w:p w14:paraId="3309F6E0">
      <w:pPr>
        <w:spacing w:line="360" w:lineRule="auto"/>
        <w:ind w:firstLine="420" w:firstLineChars="200"/>
        <w:jc w:val="left"/>
        <w:rPr>
          <w:rFonts w:ascii="宋体" w:hAnsi="宋体"/>
          <w:color w:val="auto"/>
          <w:kern w:val="0"/>
          <w:szCs w:val="21"/>
        </w:rPr>
      </w:pPr>
      <w:r>
        <w:rPr>
          <w:rFonts w:ascii="宋体" w:hAnsi="宋体"/>
          <w:color w:val="auto"/>
          <w:kern w:val="0"/>
          <w:szCs w:val="21"/>
        </w:rPr>
        <w:t>关于承包人违约解除合同的特别约定：</w:t>
      </w:r>
      <w:r>
        <w:rPr>
          <w:rFonts w:ascii="宋体" w:hAnsi="宋体"/>
          <w:color w:val="auto"/>
          <w:kern w:val="0"/>
          <w:szCs w:val="21"/>
          <w:u w:val="single"/>
        </w:rPr>
        <w:t>承包人有违反以下情况之一的，发包人有权解除合同，并没收其全部履约保证金</w:t>
      </w:r>
      <w:r>
        <w:rPr>
          <w:rFonts w:ascii="宋体" w:hAnsi="宋体"/>
          <w:color w:val="auto"/>
          <w:kern w:val="0"/>
          <w:szCs w:val="21"/>
        </w:rPr>
        <w:t>。</w:t>
      </w:r>
    </w:p>
    <w:p w14:paraId="6A0F4C16">
      <w:pPr>
        <w:spacing w:line="360" w:lineRule="auto"/>
        <w:ind w:firstLine="420" w:firstLineChars="200"/>
        <w:jc w:val="left"/>
        <w:rPr>
          <w:rFonts w:ascii="宋体" w:hAnsi="宋体"/>
          <w:color w:val="auto"/>
          <w:kern w:val="0"/>
          <w:szCs w:val="21"/>
        </w:rPr>
      </w:pPr>
      <w:r>
        <w:rPr>
          <w:rFonts w:ascii="宋体" w:hAnsi="宋体"/>
          <w:color w:val="auto"/>
          <w:kern w:val="0"/>
          <w:szCs w:val="21"/>
        </w:rPr>
        <w:t>(1)承包人无正当理由不按开工通知的要求及时进场组织施工和不按签订协议书时商</w:t>
      </w:r>
      <w:r>
        <w:rPr>
          <w:rFonts w:hint="eastAsia" w:ascii="宋体" w:hAnsi="宋体"/>
          <w:color w:val="auto"/>
          <w:kern w:val="0"/>
          <w:szCs w:val="21"/>
        </w:rPr>
        <w:t>定</w:t>
      </w:r>
      <w:r>
        <w:rPr>
          <w:rFonts w:ascii="宋体" w:hAnsi="宋体"/>
          <w:color w:val="auto"/>
          <w:kern w:val="0"/>
          <w:szCs w:val="21"/>
        </w:rPr>
        <w:t>的进度计划有效地开展施工准备，造成工期延误的；</w:t>
      </w:r>
    </w:p>
    <w:p w14:paraId="1DEDAEB2">
      <w:pPr>
        <w:spacing w:line="360" w:lineRule="auto"/>
        <w:ind w:firstLine="420" w:firstLineChars="200"/>
        <w:jc w:val="left"/>
        <w:rPr>
          <w:rFonts w:ascii="宋体" w:hAnsi="宋体"/>
          <w:color w:val="auto"/>
          <w:kern w:val="0"/>
          <w:szCs w:val="21"/>
        </w:rPr>
      </w:pPr>
      <w:r>
        <w:rPr>
          <w:rFonts w:ascii="宋体" w:hAnsi="宋体"/>
          <w:color w:val="auto"/>
          <w:kern w:val="0"/>
          <w:szCs w:val="21"/>
        </w:rPr>
        <w:t>(2)承包人违反本合同通用条款第3.5条规定私自将合同或合同的任何部分或任何权利转让给其他人，或私自将工程或工程的一部分分包出去的；</w:t>
      </w:r>
    </w:p>
    <w:p w14:paraId="3F65ECB5">
      <w:pPr>
        <w:spacing w:line="360" w:lineRule="auto"/>
        <w:ind w:firstLine="420" w:firstLineChars="200"/>
        <w:jc w:val="left"/>
        <w:rPr>
          <w:rFonts w:ascii="宋体" w:hAnsi="宋体"/>
          <w:color w:val="auto"/>
          <w:kern w:val="0"/>
          <w:szCs w:val="21"/>
        </w:rPr>
      </w:pPr>
      <w:r>
        <w:rPr>
          <w:rFonts w:ascii="宋体" w:hAnsi="宋体"/>
          <w:color w:val="auto"/>
          <w:kern w:val="0"/>
          <w:szCs w:val="21"/>
        </w:rPr>
        <w:t>(3)未经监理人批准，承包人私自将已按投标文件承诺进入工地的工程设备、施工设备、临时工程或材料撤离工地的；</w:t>
      </w:r>
    </w:p>
    <w:p w14:paraId="10536C17">
      <w:pPr>
        <w:spacing w:line="360" w:lineRule="auto"/>
        <w:ind w:firstLine="420" w:firstLineChars="200"/>
        <w:jc w:val="left"/>
        <w:rPr>
          <w:rFonts w:ascii="宋体" w:hAnsi="宋体"/>
          <w:color w:val="auto"/>
          <w:kern w:val="0"/>
          <w:szCs w:val="21"/>
        </w:rPr>
      </w:pPr>
      <w:r>
        <w:rPr>
          <w:rFonts w:ascii="宋体" w:hAnsi="宋体"/>
          <w:color w:val="auto"/>
          <w:kern w:val="0"/>
          <w:szCs w:val="21"/>
        </w:rPr>
        <w:t>(4)由于承包人原因拒绝按合同进度计划及时完成合同规定的工程，而又未采取有效措施赶上进度，造成工期延误的；</w:t>
      </w:r>
    </w:p>
    <w:p w14:paraId="2D17282F">
      <w:pPr>
        <w:spacing w:line="360" w:lineRule="auto"/>
        <w:ind w:firstLine="420" w:firstLineChars="200"/>
        <w:rPr>
          <w:rFonts w:ascii="宋体" w:hAnsi="宋体"/>
          <w:color w:val="auto"/>
          <w:kern w:val="0"/>
          <w:szCs w:val="21"/>
        </w:rPr>
      </w:pPr>
      <w:r>
        <w:rPr>
          <w:rFonts w:ascii="宋体" w:hAnsi="宋体"/>
          <w:color w:val="auto"/>
          <w:kern w:val="0"/>
          <w:szCs w:val="21"/>
        </w:rPr>
        <w:t>(5)承包人否认合同有效或拒绝履行合同规定的承包人义务，或由于法律、财务等原因导致承包人无法继续履行或实质上已停止履行合同的义务的；</w:t>
      </w:r>
    </w:p>
    <w:p w14:paraId="5CC4CAB4">
      <w:pPr>
        <w:spacing w:line="360" w:lineRule="auto"/>
        <w:ind w:firstLine="420" w:firstLineChars="200"/>
        <w:rPr>
          <w:rFonts w:ascii="宋体" w:hAnsi="宋体"/>
          <w:color w:val="auto"/>
          <w:kern w:val="0"/>
          <w:szCs w:val="21"/>
        </w:rPr>
      </w:pPr>
      <w:r>
        <w:rPr>
          <w:rFonts w:ascii="宋体" w:hAnsi="宋体"/>
          <w:color w:val="auto"/>
          <w:kern w:val="0"/>
          <w:szCs w:val="21"/>
        </w:rPr>
        <w:t>(6)合同签订之日起十五日内，承包人无法按合同规定及投标文件的承诺进场经监理工程师认可的全部人员和机械的。</w:t>
      </w:r>
    </w:p>
    <w:p w14:paraId="455A784D">
      <w:pPr>
        <w:spacing w:line="360" w:lineRule="auto"/>
        <w:ind w:firstLine="420" w:firstLineChars="200"/>
        <w:rPr>
          <w:rFonts w:ascii="宋体" w:hAnsi="宋体"/>
          <w:color w:val="auto"/>
          <w:kern w:val="0"/>
          <w:szCs w:val="21"/>
        </w:rPr>
      </w:pPr>
      <w:r>
        <w:rPr>
          <w:rFonts w:ascii="宋体" w:hAnsi="宋体"/>
          <w:color w:val="auto"/>
          <w:kern w:val="0"/>
          <w:szCs w:val="21"/>
        </w:rPr>
        <w:t>发包人继续使用承包人在施工现场的材料、设备、临时工程、承包人文件和由承包人或以其名义编制的其他文件的费用承担方式：</w:t>
      </w:r>
      <w:r>
        <w:rPr>
          <w:rFonts w:hint="eastAsia" w:ascii="宋体" w:hAnsi="宋体"/>
          <w:color w:val="auto"/>
          <w:szCs w:val="21"/>
          <w:u w:val="single"/>
        </w:rPr>
        <w:t xml:space="preserve">                      </w:t>
      </w:r>
      <w:r>
        <w:rPr>
          <w:rFonts w:ascii="宋体" w:hAnsi="宋体"/>
          <w:color w:val="auto"/>
          <w:kern w:val="0"/>
          <w:szCs w:val="21"/>
        </w:rPr>
        <w:t>。</w:t>
      </w:r>
    </w:p>
    <w:p w14:paraId="4145B8BC">
      <w:pPr>
        <w:keepNext/>
        <w:keepLines/>
        <w:spacing w:before="260" w:after="260" w:line="416" w:lineRule="auto"/>
        <w:outlineLvl w:val="0"/>
        <w:rPr>
          <w:rFonts w:ascii="宋体" w:hAnsi="宋体"/>
          <w:b/>
          <w:bCs/>
          <w:color w:val="auto"/>
          <w:sz w:val="32"/>
          <w:szCs w:val="32"/>
        </w:rPr>
      </w:pPr>
      <w:bookmarkStart w:id="1469" w:name="_Toc86935933"/>
      <w:bookmarkStart w:id="1470" w:name="_Toc495673448"/>
      <w:bookmarkStart w:id="1471" w:name="_Toc351203649"/>
      <w:bookmarkStart w:id="1472" w:name="_Toc373227769"/>
      <w:bookmarkStart w:id="1473" w:name="_Toc373478416"/>
      <w:bookmarkStart w:id="1474" w:name="_Toc407135272"/>
      <w:bookmarkStart w:id="1475" w:name="_Toc389065334"/>
      <w:bookmarkStart w:id="1476" w:name="_Toc508379783"/>
      <w:bookmarkStart w:id="1477" w:name="_Toc4450"/>
      <w:bookmarkStart w:id="1478" w:name="_Toc127"/>
      <w:bookmarkStart w:id="1479" w:name="_Toc20248"/>
      <w:bookmarkStart w:id="1480" w:name="_Toc5573"/>
      <w:r>
        <w:rPr>
          <w:rFonts w:ascii="宋体" w:hAnsi="宋体"/>
          <w:b/>
          <w:bCs/>
          <w:color w:val="auto"/>
          <w:sz w:val="32"/>
          <w:szCs w:val="32"/>
        </w:rPr>
        <w:t>17. 不可抗力</w:t>
      </w:r>
      <w:bookmarkEnd w:id="1449"/>
      <w:bookmarkEnd w:id="1469"/>
      <w:bookmarkEnd w:id="1470"/>
      <w:bookmarkEnd w:id="1471"/>
      <w:bookmarkEnd w:id="1472"/>
      <w:bookmarkEnd w:id="1473"/>
      <w:bookmarkEnd w:id="1474"/>
      <w:bookmarkEnd w:id="1475"/>
      <w:bookmarkEnd w:id="1476"/>
      <w:bookmarkEnd w:id="1477"/>
      <w:bookmarkEnd w:id="1478"/>
      <w:bookmarkEnd w:id="1479"/>
      <w:bookmarkEnd w:id="1480"/>
    </w:p>
    <w:p w14:paraId="7CF92CD6">
      <w:pPr>
        <w:keepNext/>
        <w:keepLines/>
        <w:spacing w:before="260" w:after="260" w:line="416" w:lineRule="auto"/>
        <w:outlineLvl w:val="1"/>
        <w:rPr>
          <w:rFonts w:ascii="宋体" w:hAnsi="宋体"/>
          <w:b/>
          <w:bCs/>
          <w:color w:val="auto"/>
          <w:sz w:val="32"/>
          <w:szCs w:val="32"/>
        </w:rPr>
      </w:pPr>
      <w:bookmarkStart w:id="1481" w:name="_Toc508379784"/>
      <w:bookmarkStart w:id="1482" w:name="_Toc389065335"/>
      <w:bookmarkStart w:id="1483" w:name="_Toc407135273"/>
      <w:bookmarkStart w:id="1484" w:name="_Toc495673449"/>
      <w:bookmarkStart w:id="1485" w:name="_Toc86935934"/>
      <w:bookmarkStart w:id="1486" w:name="_Toc373478417"/>
      <w:bookmarkStart w:id="1487" w:name="_Toc373227770"/>
      <w:bookmarkStart w:id="1488" w:name="_Toc20763"/>
      <w:bookmarkStart w:id="1489" w:name="_Toc31605"/>
      <w:r>
        <w:rPr>
          <w:rFonts w:ascii="宋体" w:hAnsi="宋体"/>
          <w:b/>
          <w:bCs/>
          <w:color w:val="auto"/>
          <w:sz w:val="32"/>
          <w:szCs w:val="32"/>
        </w:rPr>
        <w:t>17.1 不可抗力的确认</w:t>
      </w:r>
      <w:bookmarkEnd w:id="1481"/>
      <w:bookmarkEnd w:id="1482"/>
      <w:bookmarkEnd w:id="1483"/>
      <w:bookmarkEnd w:id="1484"/>
      <w:bookmarkEnd w:id="1485"/>
      <w:bookmarkEnd w:id="1486"/>
      <w:bookmarkEnd w:id="1487"/>
      <w:bookmarkEnd w:id="1488"/>
      <w:bookmarkEnd w:id="1489"/>
    </w:p>
    <w:p w14:paraId="7371DB35">
      <w:pPr>
        <w:spacing w:line="360" w:lineRule="auto"/>
        <w:ind w:firstLine="420" w:firstLineChars="200"/>
        <w:jc w:val="left"/>
        <w:rPr>
          <w:rFonts w:ascii="宋体" w:hAnsi="宋体"/>
          <w:color w:val="auto"/>
          <w:kern w:val="0"/>
          <w:szCs w:val="21"/>
          <w:u w:val="single"/>
        </w:rPr>
      </w:pPr>
      <w:r>
        <w:rPr>
          <w:rFonts w:ascii="宋体" w:hAnsi="宋体"/>
          <w:color w:val="auto"/>
          <w:szCs w:val="21"/>
        </w:rPr>
        <w:t>除通用合同条款约定的不可抗力事件之外，视为不可抗力的其他情形：</w:t>
      </w:r>
      <w:r>
        <w:rPr>
          <w:rStyle w:val="50"/>
          <w:rFonts w:hint="eastAsia" w:ascii="宋体" w:hAnsi="宋体" w:eastAsia="宋体"/>
          <w:color w:val="auto"/>
          <w:u w:val="single"/>
        </w:rPr>
        <w:t>包括战争、恐怖活动、动乱、瘟疫、空中飞行物体坠落或其他非发包人承包人责任造成的爆炸、火灾</w:t>
      </w:r>
      <w:r>
        <w:rPr>
          <w:rStyle w:val="50"/>
          <w:rFonts w:hint="eastAsia" w:ascii="宋体" w:hAnsi="宋体" w:eastAsia="宋体"/>
          <w:color w:val="auto"/>
        </w:rPr>
        <w:t>，</w:t>
      </w:r>
      <w:r>
        <w:rPr>
          <w:rStyle w:val="50"/>
          <w:rFonts w:hint="eastAsia" w:ascii="宋体" w:hAnsi="宋体" w:eastAsia="宋体"/>
          <w:color w:val="auto"/>
          <w:u w:val="single"/>
        </w:rPr>
        <w:t>以及地震、洪涝等自然灾害</w:t>
      </w:r>
      <w:r>
        <w:rPr>
          <w:rFonts w:ascii="宋体" w:hAnsi="宋体"/>
          <w:color w:val="auto"/>
          <w:kern w:val="0"/>
          <w:szCs w:val="21"/>
        </w:rPr>
        <w:t>。</w:t>
      </w:r>
    </w:p>
    <w:p w14:paraId="2C504BCB">
      <w:pPr>
        <w:keepNext/>
        <w:keepLines/>
        <w:spacing w:before="260" w:after="260" w:line="416" w:lineRule="auto"/>
        <w:outlineLvl w:val="1"/>
        <w:rPr>
          <w:rFonts w:ascii="宋体" w:hAnsi="宋体"/>
          <w:b/>
          <w:bCs/>
          <w:color w:val="auto"/>
          <w:sz w:val="32"/>
          <w:szCs w:val="32"/>
        </w:rPr>
      </w:pPr>
      <w:bookmarkStart w:id="1490" w:name="_Toc373478418"/>
      <w:bookmarkStart w:id="1491" w:name="_Toc373227771"/>
      <w:bookmarkStart w:id="1492" w:name="_Toc389065336"/>
      <w:bookmarkStart w:id="1493" w:name="_Toc407135274"/>
      <w:bookmarkStart w:id="1494" w:name="_Toc508379785"/>
      <w:bookmarkStart w:id="1495" w:name="_Toc495673450"/>
      <w:bookmarkStart w:id="1496" w:name="_Toc86935935"/>
      <w:bookmarkStart w:id="1497" w:name="_Toc32111"/>
      <w:bookmarkStart w:id="1498" w:name="_Toc2218"/>
      <w:r>
        <w:rPr>
          <w:rFonts w:ascii="宋体" w:hAnsi="宋体"/>
          <w:b/>
          <w:bCs/>
          <w:color w:val="auto"/>
          <w:sz w:val="32"/>
          <w:szCs w:val="32"/>
        </w:rPr>
        <w:t>17.4 因不可抗力解除合同</w:t>
      </w:r>
      <w:bookmarkEnd w:id="1490"/>
      <w:bookmarkEnd w:id="1491"/>
      <w:bookmarkEnd w:id="1492"/>
      <w:bookmarkEnd w:id="1493"/>
      <w:bookmarkEnd w:id="1494"/>
      <w:bookmarkEnd w:id="1495"/>
      <w:bookmarkEnd w:id="1496"/>
      <w:bookmarkEnd w:id="1497"/>
      <w:bookmarkEnd w:id="1498"/>
    </w:p>
    <w:p w14:paraId="2DD34D5F">
      <w:pPr>
        <w:spacing w:line="360" w:lineRule="auto"/>
        <w:ind w:firstLine="420" w:firstLineChars="200"/>
        <w:jc w:val="left"/>
        <w:rPr>
          <w:rFonts w:ascii="宋体" w:hAnsi="宋体"/>
          <w:color w:val="auto"/>
          <w:szCs w:val="21"/>
        </w:rPr>
      </w:pPr>
      <w:r>
        <w:rPr>
          <w:rFonts w:ascii="宋体" w:hAnsi="宋体"/>
          <w:color w:val="auto"/>
          <w:szCs w:val="21"/>
        </w:rPr>
        <w:t>合同解除后，发包人应在商定或确定发包人应支付款项后天内完成款项的支付。</w:t>
      </w:r>
    </w:p>
    <w:p w14:paraId="49975CE9">
      <w:pPr>
        <w:keepNext/>
        <w:keepLines/>
        <w:spacing w:before="260" w:after="260" w:line="416" w:lineRule="auto"/>
        <w:outlineLvl w:val="0"/>
        <w:rPr>
          <w:rFonts w:ascii="宋体" w:hAnsi="宋体"/>
          <w:b/>
          <w:bCs/>
          <w:color w:val="auto"/>
          <w:sz w:val="32"/>
          <w:szCs w:val="32"/>
        </w:rPr>
      </w:pPr>
      <w:bookmarkStart w:id="1499" w:name="_Toc389065337"/>
      <w:bookmarkStart w:id="1500" w:name="_Toc373227772"/>
      <w:bookmarkStart w:id="1501" w:name="_Toc373478419"/>
      <w:bookmarkStart w:id="1502" w:name="_Toc407135275"/>
      <w:bookmarkStart w:id="1503" w:name="_Toc495673451"/>
      <w:bookmarkStart w:id="1504" w:name="_Toc508379786"/>
      <w:bookmarkStart w:id="1505" w:name="_Toc86935936"/>
      <w:bookmarkStart w:id="1506" w:name="_Toc351203650"/>
      <w:bookmarkStart w:id="1507" w:name="_Toc22288"/>
      <w:bookmarkStart w:id="1508" w:name="_Toc25943"/>
      <w:bookmarkStart w:id="1509" w:name="_Toc6153"/>
      <w:bookmarkStart w:id="1510" w:name="_Toc1840"/>
      <w:r>
        <w:rPr>
          <w:rFonts w:ascii="宋体" w:hAnsi="宋体"/>
          <w:b/>
          <w:bCs/>
          <w:color w:val="auto"/>
          <w:sz w:val="32"/>
          <w:szCs w:val="32"/>
        </w:rPr>
        <w:t>18. 保险</w:t>
      </w:r>
      <w:bookmarkEnd w:id="1499"/>
      <w:bookmarkEnd w:id="1500"/>
      <w:bookmarkEnd w:id="1501"/>
      <w:bookmarkEnd w:id="1502"/>
      <w:bookmarkEnd w:id="1503"/>
      <w:bookmarkEnd w:id="1504"/>
      <w:bookmarkEnd w:id="1505"/>
      <w:bookmarkEnd w:id="1506"/>
      <w:bookmarkEnd w:id="1507"/>
      <w:bookmarkEnd w:id="1508"/>
      <w:bookmarkEnd w:id="1509"/>
      <w:bookmarkEnd w:id="1510"/>
    </w:p>
    <w:bookmarkEnd w:id="1450"/>
    <w:p w14:paraId="0B2E1EB6">
      <w:pPr>
        <w:keepNext/>
        <w:keepLines/>
        <w:spacing w:before="260" w:after="260" w:line="416" w:lineRule="auto"/>
        <w:outlineLvl w:val="1"/>
        <w:rPr>
          <w:rFonts w:ascii="宋体" w:hAnsi="宋体"/>
          <w:b/>
          <w:bCs/>
          <w:color w:val="auto"/>
          <w:sz w:val="32"/>
          <w:szCs w:val="32"/>
        </w:rPr>
      </w:pPr>
      <w:bookmarkStart w:id="1511" w:name="_Toc495673452"/>
      <w:bookmarkStart w:id="1512" w:name="_Toc407135276"/>
      <w:bookmarkStart w:id="1513" w:name="_Toc373478420"/>
      <w:bookmarkStart w:id="1514" w:name="_Toc389065338"/>
      <w:bookmarkStart w:id="1515" w:name="_Toc508379787"/>
      <w:bookmarkStart w:id="1516" w:name="_Toc373227773"/>
      <w:bookmarkStart w:id="1517" w:name="_Toc86935937"/>
      <w:bookmarkStart w:id="1518" w:name="_Toc1385"/>
      <w:bookmarkStart w:id="1519" w:name="_Toc13918"/>
      <w:r>
        <w:rPr>
          <w:rFonts w:ascii="宋体" w:hAnsi="宋体"/>
          <w:b/>
          <w:bCs/>
          <w:color w:val="auto"/>
          <w:sz w:val="32"/>
          <w:szCs w:val="32"/>
        </w:rPr>
        <w:t>18.1 工程保险</w:t>
      </w:r>
      <w:bookmarkEnd w:id="1511"/>
      <w:bookmarkEnd w:id="1512"/>
      <w:bookmarkEnd w:id="1513"/>
      <w:bookmarkEnd w:id="1514"/>
      <w:bookmarkEnd w:id="1515"/>
      <w:bookmarkEnd w:id="1516"/>
      <w:bookmarkEnd w:id="1517"/>
      <w:bookmarkEnd w:id="1518"/>
      <w:bookmarkEnd w:id="1519"/>
    </w:p>
    <w:p w14:paraId="55856DFE">
      <w:pPr>
        <w:pStyle w:val="292"/>
        <w:widowControl/>
        <w:spacing w:line="400" w:lineRule="exact"/>
        <w:ind w:firstLine="424" w:firstLineChars="202"/>
        <w:rPr>
          <w:rFonts w:ascii="宋体" w:hAnsi="宋体"/>
          <w:color w:val="auto"/>
          <w:kern w:val="0"/>
          <w:szCs w:val="21"/>
        </w:rPr>
      </w:pPr>
      <w:r>
        <w:rPr>
          <w:rFonts w:ascii="宋体" w:hAnsi="宋体"/>
          <w:color w:val="auto"/>
          <w:szCs w:val="21"/>
        </w:rPr>
        <w:t>关于工程保险的特别约定：</w:t>
      </w:r>
      <w:r>
        <w:rPr>
          <w:rStyle w:val="50"/>
          <w:rFonts w:hint="eastAsia" w:ascii="宋体" w:hAnsi="宋体" w:eastAsia="宋体"/>
          <w:color w:val="auto"/>
          <w:u w:val="single"/>
        </w:rPr>
        <w:t>建设工程</w:t>
      </w:r>
      <w:r>
        <w:rPr>
          <w:rStyle w:val="50"/>
          <w:rFonts w:hint="eastAsia" w:ascii="宋体" w:hAnsi="宋体" w:eastAsia="宋体"/>
          <w:bCs/>
          <w:color w:val="auto"/>
          <w:u w:val="single"/>
        </w:rPr>
        <w:t>一切险和第三方责任险</w:t>
      </w:r>
      <w:r>
        <w:rPr>
          <w:rFonts w:ascii="宋体" w:hAnsi="宋体"/>
          <w:color w:val="auto"/>
          <w:kern w:val="0"/>
          <w:szCs w:val="21"/>
        </w:rPr>
        <w:t>。</w:t>
      </w:r>
    </w:p>
    <w:p w14:paraId="39BD6FF1">
      <w:pPr>
        <w:pStyle w:val="292"/>
        <w:widowControl/>
        <w:spacing w:line="400" w:lineRule="exact"/>
        <w:ind w:firstLine="424" w:firstLineChars="202"/>
        <w:rPr>
          <w:rStyle w:val="50"/>
          <w:rFonts w:hint="eastAsia" w:ascii="宋体" w:hAnsi="宋体" w:eastAsia="宋体"/>
          <w:color w:val="auto"/>
        </w:rPr>
      </w:pPr>
      <w:r>
        <w:rPr>
          <w:rStyle w:val="50"/>
          <w:rFonts w:hint="eastAsia" w:ascii="宋体" w:hAnsi="宋体" w:eastAsia="宋体"/>
          <w:color w:val="auto"/>
        </w:rPr>
        <w:t>18.1.1投保</w:t>
      </w:r>
    </w:p>
    <w:p w14:paraId="41A579EA">
      <w:pPr>
        <w:pStyle w:val="292"/>
        <w:widowControl/>
        <w:spacing w:line="400" w:lineRule="exact"/>
        <w:ind w:firstLine="424" w:firstLineChars="202"/>
        <w:rPr>
          <w:rStyle w:val="50"/>
          <w:rFonts w:hint="eastAsia" w:ascii="宋体" w:hAnsi="宋体" w:eastAsia="宋体"/>
          <w:bCs/>
          <w:color w:val="auto"/>
        </w:rPr>
      </w:pPr>
      <w:r>
        <w:rPr>
          <w:rStyle w:val="50"/>
          <w:rFonts w:hint="eastAsia" w:ascii="宋体" w:hAnsi="宋体" w:eastAsia="宋体"/>
          <w:color w:val="auto"/>
        </w:rPr>
        <w:t>（1）投保人：</w:t>
      </w:r>
      <w:r>
        <w:rPr>
          <w:rStyle w:val="50"/>
          <w:rFonts w:hint="eastAsia" w:ascii="宋体" w:hAnsi="宋体" w:eastAsia="宋体"/>
          <w:color w:val="auto"/>
          <w:u w:val="single"/>
        </w:rPr>
        <w:t>承包人</w:t>
      </w:r>
      <w:r>
        <w:rPr>
          <w:rStyle w:val="50"/>
          <w:rFonts w:hint="eastAsia" w:ascii="宋体" w:hAnsi="宋体" w:eastAsia="宋体"/>
          <w:color w:val="auto"/>
        </w:rPr>
        <w:t>。</w:t>
      </w:r>
      <w:r>
        <w:rPr>
          <w:rStyle w:val="50"/>
          <w:rFonts w:hint="eastAsia" w:ascii="宋体" w:hAnsi="宋体" w:eastAsia="宋体" w:cs="Times New Roman"/>
          <w:color w:val="auto"/>
          <w:szCs w:val="24"/>
        </w:rPr>
        <w:t>（2）投保内容：</w:t>
      </w:r>
      <w:r>
        <w:rPr>
          <w:rStyle w:val="50"/>
          <w:rFonts w:hint="eastAsia" w:ascii="宋体" w:hAnsi="宋体" w:eastAsia="宋体" w:cs="Times New Roman"/>
          <w:bCs/>
          <w:color w:val="auto"/>
          <w:szCs w:val="24"/>
          <w:u w:val="single"/>
        </w:rPr>
        <w:t>承包人必须为从事危险作业的职工办理意外伤害保险，并为施工场地内承包人的自有人员生命财产及施工机械设备办理保险，支付保险费用。保险合同约定的保险责任范围应当包括工地范围内的全部财产的物质损坏或灭失以及所产生的费用、因发生与所承保工程直接相关的意外事故引起工地内及邻近区域的第三者（包括发包人的人员）人身伤亡、财产损失以及所产生的费用、承包人施工人员因发生与所承保工程直接相关的意外事故引起的人身伤亡、疾病或财产损失以及所产生的费用。无论是否获得保险机构的赔偿，凡施工中发生的一切安全事故，均由承包人负责所发生事故的依法应该支付的损失赔偿费、抚恤费和承担法律责任，发包人不承担该等责任。</w:t>
      </w:r>
    </w:p>
    <w:p w14:paraId="73D67DE0">
      <w:pPr>
        <w:pStyle w:val="292"/>
        <w:widowControl/>
        <w:spacing w:line="400" w:lineRule="exact"/>
        <w:ind w:firstLine="424" w:firstLineChars="202"/>
        <w:rPr>
          <w:rStyle w:val="50"/>
          <w:rFonts w:hint="eastAsia" w:ascii="宋体" w:hAnsi="宋体" w:eastAsia="宋体"/>
          <w:color w:val="auto"/>
        </w:rPr>
      </w:pPr>
      <w:r>
        <w:rPr>
          <w:rStyle w:val="50"/>
          <w:rFonts w:hint="eastAsia" w:ascii="宋体" w:hAnsi="宋体" w:eastAsia="宋体" w:cs="Times New Roman"/>
          <w:color w:val="auto"/>
          <w:szCs w:val="24"/>
        </w:rPr>
        <w:t>（3）保险费率：</w:t>
      </w:r>
      <w:r>
        <w:rPr>
          <w:rStyle w:val="50"/>
          <w:rFonts w:hint="eastAsia" w:ascii="宋体" w:hAnsi="宋体" w:eastAsia="宋体" w:cs="Times New Roman"/>
          <w:color w:val="auto"/>
          <w:szCs w:val="24"/>
          <w:u w:val="single"/>
        </w:rPr>
        <w:t>由投保人与合同双方同意的保险人商定</w:t>
      </w:r>
      <w:r>
        <w:rPr>
          <w:rStyle w:val="50"/>
          <w:rFonts w:hint="eastAsia" w:ascii="宋体" w:hAnsi="宋体" w:eastAsia="宋体" w:cs="Times New Roman"/>
          <w:bCs/>
          <w:color w:val="auto"/>
          <w:szCs w:val="24"/>
        </w:rPr>
        <w:t>。</w:t>
      </w:r>
    </w:p>
    <w:p w14:paraId="45D9D50E">
      <w:pPr>
        <w:pStyle w:val="292"/>
        <w:widowControl/>
        <w:spacing w:line="400" w:lineRule="exact"/>
        <w:ind w:firstLine="424" w:firstLineChars="202"/>
        <w:rPr>
          <w:rStyle w:val="50"/>
          <w:rFonts w:hint="eastAsia" w:ascii="宋体" w:hAnsi="宋体" w:eastAsia="宋体"/>
          <w:color w:val="auto"/>
        </w:rPr>
      </w:pPr>
      <w:r>
        <w:rPr>
          <w:rStyle w:val="50"/>
          <w:rFonts w:hint="eastAsia" w:ascii="宋体" w:hAnsi="宋体" w:eastAsia="宋体" w:cs="Times New Roman"/>
          <w:color w:val="auto"/>
          <w:szCs w:val="24"/>
        </w:rPr>
        <w:t>（4）保险金额：</w:t>
      </w:r>
      <w:r>
        <w:rPr>
          <w:rStyle w:val="50"/>
          <w:rFonts w:hint="eastAsia" w:ascii="宋体" w:hAnsi="宋体" w:eastAsia="宋体" w:cs="Times New Roman"/>
          <w:color w:val="auto"/>
          <w:szCs w:val="24"/>
          <w:u w:val="single"/>
        </w:rPr>
        <w:t>由投保人与合同双方同意的保险人商定</w:t>
      </w:r>
      <w:r>
        <w:rPr>
          <w:rStyle w:val="50"/>
          <w:rFonts w:hint="eastAsia" w:ascii="宋体" w:hAnsi="宋体" w:eastAsia="宋体" w:cs="Times New Roman"/>
          <w:bCs/>
          <w:color w:val="auto"/>
          <w:szCs w:val="24"/>
        </w:rPr>
        <w:t>。</w:t>
      </w:r>
    </w:p>
    <w:p w14:paraId="2C9D340C">
      <w:pPr>
        <w:pStyle w:val="292"/>
        <w:widowControl/>
        <w:spacing w:line="400" w:lineRule="exact"/>
        <w:ind w:firstLine="424" w:firstLineChars="202"/>
        <w:rPr>
          <w:rStyle w:val="50"/>
          <w:rFonts w:hint="eastAsia" w:ascii="宋体" w:hAnsi="宋体" w:eastAsia="宋体"/>
          <w:bCs/>
          <w:color w:val="auto"/>
        </w:rPr>
      </w:pPr>
      <w:r>
        <w:rPr>
          <w:rStyle w:val="50"/>
          <w:rFonts w:hint="eastAsia" w:ascii="宋体" w:hAnsi="宋体" w:eastAsia="宋体" w:cs="Times New Roman"/>
          <w:color w:val="auto"/>
          <w:szCs w:val="24"/>
        </w:rPr>
        <w:t>（5）保险期限：</w:t>
      </w:r>
      <w:r>
        <w:rPr>
          <w:rStyle w:val="50"/>
          <w:rFonts w:hint="eastAsia" w:ascii="宋体" w:hAnsi="宋体" w:eastAsia="宋体" w:cs="Times New Roman"/>
          <w:bCs/>
          <w:strike w:val="0"/>
          <w:dstrike w:val="0"/>
          <w:color w:val="auto"/>
          <w:szCs w:val="24"/>
          <w:u w:val="single"/>
        </w:rPr>
        <w:t>保险种类包括一切险和第三方责任险，保险期从工程开工之日起到工程竣工验收之日，如若项目延期，投标单位必须无条件办理延期手续并承担一切费用, 如故意或疏忽而没有投保、少投保或漏投保，造成的后果由承包人负全部责任。</w:t>
      </w:r>
    </w:p>
    <w:p w14:paraId="1344DA15">
      <w:pPr>
        <w:spacing w:line="360" w:lineRule="auto"/>
        <w:ind w:firstLine="420" w:firstLineChars="200"/>
        <w:jc w:val="left"/>
        <w:rPr>
          <w:rFonts w:ascii="宋体" w:hAnsi="宋体"/>
          <w:color w:val="auto"/>
          <w:szCs w:val="21"/>
        </w:rPr>
      </w:pPr>
      <w:r>
        <w:rPr>
          <w:rStyle w:val="50"/>
          <w:rFonts w:hint="eastAsia" w:ascii="宋体" w:hAnsi="宋体" w:eastAsia="宋体"/>
          <w:bCs/>
          <w:color w:val="auto"/>
        </w:rPr>
        <w:t>（6）安全生产责任保险费：</w:t>
      </w:r>
      <w:r>
        <w:rPr>
          <w:rStyle w:val="50"/>
          <w:rFonts w:hint="eastAsia" w:ascii="宋体" w:hAnsi="宋体" w:eastAsia="宋体"/>
          <w:bCs/>
          <w:color w:val="auto"/>
          <w:u w:val="single"/>
        </w:rPr>
        <w:t>安全生产责任保险费按照分部分项工程费及措施项目费（含单价及总价措施项目费）为计算基数乘以0.2%计入暂估价，工程结算时，由发承包双方根据工程实际情况确认的安全生产责任保险费计入工程造价</w:t>
      </w:r>
      <w:r>
        <w:rPr>
          <w:rStyle w:val="50"/>
          <w:rFonts w:hint="eastAsia" w:ascii="宋体" w:hAnsi="宋体" w:eastAsia="宋体"/>
          <w:bCs/>
          <w:color w:val="auto"/>
        </w:rPr>
        <w:t>。</w:t>
      </w:r>
    </w:p>
    <w:p w14:paraId="1566FFFC">
      <w:pPr>
        <w:keepNext/>
        <w:keepLines/>
        <w:spacing w:before="260" w:after="260" w:line="416" w:lineRule="auto"/>
        <w:outlineLvl w:val="1"/>
        <w:rPr>
          <w:rFonts w:ascii="宋体" w:hAnsi="宋体"/>
          <w:b/>
          <w:bCs/>
          <w:color w:val="auto"/>
          <w:sz w:val="32"/>
          <w:szCs w:val="32"/>
        </w:rPr>
      </w:pPr>
      <w:bookmarkStart w:id="1520" w:name="_Toc373478421"/>
      <w:bookmarkStart w:id="1521" w:name="_Toc373227774"/>
      <w:bookmarkStart w:id="1522" w:name="_Toc407135277"/>
      <w:bookmarkStart w:id="1523" w:name="_Toc508379788"/>
      <w:bookmarkStart w:id="1524" w:name="_Toc495673453"/>
      <w:bookmarkStart w:id="1525" w:name="_Toc86935938"/>
      <w:bookmarkStart w:id="1526" w:name="_Toc389065339"/>
      <w:bookmarkStart w:id="1527" w:name="_Toc29170"/>
      <w:bookmarkStart w:id="1528" w:name="_Toc4356"/>
      <w:r>
        <w:rPr>
          <w:rFonts w:ascii="宋体" w:hAnsi="宋体"/>
          <w:b/>
          <w:bCs/>
          <w:color w:val="auto"/>
          <w:sz w:val="32"/>
          <w:szCs w:val="32"/>
        </w:rPr>
        <w:t>18.3 其他保险</w:t>
      </w:r>
      <w:bookmarkEnd w:id="1520"/>
      <w:bookmarkEnd w:id="1521"/>
      <w:bookmarkEnd w:id="1522"/>
      <w:bookmarkEnd w:id="1523"/>
      <w:bookmarkEnd w:id="1524"/>
      <w:bookmarkEnd w:id="1525"/>
      <w:bookmarkEnd w:id="1526"/>
      <w:bookmarkEnd w:id="1527"/>
      <w:bookmarkEnd w:id="1528"/>
    </w:p>
    <w:p w14:paraId="53168A1E">
      <w:pPr>
        <w:spacing w:line="360" w:lineRule="auto"/>
        <w:ind w:firstLine="420" w:firstLineChars="200"/>
        <w:jc w:val="left"/>
        <w:rPr>
          <w:rFonts w:ascii="宋体" w:hAnsi="宋体"/>
          <w:color w:val="auto"/>
          <w:kern w:val="0"/>
          <w:szCs w:val="21"/>
        </w:rPr>
      </w:pPr>
      <w:r>
        <w:rPr>
          <w:rFonts w:ascii="宋体" w:hAnsi="宋体"/>
          <w:color w:val="auto"/>
          <w:szCs w:val="21"/>
        </w:rPr>
        <w:t>关于其他保险的约定：</w:t>
      </w:r>
      <w:r>
        <w:rPr>
          <w:rStyle w:val="50"/>
          <w:rFonts w:hint="eastAsia" w:ascii="宋体" w:hAnsi="宋体" w:eastAsia="宋体"/>
          <w:color w:val="auto"/>
          <w:u w:val="single"/>
        </w:rPr>
        <w:t>除了强制规定由发包人负责的保险以外的其他一切工程保险均有承包人自行承担</w:t>
      </w:r>
      <w:r>
        <w:rPr>
          <w:rFonts w:hint="eastAsia" w:ascii="宋体" w:hAnsi="宋体"/>
          <w:color w:val="auto"/>
          <w:szCs w:val="21"/>
          <w:u w:val="single"/>
        </w:rPr>
        <w:t xml:space="preserve"> </w:t>
      </w:r>
      <w:r>
        <w:rPr>
          <w:rFonts w:hint="eastAsia" w:ascii="宋体" w:hAnsi="宋体"/>
          <w:bCs/>
          <w:color w:val="auto"/>
          <w:szCs w:val="21"/>
        </w:rPr>
        <w:t>。</w:t>
      </w:r>
    </w:p>
    <w:p w14:paraId="6479D373">
      <w:pPr>
        <w:spacing w:line="360" w:lineRule="auto"/>
        <w:ind w:firstLine="420" w:firstLineChars="200"/>
        <w:jc w:val="left"/>
        <w:rPr>
          <w:rFonts w:ascii="宋体" w:hAnsi="宋体"/>
          <w:color w:val="auto"/>
          <w:szCs w:val="21"/>
          <w:u w:val="single"/>
        </w:rPr>
      </w:pPr>
      <w:r>
        <w:rPr>
          <w:rFonts w:ascii="宋体" w:hAnsi="宋体"/>
          <w:color w:val="auto"/>
          <w:szCs w:val="21"/>
        </w:rPr>
        <w:t>承包人是否应为其施工设备等办理财产保险：</w:t>
      </w:r>
      <w:r>
        <w:rPr>
          <w:rStyle w:val="50"/>
          <w:rFonts w:hint="eastAsia" w:ascii="宋体" w:hAnsi="宋体" w:eastAsia="宋体"/>
          <w:bCs/>
          <w:color w:val="auto"/>
          <w:u w:val="single"/>
        </w:rPr>
        <w:t>承包人必须为</w:t>
      </w:r>
      <w:r>
        <w:rPr>
          <w:rStyle w:val="50"/>
          <w:rFonts w:hint="eastAsia" w:ascii="宋体" w:hAnsi="宋体" w:eastAsia="宋体"/>
          <w:color w:val="auto"/>
          <w:u w:val="single"/>
        </w:rPr>
        <w:t>其施工设备、进场材料和工程设备等办理的保险</w:t>
      </w:r>
      <w:r>
        <w:rPr>
          <w:rStyle w:val="50"/>
          <w:rFonts w:hint="eastAsia" w:ascii="宋体" w:hAnsi="宋体" w:eastAsia="宋体"/>
          <w:bCs/>
          <w:color w:val="auto"/>
          <w:u w:val="single"/>
        </w:rPr>
        <w:t>，支付保险费用</w:t>
      </w:r>
      <w:r>
        <w:rPr>
          <w:rStyle w:val="50"/>
          <w:rFonts w:hint="eastAsia" w:ascii="宋体" w:hAnsi="宋体" w:eastAsia="宋体"/>
          <w:color w:val="auto"/>
          <w:u w:val="single"/>
        </w:rPr>
        <w:t>。</w:t>
      </w:r>
      <w:r>
        <w:rPr>
          <w:rStyle w:val="50"/>
          <w:rFonts w:hint="eastAsia" w:ascii="宋体" w:hAnsi="宋体" w:eastAsia="宋体"/>
          <w:bCs/>
          <w:color w:val="auto"/>
          <w:u w:val="single"/>
        </w:rPr>
        <w:t>保险合同约定的保险责任范围应当包括工地范围内的全部财产的物质损坏或灭失以及所产生的费用，无论是否获得保险机构的赔偿，凡施工中发生的一切安全事故，均由承包人负责所发生事故的依法应该支付的损失赔偿费和承担法律责任，发包人不承担该等责任。</w:t>
      </w:r>
      <w:r>
        <w:rPr>
          <w:rStyle w:val="50"/>
          <w:rFonts w:hint="eastAsia" w:ascii="宋体" w:hAnsi="宋体" w:eastAsia="宋体"/>
          <w:color w:val="auto"/>
          <w:u w:val="single"/>
        </w:rPr>
        <w:t>保险费率由承包人与发包人同意的保险人商定，相关保险费由承包人承担</w:t>
      </w:r>
      <w:r>
        <w:rPr>
          <w:rFonts w:hint="eastAsia" w:ascii="宋体" w:hAnsi="宋体" w:eastAsia="宋体"/>
          <w:color w:val="auto"/>
          <w:szCs w:val="21"/>
          <w:u w:val="single"/>
        </w:rPr>
        <w:t xml:space="preserve"> </w:t>
      </w:r>
      <w:r>
        <w:rPr>
          <w:rFonts w:ascii="宋体" w:hAnsi="宋体" w:eastAsia="宋体"/>
          <w:color w:val="auto"/>
          <w:szCs w:val="21"/>
          <w:u w:val="single"/>
        </w:rPr>
        <w:t>。</w:t>
      </w:r>
    </w:p>
    <w:p w14:paraId="47EE58AD">
      <w:pPr>
        <w:keepNext/>
        <w:keepLines/>
        <w:spacing w:before="260" w:after="260" w:line="416" w:lineRule="auto"/>
        <w:outlineLvl w:val="1"/>
        <w:rPr>
          <w:rFonts w:ascii="宋体" w:hAnsi="宋体"/>
          <w:b/>
          <w:bCs/>
          <w:color w:val="auto"/>
          <w:sz w:val="32"/>
          <w:szCs w:val="32"/>
        </w:rPr>
      </w:pPr>
      <w:bookmarkStart w:id="1529" w:name="_Toc86935939"/>
      <w:bookmarkStart w:id="1530" w:name="_Toc373227775"/>
      <w:bookmarkStart w:id="1531" w:name="_Toc407135278"/>
      <w:bookmarkStart w:id="1532" w:name="_Toc495673454"/>
      <w:bookmarkStart w:id="1533" w:name="_Toc373478422"/>
      <w:bookmarkStart w:id="1534" w:name="_Toc389065340"/>
      <w:bookmarkStart w:id="1535" w:name="_Toc508379789"/>
      <w:bookmarkStart w:id="1536" w:name="_Toc2509"/>
      <w:bookmarkStart w:id="1537" w:name="_Toc20269"/>
      <w:r>
        <w:rPr>
          <w:rFonts w:ascii="宋体" w:hAnsi="宋体"/>
          <w:b/>
          <w:bCs/>
          <w:color w:val="auto"/>
          <w:sz w:val="32"/>
          <w:szCs w:val="32"/>
        </w:rPr>
        <w:t>18.7 通知义务</w:t>
      </w:r>
      <w:bookmarkEnd w:id="1529"/>
      <w:bookmarkEnd w:id="1530"/>
      <w:bookmarkEnd w:id="1531"/>
      <w:bookmarkEnd w:id="1532"/>
      <w:bookmarkEnd w:id="1533"/>
      <w:bookmarkEnd w:id="1534"/>
      <w:bookmarkEnd w:id="1535"/>
      <w:bookmarkEnd w:id="1536"/>
      <w:bookmarkEnd w:id="1537"/>
    </w:p>
    <w:p w14:paraId="5F315BA6">
      <w:pPr>
        <w:spacing w:line="360" w:lineRule="auto"/>
        <w:ind w:firstLine="420" w:firstLineChars="200"/>
        <w:jc w:val="left"/>
        <w:rPr>
          <w:rFonts w:ascii="宋体" w:hAnsi="宋体"/>
          <w:color w:val="auto"/>
          <w:szCs w:val="21"/>
          <w:u w:val="single"/>
        </w:rPr>
      </w:pPr>
      <w:r>
        <w:rPr>
          <w:rFonts w:ascii="宋体" w:hAnsi="宋体"/>
          <w:color w:val="auto"/>
          <w:kern w:val="0"/>
          <w:szCs w:val="21"/>
        </w:rPr>
        <w:t>关于变更保险合同时的通知义务的约定：</w:t>
      </w:r>
      <w:r>
        <w:rPr>
          <w:rFonts w:hint="eastAsia" w:ascii="宋体" w:hAnsi="宋体"/>
          <w:color w:val="auto"/>
          <w:szCs w:val="21"/>
          <w:u w:val="single"/>
        </w:rPr>
        <w:t xml:space="preserve">                      </w:t>
      </w:r>
      <w:r>
        <w:rPr>
          <w:rFonts w:ascii="宋体" w:hAnsi="宋体"/>
          <w:color w:val="auto"/>
          <w:szCs w:val="21"/>
        </w:rPr>
        <w:t>。</w:t>
      </w:r>
    </w:p>
    <w:bookmarkEnd w:id="1388"/>
    <w:bookmarkEnd w:id="1389"/>
    <w:bookmarkEnd w:id="1390"/>
    <w:bookmarkEnd w:id="1391"/>
    <w:bookmarkEnd w:id="1392"/>
    <w:bookmarkEnd w:id="1393"/>
    <w:bookmarkEnd w:id="1394"/>
    <w:bookmarkEnd w:id="1395"/>
    <w:bookmarkEnd w:id="1396"/>
    <w:bookmarkEnd w:id="1397"/>
    <w:bookmarkEnd w:id="1398"/>
    <w:bookmarkEnd w:id="1399"/>
    <w:p w14:paraId="0E09975F">
      <w:pPr>
        <w:keepNext/>
        <w:keepLines/>
        <w:spacing w:before="260" w:after="260" w:line="416" w:lineRule="auto"/>
        <w:outlineLvl w:val="0"/>
        <w:rPr>
          <w:rFonts w:ascii="宋体" w:hAnsi="宋体"/>
          <w:b/>
          <w:bCs/>
          <w:color w:val="auto"/>
          <w:sz w:val="32"/>
          <w:szCs w:val="32"/>
        </w:rPr>
      </w:pPr>
      <w:bookmarkStart w:id="1538" w:name="_Toc389065341"/>
      <w:bookmarkStart w:id="1539" w:name="_Toc407135279"/>
      <w:bookmarkStart w:id="1540" w:name="_Toc495673455"/>
      <w:bookmarkStart w:id="1541" w:name="_Toc351203651"/>
      <w:bookmarkStart w:id="1542" w:name="_Toc508379790"/>
      <w:bookmarkStart w:id="1543" w:name="_Toc86935940"/>
      <w:bookmarkStart w:id="1544" w:name="_Toc373227776"/>
      <w:bookmarkStart w:id="1545" w:name="_Toc373478423"/>
      <w:bookmarkStart w:id="1546" w:name="_Toc26427"/>
      <w:bookmarkStart w:id="1547" w:name="_Toc9932"/>
      <w:bookmarkStart w:id="1548" w:name="_Toc30598"/>
      <w:bookmarkStart w:id="1549" w:name="_Toc22101"/>
      <w:r>
        <w:rPr>
          <w:rFonts w:ascii="宋体" w:hAnsi="宋体"/>
          <w:b/>
          <w:bCs/>
          <w:color w:val="auto"/>
          <w:sz w:val="32"/>
          <w:szCs w:val="32"/>
        </w:rPr>
        <w:t>20. 争议解决</w:t>
      </w:r>
      <w:bookmarkEnd w:id="1538"/>
      <w:bookmarkEnd w:id="1539"/>
      <w:bookmarkEnd w:id="1540"/>
      <w:bookmarkEnd w:id="1541"/>
      <w:bookmarkEnd w:id="1542"/>
      <w:bookmarkEnd w:id="1543"/>
      <w:bookmarkEnd w:id="1544"/>
      <w:bookmarkEnd w:id="1545"/>
      <w:bookmarkEnd w:id="1546"/>
      <w:bookmarkEnd w:id="1547"/>
      <w:bookmarkEnd w:id="1548"/>
      <w:bookmarkEnd w:id="1549"/>
    </w:p>
    <w:bookmarkEnd w:id="1400"/>
    <w:bookmarkEnd w:id="1401"/>
    <w:p w14:paraId="6A29CD94">
      <w:pPr>
        <w:keepNext/>
        <w:keepLines/>
        <w:spacing w:before="260" w:after="260" w:line="416" w:lineRule="auto"/>
        <w:outlineLvl w:val="1"/>
        <w:rPr>
          <w:rFonts w:ascii="宋体" w:hAnsi="宋体"/>
          <w:b/>
          <w:bCs/>
          <w:color w:val="auto"/>
          <w:sz w:val="32"/>
          <w:szCs w:val="32"/>
        </w:rPr>
      </w:pPr>
      <w:bookmarkStart w:id="1550" w:name="_Toc373478424"/>
      <w:bookmarkStart w:id="1551" w:name="_Toc373227777"/>
      <w:bookmarkStart w:id="1552" w:name="_Toc389065342"/>
      <w:bookmarkStart w:id="1553" w:name="_Toc86935941"/>
      <w:bookmarkStart w:id="1554" w:name="_Toc407135280"/>
      <w:bookmarkStart w:id="1555" w:name="_Toc508379791"/>
      <w:bookmarkStart w:id="1556" w:name="_Toc495673456"/>
      <w:bookmarkStart w:id="1557" w:name="_Toc25966"/>
      <w:bookmarkStart w:id="1558" w:name="_Toc14377"/>
      <w:r>
        <w:rPr>
          <w:rFonts w:ascii="宋体" w:hAnsi="宋体"/>
          <w:b/>
          <w:bCs/>
          <w:color w:val="auto"/>
          <w:sz w:val="32"/>
          <w:szCs w:val="32"/>
        </w:rPr>
        <w:t>20.3 争</w:t>
      </w:r>
      <w:bookmarkEnd w:id="1402"/>
      <w:r>
        <w:rPr>
          <w:rFonts w:ascii="宋体" w:hAnsi="宋体"/>
          <w:b/>
          <w:bCs/>
          <w:color w:val="auto"/>
          <w:sz w:val="32"/>
          <w:szCs w:val="32"/>
        </w:rPr>
        <w:t>议评审</w:t>
      </w:r>
      <w:bookmarkEnd w:id="1550"/>
      <w:bookmarkEnd w:id="1551"/>
      <w:bookmarkEnd w:id="1552"/>
      <w:bookmarkEnd w:id="1553"/>
      <w:bookmarkEnd w:id="1554"/>
      <w:bookmarkEnd w:id="1555"/>
      <w:bookmarkEnd w:id="1556"/>
      <w:bookmarkEnd w:id="1557"/>
      <w:bookmarkEnd w:id="1558"/>
    </w:p>
    <w:p w14:paraId="07AB65B4">
      <w:pPr>
        <w:spacing w:line="360" w:lineRule="auto"/>
        <w:ind w:left="149" w:leftChars="71" w:firstLine="315" w:firstLineChars="150"/>
        <w:jc w:val="left"/>
        <w:rPr>
          <w:rFonts w:ascii="宋体" w:hAnsi="宋体"/>
          <w:color w:val="auto"/>
          <w:szCs w:val="21"/>
          <w:u w:val="single"/>
        </w:rPr>
      </w:pPr>
      <w:r>
        <w:rPr>
          <w:rFonts w:ascii="宋体" w:hAnsi="宋体"/>
          <w:color w:val="auto"/>
          <w:szCs w:val="21"/>
        </w:rPr>
        <w:t>合同当事人是否同意将工程争议提交争议评审小组决定：</w:t>
      </w:r>
      <w:r>
        <w:rPr>
          <w:rFonts w:hint="eastAsia" w:ascii="宋体" w:hAnsi="宋体"/>
          <w:color w:val="auto"/>
          <w:szCs w:val="21"/>
          <w:u w:val="single"/>
        </w:rPr>
        <w:t xml:space="preserve">                      </w:t>
      </w:r>
      <w:r>
        <w:rPr>
          <w:rFonts w:ascii="宋体" w:hAnsi="宋体"/>
          <w:color w:val="auto"/>
          <w:szCs w:val="21"/>
        </w:rPr>
        <w:t>。</w:t>
      </w:r>
    </w:p>
    <w:p w14:paraId="2C378FD8">
      <w:pPr>
        <w:spacing w:line="360" w:lineRule="auto"/>
        <w:ind w:firstLine="420" w:firstLineChars="200"/>
        <w:jc w:val="left"/>
        <w:outlineLvl w:val="2"/>
        <w:rPr>
          <w:rFonts w:ascii="宋体" w:hAnsi="宋体"/>
          <w:color w:val="auto"/>
          <w:szCs w:val="21"/>
        </w:rPr>
      </w:pPr>
      <w:r>
        <w:rPr>
          <w:rFonts w:ascii="宋体" w:hAnsi="宋体"/>
          <w:color w:val="auto"/>
          <w:szCs w:val="21"/>
        </w:rPr>
        <w:t>20.3.1 争议评审小组的确定</w:t>
      </w:r>
    </w:p>
    <w:p w14:paraId="16C68706">
      <w:pPr>
        <w:spacing w:line="360" w:lineRule="auto"/>
        <w:ind w:firstLine="420" w:firstLineChars="200"/>
        <w:jc w:val="left"/>
        <w:rPr>
          <w:rFonts w:ascii="宋体" w:hAnsi="宋体"/>
          <w:color w:val="auto"/>
          <w:szCs w:val="21"/>
          <w:u w:val="single"/>
        </w:rPr>
      </w:pPr>
      <w:r>
        <w:rPr>
          <w:rFonts w:ascii="宋体" w:hAnsi="宋体"/>
          <w:color w:val="auto"/>
          <w:szCs w:val="21"/>
        </w:rPr>
        <w:t>争议评审小组成员的确定：</w:t>
      </w:r>
      <w:r>
        <w:rPr>
          <w:rFonts w:hint="eastAsia" w:ascii="宋体" w:hAnsi="宋体"/>
          <w:color w:val="auto"/>
          <w:szCs w:val="21"/>
          <w:u w:val="single"/>
        </w:rPr>
        <w:t xml:space="preserve">                      </w:t>
      </w:r>
      <w:r>
        <w:rPr>
          <w:rFonts w:ascii="宋体" w:hAnsi="宋体"/>
          <w:color w:val="auto"/>
          <w:szCs w:val="21"/>
        </w:rPr>
        <w:t>。</w:t>
      </w:r>
    </w:p>
    <w:p w14:paraId="041C9DDF">
      <w:pPr>
        <w:spacing w:line="360" w:lineRule="auto"/>
        <w:ind w:firstLine="420" w:firstLineChars="200"/>
        <w:jc w:val="left"/>
        <w:rPr>
          <w:rFonts w:ascii="宋体" w:hAnsi="宋体"/>
          <w:color w:val="auto"/>
          <w:szCs w:val="21"/>
        </w:rPr>
      </w:pPr>
      <w:r>
        <w:rPr>
          <w:rFonts w:ascii="宋体" w:hAnsi="宋体"/>
          <w:color w:val="auto"/>
          <w:szCs w:val="21"/>
        </w:rPr>
        <w:t>选定争议评审员的期限：</w:t>
      </w:r>
      <w:r>
        <w:rPr>
          <w:rFonts w:hint="eastAsia" w:ascii="宋体" w:hAnsi="宋体"/>
          <w:color w:val="auto"/>
          <w:szCs w:val="21"/>
          <w:u w:val="single"/>
        </w:rPr>
        <w:t xml:space="preserve">                      </w:t>
      </w:r>
      <w:r>
        <w:rPr>
          <w:rFonts w:ascii="宋体" w:hAnsi="宋体"/>
          <w:color w:val="auto"/>
          <w:szCs w:val="21"/>
        </w:rPr>
        <w:t>。</w:t>
      </w:r>
    </w:p>
    <w:p w14:paraId="2C1449D6">
      <w:pPr>
        <w:spacing w:line="360" w:lineRule="auto"/>
        <w:ind w:firstLine="420" w:firstLineChars="200"/>
        <w:jc w:val="left"/>
        <w:rPr>
          <w:rFonts w:ascii="宋体" w:hAnsi="宋体"/>
          <w:color w:val="auto"/>
          <w:szCs w:val="21"/>
        </w:rPr>
      </w:pPr>
      <w:r>
        <w:rPr>
          <w:rFonts w:ascii="宋体" w:hAnsi="宋体"/>
          <w:color w:val="auto"/>
          <w:szCs w:val="21"/>
        </w:rPr>
        <w:t>争议评审小组成员的报酬承担方式：</w:t>
      </w:r>
      <w:r>
        <w:rPr>
          <w:rFonts w:hint="eastAsia" w:ascii="宋体" w:hAnsi="宋体"/>
          <w:color w:val="auto"/>
          <w:szCs w:val="21"/>
          <w:u w:val="single"/>
        </w:rPr>
        <w:t xml:space="preserve">                      </w:t>
      </w:r>
      <w:r>
        <w:rPr>
          <w:rFonts w:ascii="宋体" w:hAnsi="宋体"/>
          <w:color w:val="auto"/>
          <w:szCs w:val="21"/>
        </w:rPr>
        <w:t>。</w:t>
      </w:r>
    </w:p>
    <w:p w14:paraId="33D38A7E">
      <w:pPr>
        <w:spacing w:line="360" w:lineRule="auto"/>
        <w:ind w:firstLine="420" w:firstLineChars="200"/>
        <w:jc w:val="left"/>
        <w:rPr>
          <w:rFonts w:ascii="宋体" w:hAnsi="宋体"/>
          <w:color w:val="auto"/>
          <w:szCs w:val="21"/>
        </w:rPr>
      </w:pPr>
      <w:r>
        <w:rPr>
          <w:rFonts w:ascii="宋体" w:hAnsi="宋体"/>
          <w:color w:val="auto"/>
          <w:szCs w:val="21"/>
        </w:rPr>
        <w:t>其他事项的约定：</w:t>
      </w:r>
      <w:r>
        <w:rPr>
          <w:rFonts w:hint="eastAsia" w:ascii="宋体" w:hAnsi="宋体"/>
          <w:color w:val="auto"/>
          <w:szCs w:val="21"/>
          <w:u w:val="single"/>
        </w:rPr>
        <w:t xml:space="preserve">                      </w:t>
      </w:r>
      <w:r>
        <w:rPr>
          <w:rFonts w:ascii="宋体" w:hAnsi="宋体"/>
          <w:color w:val="auto"/>
          <w:szCs w:val="21"/>
        </w:rPr>
        <w:t>。</w:t>
      </w:r>
    </w:p>
    <w:p w14:paraId="13AC8E52">
      <w:pPr>
        <w:autoSpaceDE w:val="0"/>
        <w:autoSpaceDN w:val="0"/>
        <w:adjustRightInd w:val="0"/>
        <w:spacing w:line="360" w:lineRule="auto"/>
        <w:ind w:firstLine="420" w:firstLineChars="200"/>
        <w:jc w:val="left"/>
        <w:outlineLvl w:val="2"/>
        <w:rPr>
          <w:rFonts w:ascii="宋体" w:hAnsi="宋体"/>
          <w:color w:val="auto"/>
          <w:kern w:val="0"/>
          <w:szCs w:val="21"/>
        </w:rPr>
      </w:pPr>
      <w:r>
        <w:rPr>
          <w:rFonts w:ascii="宋体" w:hAnsi="宋体"/>
          <w:color w:val="auto"/>
          <w:kern w:val="0"/>
          <w:szCs w:val="21"/>
        </w:rPr>
        <w:t>20.3.2 争议评审小组的决定</w:t>
      </w:r>
    </w:p>
    <w:p w14:paraId="0C16504F">
      <w:pPr>
        <w:spacing w:line="360" w:lineRule="auto"/>
        <w:ind w:firstLine="420" w:firstLineChars="200"/>
        <w:jc w:val="left"/>
        <w:rPr>
          <w:rFonts w:ascii="宋体" w:hAnsi="宋体"/>
          <w:color w:val="auto"/>
          <w:szCs w:val="21"/>
        </w:rPr>
      </w:pPr>
      <w:r>
        <w:rPr>
          <w:rFonts w:ascii="宋体" w:hAnsi="宋体"/>
          <w:color w:val="auto"/>
          <w:szCs w:val="21"/>
        </w:rPr>
        <w:t>合同当事人关于本项的约定：</w:t>
      </w:r>
      <w:r>
        <w:rPr>
          <w:rFonts w:hint="eastAsia" w:ascii="宋体" w:hAnsi="宋体"/>
          <w:color w:val="auto"/>
          <w:szCs w:val="21"/>
          <w:u w:val="single"/>
        </w:rPr>
        <w:t xml:space="preserve">                      </w:t>
      </w:r>
      <w:r>
        <w:rPr>
          <w:rFonts w:ascii="宋体" w:hAnsi="宋体"/>
          <w:color w:val="auto"/>
          <w:szCs w:val="21"/>
        </w:rPr>
        <w:t>。</w:t>
      </w:r>
    </w:p>
    <w:p w14:paraId="38F5225F">
      <w:pPr>
        <w:keepNext/>
        <w:keepLines/>
        <w:spacing w:before="260" w:after="260" w:line="416" w:lineRule="auto"/>
        <w:outlineLvl w:val="1"/>
        <w:rPr>
          <w:rFonts w:ascii="宋体" w:hAnsi="宋体"/>
          <w:b/>
          <w:bCs/>
          <w:color w:val="auto"/>
          <w:sz w:val="32"/>
          <w:szCs w:val="32"/>
        </w:rPr>
      </w:pPr>
      <w:bookmarkStart w:id="1559" w:name="_Toc495673457"/>
      <w:bookmarkStart w:id="1560" w:name="_Toc389065343"/>
      <w:bookmarkStart w:id="1561" w:name="_Toc407135281"/>
      <w:bookmarkStart w:id="1562" w:name="_Toc508379792"/>
      <w:bookmarkStart w:id="1563" w:name="_Toc373478425"/>
      <w:bookmarkStart w:id="1564" w:name="_Toc373227778"/>
      <w:bookmarkStart w:id="1565" w:name="_Toc86935942"/>
      <w:bookmarkStart w:id="1566" w:name="_Toc12712"/>
      <w:bookmarkStart w:id="1567" w:name="_Toc14391"/>
      <w:r>
        <w:rPr>
          <w:rFonts w:ascii="宋体" w:hAnsi="宋体"/>
          <w:b/>
          <w:bCs/>
          <w:color w:val="auto"/>
          <w:sz w:val="32"/>
          <w:szCs w:val="32"/>
        </w:rPr>
        <w:t>20.4仲裁或诉讼</w:t>
      </w:r>
      <w:bookmarkEnd w:id="1403"/>
      <w:bookmarkEnd w:id="1559"/>
      <w:bookmarkEnd w:id="1560"/>
      <w:bookmarkEnd w:id="1561"/>
      <w:bookmarkEnd w:id="1562"/>
      <w:bookmarkEnd w:id="1563"/>
      <w:bookmarkEnd w:id="1564"/>
      <w:bookmarkEnd w:id="1565"/>
      <w:bookmarkEnd w:id="1566"/>
      <w:bookmarkEnd w:id="1567"/>
    </w:p>
    <w:p w14:paraId="332E47CD">
      <w:pPr>
        <w:spacing w:line="360" w:lineRule="auto"/>
        <w:ind w:firstLine="420" w:firstLineChars="200"/>
        <w:rPr>
          <w:rFonts w:ascii="宋体" w:hAnsi="宋体"/>
          <w:color w:val="auto"/>
          <w:szCs w:val="21"/>
        </w:rPr>
      </w:pPr>
      <w:r>
        <w:rPr>
          <w:rFonts w:ascii="宋体" w:hAnsi="宋体"/>
          <w:color w:val="auto"/>
          <w:szCs w:val="21"/>
        </w:rPr>
        <w:t>因合同及合同有关事项发生的争议，按下列第种方式解决：</w:t>
      </w:r>
    </w:p>
    <w:p w14:paraId="31D10735">
      <w:pPr>
        <w:spacing w:line="360" w:lineRule="auto"/>
        <w:ind w:firstLine="420" w:firstLineChars="200"/>
        <w:jc w:val="left"/>
        <w:rPr>
          <w:rFonts w:ascii="宋体" w:hAnsi="宋体"/>
          <w:color w:val="auto"/>
          <w:szCs w:val="21"/>
        </w:rPr>
      </w:pPr>
      <w:r>
        <w:rPr>
          <w:rFonts w:ascii="宋体" w:hAnsi="宋体"/>
          <w:color w:val="auto"/>
          <w:szCs w:val="21"/>
        </w:rPr>
        <w:t>（1）提请仲裁委员会按照该会仲裁规则进行仲裁，仲裁裁决是终局的，对合同双方均有约束力。</w:t>
      </w:r>
    </w:p>
    <w:p w14:paraId="718F05B6">
      <w:pPr>
        <w:spacing w:line="360" w:lineRule="auto"/>
        <w:ind w:firstLine="420" w:firstLineChars="200"/>
        <w:jc w:val="left"/>
        <w:rPr>
          <w:rFonts w:ascii="宋体" w:hAnsi="宋体"/>
          <w:color w:val="auto"/>
          <w:szCs w:val="21"/>
          <w:u w:val="none"/>
        </w:rPr>
      </w:pPr>
      <w:r>
        <w:rPr>
          <w:rFonts w:ascii="宋体" w:hAnsi="宋体"/>
          <w:color w:val="auto"/>
          <w:szCs w:val="21"/>
        </w:rPr>
        <w:t>（2）</w:t>
      </w:r>
      <w:r>
        <w:rPr>
          <w:rFonts w:ascii="宋体" w:hAnsi="宋体"/>
          <w:color w:val="auto"/>
          <w:szCs w:val="21"/>
          <w:u w:val="none"/>
        </w:rPr>
        <w:t>向</w:t>
      </w:r>
      <w:r>
        <w:rPr>
          <w:rStyle w:val="50"/>
          <w:rFonts w:hint="eastAsia" w:ascii="宋体" w:hAnsi="宋体" w:eastAsia="宋体"/>
          <w:color w:val="auto"/>
          <w:u w:val="none"/>
        </w:rPr>
        <w:t>项目所在地有管辖权的</w:t>
      </w:r>
      <w:r>
        <w:rPr>
          <w:rFonts w:ascii="宋体" w:hAnsi="宋体"/>
          <w:color w:val="auto"/>
          <w:szCs w:val="21"/>
          <w:u w:val="none"/>
        </w:rPr>
        <w:t>人民法院起诉。</w:t>
      </w:r>
      <w:bookmarkEnd w:id="1404"/>
      <w:bookmarkEnd w:id="1405"/>
      <w:bookmarkEnd w:id="1406"/>
      <w:bookmarkEnd w:id="1407"/>
      <w:bookmarkEnd w:id="1408"/>
      <w:bookmarkEnd w:id="1409"/>
    </w:p>
    <w:p w14:paraId="20488D16">
      <w:pPr>
        <w:keepNext/>
        <w:keepLines/>
        <w:spacing w:before="260" w:after="260" w:line="416" w:lineRule="auto"/>
        <w:outlineLvl w:val="0"/>
        <w:rPr>
          <w:rFonts w:ascii="宋体" w:hAnsi="宋体"/>
          <w:b/>
          <w:bCs/>
          <w:color w:val="auto"/>
          <w:sz w:val="32"/>
          <w:szCs w:val="32"/>
        </w:rPr>
      </w:pPr>
      <w:bookmarkStart w:id="1568" w:name="_Toc86935943"/>
      <w:bookmarkStart w:id="1569" w:name="_Toc373227779"/>
      <w:bookmarkStart w:id="1570" w:name="_Toc389065344"/>
      <w:bookmarkStart w:id="1571" w:name="_Toc407135282"/>
      <w:bookmarkStart w:id="1572" w:name="_Toc508379793"/>
      <w:bookmarkStart w:id="1573" w:name="_Toc495673458"/>
      <w:bookmarkStart w:id="1574" w:name="_Toc373478426"/>
      <w:bookmarkStart w:id="1575" w:name="_Toc16713"/>
      <w:bookmarkStart w:id="1576" w:name="_Toc19367"/>
      <w:bookmarkStart w:id="1577" w:name="_Toc6552"/>
      <w:bookmarkStart w:id="1578" w:name="_Toc25883"/>
      <w:r>
        <w:rPr>
          <w:rFonts w:ascii="宋体" w:hAnsi="宋体"/>
          <w:b/>
          <w:bCs/>
          <w:color w:val="auto"/>
          <w:sz w:val="32"/>
          <w:szCs w:val="32"/>
        </w:rPr>
        <w:t>21. 补充条款</w:t>
      </w:r>
      <w:bookmarkEnd w:id="1568"/>
      <w:bookmarkEnd w:id="1569"/>
      <w:bookmarkEnd w:id="1570"/>
      <w:bookmarkEnd w:id="1571"/>
      <w:bookmarkEnd w:id="1572"/>
      <w:bookmarkEnd w:id="1573"/>
      <w:bookmarkEnd w:id="1574"/>
      <w:bookmarkEnd w:id="1575"/>
      <w:bookmarkEnd w:id="1576"/>
      <w:bookmarkEnd w:id="1577"/>
      <w:bookmarkEnd w:id="1578"/>
    </w:p>
    <w:p w14:paraId="1431ACD2">
      <w:pPr>
        <w:pStyle w:val="292"/>
        <w:widowControl/>
        <w:adjustRightInd w:val="0"/>
        <w:snapToGrid w:val="0"/>
        <w:spacing w:line="400" w:lineRule="exact"/>
        <w:ind w:firstLine="424" w:firstLineChars="202"/>
        <w:rPr>
          <w:rFonts w:ascii="宋体" w:hAnsi="宋体"/>
          <w:color w:val="auto"/>
          <w:szCs w:val="21"/>
          <w:u w:val="single"/>
        </w:rPr>
      </w:pPr>
      <w:r>
        <w:rPr>
          <w:rFonts w:ascii="宋体" w:hAnsi="宋体"/>
          <w:color w:val="auto"/>
          <w:szCs w:val="21"/>
        </w:rPr>
        <w:t xml:space="preserve">21.1 </w:t>
      </w:r>
      <w:r>
        <w:rPr>
          <w:rFonts w:hint="eastAsia" w:ascii="宋体" w:hAnsi="宋体"/>
          <w:color w:val="auto"/>
          <w:szCs w:val="21"/>
          <w:u w:val="single"/>
          <w:lang w:eastAsia="zh-CN"/>
        </w:rPr>
        <w:t>本工程</w:t>
      </w:r>
      <w:r>
        <w:rPr>
          <w:rFonts w:ascii="宋体" w:hAnsi="宋体"/>
          <w:color w:val="auto"/>
          <w:szCs w:val="21"/>
          <w:u w:val="single"/>
        </w:rPr>
        <w:t>禁止使用童工。</w:t>
      </w:r>
    </w:p>
    <w:p w14:paraId="1A7D67EF">
      <w:pPr>
        <w:pStyle w:val="292"/>
        <w:widowControl/>
        <w:adjustRightInd w:val="0"/>
        <w:snapToGrid w:val="0"/>
        <w:spacing w:line="400" w:lineRule="exact"/>
        <w:ind w:firstLine="424" w:firstLineChars="202"/>
        <w:rPr>
          <w:rStyle w:val="50"/>
          <w:rFonts w:hint="eastAsia" w:ascii="宋体" w:hAnsi="宋体" w:eastAsia="宋体"/>
          <w:color w:val="auto"/>
          <w:u w:val="single"/>
        </w:rPr>
      </w:pPr>
      <w:r>
        <w:rPr>
          <w:rStyle w:val="50"/>
          <w:rFonts w:hint="eastAsia" w:ascii="宋体" w:hAnsi="宋体" w:eastAsia="宋体" w:cs="Times New Roman"/>
          <w:color w:val="auto"/>
          <w:szCs w:val="24"/>
          <w:u w:val="single"/>
        </w:rPr>
        <w:t>21.2关于工期：（1）凡双方认可的合理工期顺延，发包人不承担因工期顺延、停工产生的一切损失及费用。（2）保证文明施工，安全生产，因承包人原因发生安全事故或造成其他损失，由承包人承担一切费用，工期不予延长；因承包人原因造成的停工，由承包人承担一切费用，工期不予延长,如承包人原因造成的工期延误导致发包人的损失承包人负责赔偿：每天赔偿金额为合同价款的万分之四；因供水、供电部门的原因停水、停电导致的停工，连续超过24小时，工期顺延，发包人不承担由此造成的损失。（3）一般设计变更工期不予延长；重大设计变更由双方协商相应延长工期</w:t>
      </w:r>
      <w:r>
        <w:rPr>
          <w:rStyle w:val="50"/>
          <w:rFonts w:hint="eastAsia" w:ascii="宋体" w:hAnsi="宋体" w:eastAsia="宋体" w:cs="Times New Roman"/>
          <w:bCs/>
          <w:color w:val="auto"/>
          <w:szCs w:val="24"/>
          <w:u w:val="single"/>
        </w:rPr>
        <w:t>。</w:t>
      </w:r>
    </w:p>
    <w:p w14:paraId="3C4BCB38">
      <w:pPr>
        <w:pStyle w:val="292"/>
        <w:widowControl/>
        <w:adjustRightInd w:val="0"/>
        <w:snapToGrid w:val="0"/>
        <w:spacing w:line="400" w:lineRule="exact"/>
        <w:ind w:firstLine="424" w:firstLineChars="202"/>
        <w:rPr>
          <w:rStyle w:val="50"/>
          <w:rFonts w:hint="eastAsia" w:ascii="宋体" w:hAnsi="宋体" w:eastAsia="宋体"/>
          <w:color w:val="auto"/>
          <w:u w:val="single"/>
        </w:rPr>
      </w:pPr>
      <w:r>
        <w:rPr>
          <w:rStyle w:val="50"/>
          <w:rFonts w:hint="eastAsia" w:ascii="宋体" w:hAnsi="宋体" w:eastAsia="宋体" w:cs="Times New Roman"/>
          <w:color w:val="auto"/>
          <w:szCs w:val="24"/>
          <w:u w:val="single"/>
        </w:rPr>
        <w:t>21.3关于安全文明施工：（1）承包人应遵守政府有关主管部门对施工场地的管理规定，并按规定办理相关手续</w:t>
      </w:r>
      <w:r>
        <w:rPr>
          <w:rStyle w:val="50"/>
          <w:rFonts w:hint="eastAsia" w:ascii="宋体" w:hAnsi="宋体" w:eastAsia="宋体" w:cs="Times New Roman"/>
          <w:bCs/>
          <w:color w:val="auto"/>
          <w:szCs w:val="24"/>
          <w:u w:val="single"/>
        </w:rPr>
        <w:t>。</w:t>
      </w:r>
    </w:p>
    <w:p w14:paraId="69A3C96E">
      <w:pPr>
        <w:pStyle w:val="292"/>
        <w:widowControl/>
        <w:adjustRightInd w:val="0"/>
        <w:snapToGrid w:val="0"/>
        <w:spacing w:line="400" w:lineRule="exact"/>
        <w:ind w:firstLine="424" w:firstLineChars="202"/>
        <w:rPr>
          <w:rStyle w:val="50"/>
          <w:rFonts w:hint="eastAsia" w:ascii="宋体" w:hAnsi="宋体" w:eastAsia="宋体"/>
          <w:color w:val="auto"/>
          <w:u w:val="single"/>
        </w:rPr>
      </w:pPr>
      <w:r>
        <w:rPr>
          <w:rStyle w:val="50"/>
          <w:rFonts w:hint="eastAsia" w:ascii="宋体" w:hAnsi="宋体" w:eastAsia="宋体" w:cs="Times New Roman"/>
          <w:color w:val="auto"/>
          <w:szCs w:val="24"/>
          <w:u w:val="single"/>
        </w:rPr>
        <w:t>21.4关于竣工结算：以竣工结算行政主管部门评审（或审定）结果为准。（1）工程竣工验收合格后三十日内，承包人将完整的竣工资料和结算资料送到发包人，发包人在收到完整的竣工资料和结算资料后2个月内办清结算并提交结算审核。若因承包人提交结算资料不完整、延迟及双方争议等原因造成结算工作不能按期完成的，结算时间顺延。（2）所有竣工和结算资料必须经业主项目负责人、现场代表、监理工程师、承包人签字确认后，方可做为有效竣工和结算资料。（3）工程竣工结算由发包人委托竣工结算行政主管部门。工程造价审减或审增（增减不相互抵消）与报审价相比小于5%（含5%）时，由发包人承担结算费用；工程造价审减或审增（增减不相互抵消）与报价相比大于5%（不含5%）时，超出的结算费由承包人承担结算费用。（4）工程竣工结算期间，此条款若与竣工结算行政主管部门的规定不一致的，以竣工结算行政主管部门的规定为准。</w:t>
      </w:r>
    </w:p>
    <w:p w14:paraId="04753A13">
      <w:pPr>
        <w:pStyle w:val="292"/>
        <w:widowControl/>
        <w:adjustRightInd w:val="0"/>
        <w:snapToGrid w:val="0"/>
        <w:spacing w:line="400" w:lineRule="exact"/>
        <w:ind w:firstLine="424" w:firstLineChars="202"/>
        <w:rPr>
          <w:rStyle w:val="50"/>
          <w:rFonts w:hint="eastAsia" w:ascii="宋体" w:hAnsi="宋体" w:eastAsia="宋体"/>
          <w:color w:val="auto"/>
          <w:u w:val="single"/>
        </w:rPr>
      </w:pPr>
      <w:r>
        <w:rPr>
          <w:rStyle w:val="50"/>
          <w:rFonts w:hint="eastAsia" w:ascii="宋体" w:hAnsi="宋体" w:eastAsia="宋体" w:cs="Times New Roman"/>
          <w:color w:val="auto"/>
          <w:szCs w:val="24"/>
          <w:u w:val="single"/>
        </w:rPr>
        <w:t>21.5承包人在施工过程中涉及的设计变更、签证与计量、材料价格核定以及工程款和竣工结算审核等工作，需严格按发包人相关管理办法以及程序执行</w:t>
      </w:r>
      <w:r>
        <w:rPr>
          <w:rStyle w:val="50"/>
          <w:rFonts w:hint="eastAsia" w:ascii="宋体" w:hAnsi="宋体" w:eastAsia="宋体" w:cs="Times New Roman"/>
          <w:bCs/>
          <w:color w:val="auto"/>
          <w:szCs w:val="24"/>
          <w:u w:val="single"/>
        </w:rPr>
        <w:t>。</w:t>
      </w:r>
    </w:p>
    <w:p w14:paraId="3E6A7D94">
      <w:pPr>
        <w:pStyle w:val="292"/>
        <w:widowControl/>
        <w:adjustRightInd w:val="0"/>
        <w:snapToGrid w:val="0"/>
        <w:spacing w:line="400" w:lineRule="exact"/>
        <w:ind w:firstLine="424" w:firstLineChars="202"/>
        <w:rPr>
          <w:rStyle w:val="50"/>
          <w:rFonts w:hint="eastAsia" w:ascii="宋体" w:hAnsi="宋体" w:eastAsia="宋体"/>
          <w:color w:val="auto"/>
          <w:u w:val="single"/>
        </w:rPr>
      </w:pPr>
      <w:r>
        <w:rPr>
          <w:rStyle w:val="50"/>
          <w:rFonts w:hint="eastAsia" w:ascii="宋体" w:hAnsi="宋体" w:eastAsia="宋体" w:cs="Times New Roman"/>
          <w:color w:val="auto"/>
          <w:szCs w:val="24"/>
          <w:u w:val="single"/>
        </w:rPr>
        <w:t>21.6承包人必须按月支付人工费，若有拖欠人工工资款时，业主有权从月进度款支付中扣除，直接支付人工工资，承包人并因此承担工程结算总价0.1%的违约责任</w:t>
      </w:r>
      <w:r>
        <w:rPr>
          <w:rStyle w:val="50"/>
          <w:rFonts w:hint="eastAsia" w:ascii="宋体" w:hAnsi="宋体" w:eastAsia="宋体" w:cs="Times New Roman"/>
          <w:bCs/>
          <w:color w:val="auto"/>
          <w:szCs w:val="24"/>
          <w:u w:val="single"/>
        </w:rPr>
        <w:t>。</w:t>
      </w:r>
    </w:p>
    <w:p w14:paraId="111EB407">
      <w:pPr>
        <w:pStyle w:val="292"/>
        <w:widowControl/>
        <w:adjustRightInd w:val="0"/>
        <w:snapToGrid w:val="0"/>
        <w:spacing w:line="400" w:lineRule="exact"/>
        <w:ind w:firstLine="424" w:firstLineChars="202"/>
        <w:rPr>
          <w:rStyle w:val="50"/>
          <w:rFonts w:hint="eastAsia" w:ascii="宋体" w:hAnsi="宋体" w:eastAsia="宋体"/>
          <w:color w:val="auto"/>
          <w:u w:val="single"/>
        </w:rPr>
      </w:pPr>
      <w:r>
        <w:rPr>
          <w:rStyle w:val="50"/>
          <w:rFonts w:hint="eastAsia" w:ascii="宋体" w:hAnsi="宋体" w:eastAsia="宋体" w:cs="Times New Roman"/>
          <w:color w:val="auto"/>
          <w:szCs w:val="24"/>
          <w:u w:val="single"/>
        </w:rPr>
        <w:t>21.7承包人须按《工程建设标准强制性条文》、《</w:t>
      </w:r>
      <w:r>
        <w:rPr>
          <w:rStyle w:val="50"/>
          <w:rFonts w:hint="eastAsia" w:ascii="宋体" w:hAnsi="宋体" w:eastAsia="宋体" w:cs="Times New Roman"/>
          <w:color w:val="auto"/>
          <w:szCs w:val="24"/>
          <w:u w:val="single"/>
          <w:lang w:eastAsia="zh-CN"/>
        </w:rPr>
        <w:t>房屋建筑工程</w:t>
      </w:r>
      <w:r>
        <w:rPr>
          <w:rStyle w:val="50"/>
          <w:rFonts w:hint="eastAsia" w:ascii="宋体" w:hAnsi="宋体" w:eastAsia="宋体" w:cs="Times New Roman"/>
          <w:color w:val="auto"/>
          <w:szCs w:val="24"/>
          <w:u w:val="single"/>
        </w:rPr>
        <w:t>质量验收统一标准》（GB50300-2013）、国家及地方现行</w:t>
      </w:r>
      <w:r>
        <w:rPr>
          <w:rStyle w:val="50"/>
          <w:rFonts w:hint="eastAsia" w:ascii="宋体" w:hAnsi="宋体" w:eastAsia="宋体" w:cs="Times New Roman"/>
          <w:color w:val="auto"/>
          <w:szCs w:val="24"/>
          <w:u w:val="single"/>
          <w:lang w:eastAsia="zh-CN"/>
        </w:rPr>
        <w:t>房屋建筑工程</w:t>
      </w:r>
      <w:r>
        <w:rPr>
          <w:rStyle w:val="50"/>
          <w:rFonts w:hint="eastAsia" w:ascii="宋体" w:hAnsi="宋体" w:eastAsia="宋体" w:cs="Times New Roman"/>
          <w:color w:val="auto"/>
          <w:szCs w:val="24"/>
          <w:u w:val="single"/>
        </w:rPr>
        <w:t>各专业工程施工质量验收规范，对工程质量一次验收达到合格，否则，属承包人违约。除承包人返修达到合格外，发包人按本项目结算总价的0.2%处罚承包人（同时如工期违约仍按上条执行），且承包人自行承担因此而造成的损失及赔偿责任</w:t>
      </w:r>
      <w:r>
        <w:rPr>
          <w:rStyle w:val="50"/>
          <w:rFonts w:hint="eastAsia" w:ascii="宋体" w:hAnsi="宋体" w:eastAsia="宋体" w:cs="Times New Roman"/>
          <w:bCs/>
          <w:color w:val="auto"/>
          <w:szCs w:val="24"/>
          <w:u w:val="single"/>
        </w:rPr>
        <w:t>。</w:t>
      </w:r>
    </w:p>
    <w:p w14:paraId="17BB08B0">
      <w:pPr>
        <w:pStyle w:val="292"/>
        <w:widowControl/>
        <w:adjustRightInd w:val="0"/>
        <w:snapToGrid w:val="0"/>
        <w:spacing w:line="400" w:lineRule="exact"/>
        <w:ind w:firstLine="424" w:firstLineChars="202"/>
        <w:rPr>
          <w:rStyle w:val="50"/>
          <w:rFonts w:hint="eastAsia" w:ascii="宋体" w:hAnsi="宋体" w:eastAsia="宋体"/>
          <w:color w:val="auto"/>
          <w:u w:val="single"/>
        </w:rPr>
      </w:pPr>
      <w:r>
        <w:rPr>
          <w:rStyle w:val="50"/>
          <w:rFonts w:hint="eastAsia" w:ascii="宋体" w:hAnsi="宋体" w:eastAsia="宋体" w:cs="Times New Roman"/>
          <w:color w:val="auto"/>
          <w:szCs w:val="24"/>
          <w:u w:val="single"/>
        </w:rPr>
        <w:t>21.8承包人应在施工中注意排查地下管线，做到安全文明施工。发现地下管网等不安全隐患时应采取措施加以保护。对突发隐患险情应积极组织力量排危抢险，并同时联络有关单位施救并及时通报监理单位和发包人</w:t>
      </w:r>
      <w:r>
        <w:rPr>
          <w:rStyle w:val="50"/>
          <w:rFonts w:hint="eastAsia" w:ascii="宋体" w:hAnsi="宋体" w:eastAsia="宋体" w:cs="Times New Roman"/>
          <w:bCs/>
          <w:color w:val="auto"/>
          <w:szCs w:val="24"/>
          <w:u w:val="single"/>
        </w:rPr>
        <w:t>。</w:t>
      </w:r>
    </w:p>
    <w:p w14:paraId="15277E1B">
      <w:pPr>
        <w:pStyle w:val="292"/>
        <w:widowControl/>
        <w:adjustRightInd w:val="0"/>
        <w:snapToGrid w:val="0"/>
        <w:spacing w:line="400" w:lineRule="exact"/>
        <w:ind w:firstLine="424" w:firstLineChars="202"/>
        <w:rPr>
          <w:rStyle w:val="50"/>
          <w:rFonts w:hint="eastAsia" w:ascii="宋体" w:hAnsi="宋体" w:eastAsia="宋体"/>
          <w:color w:val="auto"/>
          <w:u w:val="single"/>
        </w:rPr>
      </w:pPr>
      <w:r>
        <w:rPr>
          <w:rStyle w:val="50"/>
          <w:rFonts w:hint="eastAsia" w:ascii="宋体" w:hAnsi="宋体" w:eastAsia="宋体" w:cs="Times New Roman"/>
          <w:color w:val="auto"/>
          <w:szCs w:val="24"/>
          <w:u w:val="single"/>
        </w:rPr>
        <w:t>21.9因承包人原因解除合同，发包人将扣除全部履约保证金，并对已完成工程量按相应结算依据执行</w:t>
      </w:r>
      <w:r>
        <w:rPr>
          <w:rStyle w:val="50"/>
          <w:rFonts w:hint="eastAsia" w:ascii="宋体" w:hAnsi="宋体" w:eastAsia="宋体" w:cs="Times New Roman"/>
          <w:bCs/>
          <w:color w:val="auto"/>
          <w:szCs w:val="24"/>
          <w:u w:val="single"/>
        </w:rPr>
        <w:t>。</w:t>
      </w:r>
    </w:p>
    <w:p w14:paraId="1F511BAA">
      <w:pPr>
        <w:spacing w:line="360" w:lineRule="auto"/>
        <w:ind w:firstLine="420" w:firstLineChars="200"/>
        <w:jc w:val="left"/>
        <w:rPr>
          <w:rStyle w:val="50"/>
          <w:rFonts w:hint="eastAsia" w:ascii="宋体" w:hAnsi="宋体" w:eastAsia="宋体" w:cs="Times New Roman"/>
          <w:color w:val="auto"/>
          <w:u w:val="single"/>
        </w:rPr>
      </w:pPr>
      <w:r>
        <w:rPr>
          <w:rStyle w:val="50"/>
          <w:rFonts w:hint="eastAsia" w:ascii="宋体" w:hAnsi="宋体" w:eastAsia="宋体" w:cs="Times New Roman"/>
          <w:color w:val="auto"/>
          <w:u w:val="single"/>
        </w:rPr>
        <w:t>21.10未尽事宜双方协商签订补充协议解决。</w:t>
      </w:r>
    </w:p>
    <w:p w14:paraId="2B7027DA">
      <w:pPr>
        <w:spacing w:line="360" w:lineRule="auto"/>
        <w:ind w:firstLine="420" w:firstLineChars="200"/>
        <w:jc w:val="left"/>
        <w:rPr>
          <w:rStyle w:val="50"/>
          <w:rFonts w:hint="eastAsia" w:ascii="宋体" w:hAnsi="宋体" w:eastAsia="宋体" w:cs="Times New Roman"/>
          <w:color w:val="auto"/>
          <w:u w:val="single"/>
        </w:rPr>
      </w:pPr>
    </w:p>
    <w:p w14:paraId="1008B5AD">
      <w:pPr>
        <w:spacing w:line="360" w:lineRule="auto"/>
        <w:jc w:val="left"/>
        <w:outlineLvl w:val="0"/>
        <w:rPr>
          <w:rFonts w:eastAsia="黑体"/>
          <w:b/>
          <w:bCs/>
          <w:color w:val="auto"/>
          <w:sz w:val="28"/>
          <w:szCs w:val="28"/>
        </w:rPr>
      </w:pPr>
      <w:bookmarkStart w:id="1579" w:name="_Toc4256"/>
      <w:bookmarkStart w:id="1580" w:name="_Toc15927"/>
      <w:r>
        <w:rPr>
          <w:rFonts w:hint="eastAsia" w:eastAsia="黑体" w:cs="黑体"/>
          <w:b/>
          <w:bCs/>
          <w:color w:val="auto"/>
          <w:sz w:val="28"/>
          <w:szCs w:val="28"/>
        </w:rPr>
        <w:t>附件</w:t>
      </w:r>
      <w:bookmarkEnd w:id="1579"/>
      <w:bookmarkEnd w:id="1580"/>
    </w:p>
    <w:p w14:paraId="2A3A46F1">
      <w:pPr>
        <w:spacing w:line="360" w:lineRule="auto"/>
        <w:jc w:val="left"/>
        <w:rPr>
          <w:rFonts w:ascii="宋体" w:hAnsi="宋体" w:cs="宋体"/>
          <w:color w:val="auto"/>
          <w:szCs w:val="21"/>
        </w:rPr>
      </w:pPr>
      <w:r>
        <w:rPr>
          <w:rFonts w:hint="eastAsia" w:ascii="宋体" w:hAnsi="宋体" w:cs="宋体"/>
          <w:color w:val="auto"/>
          <w:szCs w:val="21"/>
        </w:rPr>
        <w:t>附件</w:t>
      </w:r>
      <w:r>
        <w:rPr>
          <w:rFonts w:ascii="宋体" w:hAnsi="宋体" w:cs="宋体"/>
          <w:color w:val="auto"/>
          <w:szCs w:val="21"/>
        </w:rPr>
        <w:t>1</w:t>
      </w:r>
      <w:r>
        <w:rPr>
          <w:rFonts w:hint="eastAsia" w:ascii="宋体" w:hAnsi="宋体" w:cs="宋体"/>
          <w:color w:val="auto"/>
          <w:szCs w:val="21"/>
        </w:rPr>
        <w:t>：承包人承揽工程项目一览表</w:t>
      </w:r>
    </w:p>
    <w:p w14:paraId="09823E2B">
      <w:pPr>
        <w:spacing w:line="360" w:lineRule="auto"/>
        <w:jc w:val="left"/>
        <w:rPr>
          <w:rFonts w:ascii="宋体" w:hAnsi="宋体" w:cs="宋体"/>
          <w:color w:val="auto"/>
          <w:szCs w:val="21"/>
        </w:rPr>
      </w:pPr>
      <w:r>
        <w:rPr>
          <w:rFonts w:hint="eastAsia" w:ascii="宋体" w:hAnsi="宋体" w:cs="宋体"/>
          <w:color w:val="auto"/>
          <w:szCs w:val="21"/>
        </w:rPr>
        <w:t>附件2：工程质量保修书</w:t>
      </w:r>
    </w:p>
    <w:p w14:paraId="65E1D5F7">
      <w:pPr>
        <w:spacing w:line="360" w:lineRule="auto"/>
        <w:jc w:val="left"/>
        <w:rPr>
          <w:rFonts w:ascii="宋体" w:hAnsi="宋体" w:cs="宋体"/>
          <w:color w:val="auto"/>
          <w:szCs w:val="21"/>
        </w:rPr>
      </w:pPr>
      <w:r>
        <w:rPr>
          <w:rFonts w:ascii="宋体" w:hAnsi="宋体" w:cs="宋体"/>
          <w:color w:val="auto"/>
          <w:szCs w:val="21"/>
        </w:rPr>
        <w:t>附件</w:t>
      </w:r>
      <w:r>
        <w:rPr>
          <w:rFonts w:hint="eastAsia" w:ascii="宋体" w:hAnsi="宋体" w:cs="宋体"/>
          <w:color w:val="auto"/>
          <w:szCs w:val="21"/>
        </w:rPr>
        <w:t>3</w:t>
      </w:r>
      <w:r>
        <w:rPr>
          <w:rFonts w:ascii="宋体" w:hAnsi="宋体" w:cs="宋体"/>
          <w:color w:val="auto"/>
          <w:szCs w:val="21"/>
        </w:rPr>
        <w:t>：主要建设工程文件目录</w:t>
      </w:r>
    </w:p>
    <w:p w14:paraId="6E47957C">
      <w:pPr>
        <w:spacing w:line="360" w:lineRule="auto"/>
        <w:jc w:val="left"/>
        <w:rPr>
          <w:rFonts w:ascii="宋体" w:hAnsi="宋体" w:cs="宋体"/>
          <w:color w:val="auto"/>
          <w:szCs w:val="21"/>
        </w:rPr>
      </w:pPr>
      <w:r>
        <w:rPr>
          <w:rFonts w:hint="eastAsia" w:ascii="宋体" w:hAnsi="宋体" w:cs="宋体"/>
          <w:color w:val="auto"/>
          <w:szCs w:val="21"/>
        </w:rPr>
        <w:t>附件4：承包人用于本工程施工的机械设备表</w:t>
      </w:r>
    </w:p>
    <w:p w14:paraId="56920AFC">
      <w:pPr>
        <w:spacing w:line="360" w:lineRule="auto"/>
        <w:jc w:val="left"/>
        <w:rPr>
          <w:rFonts w:ascii="宋体"/>
          <w:color w:val="auto"/>
          <w:szCs w:val="21"/>
        </w:rPr>
      </w:pPr>
      <w:r>
        <w:rPr>
          <w:rFonts w:hint="eastAsia" w:ascii="宋体" w:hAnsi="宋体" w:cs="宋体"/>
          <w:color w:val="auto"/>
          <w:szCs w:val="21"/>
        </w:rPr>
        <w:t>附件5：承包人主要施工管理人员表</w:t>
      </w:r>
    </w:p>
    <w:p w14:paraId="581BD702">
      <w:pPr>
        <w:spacing w:line="360" w:lineRule="auto"/>
        <w:jc w:val="left"/>
        <w:rPr>
          <w:rFonts w:ascii="宋体"/>
          <w:color w:val="auto"/>
          <w:szCs w:val="21"/>
        </w:rPr>
      </w:pPr>
      <w:r>
        <w:rPr>
          <w:rFonts w:hint="eastAsia" w:ascii="宋体" w:hAnsi="宋体" w:cs="宋体"/>
          <w:color w:val="auto"/>
          <w:szCs w:val="21"/>
        </w:rPr>
        <w:t>附件6：分包人主要施工管理人员表</w:t>
      </w:r>
    </w:p>
    <w:p w14:paraId="5F07A369">
      <w:pPr>
        <w:spacing w:line="360" w:lineRule="auto"/>
        <w:jc w:val="left"/>
        <w:rPr>
          <w:rFonts w:ascii="宋体"/>
          <w:color w:val="auto"/>
          <w:szCs w:val="21"/>
        </w:rPr>
      </w:pPr>
      <w:r>
        <w:rPr>
          <w:rFonts w:hint="eastAsia" w:ascii="宋体" w:hAnsi="宋体" w:cs="宋体"/>
          <w:color w:val="auto"/>
          <w:szCs w:val="21"/>
        </w:rPr>
        <w:t>附件7：履约担保格式</w:t>
      </w:r>
    </w:p>
    <w:p w14:paraId="6FFD5241">
      <w:pPr>
        <w:spacing w:line="360" w:lineRule="auto"/>
        <w:jc w:val="left"/>
        <w:rPr>
          <w:rFonts w:ascii="宋体" w:hAnsi="宋体" w:cs="宋体"/>
          <w:color w:val="auto"/>
          <w:szCs w:val="21"/>
        </w:rPr>
      </w:pPr>
      <w:r>
        <w:rPr>
          <w:rFonts w:hint="eastAsia" w:ascii="宋体" w:hAnsi="宋体" w:cs="宋体"/>
          <w:color w:val="auto"/>
          <w:szCs w:val="21"/>
        </w:rPr>
        <w:t>附件8：预付款担保格式</w:t>
      </w:r>
    </w:p>
    <w:p w14:paraId="460AE54B">
      <w:pPr>
        <w:spacing w:line="360" w:lineRule="auto"/>
        <w:jc w:val="left"/>
        <w:rPr>
          <w:rFonts w:ascii="宋体" w:hAnsi="宋体" w:cs="宋体"/>
          <w:color w:val="auto"/>
          <w:szCs w:val="21"/>
        </w:rPr>
      </w:pPr>
      <w:r>
        <w:rPr>
          <w:rFonts w:hint="eastAsia" w:ascii="宋体" w:hAnsi="宋体" w:cs="宋体"/>
          <w:color w:val="auto"/>
          <w:szCs w:val="21"/>
        </w:rPr>
        <w:t>附件9：支付担保格式</w:t>
      </w:r>
    </w:p>
    <w:p w14:paraId="0047333E">
      <w:pPr>
        <w:spacing w:line="360" w:lineRule="auto"/>
        <w:jc w:val="left"/>
        <w:rPr>
          <w:color w:val="auto"/>
          <w:szCs w:val="21"/>
        </w:rPr>
      </w:pPr>
      <w:r>
        <w:rPr>
          <w:rFonts w:hint="eastAsia" w:ascii="宋体" w:hAnsi="宋体" w:cs="宋体"/>
          <w:color w:val="auto"/>
          <w:szCs w:val="21"/>
        </w:rPr>
        <w:t>附件10：预付款</w:t>
      </w:r>
      <w:r>
        <w:rPr>
          <w:rFonts w:hint="eastAsia"/>
          <w:color w:val="auto"/>
          <w:szCs w:val="21"/>
        </w:rPr>
        <w:t>支付申请（核准）表</w:t>
      </w:r>
    </w:p>
    <w:p w14:paraId="25557FDC">
      <w:pPr>
        <w:spacing w:line="360" w:lineRule="auto"/>
        <w:jc w:val="left"/>
        <w:rPr>
          <w:color w:val="auto"/>
          <w:szCs w:val="21"/>
        </w:rPr>
      </w:pPr>
      <w:r>
        <w:rPr>
          <w:rFonts w:hint="eastAsia" w:ascii="宋体" w:hAnsi="宋体" w:cs="宋体"/>
          <w:color w:val="auto"/>
          <w:szCs w:val="21"/>
        </w:rPr>
        <w:t>附件11：</w:t>
      </w:r>
      <w:r>
        <w:rPr>
          <w:rFonts w:hint="eastAsia"/>
          <w:color w:val="auto"/>
          <w:szCs w:val="21"/>
        </w:rPr>
        <w:t>进度款支付申请（核准）表</w:t>
      </w:r>
    </w:p>
    <w:p w14:paraId="3D452E30">
      <w:pPr>
        <w:spacing w:line="360" w:lineRule="auto"/>
        <w:jc w:val="left"/>
        <w:rPr>
          <w:color w:val="auto"/>
          <w:szCs w:val="21"/>
        </w:rPr>
      </w:pPr>
      <w:r>
        <w:rPr>
          <w:rFonts w:hint="eastAsia" w:ascii="宋体" w:hAnsi="宋体" w:cs="宋体"/>
          <w:color w:val="auto"/>
          <w:szCs w:val="21"/>
        </w:rPr>
        <w:t>附件12：竣工结算</w:t>
      </w:r>
      <w:r>
        <w:rPr>
          <w:rFonts w:hint="eastAsia"/>
          <w:color w:val="auto"/>
          <w:szCs w:val="21"/>
        </w:rPr>
        <w:t>款支付申请（核准）表</w:t>
      </w:r>
    </w:p>
    <w:p w14:paraId="78E58162">
      <w:pPr>
        <w:spacing w:line="360" w:lineRule="auto"/>
        <w:jc w:val="left"/>
        <w:rPr>
          <w:color w:val="auto"/>
          <w:szCs w:val="21"/>
        </w:rPr>
      </w:pPr>
      <w:r>
        <w:rPr>
          <w:rFonts w:hint="eastAsia" w:ascii="宋体" w:hAnsi="宋体" w:cs="宋体"/>
          <w:color w:val="auto"/>
          <w:szCs w:val="21"/>
        </w:rPr>
        <w:t>附件13：最终结算</w:t>
      </w:r>
      <w:r>
        <w:rPr>
          <w:rFonts w:hint="eastAsia"/>
          <w:color w:val="auto"/>
          <w:szCs w:val="21"/>
        </w:rPr>
        <w:t>款支付申请（核准）表</w:t>
      </w:r>
    </w:p>
    <w:p w14:paraId="2B353E57">
      <w:pPr>
        <w:spacing w:line="360" w:lineRule="auto"/>
        <w:jc w:val="left"/>
        <w:rPr>
          <w:rFonts w:hint="eastAsia"/>
          <w:color w:val="auto"/>
          <w:szCs w:val="21"/>
        </w:rPr>
      </w:pPr>
      <w:r>
        <w:rPr>
          <w:rFonts w:hint="eastAsia"/>
          <w:color w:val="auto"/>
          <w:szCs w:val="21"/>
        </w:rPr>
        <w:t>附件14：总价合同进度款支付分解表</w:t>
      </w:r>
    </w:p>
    <w:p w14:paraId="6EFB9912">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附件15：廉政合同</w:t>
      </w:r>
    </w:p>
    <w:p w14:paraId="3F786EC4">
      <w:pPr>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附件16：安全生产合同</w:t>
      </w:r>
    </w:p>
    <w:p w14:paraId="7D8D0E20">
      <w:pPr>
        <w:widowControl/>
        <w:jc w:val="left"/>
        <w:rPr>
          <w:rFonts w:ascii="仿宋_GB2312" w:eastAsia="仿宋_GB2312" w:cs="仿宋_GB2312"/>
          <w:color w:val="auto"/>
          <w:sz w:val="30"/>
          <w:szCs w:val="30"/>
        </w:rPr>
        <w:sectPr>
          <w:footerReference r:id="rId9" w:type="default"/>
          <w:pgSz w:w="11850" w:h="16783"/>
          <w:pgMar w:top="1247" w:right="964" w:bottom="1247" w:left="964" w:header="851" w:footer="890" w:gutter="0"/>
          <w:pgNumType w:start="1"/>
          <w:cols w:space="720" w:num="1"/>
          <w:docGrid w:type="linesAndChars" w:linePitch="312" w:charSpace="0"/>
        </w:sectPr>
      </w:pPr>
    </w:p>
    <w:p w14:paraId="35B2257C">
      <w:pPr>
        <w:spacing w:beforeLines="50" w:afterLines="50" w:line="440" w:lineRule="exact"/>
        <w:jc w:val="left"/>
        <w:outlineLvl w:val="0"/>
        <w:rPr>
          <w:rFonts w:ascii="仿宋_GB2312" w:eastAsia="仿宋_GB2312"/>
          <w:color w:val="auto"/>
          <w:sz w:val="30"/>
          <w:szCs w:val="30"/>
        </w:rPr>
      </w:pPr>
      <w:bookmarkStart w:id="1581" w:name="_Toc8433"/>
      <w:bookmarkStart w:id="1582" w:name="_Toc7864"/>
      <w:r>
        <w:rPr>
          <w:rFonts w:hint="eastAsia" w:ascii="仿宋_GB2312" w:eastAsia="仿宋_GB2312" w:cs="仿宋_GB2312"/>
          <w:color w:val="auto"/>
          <w:sz w:val="30"/>
          <w:szCs w:val="30"/>
        </w:rPr>
        <w:t>附件</w:t>
      </w:r>
      <w:r>
        <w:rPr>
          <w:rFonts w:ascii="仿宋_GB2312" w:eastAsia="仿宋_GB2312" w:cs="仿宋_GB2312"/>
          <w:color w:val="auto"/>
          <w:sz w:val="30"/>
          <w:szCs w:val="30"/>
        </w:rPr>
        <w:t>1</w:t>
      </w:r>
      <w:r>
        <w:rPr>
          <w:rFonts w:hint="eastAsia" w:ascii="仿宋_GB2312" w:eastAsia="仿宋_GB2312" w:cs="仿宋_GB2312"/>
          <w:color w:val="auto"/>
          <w:sz w:val="30"/>
          <w:szCs w:val="30"/>
        </w:rPr>
        <w:t>：</w:t>
      </w:r>
      <w:bookmarkEnd w:id="1581"/>
      <w:bookmarkEnd w:id="1582"/>
    </w:p>
    <w:p w14:paraId="123C6CA5">
      <w:pPr>
        <w:spacing w:beforeLines="50" w:afterLines="50" w:line="440" w:lineRule="exact"/>
        <w:jc w:val="center"/>
        <w:rPr>
          <w:rFonts w:eastAsia="黑体"/>
          <w:color w:val="auto"/>
          <w:sz w:val="30"/>
          <w:szCs w:val="30"/>
        </w:rPr>
      </w:pPr>
      <w:r>
        <w:rPr>
          <w:rFonts w:hint="eastAsia" w:eastAsia="黑体" w:cs="黑体"/>
          <w:color w:val="auto"/>
          <w:sz w:val="30"/>
          <w:szCs w:val="30"/>
        </w:rPr>
        <w:t>承包人承揽工程项目一览表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109"/>
        <w:gridCol w:w="850"/>
        <w:gridCol w:w="1376"/>
        <w:gridCol w:w="850"/>
        <w:gridCol w:w="591"/>
        <w:gridCol w:w="850"/>
        <w:gridCol w:w="1109"/>
        <w:gridCol w:w="1541"/>
        <w:gridCol w:w="851"/>
        <w:gridCol w:w="851"/>
      </w:tblGrid>
      <w:tr w14:paraId="17E5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0" w:type="auto"/>
            <w:vAlign w:val="center"/>
          </w:tcPr>
          <w:p w14:paraId="1E7C1DC4">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单位工程名称</w:t>
            </w:r>
          </w:p>
        </w:tc>
        <w:tc>
          <w:tcPr>
            <w:tcW w:w="0" w:type="auto"/>
            <w:vAlign w:val="center"/>
          </w:tcPr>
          <w:p w14:paraId="2AF9239B">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建设规模</w:t>
            </w:r>
          </w:p>
        </w:tc>
        <w:tc>
          <w:tcPr>
            <w:tcW w:w="0" w:type="auto"/>
            <w:vAlign w:val="center"/>
          </w:tcPr>
          <w:p w14:paraId="19823423">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建筑面积</w:t>
            </w:r>
            <w:r>
              <w:rPr>
                <w:rFonts w:eastAsia="仿宋_GB2312"/>
                <w:color w:val="auto"/>
                <w:sz w:val="28"/>
                <w:szCs w:val="28"/>
              </w:rPr>
              <w:t>(</w:t>
            </w:r>
            <w:r>
              <w:rPr>
                <w:rFonts w:hint="eastAsia" w:eastAsia="仿宋_GB2312" w:cs="仿宋_GB2312"/>
                <w:color w:val="auto"/>
                <w:sz w:val="28"/>
                <w:szCs w:val="28"/>
              </w:rPr>
              <w:t>平方米</w:t>
            </w:r>
            <w:r>
              <w:rPr>
                <w:rFonts w:eastAsia="仿宋_GB2312"/>
                <w:color w:val="auto"/>
                <w:sz w:val="28"/>
                <w:szCs w:val="28"/>
              </w:rPr>
              <w:t>)</w:t>
            </w:r>
          </w:p>
        </w:tc>
        <w:tc>
          <w:tcPr>
            <w:tcW w:w="0" w:type="auto"/>
            <w:vAlign w:val="center"/>
          </w:tcPr>
          <w:p w14:paraId="424A1865">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结构形式</w:t>
            </w:r>
          </w:p>
        </w:tc>
        <w:tc>
          <w:tcPr>
            <w:tcW w:w="0" w:type="auto"/>
            <w:vAlign w:val="center"/>
          </w:tcPr>
          <w:p w14:paraId="66701E88">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层数</w:t>
            </w:r>
          </w:p>
        </w:tc>
        <w:tc>
          <w:tcPr>
            <w:tcW w:w="0" w:type="auto"/>
            <w:vAlign w:val="center"/>
          </w:tcPr>
          <w:p w14:paraId="63C3E574">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生产能力</w:t>
            </w:r>
          </w:p>
        </w:tc>
        <w:tc>
          <w:tcPr>
            <w:tcW w:w="0" w:type="auto"/>
            <w:vAlign w:val="center"/>
          </w:tcPr>
          <w:p w14:paraId="4CC80B9B">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设备安装内容</w:t>
            </w:r>
          </w:p>
        </w:tc>
        <w:tc>
          <w:tcPr>
            <w:tcW w:w="0" w:type="auto"/>
            <w:vAlign w:val="center"/>
          </w:tcPr>
          <w:p w14:paraId="4E1F1A2C">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合同价格（元）</w:t>
            </w:r>
          </w:p>
        </w:tc>
        <w:tc>
          <w:tcPr>
            <w:tcW w:w="0" w:type="auto"/>
            <w:vAlign w:val="center"/>
          </w:tcPr>
          <w:p w14:paraId="6D95BE59">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开工日期</w:t>
            </w:r>
          </w:p>
        </w:tc>
        <w:tc>
          <w:tcPr>
            <w:tcW w:w="0" w:type="auto"/>
            <w:vAlign w:val="center"/>
          </w:tcPr>
          <w:p w14:paraId="6496CC9C">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竣工日期</w:t>
            </w:r>
          </w:p>
        </w:tc>
      </w:tr>
      <w:tr w14:paraId="4AA1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vAlign w:val="center"/>
          </w:tcPr>
          <w:p w14:paraId="588A5F8E">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41FED21E">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0EAA8BB0">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C9C439E">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64EF1FE">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319CE1A">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A13EE91">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D34E203">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2BA1AE9">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7355730">
            <w:pPr>
              <w:keepNext/>
              <w:adjustRightInd w:val="0"/>
              <w:spacing w:line="440" w:lineRule="exact"/>
              <w:ind w:left="63" w:leftChars="30" w:right="63" w:rightChars="30"/>
              <w:jc w:val="center"/>
              <w:textAlignment w:val="baseline"/>
              <w:rPr>
                <w:rFonts w:eastAsia="仿宋_GB2312"/>
                <w:color w:val="auto"/>
                <w:sz w:val="30"/>
                <w:szCs w:val="30"/>
              </w:rPr>
            </w:pPr>
          </w:p>
        </w:tc>
      </w:tr>
      <w:tr w14:paraId="3FF5B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vAlign w:val="center"/>
          </w:tcPr>
          <w:p w14:paraId="6D31FA36">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612E2D9C">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69E8CAD1">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0E8FBAC9">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E3B80BF">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F00FA5B">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2FF10195">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63BE2A3">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D8B80D5">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BA97988">
            <w:pPr>
              <w:keepNext/>
              <w:adjustRightInd w:val="0"/>
              <w:spacing w:line="440" w:lineRule="exact"/>
              <w:ind w:left="63" w:leftChars="30" w:right="63" w:rightChars="30"/>
              <w:jc w:val="center"/>
              <w:textAlignment w:val="baseline"/>
              <w:rPr>
                <w:rFonts w:eastAsia="仿宋_GB2312"/>
                <w:color w:val="auto"/>
                <w:sz w:val="30"/>
                <w:szCs w:val="30"/>
              </w:rPr>
            </w:pPr>
          </w:p>
        </w:tc>
      </w:tr>
      <w:tr w14:paraId="14ACB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vAlign w:val="center"/>
          </w:tcPr>
          <w:p w14:paraId="175ED2E1">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58CA09C">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4A23C4D">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56D1244">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1D9B398D">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5AB2054">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49882E71">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C3841FC">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6FE3AA6E">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4AC9A612">
            <w:pPr>
              <w:keepNext/>
              <w:adjustRightInd w:val="0"/>
              <w:spacing w:line="440" w:lineRule="exact"/>
              <w:ind w:left="63" w:leftChars="30" w:right="63" w:rightChars="30"/>
              <w:jc w:val="center"/>
              <w:textAlignment w:val="baseline"/>
              <w:rPr>
                <w:rFonts w:eastAsia="仿宋_GB2312"/>
                <w:color w:val="auto"/>
                <w:sz w:val="30"/>
                <w:szCs w:val="30"/>
              </w:rPr>
            </w:pPr>
          </w:p>
        </w:tc>
      </w:tr>
      <w:tr w14:paraId="4A22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vAlign w:val="center"/>
          </w:tcPr>
          <w:p w14:paraId="47C05041">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6A8A4681">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0D1ADE78">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F11844C">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0196767">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F59C4FC">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1C74F506">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02A47ECD">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6B2974E6">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37E9859">
            <w:pPr>
              <w:keepNext/>
              <w:adjustRightInd w:val="0"/>
              <w:spacing w:line="440" w:lineRule="exact"/>
              <w:ind w:left="63" w:leftChars="30" w:right="63" w:rightChars="30"/>
              <w:jc w:val="center"/>
              <w:textAlignment w:val="baseline"/>
              <w:rPr>
                <w:rFonts w:eastAsia="仿宋_GB2312"/>
                <w:color w:val="auto"/>
                <w:sz w:val="30"/>
                <w:szCs w:val="30"/>
              </w:rPr>
            </w:pPr>
          </w:p>
        </w:tc>
      </w:tr>
      <w:tr w14:paraId="48D40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vAlign w:val="center"/>
          </w:tcPr>
          <w:p w14:paraId="6B708FC9">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066FD564">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21AE82D9">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7FB7329">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82456FF">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4933B3D2">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49A1EFE4">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8C6B25F">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6A95B533">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26A6C682">
            <w:pPr>
              <w:keepNext/>
              <w:adjustRightInd w:val="0"/>
              <w:spacing w:line="440" w:lineRule="exact"/>
              <w:ind w:left="63" w:leftChars="30" w:right="63" w:rightChars="30"/>
              <w:jc w:val="center"/>
              <w:textAlignment w:val="baseline"/>
              <w:rPr>
                <w:rFonts w:eastAsia="仿宋_GB2312"/>
                <w:color w:val="auto"/>
                <w:sz w:val="30"/>
                <w:szCs w:val="30"/>
              </w:rPr>
            </w:pPr>
          </w:p>
        </w:tc>
      </w:tr>
      <w:tr w14:paraId="50FB9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vAlign w:val="center"/>
          </w:tcPr>
          <w:p w14:paraId="4E55C783">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330F072">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0171EB63">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464DE838">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72315A7">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0E5598C">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6F833EE">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6F2ED041">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C7BCEB0">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079A9443">
            <w:pPr>
              <w:keepNext/>
              <w:adjustRightInd w:val="0"/>
              <w:spacing w:line="440" w:lineRule="exact"/>
              <w:ind w:left="63" w:leftChars="30" w:right="63" w:rightChars="30"/>
              <w:jc w:val="center"/>
              <w:textAlignment w:val="baseline"/>
              <w:rPr>
                <w:rFonts w:eastAsia="仿宋_GB2312"/>
                <w:color w:val="auto"/>
                <w:sz w:val="30"/>
                <w:szCs w:val="30"/>
              </w:rPr>
            </w:pPr>
          </w:p>
        </w:tc>
      </w:tr>
      <w:tr w14:paraId="613F9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vAlign w:val="center"/>
          </w:tcPr>
          <w:p w14:paraId="5DC936F7">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46DD9220">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4D6B3A0B">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7BC19FA">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142DA38E">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1C5E5937">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EE8434D">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4A804FC4">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62238341">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269864D5">
            <w:pPr>
              <w:keepNext/>
              <w:adjustRightInd w:val="0"/>
              <w:spacing w:line="440" w:lineRule="exact"/>
              <w:ind w:left="63" w:leftChars="30" w:right="63" w:rightChars="30"/>
              <w:jc w:val="center"/>
              <w:textAlignment w:val="baseline"/>
              <w:rPr>
                <w:rFonts w:eastAsia="仿宋_GB2312"/>
                <w:color w:val="auto"/>
                <w:sz w:val="30"/>
                <w:szCs w:val="30"/>
              </w:rPr>
            </w:pPr>
          </w:p>
        </w:tc>
      </w:tr>
      <w:tr w14:paraId="7F5D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vAlign w:val="center"/>
          </w:tcPr>
          <w:p w14:paraId="4F1F8B62">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47154DA">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44C33892">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5BC140A">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2CC9AA87">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251202E0">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22B60EE8">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1A74A803">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460772F">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485A2399">
            <w:pPr>
              <w:keepNext/>
              <w:adjustRightInd w:val="0"/>
              <w:spacing w:line="440" w:lineRule="exact"/>
              <w:ind w:left="63" w:leftChars="30" w:right="63" w:rightChars="30"/>
              <w:jc w:val="center"/>
              <w:textAlignment w:val="baseline"/>
              <w:rPr>
                <w:rFonts w:eastAsia="仿宋_GB2312"/>
                <w:color w:val="auto"/>
                <w:sz w:val="30"/>
                <w:szCs w:val="30"/>
              </w:rPr>
            </w:pPr>
          </w:p>
        </w:tc>
      </w:tr>
      <w:tr w14:paraId="4DB1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vAlign w:val="center"/>
          </w:tcPr>
          <w:p w14:paraId="462EB955">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1ACAE98F">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2F4FC3BF">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14D0AE2C">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05B606B2">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66719F1">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20D1A1B6">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ADC007F">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8E367BA">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695D5EBB">
            <w:pPr>
              <w:keepNext/>
              <w:adjustRightInd w:val="0"/>
              <w:spacing w:line="440" w:lineRule="exact"/>
              <w:ind w:left="63" w:leftChars="30" w:right="63" w:rightChars="30"/>
              <w:jc w:val="center"/>
              <w:textAlignment w:val="baseline"/>
              <w:rPr>
                <w:rFonts w:eastAsia="仿宋_GB2312"/>
                <w:color w:val="auto"/>
                <w:sz w:val="30"/>
                <w:szCs w:val="30"/>
              </w:rPr>
            </w:pPr>
          </w:p>
        </w:tc>
      </w:tr>
      <w:tr w14:paraId="04ECB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0" w:type="auto"/>
            <w:vAlign w:val="center"/>
          </w:tcPr>
          <w:p w14:paraId="70CA20D6">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62DA2495">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18EC0C88">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C2A797B">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DD917A8">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70F945E3">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1CA83738">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325EA366">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27E61263">
            <w:pPr>
              <w:keepNext/>
              <w:adjustRightInd w:val="0"/>
              <w:spacing w:line="440" w:lineRule="exact"/>
              <w:ind w:left="63" w:leftChars="30" w:right="63" w:rightChars="30"/>
              <w:jc w:val="center"/>
              <w:textAlignment w:val="baseline"/>
              <w:rPr>
                <w:rFonts w:eastAsia="仿宋_GB2312"/>
                <w:color w:val="auto"/>
                <w:sz w:val="30"/>
                <w:szCs w:val="30"/>
              </w:rPr>
            </w:pPr>
          </w:p>
        </w:tc>
        <w:tc>
          <w:tcPr>
            <w:tcW w:w="0" w:type="auto"/>
            <w:vAlign w:val="center"/>
          </w:tcPr>
          <w:p w14:paraId="5B94FC15">
            <w:pPr>
              <w:keepNext/>
              <w:adjustRightInd w:val="0"/>
              <w:spacing w:line="440" w:lineRule="exact"/>
              <w:ind w:left="63" w:leftChars="30" w:right="63" w:rightChars="30"/>
              <w:jc w:val="center"/>
              <w:textAlignment w:val="baseline"/>
              <w:rPr>
                <w:rFonts w:eastAsia="仿宋_GB2312"/>
                <w:color w:val="auto"/>
                <w:sz w:val="30"/>
                <w:szCs w:val="30"/>
              </w:rPr>
            </w:pPr>
          </w:p>
        </w:tc>
      </w:tr>
    </w:tbl>
    <w:p w14:paraId="400B6740">
      <w:pPr>
        <w:spacing w:line="460" w:lineRule="exact"/>
        <w:ind w:firstLine="420" w:firstLineChars="200"/>
        <w:rPr>
          <w:color w:val="auto"/>
          <w:szCs w:val="21"/>
        </w:rPr>
      </w:pPr>
    </w:p>
    <w:p w14:paraId="0C029CFC">
      <w:pPr>
        <w:spacing w:line="460" w:lineRule="exact"/>
        <w:ind w:firstLine="420" w:firstLineChars="200"/>
        <w:rPr>
          <w:color w:val="auto"/>
          <w:szCs w:val="21"/>
        </w:rPr>
      </w:pPr>
    </w:p>
    <w:p w14:paraId="336A1DB6">
      <w:pPr>
        <w:widowControl/>
        <w:jc w:val="left"/>
        <w:rPr>
          <w:rFonts w:hAnsi="宋体" w:cs="宋体"/>
          <w:color w:val="auto"/>
          <w:sz w:val="30"/>
          <w:szCs w:val="30"/>
        </w:rPr>
      </w:pPr>
      <w:r>
        <w:rPr>
          <w:rFonts w:hAnsi="宋体" w:cs="宋体"/>
          <w:color w:val="auto"/>
          <w:sz w:val="30"/>
          <w:szCs w:val="30"/>
        </w:rPr>
        <w:br w:type="page"/>
      </w:r>
    </w:p>
    <w:p w14:paraId="5FBE4BC5">
      <w:pPr>
        <w:spacing w:line="440" w:lineRule="exact"/>
        <w:outlineLvl w:val="0"/>
        <w:rPr>
          <w:color w:val="auto"/>
          <w:sz w:val="30"/>
          <w:szCs w:val="30"/>
        </w:rPr>
      </w:pPr>
      <w:bookmarkStart w:id="1583" w:name="_Toc18931"/>
      <w:bookmarkStart w:id="1584" w:name="_Toc22566"/>
      <w:r>
        <w:rPr>
          <w:rFonts w:hint="eastAsia" w:hAnsi="宋体" w:cs="宋体"/>
          <w:color w:val="auto"/>
          <w:sz w:val="30"/>
          <w:szCs w:val="30"/>
        </w:rPr>
        <w:t>附件</w:t>
      </w:r>
      <w:r>
        <w:rPr>
          <w:rFonts w:hint="eastAsia"/>
          <w:color w:val="auto"/>
          <w:sz w:val="30"/>
          <w:szCs w:val="30"/>
        </w:rPr>
        <w:t>2</w:t>
      </w:r>
      <w:r>
        <w:rPr>
          <w:rFonts w:hint="eastAsia" w:hAnsi="宋体" w:cs="宋体"/>
          <w:color w:val="auto"/>
          <w:sz w:val="30"/>
          <w:szCs w:val="30"/>
        </w:rPr>
        <w:t>：</w:t>
      </w:r>
      <w:bookmarkEnd w:id="1583"/>
      <w:bookmarkEnd w:id="1584"/>
    </w:p>
    <w:p w14:paraId="37849975">
      <w:pPr>
        <w:spacing w:beforeLines="50" w:afterLines="50" w:line="440" w:lineRule="exact"/>
        <w:jc w:val="center"/>
        <w:rPr>
          <w:rFonts w:ascii="宋体" w:hAnsi="宋体"/>
          <w:color w:val="auto"/>
          <w:sz w:val="32"/>
          <w:szCs w:val="32"/>
        </w:rPr>
      </w:pPr>
      <w:r>
        <w:rPr>
          <w:rFonts w:hint="eastAsia" w:ascii="宋体" w:hAnsi="宋体"/>
          <w:color w:val="auto"/>
          <w:sz w:val="32"/>
          <w:szCs w:val="32"/>
        </w:rPr>
        <w:t>工程质量保修书（市政公用工程）</w:t>
      </w:r>
    </w:p>
    <w:p w14:paraId="48856AF4">
      <w:pPr>
        <w:spacing w:line="360" w:lineRule="auto"/>
        <w:ind w:firstLine="420" w:firstLineChars="200"/>
        <w:rPr>
          <w:rFonts w:ascii="宋体" w:hAnsi="宋体"/>
          <w:color w:val="auto"/>
          <w:szCs w:val="21"/>
        </w:rPr>
      </w:pPr>
      <w:r>
        <w:rPr>
          <w:rFonts w:ascii="宋体" w:hAnsi="宋体"/>
          <w:color w:val="auto"/>
          <w:szCs w:val="21"/>
        </w:rPr>
        <w:t>发包人（全称）：</w:t>
      </w:r>
      <w:r>
        <w:rPr>
          <w:rFonts w:hint="eastAsia" w:ascii="宋体" w:hAnsi="宋体"/>
          <w:color w:val="auto"/>
          <w:szCs w:val="21"/>
          <w:u w:val="single"/>
        </w:rPr>
        <w:t xml:space="preserve">                      </w:t>
      </w:r>
    </w:p>
    <w:p w14:paraId="41CB0057">
      <w:pPr>
        <w:spacing w:line="360" w:lineRule="auto"/>
        <w:ind w:firstLine="420" w:firstLineChars="200"/>
        <w:rPr>
          <w:rFonts w:ascii="宋体" w:hAnsi="宋体"/>
          <w:color w:val="auto"/>
          <w:szCs w:val="21"/>
        </w:rPr>
      </w:pPr>
      <w:r>
        <w:rPr>
          <w:rFonts w:ascii="宋体" w:hAnsi="宋体"/>
          <w:color w:val="auto"/>
          <w:szCs w:val="21"/>
        </w:rPr>
        <w:t>承包人（全称）：</w:t>
      </w:r>
      <w:r>
        <w:rPr>
          <w:rFonts w:hint="eastAsia" w:ascii="宋体" w:hAnsi="宋体"/>
          <w:color w:val="auto"/>
          <w:szCs w:val="21"/>
          <w:u w:val="single"/>
        </w:rPr>
        <w:t xml:space="preserve">                      </w:t>
      </w:r>
    </w:p>
    <w:p w14:paraId="4D906D9C">
      <w:pPr>
        <w:spacing w:line="360" w:lineRule="auto"/>
        <w:rPr>
          <w:rFonts w:ascii="宋体" w:hAnsi="宋体"/>
          <w:color w:val="auto"/>
          <w:szCs w:val="21"/>
        </w:rPr>
      </w:pPr>
    </w:p>
    <w:p w14:paraId="3CD377F5">
      <w:pPr>
        <w:spacing w:line="360" w:lineRule="auto"/>
        <w:ind w:firstLine="420"/>
        <w:rPr>
          <w:rFonts w:ascii="宋体" w:hAnsi="宋体"/>
          <w:color w:val="auto"/>
          <w:szCs w:val="21"/>
        </w:rPr>
      </w:pPr>
      <w:r>
        <w:rPr>
          <w:rFonts w:ascii="宋体" w:hAnsi="宋体"/>
          <w:color w:val="auto"/>
          <w:szCs w:val="21"/>
        </w:rPr>
        <w:t>发包人和承包人根据《中华人民共和国建筑法》和《建设工程质量管理条例》，经协商一致就（工程全称）签订工程质量保修书。</w:t>
      </w:r>
    </w:p>
    <w:p w14:paraId="5CE3CC87">
      <w:pPr>
        <w:spacing w:line="360" w:lineRule="auto"/>
        <w:ind w:firstLine="420" w:firstLineChars="200"/>
        <w:rPr>
          <w:rFonts w:ascii="宋体" w:hAnsi="宋体"/>
          <w:color w:val="auto"/>
          <w:szCs w:val="21"/>
        </w:rPr>
      </w:pPr>
      <w:r>
        <w:rPr>
          <w:rFonts w:hint="eastAsia" w:ascii="宋体" w:hAnsi="宋体"/>
          <w:color w:val="auto"/>
          <w:szCs w:val="21"/>
        </w:rPr>
        <w:t>一、工程质量保修范围和内容</w:t>
      </w:r>
    </w:p>
    <w:p w14:paraId="41018986">
      <w:pPr>
        <w:spacing w:line="360" w:lineRule="auto"/>
        <w:ind w:firstLine="420" w:firstLineChars="200"/>
        <w:rPr>
          <w:rFonts w:ascii="宋体" w:hAnsi="宋体"/>
          <w:color w:val="auto"/>
          <w:szCs w:val="21"/>
        </w:rPr>
      </w:pPr>
      <w:r>
        <w:rPr>
          <w:rFonts w:ascii="宋体" w:hAnsi="宋体"/>
          <w:color w:val="auto"/>
          <w:szCs w:val="21"/>
        </w:rPr>
        <w:t>承包人在质量保修期内，按照有关法律规定和合同约定，承担工程质量保修责任。</w:t>
      </w:r>
    </w:p>
    <w:p w14:paraId="403EAD7B">
      <w:pPr>
        <w:spacing w:line="360" w:lineRule="auto"/>
        <w:ind w:firstLine="420" w:firstLineChars="200"/>
        <w:rPr>
          <w:rFonts w:ascii="宋体" w:hAnsi="宋体"/>
          <w:color w:val="auto"/>
          <w:szCs w:val="21"/>
        </w:rPr>
      </w:pPr>
      <w:r>
        <w:rPr>
          <w:rFonts w:ascii="宋体" w:hAnsi="宋体"/>
          <w:color w:val="auto"/>
          <w:szCs w:val="21"/>
        </w:rPr>
        <w:t>质量保修范围包括，以及双方约定的其他项目。具体保修的内容，双方约定如下：</w:t>
      </w:r>
      <w:r>
        <w:rPr>
          <w:rFonts w:hint="eastAsia" w:ascii="宋体" w:hAnsi="宋体"/>
          <w:color w:val="auto"/>
          <w:szCs w:val="21"/>
          <w:u w:val="single"/>
        </w:rPr>
        <w:t xml:space="preserve">                      </w:t>
      </w:r>
      <w:r>
        <w:rPr>
          <w:rFonts w:ascii="宋体" w:hAnsi="宋体"/>
          <w:color w:val="auto"/>
          <w:szCs w:val="21"/>
        </w:rPr>
        <w:t>。</w:t>
      </w:r>
    </w:p>
    <w:p w14:paraId="2983CEA2">
      <w:pPr>
        <w:spacing w:line="360" w:lineRule="auto"/>
        <w:ind w:firstLine="420" w:firstLineChars="200"/>
        <w:rPr>
          <w:rFonts w:ascii="宋体" w:hAnsi="宋体"/>
          <w:color w:val="auto"/>
          <w:szCs w:val="21"/>
        </w:rPr>
      </w:pPr>
      <w:r>
        <w:rPr>
          <w:rFonts w:hint="eastAsia" w:ascii="宋体" w:hAnsi="宋体"/>
          <w:color w:val="auto"/>
          <w:szCs w:val="21"/>
        </w:rPr>
        <w:t>二、质量保修期</w:t>
      </w:r>
    </w:p>
    <w:p w14:paraId="129B5EA6">
      <w:pPr>
        <w:spacing w:line="360" w:lineRule="auto"/>
        <w:ind w:firstLine="420" w:firstLineChars="200"/>
        <w:rPr>
          <w:rFonts w:ascii="宋体" w:hAnsi="宋体"/>
          <w:color w:val="auto"/>
          <w:szCs w:val="21"/>
        </w:rPr>
      </w:pPr>
      <w:r>
        <w:rPr>
          <w:rFonts w:ascii="宋体" w:hAnsi="宋体"/>
          <w:color w:val="auto"/>
          <w:szCs w:val="21"/>
        </w:rPr>
        <w:t>根据《建设工程质量管理条例》及有关规定，工程的质量保修期如下：</w:t>
      </w:r>
    </w:p>
    <w:p w14:paraId="3753D964">
      <w:pPr>
        <w:spacing w:line="360" w:lineRule="auto"/>
        <w:ind w:firstLine="426"/>
        <w:rPr>
          <w:rFonts w:ascii="宋体" w:hAnsi="宋体"/>
          <w:color w:val="auto"/>
          <w:szCs w:val="21"/>
        </w:rPr>
      </w:pPr>
      <w:r>
        <w:rPr>
          <w:rFonts w:hint="eastAsia" w:ascii="宋体" w:hAnsi="宋体"/>
          <w:color w:val="auto"/>
          <w:szCs w:val="21"/>
        </w:rPr>
        <w:t>1．桥梁工程为</w:t>
      </w:r>
      <w:r>
        <w:rPr>
          <w:rFonts w:hint="eastAsia" w:ascii="宋体" w:hAnsi="宋体"/>
          <w:color w:val="auto"/>
          <w:szCs w:val="21"/>
          <w:u w:val="single"/>
          <w:lang w:val="en-US" w:eastAsia="zh-CN"/>
        </w:rPr>
        <w:t xml:space="preserve">   </w:t>
      </w:r>
      <w:r>
        <w:rPr>
          <w:rFonts w:hint="eastAsia" w:ascii="宋体" w:hAnsi="宋体"/>
          <w:color w:val="auto"/>
          <w:szCs w:val="21"/>
        </w:rPr>
        <w:t>年（建议桥梁隧道主体结构工程为设计文件规定的合理使用年限）；</w:t>
      </w:r>
    </w:p>
    <w:p w14:paraId="545FD5A8">
      <w:pPr>
        <w:spacing w:line="360" w:lineRule="auto"/>
        <w:ind w:firstLine="426"/>
        <w:rPr>
          <w:rFonts w:ascii="宋体" w:hAnsi="宋体"/>
          <w:color w:val="auto"/>
          <w:szCs w:val="21"/>
        </w:rPr>
      </w:pPr>
      <w:r>
        <w:rPr>
          <w:rFonts w:hint="eastAsia" w:ascii="宋体" w:hAnsi="宋体"/>
          <w:color w:val="auto"/>
          <w:szCs w:val="21"/>
        </w:rPr>
        <w:t>2．道路工程为</w:t>
      </w:r>
      <w:r>
        <w:rPr>
          <w:rFonts w:hint="eastAsia" w:ascii="宋体" w:hAnsi="宋体"/>
          <w:color w:val="auto"/>
          <w:szCs w:val="21"/>
          <w:u w:val="single"/>
          <w:lang w:val="en-US" w:eastAsia="zh-CN"/>
        </w:rPr>
        <w:t xml:space="preserve">   </w:t>
      </w:r>
      <w:r>
        <w:rPr>
          <w:rFonts w:hint="eastAsia" w:ascii="宋体" w:hAnsi="宋体"/>
          <w:color w:val="auto"/>
          <w:szCs w:val="21"/>
        </w:rPr>
        <w:t>年（建议路基、路面、桥面为</w:t>
      </w:r>
      <w:r>
        <w:rPr>
          <w:rFonts w:ascii="宋体" w:hAnsi="宋体"/>
          <w:color w:val="auto"/>
          <w:szCs w:val="21"/>
        </w:rPr>
        <w:t>2</w:t>
      </w:r>
      <w:r>
        <w:rPr>
          <w:rFonts w:hint="eastAsia" w:ascii="宋体" w:hAnsi="宋体"/>
          <w:color w:val="auto"/>
          <w:szCs w:val="21"/>
        </w:rPr>
        <w:t>年）；</w:t>
      </w:r>
    </w:p>
    <w:p w14:paraId="56EB4563">
      <w:pPr>
        <w:spacing w:line="360" w:lineRule="auto"/>
        <w:ind w:firstLine="426"/>
        <w:rPr>
          <w:rFonts w:ascii="宋体" w:hAnsi="宋体"/>
          <w:color w:val="auto"/>
          <w:szCs w:val="21"/>
        </w:rPr>
      </w:pPr>
      <w:r>
        <w:rPr>
          <w:rFonts w:hint="eastAsia" w:ascii="宋体" w:hAnsi="宋体"/>
          <w:color w:val="auto"/>
          <w:szCs w:val="21"/>
        </w:rPr>
        <w:t>3．排水（雨水）工程为</w:t>
      </w:r>
      <w:r>
        <w:rPr>
          <w:rFonts w:hint="eastAsia" w:ascii="宋体" w:hAnsi="宋体"/>
          <w:color w:val="auto"/>
          <w:szCs w:val="21"/>
          <w:u w:val="single"/>
          <w:lang w:val="en-US" w:eastAsia="zh-CN"/>
        </w:rPr>
        <w:t xml:space="preserve">   </w:t>
      </w:r>
      <w:r>
        <w:rPr>
          <w:rFonts w:hint="eastAsia" w:ascii="宋体" w:hAnsi="宋体"/>
          <w:color w:val="auto"/>
          <w:szCs w:val="21"/>
        </w:rPr>
        <w:t>年（建议道路工程中的排水工程为</w:t>
      </w:r>
      <w:r>
        <w:rPr>
          <w:rFonts w:ascii="宋体" w:hAnsi="宋体"/>
          <w:color w:val="auto"/>
          <w:szCs w:val="21"/>
        </w:rPr>
        <w:t>3</w:t>
      </w:r>
      <w:r>
        <w:rPr>
          <w:rFonts w:hint="eastAsia" w:ascii="宋体" w:hAnsi="宋体"/>
          <w:color w:val="auto"/>
          <w:szCs w:val="21"/>
        </w:rPr>
        <w:t>年）；</w:t>
      </w:r>
    </w:p>
    <w:p w14:paraId="0C4815A1">
      <w:pPr>
        <w:spacing w:line="360" w:lineRule="auto"/>
        <w:ind w:firstLine="426"/>
        <w:rPr>
          <w:rFonts w:ascii="宋体" w:hAnsi="宋体"/>
          <w:color w:val="auto"/>
          <w:szCs w:val="21"/>
        </w:rPr>
      </w:pPr>
      <w:r>
        <w:rPr>
          <w:rFonts w:hint="eastAsia" w:ascii="宋体" w:hAnsi="宋体"/>
          <w:color w:val="auto"/>
          <w:szCs w:val="21"/>
        </w:rPr>
        <w:t xml:space="preserve">4．绿化工程为 </w:t>
      </w:r>
      <w:r>
        <w:rPr>
          <w:rFonts w:hint="eastAsia" w:ascii="宋体" w:hAnsi="宋体"/>
          <w:color w:val="auto"/>
          <w:szCs w:val="21"/>
          <w:u w:val="single"/>
        </w:rPr>
        <w:t>单位工程竣工验收合格后    年</w:t>
      </w:r>
      <w:r>
        <w:rPr>
          <w:rFonts w:hint="eastAsia" w:ascii="宋体" w:hAnsi="宋体"/>
          <w:color w:val="auto"/>
          <w:szCs w:val="21"/>
        </w:rPr>
        <w:t>；</w:t>
      </w:r>
    </w:p>
    <w:p w14:paraId="2024BC96">
      <w:pPr>
        <w:spacing w:line="360" w:lineRule="auto"/>
        <w:ind w:firstLine="426"/>
        <w:rPr>
          <w:rFonts w:ascii="宋体" w:hAnsi="宋体"/>
          <w:color w:val="auto"/>
          <w:szCs w:val="21"/>
        </w:rPr>
      </w:pPr>
      <w:r>
        <w:rPr>
          <w:rFonts w:hint="eastAsia" w:ascii="宋体" w:hAnsi="宋体"/>
          <w:color w:val="auto"/>
          <w:szCs w:val="21"/>
        </w:rPr>
        <w:t>5.  地下防水工程为</w:t>
      </w:r>
      <w:r>
        <w:rPr>
          <w:rFonts w:hint="eastAsia" w:ascii="宋体" w:hAnsi="宋体"/>
          <w:color w:val="auto"/>
          <w:szCs w:val="21"/>
          <w:u w:val="single"/>
          <w:lang w:val="en-US" w:eastAsia="zh-CN"/>
        </w:rPr>
        <w:t xml:space="preserve">   </w:t>
      </w:r>
      <w:r>
        <w:rPr>
          <w:rFonts w:hint="eastAsia" w:ascii="宋体" w:hAnsi="宋体"/>
          <w:color w:val="auto"/>
          <w:szCs w:val="21"/>
        </w:rPr>
        <w:t>年（建议为5年）；</w:t>
      </w:r>
    </w:p>
    <w:p w14:paraId="31897B53">
      <w:pPr>
        <w:spacing w:line="360" w:lineRule="auto"/>
        <w:ind w:firstLine="426"/>
        <w:rPr>
          <w:rFonts w:ascii="宋体" w:hAnsi="宋体"/>
          <w:color w:val="auto"/>
          <w:szCs w:val="21"/>
        </w:rPr>
      </w:pPr>
      <w:r>
        <w:rPr>
          <w:rFonts w:hint="eastAsia" w:ascii="宋体" w:hAnsi="宋体"/>
          <w:color w:val="auto"/>
          <w:szCs w:val="21"/>
        </w:rPr>
        <w:t>6．其他附属工程为</w:t>
      </w:r>
      <w:r>
        <w:rPr>
          <w:rFonts w:hint="eastAsia" w:ascii="宋体" w:hAnsi="宋体"/>
          <w:color w:val="auto"/>
          <w:szCs w:val="21"/>
          <w:u w:val="single"/>
          <w:lang w:val="en-US" w:eastAsia="zh-CN"/>
        </w:rPr>
        <w:t xml:space="preserve">   </w:t>
      </w:r>
      <w:r>
        <w:rPr>
          <w:rFonts w:hint="eastAsia" w:ascii="宋体" w:hAnsi="宋体"/>
          <w:color w:val="auto"/>
          <w:szCs w:val="21"/>
        </w:rPr>
        <w:t>年；</w:t>
      </w:r>
    </w:p>
    <w:p w14:paraId="3831A501">
      <w:pPr>
        <w:spacing w:line="360" w:lineRule="auto"/>
        <w:ind w:firstLine="420" w:firstLineChars="200"/>
        <w:rPr>
          <w:rFonts w:ascii="宋体" w:hAnsi="宋体"/>
          <w:color w:val="auto"/>
          <w:szCs w:val="21"/>
        </w:rPr>
      </w:pPr>
      <w:r>
        <w:rPr>
          <w:rFonts w:hint="eastAsia" w:ascii="宋体" w:hAnsi="宋体"/>
          <w:color w:val="auto"/>
          <w:szCs w:val="21"/>
        </w:rPr>
        <w:t>7．</w:t>
      </w:r>
      <w:r>
        <w:rPr>
          <w:rFonts w:ascii="宋体" w:hAnsi="宋体"/>
          <w:color w:val="auto"/>
          <w:szCs w:val="21"/>
        </w:rPr>
        <w:t>其他项目保修期限约定如下：</w:t>
      </w:r>
      <w:r>
        <w:rPr>
          <w:rFonts w:hint="eastAsia" w:ascii="宋体" w:hAnsi="宋体"/>
          <w:color w:val="auto"/>
          <w:szCs w:val="21"/>
          <w:u w:val="single"/>
        </w:rPr>
        <w:t xml:space="preserve">                      </w:t>
      </w:r>
      <w:r>
        <w:rPr>
          <w:rFonts w:ascii="宋体" w:hAnsi="宋体"/>
          <w:color w:val="auto"/>
          <w:szCs w:val="21"/>
        </w:rPr>
        <w:t>。</w:t>
      </w:r>
    </w:p>
    <w:p w14:paraId="3241E8CA">
      <w:pPr>
        <w:spacing w:line="360" w:lineRule="auto"/>
        <w:ind w:firstLine="420" w:firstLineChars="200"/>
        <w:rPr>
          <w:rFonts w:ascii="宋体" w:hAnsi="宋体"/>
          <w:color w:val="auto"/>
          <w:szCs w:val="21"/>
        </w:rPr>
      </w:pPr>
      <w:r>
        <w:rPr>
          <w:rFonts w:ascii="宋体" w:hAnsi="宋体"/>
          <w:color w:val="auto"/>
          <w:szCs w:val="21"/>
        </w:rPr>
        <w:t>质量保修期自工程竣工验收合格之日起计算。</w:t>
      </w:r>
    </w:p>
    <w:p w14:paraId="24E77786">
      <w:pPr>
        <w:spacing w:line="360" w:lineRule="auto"/>
        <w:ind w:firstLine="420" w:firstLineChars="200"/>
        <w:rPr>
          <w:rFonts w:ascii="宋体" w:hAnsi="宋体"/>
          <w:color w:val="auto"/>
          <w:szCs w:val="21"/>
        </w:rPr>
      </w:pPr>
      <w:r>
        <w:rPr>
          <w:rFonts w:hint="eastAsia" w:ascii="宋体" w:hAnsi="宋体"/>
          <w:color w:val="auto"/>
          <w:szCs w:val="21"/>
        </w:rPr>
        <w:t>三、缺陷责任期</w:t>
      </w:r>
    </w:p>
    <w:p w14:paraId="0F925E6B">
      <w:pPr>
        <w:spacing w:line="360" w:lineRule="auto"/>
        <w:ind w:firstLine="420" w:firstLineChars="200"/>
        <w:rPr>
          <w:rFonts w:ascii="宋体" w:hAnsi="宋体"/>
          <w:color w:val="auto"/>
          <w:szCs w:val="21"/>
        </w:rPr>
      </w:pPr>
      <w:r>
        <w:rPr>
          <w:rFonts w:ascii="宋体" w:hAnsi="宋体"/>
          <w:color w:val="auto"/>
          <w:szCs w:val="21"/>
        </w:rPr>
        <w:t>工程缺陷责任期为</w:t>
      </w:r>
      <w:r>
        <w:rPr>
          <w:rFonts w:hint="eastAsia" w:ascii="宋体" w:hAnsi="宋体"/>
          <w:color w:val="auto"/>
          <w:szCs w:val="21"/>
          <w:u w:val="single"/>
          <w:lang w:val="en-US" w:eastAsia="zh-CN"/>
        </w:rPr>
        <w:t>24</w:t>
      </w:r>
      <w:r>
        <w:rPr>
          <w:rFonts w:ascii="宋体" w:hAnsi="宋体"/>
          <w:color w:val="auto"/>
          <w:szCs w:val="21"/>
        </w:rPr>
        <w:t>个月</w:t>
      </w:r>
      <w:r>
        <w:rPr>
          <w:rFonts w:hint="eastAsia" w:ascii="宋体" w:hAnsi="宋体"/>
          <w:color w:val="auto"/>
          <w:szCs w:val="21"/>
        </w:rPr>
        <w:t>（最长不超过24个月）</w:t>
      </w:r>
      <w:r>
        <w:rPr>
          <w:rFonts w:ascii="宋体" w:hAnsi="宋体"/>
          <w:color w:val="auto"/>
          <w:szCs w:val="21"/>
        </w:rPr>
        <w:t>，缺陷责任期自工程竣工验收合格之日起计算。单位工程先于全部工程进行验收，单位工程缺陷责任期自单位工程验收合格之日起算。</w:t>
      </w:r>
    </w:p>
    <w:p w14:paraId="3E62CE8F">
      <w:pPr>
        <w:spacing w:line="360" w:lineRule="auto"/>
        <w:ind w:firstLine="420" w:firstLineChars="200"/>
        <w:rPr>
          <w:rFonts w:ascii="宋体" w:hAnsi="宋体"/>
          <w:color w:val="auto"/>
          <w:szCs w:val="21"/>
        </w:rPr>
      </w:pPr>
      <w:r>
        <w:rPr>
          <w:rFonts w:ascii="宋体" w:hAnsi="宋体"/>
          <w:color w:val="auto"/>
          <w:szCs w:val="21"/>
        </w:rPr>
        <w:t>缺陷责任期终止后，发包人应退还剩余的质量保证金。</w:t>
      </w:r>
    </w:p>
    <w:p w14:paraId="2A72CB15">
      <w:pPr>
        <w:spacing w:line="360" w:lineRule="auto"/>
        <w:ind w:firstLine="420" w:firstLineChars="200"/>
        <w:rPr>
          <w:rFonts w:ascii="宋体" w:hAnsi="宋体"/>
          <w:color w:val="auto"/>
          <w:szCs w:val="21"/>
        </w:rPr>
      </w:pPr>
      <w:r>
        <w:rPr>
          <w:rFonts w:hint="eastAsia" w:ascii="宋体" w:hAnsi="宋体"/>
          <w:color w:val="auto"/>
          <w:szCs w:val="21"/>
        </w:rPr>
        <w:t>四、质量保修责任</w:t>
      </w:r>
    </w:p>
    <w:p w14:paraId="2BACEAAC">
      <w:pPr>
        <w:spacing w:line="360" w:lineRule="auto"/>
        <w:ind w:firstLine="420" w:firstLineChars="200"/>
        <w:rPr>
          <w:rFonts w:ascii="宋体" w:hAnsi="宋体"/>
          <w:color w:val="auto"/>
          <w:szCs w:val="21"/>
        </w:rPr>
      </w:pPr>
      <w:r>
        <w:rPr>
          <w:rFonts w:hint="eastAsia" w:ascii="宋体" w:hAnsi="宋体"/>
          <w:color w:val="auto"/>
          <w:szCs w:val="21"/>
        </w:rPr>
        <w:t>1．</w:t>
      </w:r>
      <w:r>
        <w:rPr>
          <w:rFonts w:ascii="宋体" w:hAnsi="宋体"/>
          <w:color w:val="auto"/>
          <w:szCs w:val="21"/>
        </w:rPr>
        <w:t>属于保修范围、内容的项目，承包人应当在接到保修通知之日起天内派人保修。承包人不在约定期限内派人保修的，发包人可以委托他人修理</w:t>
      </w:r>
      <w:r>
        <w:rPr>
          <w:rFonts w:hint="eastAsia" w:ascii="宋体" w:hAnsi="宋体"/>
          <w:color w:val="auto"/>
          <w:szCs w:val="21"/>
        </w:rPr>
        <w:t>，修理费用从质量保修金内扣除</w:t>
      </w:r>
      <w:r>
        <w:rPr>
          <w:rFonts w:ascii="宋体" w:hAnsi="宋体"/>
          <w:color w:val="auto"/>
          <w:szCs w:val="21"/>
        </w:rPr>
        <w:t>。</w:t>
      </w:r>
    </w:p>
    <w:p w14:paraId="37ED1F47">
      <w:pPr>
        <w:spacing w:line="360" w:lineRule="auto"/>
        <w:ind w:firstLine="420" w:firstLineChars="200"/>
        <w:rPr>
          <w:rFonts w:ascii="宋体" w:hAnsi="宋体"/>
          <w:color w:val="auto"/>
          <w:szCs w:val="21"/>
        </w:rPr>
      </w:pPr>
      <w:r>
        <w:rPr>
          <w:rFonts w:hint="eastAsia" w:ascii="宋体" w:hAnsi="宋体"/>
          <w:color w:val="auto"/>
          <w:szCs w:val="21"/>
        </w:rPr>
        <w:t>2．</w:t>
      </w:r>
      <w:r>
        <w:rPr>
          <w:rFonts w:ascii="宋体" w:hAnsi="宋体"/>
          <w:color w:val="auto"/>
          <w:szCs w:val="21"/>
        </w:rPr>
        <w:t>发生紧急事故需抢修的，承包人在接到事故通知后，应当立即到达事故现场抢修。</w:t>
      </w:r>
    </w:p>
    <w:p w14:paraId="7573743F">
      <w:pPr>
        <w:spacing w:line="360" w:lineRule="auto"/>
        <w:ind w:firstLine="420" w:firstLineChars="200"/>
        <w:rPr>
          <w:rFonts w:ascii="宋体" w:hAnsi="宋体"/>
          <w:color w:val="auto"/>
          <w:szCs w:val="21"/>
        </w:rPr>
      </w:pPr>
      <w:r>
        <w:rPr>
          <w:rFonts w:hint="eastAsia" w:ascii="宋体" w:hAnsi="宋体"/>
          <w:color w:val="auto"/>
          <w:szCs w:val="21"/>
        </w:rPr>
        <w:t>3．</w:t>
      </w:r>
      <w:r>
        <w:rPr>
          <w:rFonts w:ascii="宋体" w:hAnsi="宋体"/>
          <w:color w:val="auto"/>
          <w:szCs w:val="21"/>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4290284B">
      <w:pPr>
        <w:spacing w:line="360" w:lineRule="auto"/>
        <w:ind w:firstLine="420" w:firstLineChars="200"/>
        <w:rPr>
          <w:rFonts w:ascii="宋体" w:hAnsi="宋体"/>
          <w:color w:val="auto"/>
          <w:szCs w:val="21"/>
        </w:rPr>
      </w:pPr>
      <w:r>
        <w:rPr>
          <w:rFonts w:hint="eastAsia" w:ascii="宋体" w:hAnsi="宋体"/>
          <w:color w:val="auto"/>
          <w:szCs w:val="21"/>
        </w:rPr>
        <w:t>4．</w:t>
      </w:r>
      <w:r>
        <w:rPr>
          <w:rFonts w:ascii="宋体" w:hAnsi="宋体"/>
          <w:color w:val="auto"/>
          <w:szCs w:val="21"/>
        </w:rPr>
        <w:t>质量保修完成后，由发包人组织验收。</w:t>
      </w:r>
    </w:p>
    <w:p w14:paraId="6BD86B25">
      <w:pPr>
        <w:spacing w:line="360" w:lineRule="auto"/>
        <w:ind w:firstLine="420" w:firstLineChars="200"/>
        <w:rPr>
          <w:rFonts w:ascii="宋体" w:hAnsi="宋体"/>
          <w:color w:val="auto"/>
          <w:szCs w:val="21"/>
        </w:rPr>
      </w:pPr>
      <w:r>
        <w:rPr>
          <w:rFonts w:hint="eastAsia" w:ascii="宋体" w:hAnsi="宋体"/>
          <w:color w:val="auto"/>
          <w:szCs w:val="21"/>
        </w:rPr>
        <w:t>五、保修费用</w:t>
      </w:r>
    </w:p>
    <w:p w14:paraId="6FD13472">
      <w:pPr>
        <w:spacing w:line="360" w:lineRule="auto"/>
        <w:ind w:firstLine="420" w:firstLineChars="200"/>
        <w:rPr>
          <w:rFonts w:ascii="宋体" w:hAnsi="宋体"/>
          <w:color w:val="auto"/>
          <w:szCs w:val="21"/>
        </w:rPr>
      </w:pPr>
      <w:r>
        <w:rPr>
          <w:rFonts w:ascii="宋体" w:hAnsi="宋体"/>
          <w:color w:val="auto"/>
          <w:szCs w:val="21"/>
        </w:rPr>
        <w:t>保修费用由造成质量缺陷的责任方承担。</w:t>
      </w:r>
    </w:p>
    <w:p w14:paraId="511DC80E">
      <w:pPr>
        <w:spacing w:line="360" w:lineRule="auto"/>
        <w:ind w:firstLine="420" w:firstLineChars="200"/>
        <w:rPr>
          <w:rFonts w:ascii="宋体" w:hAnsi="宋体"/>
          <w:color w:val="auto"/>
          <w:szCs w:val="21"/>
        </w:rPr>
      </w:pPr>
      <w:r>
        <w:rPr>
          <w:rFonts w:hint="eastAsia" w:ascii="宋体" w:hAnsi="宋体"/>
          <w:color w:val="auto"/>
          <w:szCs w:val="21"/>
        </w:rPr>
        <w:t>六、双方约定的其他工程质量保修事项：</w:t>
      </w:r>
      <w:r>
        <w:rPr>
          <w:rFonts w:hint="eastAsia" w:ascii="宋体" w:hAnsi="宋体"/>
          <w:color w:val="auto"/>
          <w:szCs w:val="21"/>
          <w:u w:val="single"/>
        </w:rPr>
        <w:t xml:space="preserve">                      </w:t>
      </w:r>
      <w:r>
        <w:rPr>
          <w:rFonts w:ascii="宋体" w:hAnsi="宋体"/>
          <w:color w:val="auto"/>
          <w:szCs w:val="21"/>
        </w:rPr>
        <w:t>。</w:t>
      </w:r>
    </w:p>
    <w:p w14:paraId="7F78410F">
      <w:pPr>
        <w:spacing w:line="360" w:lineRule="auto"/>
        <w:ind w:firstLine="399" w:firstLineChars="190"/>
        <w:rPr>
          <w:rFonts w:ascii="宋体" w:hAnsi="宋体"/>
          <w:color w:val="auto"/>
          <w:szCs w:val="21"/>
        </w:rPr>
      </w:pPr>
      <w:r>
        <w:rPr>
          <w:rFonts w:ascii="宋体" w:hAnsi="宋体"/>
          <w:color w:val="auto"/>
          <w:szCs w:val="21"/>
        </w:rPr>
        <w:t>工程质量保修书由发包人、承包人在工程竣工验收前共同签署，作为施工合同附件，其有效期限至保修期满。</w:t>
      </w:r>
    </w:p>
    <w:p w14:paraId="409B66C0">
      <w:pPr>
        <w:spacing w:line="360" w:lineRule="auto"/>
        <w:ind w:firstLine="420"/>
        <w:rPr>
          <w:rFonts w:ascii="宋体" w:hAnsi="宋体"/>
          <w:color w:val="auto"/>
          <w:szCs w:val="21"/>
        </w:rPr>
      </w:pPr>
    </w:p>
    <w:p w14:paraId="6C261F61">
      <w:pPr>
        <w:spacing w:line="360" w:lineRule="auto"/>
        <w:ind w:firstLine="420"/>
        <w:rPr>
          <w:rFonts w:ascii="宋体" w:hAnsi="宋体"/>
          <w:color w:val="auto"/>
          <w:szCs w:val="21"/>
        </w:rPr>
      </w:pPr>
    </w:p>
    <w:p w14:paraId="2B3B5046">
      <w:pPr>
        <w:spacing w:line="360" w:lineRule="auto"/>
        <w:rPr>
          <w:rFonts w:hint="default" w:ascii="宋体" w:hAnsi="宋体" w:eastAsia="宋体"/>
          <w:color w:val="auto"/>
          <w:szCs w:val="21"/>
          <w:lang w:val="en-US" w:eastAsia="zh-CN"/>
        </w:rPr>
      </w:pPr>
      <w:r>
        <w:rPr>
          <w:rFonts w:ascii="宋体" w:hAnsi="宋体"/>
          <w:color w:val="auto"/>
          <w:szCs w:val="21"/>
        </w:rPr>
        <w:t>发包人</w:t>
      </w:r>
      <w:r>
        <w:rPr>
          <w:rFonts w:hint="eastAsia" w:ascii="宋体" w:hAnsi="宋体"/>
          <w:color w:val="auto"/>
          <w:szCs w:val="21"/>
        </w:rPr>
        <w:t>（</w:t>
      </w:r>
      <w:r>
        <w:rPr>
          <w:rFonts w:ascii="宋体" w:hAnsi="宋体"/>
          <w:color w:val="auto"/>
          <w:szCs w:val="21"/>
        </w:rPr>
        <w:t>公章</w:t>
      </w:r>
      <w:r>
        <w:rPr>
          <w:rFonts w:hint="eastAsia" w:ascii="宋体" w:hAnsi="宋体"/>
          <w:color w:val="auto"/>
          <w:szCs w:val="21"/>
        </w:rPr>
        <w:t>）</w:t>
      </w:r>
      <w:r>
        <w:rPr>
          <w:rFonts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u w:val="none"/>
        </w:rPr>
        <w:t xml:space="preserve"> </w:t>
      </w:r>
      <w:r>
        <w:rPr>
          <w:rFonts w:hint="eastAsia" w:ascii="宋体" w:hAnsi="宋体"/>
          <w:color w:val="auto"/>
          <w:szCs w:val="21"/>
          <w:u w:val="none"/>
          <w:lang w:val="en-US" w:eastAsia="zh-CN"/>
        </w:rPr>
        <w:t xml:space="preserve">         </w:t>
      </w:r>
      <w:r>
        <w:rPr>
          <w:rFonts w:ascii="宋体" w:hAnsi="宋体"/>
          <w:color w:val="auto"/>
          <w:szCs w:val="21"/>
        </w:rPr>
        <w:t>承包人</w:t>
      </w:r>
      <w:r>
        <w:rPr>
          <w:rFonts w:hint="eastAsia" w:ascii="宋体" w:hAnsi="宋体"/>
          <w:color w:val="auto"/>
          <w:szCs w:val="21"/>
        </w:rPr>
        <w:t>（</w:t>
      </w:r>
      <w:r>
        <w:rPr>
          <w:rFonts w:ascii="宋体" w:hAnsi="宋体"/>
          <w:color w:val="auto"/>
          <w:szCs w:val="21"/>
        </w:rPr>
        <w:t>公章</w:t>
      </w:r>
      <w:r>
        <w:rPr>
          <w:rFonts w:hint="eastAsia" w:ascii="宋体" w:hAnsi="宋体"/>
          <w:color w:val="auto"/>
          <w:szCs w:val="21"/>
        </w:rPr>
        <w:t>）</w:t>
      </w:r>
      <w:r>
        <w:rPr>
          <w:rFonts w:ascii="宋体" w:hAnsi="宋体"/>
          <w:color w:val="auto"/>
          <w:szCs w:val="21"/>
        </w:rPr>
        <w:t>：</w:t>
      </w:r>
      <w:r>
        <w:rPr>
          <w:rFonts w:hint="eastAsia" w:ascii="MingLiU_HKSCS" w:hAnsi="MingLiU_HKSCS" w:cs="MingLiU_HKSCS"/>
          <w:color w:val="auto"/>
          <w:szCs w:val="21"/>
          <w:u w:val="single"/>
          <w:lang w:val="en-US" w:eastAsia="zh-CN"/>
        </w:rPr>
        <w:t xml:space="preserve">                     </w:t>
      </w:r>
    </w:p>
    <w:p w14:paraId="57907E33">
      <w:pPr>
        <w:spacing w:line="360" w:lineRule="auto"/>
        <w:rPr>
          <w:rFonts w:ascii="宋体" w:hAnsi="宋体"/>
          <w:color w:val="auto"/>
          <w:szCs w:val="21"/>
        </w:rPr>
      </w:pPr>
      <w:r>
        <w:rPr>
          <w:rFonts w:ascii="宋体" w:hAnsi="宋体"/>
          <w:color w:val="auto"/>
          <w:szCs w:val="21"/>
        </w:rPr>
        <w:t>地  址：</w:t>
      </w:r>
      <w:r>
        <w:rPr>
          <w:rFonts w:hint="eastAsia" w:ascii="宋体" w:hAnsi="宋体"/>
          <w:color w:val="auto"/>
          <w:szCs w:val="21"/>
          <w:u w:val="single"/>
        </w:rPr>
        <w:t xml:space="preserve">                             </w:t>
      </w:r>
      <w:r>
        <w:rPr>
          <w:rFonts w:hint="eastAsia" w:ascii="宋体" w:hAnsi="宋体"/>
          <w:color w:val="auto"/>
          <w:szCs w:val="21"/>
          <w:u w:val="none"/>
          <w:lang w:val="en-US" w:eastAsia="zh-CN"/>
        </w:rPr>
        <w:t xml:space="preserve">          </w:t>
      </w:r>
      <w:r>
        <w:rPr>
          <w:rFonts w:ascii="宋体" w:hAnsi="宋体"/>
          <w:color w:val="auto"/>
          <w:szCs w:val="21"/>
        </w:rPr>
        <w:t>地  址：</w:t>
      </w:r>
      <w:r>
        <w:rPr>
          <w:rFonts w:hint="eastAsia" w:ascii="MingLiU_HKSCS" w:hAnsi="MingLiU_HKSCS" w:cs="MingLiU_HKSCS"/>
          <w:color w:val="auto"/>
          <w:szCs w:val="21"/>
          <w:u w:val="single"/>
        </w:rPr>
        <w:t>_____________        ________</w:t>
      </w:r>
    </w:p>
    <w:p w14:paraId="36DEE57A">
      <w:pPr>
        <w:spacing w:line="360" w:lineRule="auto"/>
        <w:rPr>
          <w:rFonts w:hint="default" w:ascii="宋体" w:hAnsi="宋体" w:eastAsia="宋体"/>
          <w:color w:val="auto"/>
          <w:szCs w:val="21"/>
          <w:lang w:val="en-US" w:eastAsia="zh-CN"/>
        </w:rPr>
      </w:pPr>
      <w:r>
        <w:rPr>
          <w:rFonts w:ascii="宋体" w:hAnsi="宋体"/>
          <w:color w:val="auto"/>
          <w:szCs w:val="21"/>
        </w:rPr>
        <w:t>法定代表人</w:t>
      </w:r>
      <w:r>
        <w:rPr>
          <w:rFonts w:hint="eastAsia" w:ascii="宋体" w:hAnsi="宋体"/>
          <w:color w:val="auto"/>
          <w:szCs w:val="21"/>
        </w:rPr>
        <w:t>（</w:t>
      </w:r>
      <w:r>
        <w:rPr>
          <w:rFonts w:ascii="宋体" w:hAnsi="宋体"/>
          <w:color w:val="auto"/>
          <w:szCs w:val="21"/>
        </w:rPr>
        <w:t>签字</w:t>
      </w:r>
      <w:r>
        <w:rPr>
          <w:rFonts w:hint="eastAsia" w:ascii="宋体" w:hAnsi="宋体"/>
          <w:color w:val="auto"/>
          <w:szCs w:val="21"/>
        </w:rPr>
        <w:t>）</w:t>
      </w:r>
      <w:r>
        <w:rPr>
          <w:rFonts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u w:val="none"/>
          <w:lang w:val="en-US" w:eastAsia="zh-CN"/>
        </w:rPr>
        <w:t xml:space="preserve">          </w:t>
      </w:r>
      <w:r>
        <w:rPr>
          <w:rFonts w:ascii="宋体" w:hAnsi="宋体"/>
          <w:color w:val="auto"/>
          <w:szCs w:val="21"/>
        </w:rPr>
        <w:t>法定代表人</w:t>
      </w:r>
      <w:r>
        <w:rPr>
          <w:rFonts w:hint="eastAsia" w:ascii="宋体" w:hAnsi="宋体"/>
          <w:color w:val="auto"/>
          <w:szCs w:val="21"/>
        </w:rPr>
        <w:t>（</w:t>
      </w:r>
      <w:r>
        <w:rPr>
          <w:rFonts w:ascii="宋体" w:hAnsi="宋体"/>
          <w:color w:val="auto"/>
          <w:szCs w:val="21"/>
        </w:rPr>
        <w:t>签字</w:t>
      </w:r>
      <w:r>
        <w:rPr>
          <w:rFonts w:hint="eastAsia" w:ascii="宋体" w:hAnsi="宋体"/>
          <w:color w:val="auto"/>
          <w:szCs w:val="21"/>
        </w:rPr>
        <w:t>）</w:t>
      </w:r>
      <w:r>
        <w:rPr>
          <w:rFonts w:ascii="宋体" w:hAnsi="宋体"/>
          <w:color w:val="auto"/>
          <w:szCs w:val="21"/>
        </w:rPr>
        <w:t>：</w:t>
      </w:r>
      <w:r>
        <w:rPr>
          <w:rFonts w:hint="eastAsia" w:ascii="MingLiU_HKSCS" w:hAnsi="MingLiU_HKSCS" w:cs="MingLiU_HKSCS"/>
          <w:color w:val="auto"/>
          <w:szCs w:val="21"/>
          <w:u w:val="single"/>
          <w:lang w:val="en-US" w:eastAsia="zh-CN"/>
        </w:rPr>
        <w:t xml:space="preserve">                 </w:t>
      </w:r>
    </w:p>
    <w:p w14:paraId="2F62FDDC">
      <w:pPr>
        <w:spacing w:line="360" w:lineRule="auto"/>
        <w:rPr>
          <w:rFonts w:hint="default" w:ascii="宋体" w:hAnsi="宋体" w:eastAsia="宋体"/>
          <w:color w:val="auto"/>
          <w:szCs w:val="21"/>
          <w:lang w:val="en-US" w:eastAsia="zh-CN"/>
        </w:rPr>
      </w:pPr>
      <w:r>
        <w:rPr>
          <w:rFonts w:ascii="宋体" w:hAnsi="宋体"/>
          <w:color w:val="auto"/>
          <w:szCs w:val="21"/>
        </w:rPr>
        <w:t>委托代理人</w:t>
      </w:r>
      <w:r>
        <w:rPr>
          <w:rFonts w:hint="eastAsia" w:ascii="宋体" w:hAnsi="宋体"/>
          <w:color w:val="auto"/>
          <w:szCs w:val="21"/>
        </w:rPr>
        <w:t>（</w:t>
      </w:r>
      <w:r>
        <w:rPr>
          <w:rFonts w:ascii="宋体" w:hAnsi="宋体"/>
          <w:color w:val="auto"/>
          <w:szCs w:val="21"/>
        </w:rPr>
        <w:t>签字</w:t>
      </w:r>
      <w:r>
        <w:rPr>
          <w:rFonts w:hint="eastAsia" w:ascii="宋体" w:hAnsi="宋体"/>
          <w:color w:val="auto"/>
          <w:szCs w:val="21"/>
        </w:rPr>
        <w:t>）</w:t>
      </w:r>
      <w:r>
        <w:rPr>
          <w:rFonts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u w:val="none"/>
        </w:rPr>
        <w:t xml:space="preserve"> </w:t>
      </w:r>
      <w:r>
        <w:rPr>
          <w:rFonts w:hint="eastAsia" w:ascii="宋体" w:hAnsi="宋体"/>
          <w:color w:val="auto"/>
          <w:szCs w:val="21"/>
          <w:u w:val="none"/>
          <w:lang w:val="en-US" w:eastAsia="zh-CN"/>
        </w:rPr>
        <w:t xml:space="preserve">          </w:t>
      </w:r>
      <w:r>
        <w:rPr>
          <w:rFonts w:ascii="宋体" w:hAnsi="宋体"/>
          <w:color w:val="auto"/>
          <w:szCs w:val="21"/>
        </w:rPr>
        <w:t>委托代理人</w:t>
      </w:r>
      <w:r>
        <w:rPr>
          <w:rFonts w:hint="eastAsia" w:ascii="宋体" w:hAnsi="宋体"/>
          <w:color w:val="auto"/>
          <w:szCs w:val="21"/>
        </w:rPr>
        <w:t>（</w:t>
      </w:r>
      <w:r>
        <w:rPr>
          <w:rFonts w:ascii="宋体" w:hAnsi="宋体"/>
          <w:color w:val="auto"/>
          <w:szCs w:val="21"/>
        </w:rPr>
        <w:t>签字</w:t>
      </w:r>
      <w:r>
        <w:rPr>
          <w:rFonts w:hint="eastAsia" w:ascii="宋体" w:hAnsi="宋体"/>
          <w:color w:val="auto"/>
          <w:szCs w:val="21"/>
        </w:rPr>
        <w:t>）</w:t>
      </w:r>
      <w:r>
        <w:rPr>
          <w:rFonts w:ascii="宋体" w:hAnsi="宋体"/>
          <w:color w:val="auto"/>
          <w:szCs w:val="21"/>
        </w:rPr>
        <w:t>：</w:t>
      </w:r>
      <w:r>
        <w:rPr>
          <w:rFonts w:hint="eastAsia" w:ascii="MingLiU_HKSCS" w:hAnsi="MingLiU_HKSCS" w:cs="MingLiU_HKSCS"/>
          <w:color w:val="auto"/>
          <w:szCs w:val="21"/>
          <w:u w:val="single"/>
          <w:lang w:val="en-US" w:eastAsia="zh-CN"/>
        </w:rPr>
        <w:t xml:space="preserve">                 </w:t>
      </w:r>
    </w:p>
    <w:p w14:paraId="28589B27">
      <w:pPr>
        <w:spacing w:line="360" w:lineRule="auto"/>
        <w:rPr>
          <w:rFonts w:hint="default" w:ascii="宋体" w:hAnsi="宋体" w:eastAsia="宋体"/>
          <w:color w:val="auto"/>
          <w:szCs w:val="21"/>
          <w:lang w:val="en-US" w:eastAsia="zh-CN"/>
        </w:rPr>
      </w:pPr>
      <w:r>
        <w:rPr>
          <w:rFonts w:ascii="宋体" w:hAnsi="宋体"/>
          <w:color w:val="auto"/>
          <w:szCs w:val="21"/>
        </w:rPr>
        <w:t>电  话：</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none"/>
          <w:lang w:val="en-US" w:eastAsia="zh-CN"/>
        </w:rPr>
        <w:t xml:space="preserve">           </w:t>
      </w:r>
      <w:r>
        <w:rPr>
          <w:rFonts w:ascii="宋体" w:hAnsi="宋体"/>
          <w:color w:val="auto"/>
          <w:szCs w:val="21"/>
        </w:rPr>
        <w:t>电  话：</w:t>
      </w:r>
      <w:r>
        <w:rPr>
          <w:rFonts w:hint="eastAsia" w:ascii="宋体" w:hAnsi="宋体"/>
          <w:color w:val="auto"/>
          <w:szCs w:val="21"/>
          <w:u w:val="single"/>
          <w:lang w:val="en-US" w:eastAsia="zh-CN"/>
        </w:rPr>
        <w:t xml:space="preserve">                            </w:t>
      </w:r>
    </w:p>
    <w:p w14:paraId="7113E193">
      <w:pPr>
        <w:spacing w:line="360" w:lineRule="auto"/>
        <w:rPr>
          <w:rFonts w:hint="default" w:ascii="宋体" w:hAnsi="宋体" w:eastAsia="宋体"/>
          <w:color w:val="auto"/>
          <w:szCs w:val="21"/>
          <w:lang w:val="en-US" w:eastAsia="zh-CN"/>
        </w:rPr>
      </w:pPr>
      <w:r>
        <w:rPr>
          <w:rFonts w:ascii="宋体" w:hAnsi="宋体"/>
          <w:color w:val="auto"/>
          <w:szCs w:val="21"/>
        </w:rPr>
        <w:t>传  真：</w:t>
      </w:r>
      <w:r>
        <w:rPr>
          <w:rFonts w:hint="eastAsia" w:ascii="宋体" w:hAnsi="宋体"/>
          <w:color w:val="auto"/>
          <w:szCs w:val="21"/>
          <w:u w:val="single"/>
        </w:rPr>
        <w:t xml:space="preserve">                            </w:t>
      </w:r>
      <w:r>
        <w:rPr>
          <w:rFonts w:hint="eastAsia" w:ascii="宋体" w:hAnsi="宋体"/>
          <w:color w:val="auto"/>
          <w:szCs w:val="21"/>
          <w:u w:val="none"/>
          <w:lang w:val="en-US" w:eastAsia="zh-CN"/>
        </w:rPr>
        <w:t xml:space="preserve">           </w:t>
      </w:r>
      <w:r>
        <w:rPr>
          <w:rFonts w:ascii="宋体" w:hAnsi="宋体"/>
          <w:color w:val="auto"/>
          <w:szCs w:val="21"/>
        </w:rPr>
        <w:t>传  真：</w:t>
      </w:r>
      <w:r>
        <w:rPr>
          <w:rFonts w:hint="eastAsia" w:ascii="宋体" w:hAnsi="宋体"/>
          <w:color w:val="auto"/>
          <w:szCs w:val="21"/>
          <w:u w:val="single"/>
          <w:lang w:val="en-US" w:eastAsia="zh-CN"/>
        </w:rPr>
        <w:t xml:space="preserve">                            </w:t>
      </w:r>
    </w:p>
    <w:p w14:paraId="1358123A">
      <w:pPr>
        <w:spacing w:line="360" w:lineRule="auto"/>
        <w:rPr>
          <w:rFonts w:hint="default" w:ascii="宋体" w:hAnsi="宋体" w:eastAsia="宋体"/>
          <w:color w:val="auto"/>
          <w:szCs w:val="21"/>
          <w:lang w:val="en-US" w:eastAsia="zh-CN"/>
        </w:rPr>
      </w:pPr>
      <w:r>
        <w:rPr>
          <w:rFonts w:ascii="宋体" w:hAnsi="宋体"/>
          <w:color w:val="auto"/>
          <w:szCs w:val="21"/>
        </w:rPr>
        <w:t>开户银行：</w:t>
      </w:r>
      <w:r>
        <w:rPr>
          <w:rFonts w:hint="eastAsia" w:ascii="宋体" w:hAnsi="宋体"/>
          <w:color w:val="auto"/>
          <w:szCs w:val="21"/>
          <w:u w:val="single"/>
        </w:rPr>
        <w:t xml:space="preserve">                          </w:t>
      </w:r>
      <w:r>
        <w:rPr>
          <w:rFonts w:hint="eastAsia" w:ascii="宋体" w:hAnsi="宋体"/>
          <w:color w:val="auto"/>
          <w:szCs w:val="21"/>
          <w:u w:val="none"/>
          <w:lang w:val="en-US" w:eastAsia="zh-CN"/>
        </w:rPr>
        <w:t xml:space="preserve">           </w:t>
      </w:r>
      <w:r>
        <w:rPr>
          <w:rFonts w:ascii="宋体" w:hAnsi="宋体"/>
          <w:color w:val="auto"/>
          <w:szCs w:val="21"/>
        </w:rPr>
        <w:t>开户银行：</w:t>
      </w:r>
      <w:r>
        <w:rPr>
          <w:rFonts w:hint="eastAsia" w:ascii="宋体" w:hAnsi="宋体"/>
          <w:color w:val="auto"/>
          <w:szCs w:val="21"/>
          <w:u w:val="single"/>
          <w:lang w:val="en-US" w:eastAsia="zh-CN"/>
        </w:rPr>
        <w:t xml:space="preserve">                          </w:t>
      </w:r>
    </w:p>
    <w:p w14:paraId="7BA57783">
      <w:pPr>
        <w:tabs>
          <w:tab w:val="left" w:pos="2880"/>
          <w:tab w:val="left" w:pos="3060"/>
          <w:tab w:val="left" w:pos="4500"/>
        </w:tabs>
        <w:spacing w:line="360" w:lineRule="auto"/>
        <w:rPr>
          <w:rFonts w:hint="default" w:ascii="宋体" w:hAnsi="宋体" w:eastAsia="宋体"/>
          <w:color w:val="auto"/>
          <w:szCs w:val="21"/>
          <w:lang w:val="en-US" w:eastAsia="zh-CN"/>
        </w:rPr>
      </w:pPr>
      <w:r>
        <w:rPr>
          <w:rFonts w:ascii="宋体" w:hAnsi="宋体"/>
          <w:color w:val="auto"/>
          <w:szCs w:val="21"/>
        </w:rPr>
        <w:t>账  号：</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none"/>
          <w:lang w:val="en-US" w:eastAsia="zh-CN"/>
        </w:rPr>
        <w:t xml:space="preserve">           </w:t>
      </w:r>
      <w:r>
        <w:rPr>
          <w:rFonts w:ascii="宋体" w:hAnsi="宋体"/>
          <w:color w:val="auto"/>
          <w:szCs w:val="21"/>
        </w:rPr>
        <w:t>账  号：</w:t>
      </w:r>
      <w:r>
        <w:rPr>
          <w:rFonts w:hint="eastAsia" w:ascii="宋体" w:hAnsi="宋体"/>
          <w:color w:val="auto"/>
          <w:szCs w:val="21"/>
          <w:u w:val="single"/>
          <w:lang w:val="en-US" w:eastAsia="zh-CN"/>
        </w:rPr>
        <w:t xml:space="preserve">                            </w:t>
      </w:r>
    </w:p>
    <w:p w14:paraId="17C12768">
      <w:pPr>
        <w:tabs>
          <w:tab w:val="left" w:pos="7200"/>
          <w:tab w:val="left" w:pos="7380"/>
          <w:tab w:val="left" w:pos="7560"/>
        </w:tabs>
        <w:spacing w:line="360" w:lineRule="auto"/>
        <w:rPr>
          <w:rFonts w:hint="default" w:ascii="宋体" w:hAnsi="宋体" w:eastAsia="宋体"/>
          <w:color w:val="auto"/>
          <w:szCs w:val="21"/>
          <w:lang w:val="en-US" w:eastAsia="zh-CN"/>
        </w:rPr>
      </w:pPr>
      <w:r>
        <w:rPr>
          <w:rFonts w:ascii="宋体" w:hAnsi="宋体"/>
          <w:color w:val="auto"/>
          <w:szCs w:val="21"/>
        </w:rPr>
        <w:t>邮政编码：</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none"/>
          <w:lang w:val="en-US" w:eastAsia="zh-CN"/>
        </w:rPr>
        <w:t xml:space="preserve">           </w:t>
      </w:r>
      <w:r>
        <w:rPr>
          <w:rFonts w:ascii="宋体" w:hAnsi="宋体"/>
          <w:color w:val="auto"/>
          <w:szCs w:val="21"/>
        </w:rPr>
        <w:t>邮政编码：</w:t>
      </w:r>
      <w:r>
        <w:rPr>
          <w:rFonts w:hint="eastAsia" w:ascii="宋体" w:hAnsi="宋体"/>
          <w:color w:val="auto"/>
          <w:szCs w:val="21"/>
          <w:u w:val="single"/>
          <w:lang w:val="en-US" w:eastAsia="zh-CN"/>
        </w:rPr>
        <w:t xml:space="preserve">                          </w:t>
      </w:r>
    </w:p>
    <w:p w14:paraId="09919C42">
      <w:pPr>
        <w:spacing w:beforeLines="50" w:afterLines="50" w:line="440" w:lineRule="exact"/>
        <w:jc w:val="center"/>
        <w:rPr>
          <w:rFonts w:ascii="黑体" w:hAnsi="宋体" w:eastAsia="黑体"/>
          <w:color w:val="auto"/>
          <w:sz w:val="32"/>
          <w:szCs w:val="32"/>
        </w:rPr>
      </w:pPr>
    </w:p>
    <w:p w14:paraId="6A33E6AC">
      <w:pPr>
        <w:spacing w:beforeLines="50" w:afterLines="50" w:line="440" w:lineRule="exact"/>
        <w:jc w:val="center"/>
        <w:rPr>
          <w:rFonts w:ascii="黑体" w:hAnsi="宋体" w:eastAsia="黑体"/>
          <w:color w:val="auto"/>
          <w:sz w:val="32"/>
          <w:szCs w:val="32"/>
        </w:rPr>
      </w:pPr>
    </w:p>
    <w:p w14:paraId="47B5993D">
      <w:pPr>
        <w:spacing w:beforeLines="50" w:afterLines="50" w:line="440" w:lineRule="exact"/>
        <w:jc w:val="center"/>
        <w:rPr>
          <w:rFonts w:ascii="黑体" w:hAnsi="宋体" w:eastAsia="黑体"/>
          <w:color w:val="auto"/>
          <w:sz w:val="32"/>
          <w:szCs w:val="32"/>
        </w:rPr>
      </w:pPr>
    </w:p>
    <w:p w14:paraId="5C89BC9F">
      <w:pPr>
        <w:spacing w:line="440" w:lineRule="exact"/>
        <w:outlineLvl w:val="0"/>
        <w:rPr>
          <w:rFonts w:eastAsia="黑体"/>
          <w:color w:val="auto"/>
          <w:sz w:val="30"/>
          <w:szCs w:val="30"/>
        </w:rPr>
      </w:pPr>
      <w:r>
        <w:rPr>
          <w:rFonts w:eastAsia="仿宋_GB2312" w:cs="仿宋_GB2312"/>
          <w:color w:val="auto"/>
          <w:sz w:val="30"/>
          <w:szCs w:val="30"/>
        </w:rPr>
        <w:br w:type="page"/>
      </w:r>
      <w:bookmarkStart w:id="1585" w:name="_Toc21118"/>
      <w:bookmarkStart w:id="1586" w:name="_Toc32697"/>
      <w:r>
        <w:rPr>
          <w:rFonts w:eastAsia="仿宋_GB2312"/>
          <w:color w:val="auto"/>
          <w:sz w:val="30"/>
          <w:szCs w:val="30"/>
        </w:rPr>
        <w:t>附件</w:t>
      </w:r>
      <w:r>
        <w:rPr>
          <w:rFonts w:hint="eastAsia" w:eastAsia="仿宋_GB2312"/>
          <w:color w:val="auto"/>
          <w:sz w:val="30"/>
          <w:szCs w:val="30"/>
        </w:rPr>
        <w:t>3</w:t>
      </w:r>
      <w:r>
        <w:rPr>
          <w:rFonts w:eastAsia="仿宋_GB2312"/>
          <w:color w:val="auto"/>
          <w:sz w:val="30"/>
          <w:szCs w:val="30"/>
        </w:rPr>
        <w:t>：</w:t>
      </w:r>
      <w:bookmarkEnd w:id="1585"/>
      <w:bookmarkEnd w:id="1586"/>
    </w:p>
    <w:p w14:paraId="0B5941EA">
      <w:pPr>
        <w:spacing w:beforeLines="50" w:afterLines="50" w:line="440" w:lineRule="exact"/>
        <w:jc w:val="center"/>
        <w:rPr>
          <w:rFonts w:eastAsia="黑体"/>
          <w:color w:val="auto"/>
          <w:sz w:val="30"/>
          <w:szCs w:val="30"/>
        </w:rPr>
      </w:pPr>
      <w:r>
        <w:rPr>
          <w:rFonts w:eastAsia="黑体"/>
          <w:color w:val="auto"/>
          <w:sz w:val="30"/>
          <w:szCs w:val="30"/>
        </w:rPr>
        <w:t>主要建设工程文件目录</w:t>
      </w:r>
    </w:p>
    <w:tbl>
      <w:tblPr>
        <w:tblStyle w:val="4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403456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vAlign w:val="center"/>
          </w:tcPr>
          <w:p w14:paraId="11F285FD">
            <w:pPr>
              <w:keepNext/>
              <w:adjustRightInd w:val="0"/>
              <w:spacing w:line="440" w:lineRule="exact"/>
              <w:ind w:left="63" w:leftChars="30" w:right="63" w:rightChars="30"/>
              <w:jc w:val="center"/>
              <w:textAlignment w:val="baseline"/>
              <w:rPr>
                <w:rFonts w:eastAsia="仿宋_GB2312"/>
                <w:color w:val="auto"/>
                <w:sz w:val="28"/>
                <w:szCs w:val="30"/>
              </w:rPr>
            </w:pPr>
            <w:r>
              <w:rPr>
                <w:rFonts w:eastAsia="仿宋_GB2312"/>
                <w:color w:val="auto"/>
                <w:sz w:val="28"/>
                <w:szCs w:val="30"/>
              </w:rPr>
              <w:t>文件名称</w:t>
            </w:r>
          </w:p>
        </w:tc>
        <w:tc>
          <w:tcPr>
            <w:tcW w:w="1276" w:type="dxa"/>
            <w:tcBorders>
              <w:top w:val="single" w:color="auto" w:sz="12" w:space="0"/>
              <w:bottom w:val="double" w:color="auto" w:sz="6" w:space="0"/>
            </w:tcBorders>
            <w:vAlign w:val="center"/>
          </w:tcPr>
          <w:p w14:paraId="47ED65C5">
            <w:pPr>
              <w:keepNext/>
              <w:adjustRightInd w:val="0"/>
              <w:spacing w:line="440" w:lineRule="exact"/>
              <w:ind w:left="63" w:leftChars="30" w:right="63" w:rightChars="30"/>
              <w:jc w:val="center"/>
              <w:textAlignment w:val="baseline"/>
              <w:rPr>
                <w:rFonts w:eastAsia="仿宋_GB2312"/>
                <w:color w:val="auto"/>
                <w:sz w:val="28"/>
                <w:szCs w:val="30"/>
              </w:rPr>
            </w:pPr>
            <w:r>
              <w:rPr>
                <w:rFonts w:eastAsia="仿宋_GB2312"/>
                <w:color w:val="auto"/>
                <w:sz w:val="28"/>
                <w:szCs w:val="30"/>
              </w:rPr>
              <w:t>套数</w:t>
            </w:r>
          </w:p>
        </w:tc>
        <w:tc>
          <w:tcPr>
            <w:tcW w:w="1450" w:type="dxa"/>
            <w:tcBorders>
              <w:top w:val="single" w:color="auto" w:sz="12" w:space="0"/>
              <w:bottom w:val="double" w:color="auto" w:sz="6" w:space="0"/>
            </w:tcBorders>
            <w:vAlign w:val="center"/>
          </w:tcPr>
          <w:p w14:paraId="1C8DC91B">
            <w:pPr>
              <w:keepNext/>
              <w:adjustRightInd w:val="0"/>
              <w:spacing w:line="440" w:lineRule="exact"/>
              <w:ind w:left="63" w:leftChars="30" w:right="63" w:rightChars="30"/>
              <w:jc w:val="center"/>
              <w:textAlignment w:val="baseline"/>
              <w:rPr>
                <w:rFonts w:eastAsia="仿宋_GB2312"/>
                <w:color w:val="auto"/>
                <w:sz w:val="28"/>
                <w:szCs w:val="30"/>
              </w:rPr>
            </w:pPr>
            <w:r>
              <w:rPr>
                <w:rFonts w:eastAsia="仿宋_GB2312"/>
                <w:color w:val="auto"/>
                <w:sz w:val="28"/>
                <w:szCs w:val="30"/>
              </w:rPr>
              <w:t>费用</w:t>
            </w:r>
            <w:r>
              <w:rPr>
                <w:rFonts w:hint="eastAsia" w:eastAsia="仿宋_GB2312"/>
                <w:color w:val="auto"/>
                <w:sz w:val="28"/>
                <w:szCs w:val="30"/>
              </w:rPr>
              <w:t>（元）</w:t>
            </w:r>
          </w:p>
        </w:tc>
        <w:tc>
          <w:tcPr>
            <w:tcW w:w="1243" w:type="dxa"/>
            <w:tcBorders>
              <w:top w:val="single" w:color="auto" w:sz="12" w:space="0"/>
              <w:bottom w:val="double" w:color="auto" w:sz="6" w:space="0"/>
            </w:tcBorders>
            <w:vAlign w:val="center"/>
          </w:tcPr>
          <w:p w14:paraId="079FAFFF">
            <w:pPr>
              <w:keepNext/>
              <w:adjustRightInd w:val="0"/>
              <w:spacing w:line="440" w:lineRule="exact"/>
              <w:ind w:left="63" w:leftChars="30" w:right="63" w:rightChars="30"/>
              <w:jc w:val="center"/>
              <w:textAlignment w:val="baseline"/>
              <w:rPr>
                <w:rFonts w:eastAsia="仿宋_GB2312"/>
                <w:color w:val="auto"/>
                <w:sz w:val="28"/>
                <w:szCs w:val="30"/>
              </w:rPr>
            </w:pPr>
            <w:r>
              <w:rPr>
                <w:rFonts w:eastAsia="仿宋_GB2312"/>
                <w:color w:val="auto"/>
                <w:sz w:val="28"/>
                <w:szCs w:val="30"/>
              </w:rPr>
              <w:t>质量</w:t>
            </w:r>
          </w:p>
        </w:tc>
        <w:tc>
          <w:tcPr>
            <w:tcW w:w="1450" w:type="dxa"/>
            <w:tcBorders>
              <w:top w:val="single" w:color="auto" w:sz="12" w:space="0"/>
              <w:bottom w:val="double" w:color="auto" w:sz="6" w:space="0"/>
            </w:tcBorders>
          </w:tcPr>
          <w:p w14:paraId="68A91907">
            <w:pPr>
              <w:spacing w:line="440" w:lineRule="exact"/>
              <w:jc w:val="center"/>
              <w:rPr>
                <w:rFonts w:eastAsia="仿宋_GB2312"/>
                <w:color w:val="auto"/>
                <w:sz w:val="28"/>
                <w:szCs w:val="30"/>
              </w:rPr>
            </w:pPr>
            <w:r>
              <w:rPr>
                <w:rFonts w:eastAsia="仿宋_GB2312"/>
                <w:color w:val="auto"/>
                <w:sz w:val="28"/>
                <w:szCs w:val="30"/>
              </w:rPr>
              <w:t>移交时间</w:t>
            </w:r>
          </w:p>
        </w:tc>
        <w:tc>
          <w:tcPr>
            <w:tcW w:w="1667" w:type="dxa"/>
            <w:tcBorders>
              <w:top w:val="single" w:color="auto" w:sz="12" w:space="0"/>
              <w:bottom w:val="double" w:color="auto" w:sz="6" w:space="0"/>
            </w:tcBorders>
          </w:tcPr>
          <w:p w14:paraId="6BA432CC">
            <w:pPr>
              <w:spacing w:line="440" w:lineRule="exact"/>
              <w:jc w:val="center"/>
              <w:rPr>
                <w:rFonts w:eastAsia="仿宋_GB2312"/>
                <w:color w:val="auto"/>
                <w:sz w:val="28"/>
                <w:szCs w:val="30"/>
              </w:rPr>
            </w:pPr>
            <w:r>
              <w:rPr>
                <w:rFonts w:eastAsia="仿宋_GB2312"/>
                <w:color w:val="auto"/>
                <w:sz w:val="28"/>
                <w:szCs w:val="30"/>
              </w:rPr>
              <w:t>责任人</w:t>
            </w:r>
          </w:p>
        </w:tc>
      </w:tr>
      <w:tr w14:paraId="1B0676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75675EEB">
            <w:pPr>
              <w:keepNext/>
              <w:adjustRightInd w:val="0"/>
              <w:spacing w:line="440" w:lineRule="exact"/>
              <w:ind w:left="63" w:leftChars="30" w:right="63" w:rightChars="30"/>
              <w:jc w:val="center"/>
              <w:textAlignment w:val="baseline"/>
              <w:rPr>
                <w:rFonts w:eastAsia="仿宋_GB2312"/>
                <w:color w:val="auto"/>
                <w:sz w:val="30"/>
                <w:szCs w:val="30"/>
              </w:rPr>
            </w:pPr>
          </w:p>
        </w:tc>
        <w:tc>
          <w:tcPr>
            <w:tcW w:w="1276" w:type="dxa"/>
            <w:tcBorders>
              <w:top w:val="double" w:color="auto" w:sz="6" w:space="0"/>
              <w:bottom w:val="single" w:color="auto" w:sz="6" w:space="0"/>
            </w:tcBorders>
            <w:vAlign w:val="center"/>
          </w:tcPr>
          <w:p w14:paraId="59C33A31">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tcBorders>
              <w:top w:val="double" w:color="auto" w:sz="6" w:space="0"/>
              <w:bottom w:val="single" w:color="auto" w:sz="6" w:space="0"/>
            </w:tcBorders>
            <w:vAlign w:val="center"/>
          </w:tcPr>
          <w:p w14:paraId="2CDD2F5F">
            <w:pPr>
              <w:keepNext/>
              <w:adjustRightInd w:val="0"/>
              <w:spacing w:line="440" w:lineRule="exact"/>
              <w:ind w:left="63" w:leftChars="30" w:right="63" w:rightChars="30"/>
              <w:jc w:val="center"/>
              <w:textAlignment w:val="baseline"/>
              <w:rPr>
                <w:rFonts w:eastAsia="仿宋_GB2312"/>
                <w:color w:val="auto"/>
                <w:sz w:val="30"/>
                <w:szCs w:val="30"/>
              </w:rPr>
            </w:pPr>
          </w:p>
        </w:tc>
        <w:tc>
          <w:tcPr>
            <w:tcW w:w="1243" w:type="dxa"/>
            <w:tcBorders>
              <w:top w:val="double" w:color="auto" w:sz="6" w:space="0"/>
              <w:bottom w:val="single" w:color="auto" w:sz="6" w:space="0"/>
            </w:tcBorders>
            <w:vAlign w:val="center"/>
          </w:tcPr>
          <w:p w14:paraId="4027CB40">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tcBorders>
              <w:top w:val="double" w:color="auto" w:sz="6" w:space="0"/>
              <w:bottom w:val="single" w:color="auto" w:sz="6" w:space="0"/>
            </w:tcBorders>
            <w:vAlign w:val="center"/>
          </w:tcPr>
          <w:p w14:paraId="40BF8F83">
            <w:pPr>
              <w:keepNext/>
              <w:adjustRightInd w:val="0"/>
              <w:spacing w:line="440" w:lineRule="exact"/>
              <w:ind w:left="63" w:leftChars="30" w:right="63" w:rightChars="30"/>
              <w:jc w:val="center"/>
              <w:textAlignment w:val="baseline"/>
              <w:rPr>
                <w:rFonts w:eastAsia="仿宋_GB2312"/>
                <w:color w:val="auto"/>
                <w:sz w:val="30"/>
                <w:szCs w:val="30"/>
              </w:rPr>
            </w:pPr>
          </w:p>
        </w:tc>
        <w:tc>
          <w:tcPr>
            <w:tcW w:w="1667" w:type="dxa"/>
            <w:tcBorders>
              <w:top w:val="double" w:color="auto" w:sz="6" w:space="0"/>
              <w:bottom w:val="single" w:color="auto" w:sz="6" w:space="0"/>
            </w:tcBorders>
            <w:vAlign w:val="center"/>
          </w:tcPr>
          <w:p w14:paraId="5ADBB834">
            <w:pPr>
              <w:keepNext/>
              <w:adjustRightInd w:val="0"/>
              <w:spacing w:line="440" w:lineRule="exact"/>
              <w:ind w:left="63" w:leftChars="30" w:right="63" w:rightChars="30"/>
              <w:jc w:val="center"/>
              <w:textAlignment w:val="baseline"/>
              <w:rPr>
                <w:rFonts w:eastAsia="仿宋_GB2312"/>
                <w:color w:val="auto"/>
                <w:sz w:val="30"/>
                <w:szCs w:val="30"/>
              </w:rPr>
            </w:pPr>
          </w:p>
        </w:tc>
      </w:tr>
      <w:tr w14:paraId="34F272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4D9F5378">
            <w:pPr>
              <w:keepNext/>
              <w:adjustRightInd w:val="0"/>
              <w:spacing w:line="440" w:lineRule="exact"/>
              <w:ind w:left="63" w:leftChars="30" w:right="63" w:rightChars="30"/>
              <w:jc w:val="center"/>
              <w:textAlignment w:val="baseline"/>
              <w:rPr>
                <w:rFonts w:eastAsia="仿宋_GB2312"/>
                <w:color w:val="auto"/>
                <w:sz w:val="30"/>
                <w:szCs w:val="30"/>
              </w:rPr>
            </w:pPr>
          </w:p>
        </w:tc>
        <w:tc>
          <w:tcPr>
            <w:tcW w:w="1276" w:type="dxa"/>
            <w:tcBorders>
              <w:top w:val="nil"/>
            </w:tcBorders>
            <w:vAlign w:val="center"/>
          </w:tcPr>
          <w:p w14:paraId="240880E3">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tcBorders>
              <w:top w:val="nil"/>
            </w:tcBorders>
            <w:vAlign w:val="center"/>
          </w:tcPr>
          <w:p w14:paraId="44560C9C">
            <w:pPr>
              <w:keepNext/>
              <w:adjustRightInd w:val="0"/>
              <w:spacing w:line="440" w:lineRule="exact"/>
              <w:ind w:left="63" w:leftChars="30" w:right="63" w:rightChars="30"/>
              <w:jc w:val="center"/>
              <w:textAlignment w:val="baseline"/>
              <w:rPr>
                <w:rFonts w:eastAsia="仿宋_GB2312"/>
                <w:color w:val="auto"/>
                <w:sz w:val="30"/>
                <w:szCs w:val="30"/>
              </w:rPr>
            </w:pPr>
          </w:p>
        </w:tc>
        <w:tc>
          <w:tcPr>
            <w:tcW w:w="1243" w:type="dxa"/>
            <w:tcBorders>
              <w:top w:val="nil"/>
            </w:tcBorders>
            <w:vAlign w:val="center"/>
          </w:tcPr>
          <w:p w14:paraId="175BE5F8">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tcBorders>
              <w:top w:val="nil"/>
            </w:tcBorders>
            <w:vAlign w:val="center"/>
          </w:tcPr>
          <w:p w14:paraId="1FF6B9F0">
            <w:pPr>
              <w:keepNext/>
              <w:adjustRightInd w:val="0"/>
              <w:spacing w:line="440" w:lineRule="exact"/>
              <w:ind w:left="63" w:leftChars="30" w:right="63" w:rightChars="30"/>
              <w:jc w:val="center"/>
              <w:textAlignment w:val="baseline"/>
              <w:rPr>
                <w:rFonts w:eastAsia="仿宋_GB2312"/>
                <w:color w:val="auto"/>
                <w:sz w:val="30"/>
                <w:szCs w:val="30"/>
              </w:rPr>
            </w:pPr>
          </w:p>
        </w:tc>
        <w:tc>
          <w:tcPr>
            <w:tcW w:w="1667" w:type="dxa"/>
            <w:tcBorders>
              <w:top w:val="nil"/>
            </w:tcBorders>
            <w:vAlign w:val="center"/>
          </w:tcPr>
          <w:p w14:paraId="2FCE7F47">
            <w:pPr>
              <w:keepNext/>
              <w:adjustRightInd w:val="0"/>
              <w:spacing w:line="440" w:lineRule="exact"/>
              <w:ind w:left="63" w:leftChars="30" w:right="63" w:rightChars="30"/>
              <w:jc w:val="center"/>
              <w:textAlignment w:val="baseline"/>
              <w:rPr>
                <w:rFonts w:eastAsia="仿宋_GB2312"/>
                <w:color w:val="auto"/>
                <w:sz w:val="30"/>
                <w:szCs w:val="30"/>
              </w:rPr>
            </w:pPr>
          </w:p>
        </w:tc>
      </w:tr>
      <w:tr w14:paraId="73C1BE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3C6906F">
            <w:pPr>
              <w:keepNext/>
              <w:adjustRightInd w:val="0"/>
              <w:spacing w:line="440" w:lineRule="exact"/>
              <w:ind w:left="63" w:leftChars="30" w:right="63" w:rightChars="30"/>
              <w:jc w:val="center"/>
              <w:textAlignment w:val="baseline"/>
              <w:rPr>
                <w:rFonts w:eastAsia="仿宋_GB2312"/>
                <w:color w:val="auto"/>
                <w:sz w:val="30"/>
                <w:szCs w:val="30"/>
              </w:rPr>
            </w:pPr>
          </w:p>
        </w:tc>
        <w:tc>
          <w:tcPr>
            <w:tcW w:w="1276" w:type="dxa"/>
            <w:vAlign w:val="center"/>
          </w:tcPr>
          <w:p w14:paraId="193A85B2">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103688A2">
            <w:pPr>
              <w:keepNext/>
              <w:adjustRightInd w:val="0"/>
              <w:spacing w:line="440" w:lineRule="exact"/>
              <w:ind w:left="63" w:leftChars="30" w:right="63" w:rightChars="30"/>
              <w:jc w:val="center"/>
              <w:textAlignment w:val="baseline"/>
              <w:rPr>
                <w:rFonts w:eastAsia="仿宋_GB2312"/>
                <w:color w:val="auto"/>
                <w:sz w:val="30"/>
                <w:szCs w:val="30"/>
              </w:rPr>
            </w:pPr>
          </w:p>
        </w:tc>
        <w:tc>
          <w:tcPr>
            <w:tcW w:w="1243" w:type="dxa"/>
            <w:vAlign w:val="center"/>
          </w:tcPr>
          <w:p w14:paraId="4D09A19F">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707453EB">
            <w:pPr>
              <w:keepNext/>
              <w:adjustRightInd w:val="0"/>
              <w:spacing w:line="440" w:lineRule="exact"/>
              <w:ind w:left="63" w:leftChars="30" w:right="63" w:rightChars="30"/>
              <w:jc w:val="center"/>
              <w:textAlignment w:val="baseline"/>
              <w:rPr>
                <w:rFonts w:eastAsia="仿宋_GB2312"/>
                <w:color w:val="auto"/>
                <w:sz w:val="30"/>
                <w:szCs w:val="30"/>
              </w:rPr>
            </w:pPr>
          </w:p>
        </w:tc>
        <w:tc>
          <w:tcPr>
            <w:tcW w:w="1667" w:type="dxa"/>
            <w:vAlign w:val="center"/>
          </w:tcPr>
          <w:p w14:paraId="25F4B542">
            <w:pPr>
              <w:keepNext/>
              <w:adjustRightInd w:val="0"/>
              <w:spacing w:line="440" w:lineRule="exact"/>
              <w:ind w:left="63" w:leftChars="30" w:right="63" w:rightChars="30"/>
              <w:jc w:val="center"/>
              <w:textAlignment w:val="baseline"/>
              <w:rPr>
                <w:rFonts w:eastAsia="仿宋_GB2312"/>
                <w:color w:val="auto"/>
                <w:sz w:val="30"/>
                <w:szCs w:val="30"/>
              </w:rPr>
            </w:pPr>
          </w:p>
        </w:tc>
      </w:tr>
      <w:tr w14:paraId="6E5CA6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378E11C">
            <w:pPr>
              <w:keepNext/>
              <w:adjustRightInd w:val="0"/>
              <w:spacing w:line="440" w:lineRule="exact"/>
              <w:ind w:left="63" w:leftChars="30" w:right="63" w:rightChars="30"/>
              <w:jc w:val="center"/>
              <w:textAlignment w:val="baseline"/>
              <w:rPr>
                <w:rFonts w:eastAsia="仿宋_GB2312"/>
                <w:color w:val="auto"/>
                <w:sz w:val="30"/>
                <w:szCs w:val="30"/>
              </w:rPr>
            </w:pPr>
          </w:p>
        </w:tc>
        <w:tc>
          <w:tcPr>
            <w:tcW w:w="1276" w:type="dxa"/>
            <w:vAlign w:val="center"/>
          </w:tcPr>
          <w:p w14:paraId="52BDAE0B">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74F207F1">
            <w:pPr>
              <w:keepNext/>
              <w:adjustRightInd w:val="0"/>
              <w:spacing w:line="440" w:lineRule="exact"/>
              <w:ind w:left="63" w:leftChars="30" w:right="63" w:rightChars="30"/>
              <w:jc w:val="center"/>
              <w:textAlignment w:val="baseline"/>
              <w:rPr>
                <w:rFonts w:eastAsia="仿宋_GB2312"/>
                <w:color w:val="auto"/>
                <w:sz w:val="30"/>
                <w:szCs w:val="30"/>
              </w:rPr>
            </w:pPr>
          </w:p>
        </w:tc>
        <w:tc>
          <w:tcPr>
            <w:tcW w:w="1243" w:type="dxa"/>
            <w:vAlign w:val="center"/>
          </w:tcPr>
          <w:p w14:paraId="124E4EA9">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765A1BE9">
            <w:pPr>
              <w:keepNext/>
              <w:adjustRightInd w:val="0"/>
              <w:spacing w:line="440" w:lineRule="exact"/>
              <w:ind w:left="63" w:leftChars="30" w:right="63" w:rightChars="30"/>
              <w:jc w:val="center"/>
              <w:textAlignment w:val="baseline"/>
              <w:rPr>
                <w:rFonts w:eastAsia="仿宋_GB2312"/>
                <w:color w:val="auto"/>
                <w:sz w:val="30"/>
                <w:szCs w:val="30"/>
              </w:rPr>
            </w:pPr>
          </w:p>
        </w:tc>
        <w:tc>
          <w:tcPr>
            <w:tcW w:w="1667" w:type="dxa"/>
            <w:vAlign w:val="center"/>
          </w:tcPr>
          <w:p w14:paraId="7D79129F">
            <w:pPr>
              <w:keepNext/>
              <w:adjustRightInd w:val="0"/>
              <w:spacing w:line="440" w:lineRule="exact"/>
              <w:ind w:left="63" w:leftChars="30" w:right="63" w:rightChars="30"/>
              <w:jc w:val="center"/>
              <w:textAlignment w:val="baseline"/>
              <w:rPr>
                <w:rFonts w:eastAsia="仿宋_GB2312"/>
                <w:color w:val="auto"/>
                <w:sz w:val="30"/>
                <w:szCs w:val="30"/>
              </w:rPr>
            </w:pPr>
          </w:p>
        </w:tc>
      </w:tr>
      <w:tr w14:paraId="176174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45832CD7">
            <w:pPr>
              <w:keepNext/>
              <w:adjustRightInd w:val="0"/>
              <w:spacing w:line="440" w:lineRule="exact"/>
              <w:ind w:left="63" w:leftChars="30" w:right="63" w:rightChars="30"/>
              <w:jc w:val="center"/>
              <w:textAlignment w:val="baseline"/>
              <w:rPr>
                <w:rFonts w:eastAsia="仿宋_GB2312"/>
                <w:color w:val="auto"/>
                <w:sz w:val="30"/>
                <w:szCs w:val="30"/>
              </w:rPr>
            </w:pPr>
          </w:p>
        </w:tc>
        <w:tc>
          <w:tcPr>
            <w:tcW w:w="1276" w:type="dxa"/>
            <w:vAlign w:val="center"/>
          </w:tcPr>
          <w:p w14:paraId="23721EA0">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72CB32F5">
            <w:pPr>
              <w:keepNext/>
              <w:adjustRightInd w:val="0"/>
              <w:spacing w:line="440" w:lineRule="exact"/>
              <w:ind w:left="63" w:leftChars="30" w:right="63" w:rightChars="30"/>
              <w:jc w:val="center"/>
              <w:textAlignment w:val="baseline"/>
              <w:rPr>
                <w:rFonts w:eastAsia="仿宋_GB2312"/>
                <w:color w:val="auto"/>
                <w:sz w:val="30"/>
                <w:szCs w:val="30"/>
              </w:rPr>
            </w:pPr>
          </w:p>
        </w:tc>
        <w:tc>
          <w:tcPr>
            <w:tcW w:w="1243" w:type="dxa"/>
            <w:vAlign w:val="center"/>
          </w:tcPr>
          <w:p w14:paraId="186B76CF">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230662E6">
            <w:pPr>
              <w:keepNext/>
              <w:adjustRightInd w:val="0"/>
              <w:spacing w:line="440" w:lineRule="exact"/>
              <w:ind w:left="63" w:leftChars="30" w:right="63" w:rightChars="30"/>
              <w:jc w:val="center"/>
              <w:textAlignment w:val="baseline"/>
              <w:rPr>
                <w:rFonts w:eastAsia="仿宋_GB2312"/>
                <w:color w:val="auto"/>
                <w:sz w:val="30"/>
                <w:szCs w:val="30"/>
              </w:rPr>
            </w:pPr>
          </w:p>
        </w:tc>
        <w:tc>
          <w:tcPr>
            <w:tcW w:w="1667" w:type="dxa"/>
            <w:vAlign w:val="center"/>
          </w:tcPr>
          <w:p w14:paraId="4B74C409">
            <w:pPr>
              <w:keepNext/>
              <w:adjustRightInd w:val="0"/>
              <w:spacing w:line="440" w:lineRule="exact"/>
              <w:ind w:left="63" w:leftChars="30" w:right="63" w:rightChars="30"/>
              <w:jc w:val="center"/>
              <w:textAlignment w:val="baseline"/>
              <w:rPr>
                <w:rFonts w:eastAsia="仿宋_GB2312"/>
                <w:color w:val="auto"/>
                <w:sz w:val="30"/>
                <w:szCs w:val="30"/>
              </w:rPr>
            </w:pPr>
          </w:p>
        </w:tc>
      </w:tr>
      <w:tr w14:paraId="71C6EC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B6FBDBE">
            <w:pPr>
              <w:keepNext/>
              <w:adjustRightInd w:val="0"/>
              <w:spacing w:line="440" w:lineRule="exact"/>
              <w:ind w:left="63" w:leftChars="30" w:right="63" w:rightChars="30"/>
              <w:jc w:val="center"/>
              <w:textAlignment w:val="baseline"/>
              <w:rPr>
                <w:rFonts w:eastAsia="仿宋_GB2312"/>
                <w:color w:val="auto"/>
                <w:sz w:val="30"/>
                <w:szCs w:val="30"/>
              </w:rPr>
            </w:pPr>
          </w:p>
        </w:tc>
        <w:tc>
          <w:tcPr>
            <w:tcW w:w="1276" w:type="dxa"/>
            <w:vAlign w:val="center"/>
          </w:tcPr>
          <w:p w14:paraId="51803841">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6FFA6F78">
            <w:pPr>
              <w:keepNext/>
              <w:adjustRightInd w:val="0"/>
              <w:spacing w:line="440" w:lineRule="exact"/>
              <w:ind w:left="63" w:leftChars="30" w:right="63" w:rightChars="30"/>
              <w:jc w:val="center"/>
              <w:textAlignment w:val="baseline"/>
              <w:rPr>
                <w:rFonts w:eastAsia="仿宋_GB2312"/>
                <w:color w:val="auto"/>
                <w:sz w:val="30"/>
                <w:szCs w:val="30"/>
              </w:rPr>
            </w:pPr>
          </w:p>
        </w:tc>
        <w:tc>
          <w:tcPr>
            <w:tcW w:w="1243" w:type="dxa"/>
            <w:vAlign w:val="center"/>
          </w:tcPr>
          <w:p w14:paraId="34548E06">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4047621C">
            <w:pPr>
              <w:keepNext/>
              <w:adjustRightInd w:val="0"/>
              <w:spacing w:line="440" w:lineRule="exact"/>
              <w:ind w:left="63" w:leftChars="30" w:right="63" w:rightChars="30"/>
              <w:jc w:val="center"/>
              <w:textAlignment w:val="baseline"/>
              <w:rPr>
                <w:rFonts w:eastAsia="仿宋_GB2312"/>
                <w:color w:val="auto"/>
                <w:sz w:val="30"/>
                <w:szCs w:val="30"/>
              </w:rPr>
            </w:pPr>
          </w:p>
        </w:tc>
        <w:tc>
          <w:tcPr>
            <w:tcW w:w="1667" w:type="dxa"/>
            <w:vAlign w:val="center"/>
          </w:tcPr>
          <w:p w14:paraId="42851796">
            <w:pPr>
              <w:keepNext/>
              <w:adjustRightInd w:val="0"/>
              <w:spacing w:line="440" w:lineRule="exact"/>
              <w:ind w:left="63" w:leftChars="30" w:right="63" w:rightChars="30"/>
              <w:jc w:val="center"/>
              <w:textAlignment w:val="baseline"/>
              <w:rPr>
                <w:rFonts w:eastAsia="仿宋_GB2312"/>
                <w:color w:val="auto"/>
                <w:sz w:val="30"/>
                <w:szCs w:val="30"/>
              </w:rPr>
            </w:pPr>
          </w:p>
        </w:tc>
      </w:tr>
      <w:tr w14:paraId="46A6C3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626D807">
            <w:pPr>
              <w:keepNext/>
              <w:adjustRightInd w:val="0"/>
              <w:spacing w:line="440" w:lineRule="exact"/>
              <w:ind w:left="63" w:leftChars="30" w:right="63" w:rightChars="30"/>
              <w:jc w:val="center"/>
              <w:textAlignment w:val="baseline"/>
              <w:rPr>
                <w:rFonts w:eastAsia="仿宋_GB2312"/>
                <w:color w:val="auto"/>
                <w:sz w:val="30"/>
                <w:szCs w:val="30"/>
              </w:rPr>
            </w:pPr>
          </w:p>
        </w:tc>
        <w:tc>
          <w:tcPr>
            <w:tcW w:w="1276" w:type="dxa"/>
            <w:vAlign w:val="center"/>
          </w:tcPr>
          <w:p w14:paraId="6747C005">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6B19211E">
            <w:pPr>
              <w:keepNext/>
              <w:adjustRightInd w:val="0"/>
              <w:spacing w:line="440" w:lineRule="exact"/>
              <w:ind w:left="63" w:leftChars="30" w:right="63" w:rightChars="30"/>
              <w:jc w:val="center"/>
              <w:textAlignment w:val="baseline"/>
              <w:rPr>
                <w:rFonts w:eastAsia="仿宋_GB2312"/>
                <w:color w:val="auto"/>
                <w:sz w:val="30"/>
                <w:szCs w:val="30"/>
              </w:rPr>
            </w:pPr>
          </w:p>
        </w:tc>
        <w:tc>
          <w:tcPr>
            <w:tcW w:w="1243" w:type="dxa"/>
            <w:vAlign w:val="center"/>
          </w:tcPr>
          <w:p w14:paraId="64ECECDE">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05158B17">
            <w:pPr>
              <w:keepNext/>
              <w:adjustRightInd w:val="0"/>
              <w:spacing w:line="440" w:lineRule="exact"/>
              <w:ind w:left="63" w:leftChars="30" w:right="63" w:rightChars="30"/>
              <w:jc w:val="center"/>
              <w:textAlignment w:val="baseline"/>
              <w:rPr>
                <w:rFonts w:eastAsia="仿宋_GB2312"/>
                <w:color w:val="auto"/>
                <w:sz w:val="30"/>
                <w:szCs w:val="30"/>
              </w:rPr>
            </w:pPr>
          </w:p>
        </w:tc>
        <w:tc>
          <w:tcPr>
            <w:tcW w:w="1667" w:type="dxa"/>
            <w:vAlign w:val="center"/>
          </w:tcPr>
          <w:p w14:paraId="349E0116">
            <w:pPr>
              <w:keepNext/>
              <w:adjustRightInd w:val="0"/>
              <w:spacing w:line="440" w:lineRule="exact"/>
              <w:ind w:left="63" w:leftChars="30" w:right="63" w:rightChars="30"/>
              <w:jc w:val="center"/>
              <w:textAlignment w:val="baseline"/>
              <w:rPr>
                <w:rFonts w:eastAsia="仿宋_GB2312"/>
                <w:color w:val="auto"/>
                <w:sz w:val="30"/>
                <w:szCs w:val="30"/>
              </w:rPr>
            </w:pPr>
          </w:p>
        </w:tc>
      </w:tr>
      <w:tr w14:paraId="1522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04E7553">
            <w:pPr>
              <w:keepNext/>
              <w:adjustRightInd w:val="0"/>
              <w:spacing w:line="440" w:lineRule="exact"/>
              <w:ind w:left="63" w:leftChars="30" w:right="63" w:rightChars="30"/>
              <w:jc w:val="center"/>
              <w:textAlignment w:val="baseline"/>
              <w:rPr>
                <w:rFonts w:eastAsia="仿宋_GB2312"/>
                <w:color w:val="auto"/>
                <w:sz w:val="30"/>
                <w:szCs w:val="30"/>
              </w:rPr>
            </w:pPr>
          </w:p>
        </w:tc>
        <w:tc>
          <w:tcPr>
            <w:tcW w:w="1276" w:type="dxa"/>
            <w:vAlign w:val="center"/>
          </w:tcPr>
          <w:p w14:paraId="34E09F63">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399BCE10">
            <w:pPr>
              <w:keepNext/>
              <w:adjustRightInd w:val="0"/>
              <w:spacing w:line="440" w:lineRule="exact"/>
              <w:ind w:left="63" w:leftChars="30" w:right="63" w:rightChars="30"/>
              <w:jc w:val="center"/>
              <w:textAlignment w:val="baseline"/>
              <w:rPr>
                <w:rFonts w:eastAsia="仿宋_GB2312"/>
                <w:color w:val="auto"/>
                <w:sz w:val="30"/>
                <w:szCs w:val="30"/>
              </w:rPr>
            </w:pPr>
          </w:p>
        </w:tc>
        <w:tc>
          <w:tcPr>
            <w:tcW w:w="1243" w:type="dxa"/>
            <w:vAlign w:val="center"/>
          </w:tcPr>
          <w:p w14:paraId="4BBE8E68">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41F4325D">
            <w:pPr>
              <w:keepNext/>
              <w:adjustRightInd w:val="0"/>
              <w:spacing w:line="440" w:lineRule="exact"/>
              <w:ind w:left="63" w:leftChars="30" w:right="63" w:rightChars="30"/>
              <w:jc w:val="center"/>
              <w:textAlignment w:val="baseline"/>
              <w:rPr>
                <w:rFonts w:eastAsia="仿宋_GB2312"/>
                <w:color w:val="auto"/>
                <w:sz w:val="30"/>
                <w:szCs w:val="30"/>
              </w:rPr>
            </w:pPr>
          </w:p>
        </w:tc>
        <w:tc>
          <w:tcPr>
            <w:tcW w:w="1667" w:type="dxa"/>
            <w:vAlign w:val="center"/>
          </w:tcPr>
          <w:p w14:paraId="22042605">
            <w:pPr>
              <w:keepNext/>
              <w:adjustRightInd w:val="0"/>
              <w:spacing w:line="440" w:lineRule="exact"/>
              <w:ind w:left="63" w:leftChars="30" w:right="63" w:rightChars="30"/>
              <w:jc w:val="center"/>
              <w:textAlignment w:val="baseline"/>
              <w:rPr>
                <w:rFonts w:eastAsia="仿宋_GB2312"/>
                <w:color w:val="auto"/>
                <w:sz w:val="30"/>
                <w:szCs w:val="30"/>
              </w:rPr>
            </w:pPr>
          </w:p>
        </w:tc>
      </w:tr>
      <w:tr w14:paraId="4F2FF7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83409DB">
            <w:pPr>
              <w:rPr>
                <w:rFonts w:eastAsia="仿宋_GB2312"/>
                <w:color w:val="auto"/>
                <w:sz w:val="30"/>
                <w:szCs w:val="30"/>
              </w:rPr>
            </w:pPr>
          </w:p>
        </w:tc>
        <w:tc>
          <w:tcPr>
            <w:tcW w:w="1276" w:type="dxa"/>
          </w:tcPr>
          <w:p w14:paraId="78F1B776">
            <w:pPr>
              <w:rPr>
                <w:rFonts w:eastAsia="仿宋_GB2312"/>
                <w:color w:val="auto"/>
                <w:sz w:val="30"/>
                <w:szCs w:val="30"/>
              </w:rPr>
            </w:pPr>
          </w:p>
        </w:tc>
        <w:tc>
          <w:tcPr>
            <w:tcW w:w="1450" w:type="dxa"/>
          </w:tcPr>
          <w:p w14:paraId="0DD5855F">
            <w:pPr>
              <w:rPr>
                <w:rFonts w:eastAsia="仿宋_GB2312"/>
                <w:color w:val="auto"/>
                <w:sz w:val="30"/>
                <w:szCs w:val="30"/>
              </w:rPr>
            </w:pPr>
          </w:p>
        </w:tc>
        <w:tc>
          <w:tcPr>
            <w:tcW w:w="1243" w:type="dxa"/>
          </w:tcPr>
          <w:p w14:paraId="126C0544">
            <w:pPr>
              <w:rPr>
                <w:rFonts w:eastAsia="仿宋_GB2312"/>
                <w:color w:val="auto"/>
                <w:sz w:val="30"/>
                <w:szCs w:val="30"/>
              </w:rPr>
            </w:pPr>
          </w:p>
        </w:tc>
        <w:tc>
          <w:tcPr>
            <w:tcW w:w="1450" w:type="dxa"/>
          </w:tcPr>
          <w:p w14:paraId="49E33042">
            <w:pPr>
              <w:rPr>
                <w:rFonts w:eastAsia="仿宋_GB2312"/>
                <w:color w:val="auto"/>
                <w:sz w:val="30"/>
                <w:szCs w:val="30"/>
              </w:rPr>
            </w:pPr>
          </w:p>
        </w:tc>
        <w:tc>
          <w:tcPr>
            <w:tcW w:w="1667" w:type="dxa"/>
          </w:tcPr>
          <w:p w14:paraId="555DB91C">
            <w:pPr>
              <w:rPr>
                <w:rFonts w:eastAsia="仿宋_GB2312"/>
                <w:color w:val="auto"/>
                <w:sz w:val="30"/>
                <w:szCs w:val="30"/>
              </w:rPr>
            </w:pPr>
          </w:p>
        </w:tc>
      </w:tr>
      <w:tr w14:paraId="2BA029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F4F64A4">
            <w:pPr>
              <w:keepNext/>
              <w:adjustRightInd w:val="0"/>
              <w:spacing w:line="440" w:lineRule="exact"/>
              <w:ind w:left="63" w:leftChars="30" w:right="63" w:rightChars="30"/>
              <w:jc w:val="center"/>
              <w:textAlignment w:val="baseline"/>
              <w:rPr>
                <w:rFonts w:eastAsia="仿宋_GB2312"/>
                <w:color w:val="auto"/>
                <w:sz w:val="30"/>
                <w:szCs w:val="30"/>
              </w:rPr>
            </w:pPr>
          </w:p>
        </w:tc>
        <w:tc>
          <w:tcPr>
            <w:tcW w:w="1276" w:type="dxa"/>
            <w:vAlign w:val="center"/>
          </w:tcPr>
          <w:p w14:paraId="3FF105B9">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5BD27F11">
            <w:pPr>
              <w:keepNext/>
              <w:adjustRightInd w:val="0"/>
              <w:spacing w:line="440" w:lineRule="exact"/>
              <w:ind w:left="63" w:leftChars="30" w:right="63" w:rightChars="30"/>
              <w:jc w:val="center"/>
              <w:textAlignment w:val="baseline"/>
              <w:rPr>
                <w:rFonts w:eastAsia="仿宋_GB2312"/>
                <w:color w:val="auto"/>
                <w:sz w:val="30"/>
                <w:szCs w:val="30"/>
              </w:rPr>
            </w:pPr>
          </w:p>
        </w:tc>
        <w:tc>
          <w:tcPr>
            <w:tcW w:w="1243" w:type="dxa"/>
            <w:vAlign w:val="center"/>
          </w:tcPr>
          <w:p w14:paraId="11D4BE4B">
            <w:pPr>
              <w:keepNext/>
              <w:adjustRightInd w:val="0"/>
              <w:spacing w:line="440" w:lineRule="exact"/>
              <w:ind w:left="63" w:leftChars="30" w:right="63" w:rightChars="30"/>
              <w:jc w:val="center"/>
              <w:textAlignment w:val="baseline"/>
              <w:rPr>
                <w:rFonts w:eastAsia="仿宋_GB2312"/>
                <w:color w:val="auto"/>
                <w:sz w:val="30"/>
                <w:szCs w:val="30"/>
              </w:rPr>
            </w:pPr>
          </w:p>
        </w:tc>
        <w:tc>
          <w:tcPr>
            <w:tcW w:w="1450" w:type="dxa"/>
            <w:vAlign w:val="center"/>
          </w:tcPr>
          <w:p w14:paraId="0D73B0B6">
            <w:pPr>
              <w:keepNext/>
              <w:adjustRightInd w:val="0"/>
              <w:spacing w:line="440" w:lineRule="exact"/>
              <w:ind w:left="63" w:leftChars="30" w:right="63" w:rightChars="30"/>
              <w:jc w:val="center"/>
              <w:textAlignment w:val="baseline"/>
              <w:rPr>
                <w:rFonts w:eastAsia="仿宋_GB2312"/>
                <w:color w:val="auto"/>
                <w:sz w:val="30"/>
                <w:szCs w:val="30"/>
              </w:rPr>
            </w:pPr>
          </w:p>
        </w:tc>
        <w:tc>
          <w:tcPr>
            <w:tcW w:w="1667" w:type="dxa"/>
            <w:vAlign w:val="center"/>
          </w:tcPr>
          <w:p w14:paraId="76AC1C10">
            <w:pPr>
              <w:keepNext/>
              <w:adjustRightInd w:val="0"/>
              <w:spacing w:line="440" w:lineRule="exact"/>
              <w:ind w:left="63" w:leftChars="30" w:right="63" w:rightChars="30"/>
              <w:jc w:val="center"/>
              <w:textAlignment w:val="baseline"/>
              <w:rPr>
                <w:rFonts w:eastAsia="仿宋_GB2312"/>
                <w:color w:val="auto"/>
                <w:sz w:val="30"/>
                <w:szCs w:val="30"/>
              </w:rPr>
            </w:pPr>
          </w:p>
        </w:tc>
      </w:tr>
      <w:tr w14:paraId="51C4F1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47EE9565">
            <w:pPr>
              <w:rPr>
                <w:rFonts w:eastAsia="仿宋_GB2312"/>
                <w:color w:val="auto"/>
                <w:sz w:val="30"/>
                <w:szCs w:val="30"/>
              </w:rPr>
            </w:pPr>
          </w:p>
        </w:tc>
        <w:tc>
          <w:tcPr>
            <w:tcW w:w="1276" w:type="dxa"/>
          </w:tcPr>
          <w:p w14:paraId="28B32E4A">
            <w:pPr>
              <w:rPr>
                <w:rFonts w:eastAsia="仿宋_GB2312"/>
                <w:color w:val="auto"/>
                <w:sz w:val="30"/>
                <w:szCs w:val="30"/>
              </w:rPr>
            </w:pPr>
          </w:p>
        </w:tc>
        <w:tc>
          <w:tcPr>
            <w:tcW w:w="1450" w:type="dxa"/>
          </w:tcPr>
          <w:p w14:paraId="073798ED">
            <w:pPr>
              <w:rPr>
                <w:rFonts w:eastAsia="仿宋_GB2312"/>
                <w:color w:val="auto"/>
                <w:sz w:val="30"/>
                <w:szCs w:val="30"/>
              </w:rPr>
            </w:pPr>
          </w:p>
        </w:tc>
        <w:tc>
          <w:tcPr>
            <w:tcW w:w="1243" w:type="dxa"/>
          </w:tcPr>
          <w:p w14:paraId="30484B16">
            <w:pPr>
              <w:rPr>
                <w:rFonts w:eastAsia="仿宋_GB2312"/>
                <w:color w:val="auto"/>
                <w:sz w:val="30"/>
                <w:szCs w:val="30"/>
              </w:rPr>
            </w:pPr>
          </w:p>
        </w:tc>
        <w:tc>
          <w:tcPr>
            <w:tcW w:w="1450" w:type="dxa"/>
          </w:tcPr>
          <w:p w14:paraId="5E66FE88">
            <w:pPr>
              <w:rPr>
                <w:rFonts w:eastAsia="仿宋_GB2312"/>
                <w:color w:val="auto"/>
                <w:sz w:val="30"/>
                <w:szCs w:val="30"/>
              </w:rPr>
            </w:pPr>
          </w:p>
        </w:tc>
        <w:tc>
          <w:tcPr>
            <w:tcW w:w="1667" w:type="dxa"/>
          </w:tcPr>
          <w:p w14:paraId="737D66D3">
            <w:pPr>
              <w:rPr>
                <w:rFonts w:eastAsia="仿宋_GB2312"/>
                <w:color w:val="auto"/>
                <w:sz w:val="30"/>
                <w:szCs w:val="30"/>
              </w:rPr>
            </w:pPr>
          </w:p>
        </w:tc>
      </w:tr>
      <w:tr w14:paraId="5ED33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699C96D">
            <w:pPr>
              <w:rPr>
                <w:rFonts w:eastAsia="仿宋_GB2312"/>
                <w:color w:val="auto"/>
                <w:sz w:val="30"/>
                <w:szCs w:val="30"/>
              </w:rPr>
            </w:pPr>
          </w:p>
        </w:tc>
        <w:tc>
          <w:tcPr>
            <w:tcW w:w="1276" w:type="dxa"/>
          </w:tcPr>
          <w:p w14:paraId="1F557944">
            <w:pPr>
              <w:rPr>
                <w:rFonts w:eastAsia="仿宋_GB2312"/>
                <w:color w:val="auto"/>
                <w:sz w:val="30"/>
                <w:szCs w:val="30"/>
              </w:rPr>
            </w:pPr>
          </w:p>
        </w:tc>
        <w:tc>
          <w:tcPr>
            <w:tcW w:w="1450" w:type="dxa"/>
          </w:tcPr>
          <w:p w14:paraId="43E385C7">
            <w:pPr>
              <w:rPr>
                <w:rFonts w:eastAsia="仿宋_GB2312"/>
                <w:color w:val="auto"/>
                <w:sz w:val="30"/>
                <w:szCs w:val="30"/>
              </w:rPr>
            </w:pPr>
          </w:p>
        </w:tc>
        <w:tc>
          <w:tcPr>
            <w:tcW w:w="1243" w:type="dxa"/>
          </w:tcPr>
          <w:p w14:paraId="6E6B4ACB">
            <w:pPr>
              <w:rPr>
                <w:rFonts w:eastAsia="仿宋_GB2312"/>
                <w:color w:val="auto"/>
                <w:sz w:val="30"/>
                <w:szCs w:val="30"/>
              </w:rPr>
            </w:pPr>
          </w:p>
        </w:tc>
        <w:tc>
          <w:tcPr>
            <w:tcW w:w="1450" w:type="dxa"/>
          </w:tcPr>
          <w:p w14:paraId="24BFC3EC">
            <w:pPr>
              <w:rPr>
                <w:rFonts w:eastAsia="仿宋_GB2312"/>
                <w:color w:val="auto"/>
                <w:sz w:val="30"/>
                <w:szCs w:val="30"/>
              </w:rPr>
            </w:pPr>
          </w:p>
        </w:tc>
        <w:tc>
          <w:tcPr>
            <w:tcW w:w="1667" w:type="dxa"/>
          </w:tcPr>
          <w:p w14:paraId="6624BBA4">
            <w:pPr>
              <w:rPr>
                <w:rFonts w:eastAsia="仿宋_GB2312"/>
                <w:color w:val="auto"/>
                <w:sz w:val="30"/>
                <w:szCs w:val="30"/>
              </w:rPr>
            </w:pPr>
          </w:p>
        </w:tc>
      </w:tr>
      <w:tr w14:paraId="2919A8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36C8DD6">
            <w:pPr>
              <w:rPr>
                <w:rFonts w:eastAsia="仿宋_GB2312"/>
                <w:color w:val="auto"/>
                <w:sz w:val="30"/>
                <w:szCs w:val="30"/>
              </w:rPr>
            </w:pPr>
          </w:p>
        </w:tc>
        <w:tc>
          <w:tcPr>
            <w:tcW w:w="1276" w:type="dxa"/>
          </w:tcPr>
          <w:p w14:paraId="43902F62">
            <w:pPr>
              <w:rPr>
                <w:rFonts w:eastAsia="仿宋_GB2312"/>
                <w:color w:val="auto"/>
                <w:sz w:val="30"/>
                <w:szCs w:val="30"/>
              </w:rPr>
            </w:pPr>
          </w:p>
        </w:tc>
        <w:tc>
          <w:tcPr>
            <w:tcW w:w="1450" w:type="dxa"/>
          </w:tcPr>
          <w:p w14:paraId="1463A0F0">
            <w:pPr>
              <w:rPr>
                <w:rFonts w:eastAsia="仿宋_GB2312"/>
                <w:color w:val="auto"/>
                <w:sz w:val="30"/>
                <w:szCs w:val="30"/>
              </w:rPr>
            </w:pPr>
          </w:p>
        </w:tc>
        <w:tc>
          <w:tcPr>
            <w:tcW w:w="1243" w:type="dxa"/>
          </w:tcPr>
          <w:p w14:paraId="1439678B">
            <w:pPr>
              <w:rPr>
                <w:rFonts w:eastAsia="仿宋_GB2312"/>
                <w:color w:val="auto"/>
                <w:sz w:val="30"/>
                <w:szCs w:val="30"/>
              </w:rPr>
            </w:pPr>
          </w:p>
        </w:tc>
        <w:tc>
          <w:tcPr>
            <w:tcW w:w="1450" w:type="dxa"/>
          </w:tcPr>
          <w:p w14:paraId="265DA872">
            <w:pPr>
              <w:rPr>
                <w:rFonts w:eastAsia="仿宋_GB2312"/>
                <w:color w:val="auto"/>
                <w:sz w:val="30"/>
                <w:szCs w:val="30"/>
              </w:rPr>
            </w:pPr>
          </w:p>
        </w:tc>
        <w:tc>
          <w:tcPr>
            <w:tcW w:w="1667" w:type="dxa"/>
          </w:tcPr>
          <w:p w14:paraId="104EA94C">
            <w:pPr>
              <w:rPr>
                <w:rFonts w:eastAsia="仿宋_GB2312"/>
                <w:color w:val="auto"/>
                <w:sz w:val="30"/>
                <w:szCs w:val="30"/>
              </w:rPr>
            </w:pPr>
          </w:p>
        </w:tc>
      </w:tr>
      <w:tr w14:paraId="35303E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EE3DCEE">
            <w:pPr>
              <w:rPr>
                <w:rFonts w:eastAsia="仿宋_GB2312"/>
                <w:color w:val="auto"/>
                <w:sz w:val="30"/>
                <w:szCs w:val="30"/>
              </w:rPr>
            </w:pPr>
          </w:p>
        </w:tc>
        <w:tc>
          <w:tcPr>
            <w:tcW w:w="1276" w:type="dxa"/>
          </w:tcPr>
          <w:p w14:paraId="4D6CD029">
            <w:pPr>
              <w:rPr>
                <w:rFonts w:eastAsia="仿宋_GB2312"/>
                <w:color w:val="auto"/>
                <w:sz w:val="30"/>
                <w:szCs w:val="30"/>
              </w:rPr>
            </w:pPr>
          </w:p>
        </w:tc>
        <w:tc>
          <w:tcPr>
            <w:tcW w:w="1450" w:type="dxa"/>
          </w:tcPr>
          <w:p w14:paraId="0FDF2410">
            <w:pPr>
              <w:rPr>
                <w:rFonts w:eastAsia="仿宋_GB2312"/>
                <w:color w:val="auto"/>
                <w:sz w:val="30"/>
                <w:szCs w:val="30"/>
              </w:rPr>
            </w:pPr>
          </w:p>
        </w:tc>
        <w:tc>
          <w:tcPr>
            <w:tcW w:w="1243" w:type="dxa"/>
          </w:tcPr>
          <w:p w14:paraId="5CD1C33C">
            <w:pPr>
              <w:rPr>
                <w:rFonts w:eastAsia="仿宋_GB2312"/>
                <w:color w:val="auto"/>
                <w:sz w:val="30"/>
                <w:szCs w:val="30"/>
              </w:rPr>
            </w:pPr>
          </w:p>
        </w:tc>
        <w:tc>
          <w:tcPr>
            <w:tcW w:w="1450" w:type="dxa"/>
          </w:tcPr>
          <w:p w14:paraId="3AE9892F">
            <w:pPr>
              <w:rPr>
                <w:rFonts w:eastAsia="仿宋_GB2312"/>
                <w:color w:val="auto"/>
                <w:sz w:val="30"/>
                <w:szCs w:val="30"/>
              </w:rPr>
            </w:pPr>
          </w:p>
        </w:tc>
        <w:tc>
          <w:tcPr>
            <w:tcW w:w="1667" w:type="dxa"/>
          </w:tcPr>
          <w:p w14:paraId="01F273E7">
            <w:pPr>
              <w:rPr>
                <w:rFonts w:eastAsia="仿宋_GB2312"/>
                <w:color w:val="auto"/>
                <w:sz w:val="30"/>
                <w:szCs w:val="30"/>
              </w:rPr>
            </w:pPr>
          </w:p>
        </w:tc>
      </w:tr>
      <w:tr w14:paraId="326A5D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4934321A">
            <w:pPr>
              <w:rPr>
                <w:rFonts w:eastAsia="仿宋_GB2312"/>
                <w:color w:val="auto"/>
                <w:sz w:val="30"/>
                <w:szCs w:val="30"/>
              </w:rPr>
            </w:pPr>
          </w:p>
        </w:tc>
        <w:tc>
          <w:tcPr>
            <w:tcW w:w="1276" w:type="dxa"/>
          </w:tcPr>
          <w:p w14:paraId="6C03A986">
            <w:pPr>
              <w:rPr>
                <w:rFonts w:eastAsia="仿宋_GB2312"/>
                <w:color w:val="auto"/>
                <w:sz w:val="30"/>
                <w:szCs w:val="30"/>
              </w:rPr>
            </w:pPr>
          </w:p>
        </w:tc>
        <w:tc>
          <w:tcPr>
            <w:tcW w:w="1450" w:type="dxa"/>
          </w:tcPr>
          <w:p w14:paraId="677A9240">
            <w:pPr>
              <w:rPr>
                <w:rFonts w:eastAsia="仿宋_GB2312"/>
                <w:color w:val="auto"/>
                <w:sz w:val="30"/>
                <w:szCs w:val="30"/>
              </w:rPr>
            </w:pPr>
          </w:p>
        </w:tc>
        <w:tc>
          <w:tcPr>
            <w:tcW w:w="1243" w:type="dxa"/>
          </w:tcPr>
          <w:p w14:paraId="083279CA">
            <w:pPr>
              <w:rPr>
                <w:rFonts w:eastAsia="仿宋_GB2312"/>
                <w:color w:val="auto"/>
                <w:sz w:val="30"/>
                <w:szCs w:val="30"/>
              </w:rPr>
            </w:pPr>
          </w:p>
        </w:tc>
        <w:tc>
          <w:tcPr>
            <w:tcW w:w="1450" w:type="dxa"/>
          </w:tcPr>
          <w:p w14:paraId="01F588A2">
            <w:pPr>
              <w:rPr>
                <w:rFonts w:eastAsia="仿宋_GB2312"/>
                <w:color w:val="auto"/>
                <w:sz w:val="30"/>
                <w:szCs w:val="30"/>
              </w:rPr>
            </w:pPr>
          </w:p>
        </w:tc>
        <w:tc>
          <w:tcPr>
            <w:tcW w:w="1667" w:type="dxa"/>
          </w:tcPr>
          <w:p w14:paraId="760CC1E3">
            <w:pPr>
              <w:rPr>
                <w:rFonts w:eastAsia="仿宋_GB2312"/>
                <w:color w:val="auto"/>
                <w:sz w:val="30"/>
                <w:szCs w:val="30"/>
              </w:rPr>
            </w:pPr>
          </w:p>
        </w:tc>
      </w:tr>
      <w:tr w14:paraId="3687A0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AEC9AEC">
            <w:pPr>
              <w:rPr>
                <w:rFonts w:eastAsia="仿宋_GB2312"/>
                <w:color w:val="auto"/>
                <w:sz w:val="30"/>
                <w:szCs w:val="30"/>
              </w:rPr>
            </w:pPr>
          </w:p>
        </w:tc>
        <w:tc>
          <w:tcPr>
            <w:tcW w:w="1276" w:type="dxa"/>
          </w:tcPr>
          <w:p w14:paraId="337CB1A9">
            <w:pPr>
              <w:rPr>
                <w:rFonts w:eastAsia="仿宋_GB2312"/>
                <w:color w:val="auto"/>
                <w:sz w:val="30"/>
                <w:szCs w:val="30"/>
              </w:rPr>
            </w:pPr>
          </w:p>
        </w:tc>
        <w:tc>
          <w:tcPr>
            <w:tcW w:w="1450" w:type="dxa"/>
          </w:tcPr>
          <w:p w14:paraId="499C0346">
            <w:pPr>
              <w:rPr>
                <w:rFonts w:eastAsia="仿宋_GB2312"/>
                <w:color w:val="auto"/>
                <w:sz w:val="30"/>
                <w:szCs w:val="30"/>
              </w:rPr>
            </w:pPr>
          </w:p>
        </w:tc>
        <w:tc>
          <w:tcPr>
            <w:tcW w:w="1243" w:type="dxa"/>
          </w:tcPr>
          <w:p w14:paraId="2DACBE03">
            <w:pPr>
              <w:rPr>
                <w:rFonts w:eastAsia="仿宋_GB2312"/>
                <w:color w:val="auto"/>
                <w:sz w:val="30"/>
                <w:szCs w:val="30"/>
              </w:rPr>
            </w:pPr>
          </w:p>
        </w:tc>
        <w:tc>
          <w:tcPr>
            <w:tcW w:w="1450" w:type="dxa"/>
          </w:tcPr>
          <w:p w14:paraId="462CF67A">
            <w:pPr>
              <w:rPr>
                <w:rFonts w:eastAsia="仿宋_GB2312"/>
                <w:color w:val="auto"/>
                <w:sz w:val="30"/>
                <w:szCs w:val="30"/>
              </w:rPr>
            </w:pPr>
          </w:p>
        </w:tc>
        <w:tc>
          <w:tcPr>
            <w:tcW w:w="1667" w:type="dxa"/>
          </w:tcPr>
          <w:p w14:paraId="4046D733">
            <w:pPr>
              <w:rPr>
                <w:rFonts w:eastAsia="仿宋_GB2312"/>
                <w:color w:val="auto"/>
                <w:sz w:val="30"/>
                <w:szCs w:val="30"/>
              </w:rPr>
            </w:pPr>
          </w:p>
        </w:tc>
      </w:tr>
      <w:tr w14:paraId="3F3E13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AF21AF1">
            <w:pPr>
              <w:rPr>
                <w:rFonts w:eastAsia="仿宋_GB2312"/>
                <w:color w:val="auto"/>
                <w:sz w:val="30"/>
                <w:szCs w:val="30"/>
              </w:rPr>
            </w:pPr>
          </w:p>
        </w:tc>
        <w:tc>
          <w:tcPr>
            <w:tcW w:w="1276" w:type="dxa"/>
          </w:tcPr>
          <w:p w14:paraId="19270F1A">
            <w:pPr>
              <w:rPr>
                <w:rFonts w:eastAsia="仿宋_GB2312"/>
                <w:color w:val="auto"/>
                <w:sz w:val="30"/>
                <w:szCs w:val="30"/>
              </w:rPr>
            </w:pPr>
          </w:p>
        </w:tc>
        <w:tc>
          <w:tcPr>
            <w:tcW w:w="1450" w:type="dxa"/>
          </w:tcPr>
          <w:p w14:paraId="0921E699">
            <w:pPr>
              <w:rPr>
                <w:rFonts w:eastAsia="仿宋_GB2312"/>
                <w:color w:val="auto"/>
                <w:sz w:val="30"/>
                <w:szCs w:val="30"/>
              </w:rPr>
            </w:pPr>
          </w:p>
        </w:tc>
        <w:tc>
          <w:tcPr>
            <w:tcW w:w="1243" w:type="dxa"/>
          </w:tcPr>
          <w:p w14:paraId="045E989A">
            <w:pPr>
              <w:rPr>
                <w:rFonts w:eastAsia="仿宋_GB2312"/>
                <w:color w:val="auto"/>
                <w:sz w:val="30"/>
                <w:szCs w:val="30"/>
              </w:rPr>
            </w:pPr>
          </w:p>
        </w:tc>
        <w:tc>
          <w:tcPr>
            <w:tcW w:w="1450" w:type="dxa"/>
          </w:tcPr>
          <w:p w14:paraId="35D23984">
            <w:pPr>
              <w:rPr>
                <w:rFonts w:eastAsia="仿宋_GB2312"/>
                <w:color w:val="auto"/>
                <w:sz w:val="30"/>
                <w:szCs w:val="30"/>
              </w:rPr>
            </w:pPr>
          </w:p>
        </w:tc>
        <w:tc>
          <w:tcPr>
            <w:tcW w:w="1667" w:type="dxa"/>
          </w:tcPr>
          <w:p w14:paraId="35C2D451">
            <w:pPr>
              <w:rPr>
                <w:rFonts w:eastAsia="仿宋_GB2312"/>
                <w:color w:val="auto"/>
                <w:sz w:val="30"/>
                <w:szCs w:val="30"/>
              </w:rPr>
            </w:pPr>
          </w:p>
        </w:tc>
      </w:tr>
      <w:tr w14:paraId="61CFC6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B5B0BBC">
            <w:pPr>
              <w:rPr>
                <w:rFonts w:eastAsia="仿宋_GB2312"/>
                <w:color w:val="auto"/>
                <w:sz w:val="30"/>
                <w:szCs w:val="30"/>
              </w:rPr>
            </w:pPr>
          </w:p>
        </w:tc>
        <w:tc>
          <w:tcPr>
            <w:tcW w:w="1276" w:type="dxa"/>
          </w:tcPr>
          <w:p w14:paraId="61AAD9C0">
            <w:pPr>
              <w:rPr>
                <w:rFonts w:eastAsia="仿宋_GB2312"/>
                <w:color w:val="auto"/>
                <w:sz w:val="30"/>
                <w:szCs w:val="30"/>
              </w:rPr>
            </w:pPr>
          </w:p>
        </w:tc>
        <w:tc>
          <w:tcPr>
            <w:tcW w:w="1450" w:type="dxa"/>
          </w:tcPr>
          <w:p w14:paraId="41FEB995">
            <w:pPr>
              <w:rPr>
                <w:rFonts w:eastAsia="仿宋_GB2312"/>
                <w:color w:val="auto"/>
                <w:sz w:val="30"/>
                <w:szCs w:val="30"/>
              </w:rPr>
            </w:pPr>
          </w:p>
        </w:tc>
        <w:tc>
          <w:tcPr>
            <w:tcW w:w="1243" w:type="dxa"/>
          </w:tcPr>
          <w:p w14:paraId="3FCC6933">
            <w:pPr>
              <w:rPr>
                <w:rFonts w:eastAsia="仿宋_GB2312"/>
                <w:color w:val="auto"/>
                <w:sz w:val="30"/>
                <w:szCs w:val="30"/>
              </w:rPr>
            </w:pPr>
          </w:p>
        </w:tc>
        <w:tc>
          <w:tcPr>
            <w:tcW w:w="1450" w:type="dxa"/>
          </w:tcPr>
          <w:p w14:paraId="3F6EC2DF">
            <w:pPr>
              <w:rPr>
                <w:rFonts w:eastAsia="仿宋_GB2312"/>
                <w:color w:val="auto"/>
                <w:sz w:val="30"/>
                <w:szCs w:val="30"/>
              </w:rPr>
            </w:pPr>
          </w:p>
        </w:tc>
        <w:tc>
          <w:tcPr>
            <w:tcW w:w="1667" w:type="dxa"/>
          </w:tcPr>
          <w:p w14:paraId="0041BB3F">
            <w:pPr>
              <w:rPr>
                <w:rFonts w:eastAsia="仿宋_GB2312"/>
                <w:color w:val="auto"/>
                <w:sz w:val="30"/>
                <w:szCs w:val="30"/>
              </w:rPr>
            </w:pPr>
          </w:p>
        </w:tc>
      </w:tr>
      <w:tr w14:paraId="2B7B38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46D771D">
            <w:pPr>
              <w:rPr>
                <w:rFonts w:eastAsia="仿宋_GB2312"/>
                <w:color w:val="auto"/>
                <w:sz w:val="30"/>
                <w:szCs w:val="30"/>
              </w:rPr>
            </w:pPr>
          </w:p>
        </w:tc>
        <w:tc>
          <w:tcPr>
            <w:tcW w:w="1276" w:type="dxa"/>
          </w:tcPr>
          <w:p w14:paraId="35C4C2C7">
            <w:pPr>
              <w:rPr>
                <w:rFonts w:eastAsia="仿宋_GB2312"/>
                <w:color w:val="auto"/>
                <w:sz w:val="30"/>
                <w:szCs w:val="30"/>
              </w:rPr>
            </w:pPr>
          </w:p>
        </w:tc>
        <w:tc>
          <w:tcPr>
            <w:tcW w:w="1450" w:type="dxa"/>
          </w:tcPr>
          <w:p w14:paraId="65EAA3FC">
            <w:pPr>
              <w:rPr>
                <w:rFonts w:eastAsia="仿宋_GB2312"/>
                <w:color w:val="auto"/>
                <w:sz w:val="30"/>
                <w:szCs w:val="30"/>
              </w:rPr>
            </w:pPr>
          </w:p>
        </w:tc>
        <w:tc>
          <w:tcPr>
            <w:tcW w:w="1243" w:type="dxa"/>
          </w:tcPr>
          <w:p w14:paraId="62D2B419">
            <w:pPr>
              <w:rPr>
                <w:rFonts w:eastAsia="仿宋_GB2312"/>
                <w:color w:val="auto"/>
                <w:sz w:val="30"/>
                <w:szCs w:val="30"/>
              </w:rPr>
            </w:pPr>
          </w:p>
        </w:tc>
        <w:tc>
          <w:tcPr>
            <w:tcW w:w="1450" w:type="dxa"/>
          </w:tcPr>
          <w:p w14:paraId="5052B643">
            <w:pPr>
              <w:rPr>
                <w:rFonts w:eastAsia="仿宋_GB2312"/>
                <w:color w:val="auto"/>
                <w:sz w:val="30"/>
                <w:szCs w:val="30"/>
              </w:rPr>
            </w:pPr>
          </w:p>
        </w:tc>
        <w:tc>
          <w:tcPr>
            <w:tcW w:w="1667" w:type="dxa"/>
          </w:tcPr>
          <w:p w14:paraId="19434036">
            <w:pPr>
              <w:rPr>
                <w:rFonts w:eastAsia="仿宋_GB2312"/>
                <w:color w:val="auto"/>
                <w:sz w:val="30"/>
                <w:szCs w:val="30"/>
              </w:rPr>
            </w:pPr>
          </w:p>
        </w:tc>
      </w:tr>
    </w:tbl>
    <w:p w14:paraId="1AC3CF1B">
      <w:pPr>
        <w:spacing w:line="440" w:lineRule="exact"/>
        <w:rPr>
          <w:rFonts w:eastAsia="仿宋_GB2312"/>
          <w:color w:val="auto"/>
          <w:sz w:val="30"/>
          <w:szCs w:val="30"/>
        </w:rPr>
      </w:pPr>
    </w:p>
    <w:p w14:paraId="0760D1A1">
      <w:pPr>
        <w:spacing w:line="440" w:lineRule="exact"/>
        <w:outlineLvl w:val="0"/>
        <w:rPr>
          <w:rFonts w:eastAsia="黑体"/>
          <w:color w:val="auto"/>
          <w:sz w:val="30"/>
          <w:szCs w:val="30"/>
        </w:rPr>
      </w:pPr>
      <w:r>
        <w:rPr>
          <w:rFonts w:eastAsia="仿宋_GB2312"/>
          <w:color w:val="auto"/>
          <w:sz w:val="30"/>
          <w:szCs w:val="30"/>
        </w:rPr>
        <w:br w:type="page"/>
      </w:r>
      <w:bookmarkStart w:id="1587" w:name="_Toc8028"/>
      <w:bookmarkStart w:id="1588" w:name="_Toc14815"/>
      <w:r>
        <w:rPr>
          <w:rFonts w:hint="eastAsia" w:eastAsia="仿宋_GB2312" w:cs="仿宋_GB2312"/>
          <w:color w:val="auto"/>
          <w:sz w:val="30"/>
          <w:szCs w:val="30"/>
        </w:rPr>
        <w:t>附件</w:t>
      </w:r>
      <w:r>
        <w:rPr>
          <w:rFonts w:hint="eastAsia" w:eastAsia="仿宋_GB2312"/>
          <w:color w:val="auto"/>
          <w:sz w:val="30"/>
          <w:szCs w:val="30"/>
        </w:rPr>
        <w:t>4</w:t>
      </w:r>
      <w:r>
        <w:rPr>
          <w:rFonts w:hint="eastAsia" w:eastAsia="仿宋_GB2312" w:cs="仿宋_GB2312"/>
          <w:color w:val="auto"/>
          <w:sz w:val="30"/>
          <w:szCs w:val="30"/>
        </w:rPr>
        <w:t>：</w:t>
      </w:r>
      <w:bookmarkEnd w:id="1587"/>
      <w:bookmarkEnd w:id="1588"/>
    </w:p>
    <w:p w14:paraId="7D545427">
      <w:pPr>
        <w:spacing w:beforeLines="50" w:afterLines="50" w:line="440" w:lineRule="exact"/>
        <w:jc w:val="center"/>
        <w:rPr>
          <w:rFonts w:eastAsia="黑体"/>
          <w:color w:val="auto"/>
          <w:sz w:val="30"/>
          <w:szCs w:val="30"/>
        </w:rPr>
      </w:pPr>
      <w:r>
        <w:rPr>
          <w:rFonts w:hint="eastAsia" w:eastAsia="黑体" w:cs="黑体"/>
          <w:color w:val="auto"/>
          <w:sz w:val="30"/>
          <w:szCs w:val="30"/>
        </w:rPr>
        <w:t>承包人用于本工程施工的机械设备表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46B77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vAlign w:val="center"/>
          </w:tcPr>
          <w:p w14:paraId="3A5C051E">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序号</w:t>
            </w:r>
          </w:p>
        </w:tc>
        <w:tc>
          <w:tcPr>
            <w:tcW w:w="1418" w:type="dxa"/>
            <w:vAlign w:val="center"/>
          </w:tcPr>
          <w:p w14:paraId="60D44929">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机械或设备名称</w:t>
            </w:r>
          </w:p>
        </w:tc>
        <w:tc>
          <w:tcPr>
            <w:tcW w:w="850" w:type="dxa"/>
            <w:vAlign w:val="center"/>
          </w:tcPr>
          <w:p w14:paraId="70C71E9C">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规格型号</w:t>
            </w:r>
          </w:p>
        </w:tc>
        <w:tc>
          <w:tcPr>
            <w:tcW w:w="1058" w:type="dxa"/>
            <w:vAlign w:val="center"/>
          </w:tcPr>
          <w:p w14:paraId="5C2C78C1">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数量</w:t>
            </w:r>
          </w:p>
        </w:tc>
        <w:tc>
          <w:tcPr>
            <w:tcW w:w="880" w:type="dxa"/>
            <w:vAlign w:val="center"/>
          </w:tcPr>
          <w:p w14:paraId="15994296">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产地</w:t>
            </w:r>
          </w:p>
        </w:tc>
        <w:tc>
          <w:tcPr>
            <w:tcW w:w="1020" w:type="dxa"/>
            <w:vAlign w:val="center"/>
          </w:tcPr>
          <w:p w14:paraId="0ADA0898">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制造年份</w:t>
            </w:r>
          </w:p>
        </w:tc>
        <w:tc>
          <w:tcPr>
            <w:tcW w:w="1480" w:type="dxa"/>
            <w:vAlign w:val="center"/>
          </w:tcPr>
          <w:p w14:paraId="720E5A88">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额定功率（</w:t>
            </w:r>
            <w:r>
              <w:rPr>
                <w:rFonts w:eastAsia="仿宋_GB2312"/>
                <w:color w:val="auto"/>
                <w:sz w:val="28"/>
                <w:szCs w:val="28"/>
              </w:rPr>
              <w:t>kW</w:t>
            </w:r>
            <w:r>
              <w:rPr>
                <w:rFonts w:hint="eastAsia" w:eastAsia="仿宋_GB2312" w:cs="仿宋_GB2312"/>
                <w:color w:val="auto"/>
                <w:sz w:val="28"/>
                <w:szCs w:val="28"/>
              </w:rPr>
              <w:t>）</w:t>
            </w:r>
          </w:p>
        </w:tc>
        <w:tc>
          <w:tcPr>
            <w:tcW w:w="1020" w:type="dxa"/>
            <w:vAlign w:val="center"/>
          </w:tcPr>
          <w:p w14:paraId="0F6DA910">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生产能力</w:t>
            </w:r>
          </w:p>
        </w:tc>
        <w:tc>
          <w:tcPr>
            <w:tcW w:w="921" w:type="dxa"/>
            <w:vAlign w:val="center"/>
          </w:tcPr>
          <w:p w14:paraId="1688A1DB">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备注</w:t>
            </w:r>
          </w:p>
        </w:tc>
      </w:tr>
      <w:tr w14:paraId="6BC3A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A7335EA">
            <w:pPr>
              <w:keepNext/>
              <w:adjustRightInd w:val="0"/>
              <w:spacing w:line="440" w:lineRule="exact"/>
              <w:ind w:left="63" w:leftChars="30" w:right="63" w:rightChars="30"/>
              <w:jc w:val="center"/>
              <w:textAlignment w:val="baseline"/>
              <w:rPr>
                <w:rFonts w:eastAsia="仿宋_GB2312"/>
                <w:color w:val="auto"/>
                <w:sz w:val="30"/>
                <w:szCs w:val="30"/>
              </w:rPr>
            </w:pPr>
          </w:p>
        </w:tc>
        <w:tc>
          <w:tcPr>
            <w:tcW w:w="1418" w:type="dxa"/>
            <w:vAlign w:val="center"/>
          </w:tcPr>
          <w:p w14:paraId="56FF7DA4">
            <w:pPr>
              <w:keepNext/>
              <w:adjustRightInd w:val="0"/>
              <w:spacing w:line="440" w:lineRule="exact"/>
              <w:ind w:left="63" w:leftChars="30" w:right="63" w:rightChars="30"/>
              <w:jc w:val="center"/>
              <w:textAlignment w:val="baseline"/>
              <w:rPr>
                <w:rFonts w:eastAsia="仿宋_GB2312"/>
                <w:color w:val="auto"/>
                <w:sz w:val="30"/>
                <w:szCs w:val="30"/>
              </w:rPr>
            </w:pPr>
          </w:p>
        </w:tc>
        <w:tc>
          <w:tcPr>
            <w:tcW w:w="850" w:type="dxa"/>
            <w:vAlign w:val="center"/>
          </w:tcPr>
          <w:p w14:paraId="5393350D">
            <w:pPr>
              <w:keepNext/>
              <w:adjustRightInd w:val="0"/>
              <w:spacing w:line="440" w:lineRule="exact"/>
              <w:ind w:left="63" w:leftChars="30" w:right="63" w:rightChars="30"/>
              <w:jc w:val="center"/>
              <w:textAlignment w:val="baseline"/>
              <w:rPr>
                <w:rFonts w:eastAsia="仿宋_GB2312"/>
                <w:color w:val="auto"/>
                <w:sz w:val="30"/>
                <w:szCs w:val="30"/>
              </w:rPr>
            </w:pPr>
          </w:p>
        </w:tc>
        <w:tc>
          <w:tcPr>
            <w:tcW w:w="1058" w:type="dxa"/>
            <w:vAlign w:val="center"/>
          </w:tcPr>
          <w:p w14:paraId="1FBE10DD">
            <w:pPr>
              <w:keepNext/>
              <w:adjustRightInd w:val="0"/>
              <w:spacing w:line="440" w:lineRule="exact"/>
              <w:ind w:left="63" w:leftChars="30" w:right="63" w:rightChars="30"/>
              <w:jc w:val="center"/>
              <w:textAlignment w:val="baseline"/>
              <w:rPr>
                <w:rFonts w:eastAsia="仿宋_GB2312"/>
                <w:color w:val="auto"/>
                <w:sz w:val="30"/>
                <w:szCs w:val="30"/>
              </w:rPr>
            </w:pPr>
          </w:p>
        </w:tc>
        <w:tc>
          <w:tcPr>
            <w:tcW w:w="880" w:type="dxa"/>
            <w:vAlign w:val="center"/>
          </w:tcPr>
          <w:p w14:paraId="7E4E25DF">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1E0BB850">
            <w:pPr>
              <w:keepNext/>
              <w:adjustRightInd w:val="0"/>
              <w:spacing w:line="440" w:lineRule="exact"/>
              <w:ind w:left="63" w:leftChars="30" w:right="63" w:rightChars="30"/>
              <w:jc w:val="center"/>
              <w:textAlignment w:val="baseline"/>
              <w:rPr>
                <w:rFonts w:eastAsia="仿宋_GB2312"/>
                <w:color w:val="auto"/>
                <w:sz w:val="30"/>
                <w:szCs w:val="30"/>
              </w:rPr>
            </w:pPr>
          </w:p>
        </w:tc>
        <w:tc>
          <w:tcPr>
            <w:tcW w:w="1480" w:type="dxa"/>
            <w:vAlign w:val="center"/>
          </w:tcPr>
          <w:p w14:paraId="55718D56">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595A7677">
            <w:pPr>
              <w:keepNext/>
              <w:adjustRightInd w:val="0"/>
              <w:spacing w:line="440" w:lineRule="exact"/>
              <w:ind w:left="63" w:leftChars="30" w:right="63" w:rightChars="30"/>
              <w:jc w:val="center"/>
              <w:textAlignment w:val="baseline"/>
              <w:rPr>
                <w:rFonts w:eastAsia="仿宋_GB2312"/>
                <w:color w:val="auto"/>
                <w:sz w:val="30"/>
                <w:szCs w:val="30"/>
              </w:rPr>
            </w:pPr>
          </w:p>
        </w:tc>
        <w:tc>
          <w:tcPr>
            <w:tcW w:w="921" w:type="dxa"/>
            <w:vAlign w:val="center"/>
          </w:tcPr>
          <w:p w14:paraId="727E15EB">
            <w:pPr>
              <w:keepNext/>
              <w:adjustRightInd w:val="0"/>
              <w:spacing w:line="440" w:lineRule="exact"/>
              <w:ind w:left="63" w:leftChars="30" w:right="63" w:rightChars="30"/>
              <w:jc w:val="center"/>
              <w:textAlignment w:val="baseline"/>
              <w:rPr>
                <w:rFonts w:eastAsia="仿宋_GB2312"/>
                <w:color w:val="auto"/>
                <w:sz w:val="30"/>
                <w:szCs w:val="30"/>
              </w:rPr>
            </w:pPr>
          </w:p>
        </w:tc>
      </w:tr>
      <w:tr w14:paraId="5000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23B7185C">
            <w:pPr>
              <w:keepNext/>
              <w:adjustRightInd w:val="0"/>
              <w:spacing w:line="440" w:lineRule="exact"/>
              <w:ind w:left="63" w:leftChars="30" w:right="63" w:rightChars="30"/>
              <w:jc w:val="center"/>
              <w:textAlignment w:val="baseline"/>
              <w:rPr>
                <w:rFonts w:eastAsia="仿宋_GB2312"/>
                <w:color w:val="auto"/>
                <w:sz w:val="30"/>
                <w:szCs w:val="30"/>
              </w:rPr>
            </w:pPr>
          </w:p>
        </w:tc>
        <w:tc>
          <w:tcPr>
            <w:tcW w:w="1418" w:type="dxa"/>
            <w:vAlign w:val="center"/>
          </w:tcPr>
          <w:p w14:paraId="471E0631">
            <w:pPr>
              <w:keepNext/>
              <w:adjustRightInd w:val="0"/>
              <w:spacing w:line="440" w:lineRule="exact"/>
              <w:ind w:left="63" w:leftChars="30" w:right="63" w:rightChars="30"/>
              <w:jc w:val="center"/>
              <w:textAlignment w:val="baseline"/>
              <w:rPr>
                <w:rFonts w:eastAsia="仿宋_GB2312"/>
                <w:color w:val="auto"/>
                <w:sz w:val="30"/>
                <w:szCs w:val="30"/>
              </w:rPr>
            </w:pPr>
          </w:p>
        </w:tc>
        <w:tc>
          <w:tcPr>
            <w:tcW w:w="850" w:type="dxa"/>
            <w:vAlign w:val="center"/>
          </w:tcPr>
          <w:p w14:paraId="350B193E">
            <w:pPr>
              <w:keepNext/>
              <w:adjustRightInd w:val="0"/>
              <w:spacing w:line="440" w:lineRule="exact"/>
              <w:ind w:left="63" w:leftChars="30" w:right="63" w:rightChars="30"/>
              <w:jc w:val="center"/>
              <w:textAlignment w:val="baseline"/>
              <w:rPr>
                <w:rFonts w:eastAsia="仿宋_GB2312"/>
                <w:color w:val="auto"/>
                <w:sz w:val="30"/>
                <w:szCs w:val="30"/>
              </w:rPr>
            </w:pPr>
          </w:p>
        </w:tc>
        <w:tc>
          <w:tcPr>
            <w:tcW w:w="1058" w:type="dxa"/>
            <w:vAlign w:val="center"/>
          </w:tcPr>
          <w:p w14:paraId="7ED388D3">
            <w:pPr>
              <w:keepNext/>
              <w:adjustRightInd w:val="0"/>
              <w:spacing w:line="440" w:lineRule="exact"/>
              <w:ind w:left="63" w:leftChars="30" w:right="63" w:rightChars="30"/>
              <w:jc w:val="center"/>
              <w:textAlignment w:val="baseline"/>
              <w:rPr>
                <w:rFonts w:eastAsia="仿宋_GB2312"/>
                <w:color w:val="auto"/>
                <w:sz w:val="30"/>
                <w:szCs w:val="30"/>
              </w:rPr>
            </w:pPr>
          </w:p>
        </w:tc>
        <w:tc>
          <w:tcPr>
            <w:tcW w:w="880" w:type="dxa"/>
            <w:vAlign w:val="center"/>
          </w:tcPr>
          <w:p w14:paraId="5282D2B4">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022F7CC1">
            <w:pPr>
              <w:keepNext/>
              <w:adjustRightInd w:val="0"/>
              <w:spacing w:line="440" w:lineRule="exact"/>
              <w:ind w:left="63" w:leftChars="30" w:right="63" w:rightChars="30"/>
              <w:jc w:val="center"/>
              <w:textAlignment w:val="baseline"/>
              <w:rPr>
                <w:rFonts w:eastAsia="仿宋_GB2312"/>
                <w:color w:val="auto"/>
                <w:sz w:val="30"/>
                <w:szCs w:val="30"/>
              </w:rPr>
            </w:pPr>
          </w:p>
        </w:tc>
        <w:tc>
          <w:tcPr>
            <w:tcW w:w="1480" w:type="dxa"/>
            <w:vAlign w:val="center"/>
          </w:tcPr>
          <w:p w14:paraId="7C34D26A">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38BA7C18">
            <w:pPr>
              <w:keepNext/>
              <w:adjustRightInd w:val="0"/>
              <w:spacing w:line="440" w:lineRule="exact"/>
              <w:ind w:left="63" w:leftChars="30" w:right="63" w:rightChars="30"/>
              <w:jc w:val="center"/>
              <w:textAlignment w:val="baseline"/>
              <w:rPr>
                <w:rFonts w:eastAsia="仿宋_GB2312"/>
                <w:color w:val="auto"/>
                <w:sz w:val="30"/>
                <w:szCs w:val="30"/>
              </w:rPr>
            </w:pPr>
          </w:p>
        </w:tc>
        <w:tc>
          <w:tcPr>
            <w:tcW w:w="921" w:type="dxa"/>
            <w:vAlign w:val="center"/>
          </w:tcPr>
          <w:p w14:paraId="4D8056EA">
            <w:pPr>
              <w:keepNext/>
              <w:adjustRightInd w:val="0"/>
              <w:spacing w:line="440" w:lineRule="exact"/>
              <w:ind w:left="63" w:leftChars="30" w:right="63" w:rightChars="30"/>
              <w:jc w:val="center"/>
              <w:textAlignment w:val="baseline"/>
              <w:rPr>
                <w:rFonts w:eastAsia="仿宋_GB2312"/>
                <w:color w:val="auto"/>
                <w:sz w:val="30"/>
                <w:szCs w:val="30"/>
              </w:rPr>
            </w:pPr>
          </w:p>
        </w:tc>
      </w:tr>
      <w:tr w14:paraId="48692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1DAF11E">
            <w:pPr>
              <w:keepNext/>
              <w:adjustRightInd w:val="0"/>
              <w:spacing w:line="440" w:lineRule="exact"/>
              <w:ind w:left="63" w:leftChars="30" w:right="63" w:rightChars="30"/>
              <w:jc w:val="center"/>
              <w:textAlignment w:val="baseline"/>
              <w:rPr>
                <w:rFonts w:eastAsia="仿宋_GB2312"/>
                <w:color w:val="auto"/>
                <w:sz w:val="30"/>
                <w:szCs w:val="30"/>
              </w:rPr>
            </w:pPr>
          </w:p>
        </w:tc>
        <w:tc>
          <w:tcPr>
            <w:tcW w:w="1418" w:type="dxa"/>
            <w:vAlign w:val="center"/>
          </w:tcPr>
          <w:p w14:paraId="0E330AFA">
            <w:pPr>
              <w:keepNext/>
              <w:adjustRightInd w:val="0"/>
              <w:spacing w:line="440" w:lineRule="exact"/>
              <w:ind w:left="63" w:leftChars="30" w:right="63" w:rightChars="30"/>
              <w:jc w:val="center"/>
              <w:textAlignment w:val="baseline"/>
              <w:rPr>
                <w:rFonts w:eastAsia="仿宋_GB2312"/>
                <w:color w:val="auto"/>
                <w:sz w:val="30"/>
                <w:szCs w:val="30"/>
              </w:rPr>
            </w:pPr>
          </w:p>
        </w:tc>
        <w:tc>
          <w:tcPr>
            <w:tcW w:w="850" w:type="dxa"/>
            <w:vAlign w:val="center"/>
          </w:tcPr>
          <w:p w14:paraId="4CB5C30D">
            <w:pPr>
              <w:keepNext/>
              <w:adjustRightInd w:val="0"/>
              <w:spacing w:line="440" w:lineRule="exact"/>
              <w:ind w:left="63" w:leftChars="30" w:right="63" w:rightChars="30"/>
              <w:jc w:val="center"/>
              <w:textAlignment w:val="baseline"/>
              <w:rPr>
                <w:rFonts w:eastAsia="仿宋_GB2312"/>
                <w:color w:val="auto"/>
                <w:sz w:val="30"/>
                <w:szCs w:val="30"/>
              </w:rPr>
            </w:pPr>
          </w:p>
        </w:tc>
        <w:tc>
          <w:tcPr>
            <w:tcW w:w="1058" w:type="dxa"/>
            <w:vAlign w:val="center"/>
          </w:tcPr>
          <w:p w14:paraId="55D759B7">
            <w:pPr>
              <w:keepNext/>
              <w:adjustRightInd w:val="0"/>
              <w:spacing w:line="440" w:lineRule="exact"/>
              <w:ind w:left="63" w:leftChars="30" w:right="63" w:rightChars="30"/>
              <w:jc w:val="center"/>
              <w:textAlignment w:val="baseline"/>
              <w:rPr>
                <w:rFonts w:eastAsia="仿宋_GB2312"/>
                <w:color w:val="auto"/>
                <w:sz w:val="30"/>
                <w:szCs w:val="30"/>
              </w:rPr>
            </w:pPr>
          </w:p>
        </w:tc>
        <w:tc>
          <w:tcPr>
            <w:tcW w:w="880" w:type="dxa"/>
            <w:vAlign w:val="center"/>
          </w:tcPr>
          <w:p w14:paraId="55BF2E87">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16806BE7">
            <w:pPr>
              <w:keepNext/>
              <w:adjustRightInd w:val="0"/>
              <w:spacing w:line="440" w:lineRule="exact"/>
              <w:ind w:left="63" w:leftChars="30" w:right="63" w:rightChars="30"/>
              <w:jc w:val="center"/>
              <w:textAlignment w:val="baseline"/>
              <w:rPr>
                <w:rFonts w:eastAsia="仿宋_GB2312"/>
                <w:color w:val="auto"/>
                <w:sz w:val="30"/>
                <w:szCs w:val="30"/>
              </w:rPr>
            </w:pPr>
          </w:p>
        </w:tc>
        <w:tc>
          <w:tcPr>
            <w:tcW w:w="1480" w:type="dxa"/>
            <w:vAlign w:val="center"/>
          </w:tcPr>
          <w:p w14:paraId="216F7B34">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179BF05C">
            <w:pPr>
              <w:keepNext/>
              <w:adjustRightInd w:val="0"/>
              <w:spacing w:line="440" w:lineRule="exact"/>
              <w:ind w:left="63" w:leftChars="30" w:right="63" w:rightChars="30"/>
              <w:jc w:val="center"/>
              <w:textAlignment w:val="baseline"/>
              <w:rPr>
                <w:rFonts w:eastAsia="仿宋_GB2312"/>
                <w:color w:val="auto"/>
                <w:sz w:val="30"/>
                <w:szCs w:val="30"/>
              </w:rPr>
            </w:pPr>
          </w:p>
        </w:tc>
        <w:tc>
          <w:tcPr>
            <w:tcW w:w="921" w:type="dxa"/>
            <w:vAlign w:val="center"/>
          </w:tcPr>
          <w:p w14:paraId="1885B1C5">
            <w:pPr>
              <w:keepNext/>
              <w:adjustRightInd w:val="0"/>
              <w:spacing w:line="440" w:lineRule="exact"/>
              <w:ind w:left="63" w:leftChars="30" w:right="63" w:rightChars="30"/>
              <w:jc w:val="center"/>
              <w:textAlignment w:val="baseline"/>
              <w:rPr>
                <w:rFonts w:eastAsia="仿宋_GB2312"/>
                <w:color w:val="auto"/>
                <w:sz w:val="30"/>
                <w:szCs w:val="30"/>
              </w:rPr>
            </w:pPr>
          </w:p>
        </w:tc>
      </w:tr>
      <w:tr w14:paraId="025A9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7972B504">
            <w:pPr>
              <w:keepNext/>
              <w:adjustRightInd w:val="0"/>
              <w:spacing w:line="440" w:lineRule="exact"/>
              <w:ind w:left="63" w:leftChars="30" w:right="63" w:rightChars="30"/>
              <w:jc w:val="center"/>
              <w:textAlignment w:val="baseline"/>
              <w:rPr>
                <w:rFonts w:eastAsia="仿宋_GB2312"/>
                <w:color w:val="auto"/>
                <w:sz w:val="30"/>
                <w:szCs w:val="30"/>
              </w:rPr>
            </w:pPr>
          </w:p>
        </w:tc>
        <w:tc>
          <w:tcPr>
            <w:tcW w:w="1418" w:type="dxa"/>
            <w:vAlign w:val="center"/>
          </w:tcPr>
          <w:p w14:paraId="57442298">
            <w:pPr>
              <w:keepNext/>
              <w:adjustRightInd w:val="0"/>
              <w:spacing w:line="440" w:lineRule="exact"/>
              <w:ind w:left="63" w:leftChars="30" w:right="63" w:rightChars="30"/>
              <w:jc w:val="center"/>
              <w:textAlignment w:val="baseline"/>
              <w:rPr>
                <w:rFonts w:eastAsia="仿宋_GB2312"/>
                <w:color w:val="auto"/>
                <w:sz w:val="30"/>
                <w:szCs w:val="30"/>
              </w:rPr>
            </w:pPr>
          </w:p>
        </w:tc>
        <w:tc>
          <w:tcPr>
            <w:tcW w:w="850" w:type="dxa"/>
            <w:vAlign w:val="center"/>
          </w:tcPr>
          <w:p w14:paraId="609CA617">
            <w:pPr>
              <w:keepNext/>
              <w:adjustRightInd w:val="0"/>
              <w:spacing w:line="440" w:lineRule="exact"/>
              <w:ind w:left="63" w:leftChars="30" w:right="63" w:rightChars="30"/>
              <w:jc w:val="center"/>
              <w:textAlignment w:val="baseline"/>
              <w:rPr>
                <w:rFonts w:eastAsia="仿宋_GB2312"/>
                <w:color w:val="auto"/>
                <w:sz w:val="30"/>
                <w:szCs w:val="30"/>
              </w:rPr>
            </w:pPr>
          </w:p>
        </w:tc>
        <w:tc>
          <w:tcPr>
            <w:tcW w:w="1058" w:type="dxa"/>
            <w:vAlign w:val="center"/>
          </w:tcPr>
          <w:p w14:paraId="779CC9FD">
            <w:pPr>
              <w:keepNext/>
              <w:adjustRightInd w:val="0"/>
              <w:spacing w:line="440" w:lineRule="exact"/>
              <w:ind w:left="63" w:leftChars="30" w:right="63" w:rightChars="30"/>
              <w:jc w:val="center"/>
              <w:textAlignment w:val="baseline"/>
              <w:rPr>
                <w:rFonts w:eastAsia="仿宋_GB2312"/>
                <w:color w:val="auto"/>
                <w:sz w:val="30"/>
                <w:szCs w:val="30"/>
              </w:rPr>
            </w:pPr>
          </w:p>
        </w:tc>
        <w:tc>
          <w:tcPr>
            <w:tcW w:w="880" w:type="dxa"/>
            <w:vAlign w:val="center"/>
          </w:tcPr>
          <w:p w14:paraId="566EED59">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1F202F35">
            <w:pPr>
              <w:keepNext/>
              <w:adjustRightInd w:val="0"/>
              <w:spacing w:line="440" w:lineRule="exact"/>
              <w:ind w:left="63" w:leftChars="30" w:right="63" w:rightChars="30"/>
              <w:jc w:val="center"/>
              <w:textAlignment w:val="baseline"/>
              <w:rPr>
                <w:rFonts w:eastAsia="仿宋_GB2312"/>
                <w:color w:val="auto"/>
                <w:sz w:val="30"/>
                <w:szCs w:val="30"/>
              </w:rPr>
            </w:pPr>
          </w:p>
        </w:tc>
        <w:tc>
          <w:tcPr>
            <w:tcW w:w="1480" w:type="dxa"/>
            <w:vAlign w:val="center"/>
          </w:tcPr>
          <w:p w14:paraId="5A97E4EB">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3BE2AA65">
            <w:pPr>
              <w:keepNext/>
              <w:adjustRightInd w:val="0"/>
              <w:spacing w:line="440" w:lineRule="exact"/>
              <w:ind w:left="63" w:leftChars="30" w:right="63" w:rightChars="30"/>
              <w:jc w:val="center"/>
              <w:textAlignment w:val="baseline"/>
              <w:rPr>
                <w:rFonts w:eastAsia="仿宋_GB2312"/>
                <w:color w:val="auto"/>
                <w:sz w:val="30"/>
                <w:szCs w:val="30"/>
              </w:rPr>
            </w:pPr>
          </w:p>
        </w:tc>
        <w:tc>
          <w:tcPr>
            <w:tcW w:w="921" w:type="dxa"/>
            <w:vAlign w:val="center"/>
          </w:tcPr>
          <w:p w14:paraId="38B2335C">
            <w:pPr>
              <w:keepNext/>
              <w:adjustRightInd w:val="0"/>
              <w:spacing w:line="440" w:lineRule="exact"/>
              <w:ind w:left="63" w:leftChars="30" w:right="63" w:rightChars="30"/>
              <w:jc w:val="center"/>
              <w:textAlignment w:val="baseline"/>
              <w:rPr>
                <w:rFonts w:eastAsia="仿宋_GB2312"/>
                <w:color w:val="auto"/>
                <w:sz w:val="30"/>
                <w:szCs w:val="30"/>
              </w:rPr>
            </w:pPr>
          </w:p>
        </w:tc>
      </w:tr>
      <w:tr w14:paraId="7A849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7F975A8">
            <w:pPr>
              <w:keepNext/>
              <w:adjustRightInd w:val="0"/>
              <w:spacing w:line="440" w:lineRule="exact"/>
              <w:ind w:left="63" w:leftChars="30" w:right="63" w:rightChars="30"/>
              <w:jc w:val="center"/>
              <w:textAlignment w:val="baseline"/>
              <w:rPr>
                <w:rFonts w:eastAsia="仿宋_GB2312"/>
                <w:color w:val="auto"/>
                <w:sz w:val="30"/>
                <w:szCs w:val="30"/>
              </w:rPr>
            </w:pPr>
          </w:p>
        </w:tc>
        <w:tc>
          <w:tcPr>
            <w:tcW w:w="1418" w:type="dxa"/>
            <w:vAlign w:val="center"/>
          </w:tcPr>
          <w:p w14:paraId="774C2C9C">
            <w:pPr>
              <w:keepNext/>
              <w:adjustRightInd w:val="0"/>
              <w:spacing w:line="440" w:lineRule="exact"/>
              <w:ind w:left="63" w:leftChars="30" w:right="63" w:rightChars="30"/>
              <w:jc w:val="center"/>
              <w:textAlignment w:val="baseline"/>
              <w:rPr>
                <w:rFonts w:eastAsia="仿宋_GB2312"/>
                <w:color w:val="auto"/>
                <w:sz w:val="30"/>
                <w:szCs w:val="30"/>
              </w:rPr>
            </w:pPr>
          </w:p>
        </w:tc>
        <w:tc>
          <w:tcPr>
            <w:tcW w:w="850" w:type="dxa"/>
            <w:vAlign w:val="center"/>
          </w:tcPr>
          <w:p w14:paraId="25689999">
            <w:pPr>
              <w:keepNext/>
              <w:adjustRightInd w:val="0"/>
              <w:spacing w:line="440" w:lineRule="exact"/>
              <w:ind w:left="63" w:leftChars="30" w:right="63" w:rightChars="30"/>
              <w:jc w:val="center"/>
              <w:textAlignment w:val="baseline"/>
              <w:rPr>
                <w:rFonts w:eastAsia="仿宋_GB2312"/>
                <w:color w:val="auto"/>
                <w:sz w:val="30"/>
                <w:szCs w:val="30"/>
              </w:rPr>
            </w:pPr>
          </w:p>
        </w:tc>
        <w:tc>
          <w:tcPr>
            <w:tcW w:w="1058" w:type="dxa"/>
            <w:vAlign w:val="center"/>
          </w:tcPr>
          <w:p w14:paraId="67CF7B15">
            <w:pPr>
              <w:keepNext/>
              <w:adjustRightInd w:val="0"/>
              <w:spacing w:line="440" w:lineRule="exact"/>
              <w:ind w:left="63" w:leftChars="30" w:right="63" w:rightChars="30"/>
              <w:jc w:val="center"/>
              <w:textAlignment w:val="baseline"/>
              <w:rPr>
                <w:rFonts w:eastAsia="仿宋_GB2312"/>
                <w:color w:val="auto"/>
                <w:sz w:val="30"/>
                <w:szCs w:val="30"/>
              </w:rPr>
            </w:pPr>
          </w:p>
        </w:tc>
        <w:tc>
          <w:tcPr>
            <w:tcW w:w="880" w:type="dxa"/>
            <w:vAlign w:val="center"/>
          </w:tcPr>
          <w:p w14:paraId="7E053F97">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192432B2">
            <w:pPr>
              <w:keepNext/>
              <w:adjustRightInd w:val="0"/>
              <w:spacing w:line="440" w:lineRule="exact"/>
              <w:ind w:left="63" w:leftChars="30" w:right="63" w:rightChars="30"/>
              <w:jc w:val="center"/>
              <w:textAlignment w:val="baseline"/>
              <w:rPr>
                <w:rFonts w:eastAsia="仿宋_GB2312"/>
                <w:color w:val="auto"/>
                <w:sz w:val="30"/>
                <w:szCs w:val="30"/>
              </w:rPr>
            </w:pPr>
          </w:p>
        </w:tc>
        <w:tc>
          <w:tcPr>
            <w:tcW w:w="1480" w:type="dxa"/>
            <w:vAlign w:val="center"/>
          </w:tcPr>
          <w:p w14:paraId="34B0290C">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08FDEBD1">
            <w:pPr>
              <w:keepNext/>
              <w:adjustRightInd w:val="0"/>
              <w:spacing w:line="440" w:lineRule="exact"/>
              <w:ind w:left="63" w:leftChars="30" w:right="63" w:rightChars="30"/>
              <w:jc w:val="center"/>
              <w:textAlignment w:val="baseline"/>
              <w:rPr>
                <w:rFonts w:eastAsia="仿宋_GB2312"/>
                <w:color w:val="auto"/>
                <w:sz w:val="30"/>
                <w:szCs w:val="30"/>
              </w:rPr>
            </w:pPr>
          </w:p>
        </w:tc>
        <w:tc>
          <w:tcPr>
            <w:tcW w:w="921" w:type="dxa"/>
            <w:vAlign w:val="center"/>
          </w:tcPr>
          <w:p w14:paraId="42B01AC0">
            <w:pPr>
              <w:keepNext/>
              <w:adjustRightInd w:val="0"/>
              <w:spacing w:line="440" w:lineRule="exact"/>
              <w:ind w:left="63" w:leftChars="30" w:right="63" w:rightChars="30"/>
              <w:jc w:val="center"/>
              <w:textAlignment w:val="baseline"/>
              <w:rPr>
                <w:rFonts w:eastAsia="仿宋_GB2312"/>
                <w:color w:val="auto"/>
                <w:sz w:val="30"/>
                <w:szCs w:val="30"/>
              </w:rPr>
            </w:pPr>
          </w:p>
        </w:tc>
      </w:tr>
      <w:tr w14:paraId="4590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B98383F">
            <w:pPr>
              <w:keepNext/>
              <w:adjustRightInd w:val="0"/>
              <w:spacing w:line="440" w:lineRule="exact"/>
              <w:ind w:left="63" w:leftChars="30" w:right="63" w:rightChars="30"/>
              <w:jc w:val="center"/>
              <w:textAlignment w:val="baseline"/>
              <w:rPr>
                <w:rFonts w:eastAsia="仿宋_GB2312"/>
                <w:color w:val="auto"/>
                <w:sz w:val="30"/>
                <w:szCs w:val="30"/>
              </w:rPr>
            </w:pPr>
          </w:p>
        </w:tc>
        <w:tc>
          <w:tcPr>
            <w:tcW w:w="1418" w:type="dxa"/>
            <w:vAlign w:val="center"/>
          </w:tcPr>
          <w:p w14:paraId="329621A6">
            <w:pPr>
              <w:keepNext/>
              <w:adjustRightInd w:val="0"/>
              <w:spacing w:line="440" w:lineRule="exact"/>
              <w:ind w:left="63" w:leftChars="30" w:right="63" w:rightChars="30"/>
              <w:jc w:val="center"/>
              <w:textAlignment w:val="baseline"/>
              <w:rPr>
                <w:rFonts w:eastAsia="仿宋_GB2312"/>
                <w:color w:val="auto"/>
                <w:sz w:val="30"/>
                <w:szCs w:val="30"/>
              </w:rPr>
            </w:pPr>
          </w:p>
        </w:tc>
        <w:tc>
          <w:tcPr>
            <w:tcW w:w="850" w:type="dxa"/>
            <w:vAlign w:val="center"/>
          </w:tcPr>
          <w:p w14:paraId="1C63A497">
            <w:pPr>
              <w:keepNext/>
              <w:adjustRightInd w:val="0"/>
              <w:spacing w:line="440" w:lineRule="exact"/>
              <w:ind w:left="63" w:leftChars="30" w:right="63" w:rightChars="30"/>
              <w:jc w:val="center"/>
              <w:textAlignment w:val="baseline"/>
              <w:rPr>
                <w:rFonts w:eastAsia="仿宋_GB2312"/>
                <w:color w:val="auto"/>
                <w:sz w:val="30"/>
                <w:szCs w:val="30"/>
              </w:rPr>
            </w:pPr>
          </w:p>
        </w:tc>
        <w:tc>
          <w:tcPr>
            <w:tcW w:w="1058" w:type="dxa"/>
            <w:vAlign w:val="center"/>
          </w:tcPr>
          <w:p w14:paraId="28E802DA">
            <w:pPr>
              <w:keepNext/>
              <w:adjustRightInd w:val="0"/>
              <w:spacing w:line="440" w:lineRule="exact"/>
              <w:ind w:left="63" w:leftChars="30" w:right="63" w:rightChars="30"/>
              <w:jc w:val="center"/>
              <w:textAlignment w:val="baseline"/>
              <w:rPr>
                <w:rFonts w:eastAsia="仿宋_GB2312"/>
                <w:color w:val="auto"/>
                <w:sz w:val="30"/>
                <w:szCs w:val="30"/>
              </w:rPr>
            </w:pPr>
          </w:p>
        </w:tc>
        <w:tc>
          <w:tcPr>
            <w:tcW w:w="880" w:type="dxa"/>
            <w:vAlign w:val="center"/>
          </w:tcPr>
          <w:p w14:paraId="7BE257A9">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63CD849B">
            <w:pPr>
              <w:keepNext/>
              <w:adjustRightInd w:val="0"/>
              <w:spacing w:line="440" w:lineRule="exact"/>
              <w:ind w:left="63" w:leftChars="30" w:right="63" w:rightChars="30"/>
              <w:jc w:val="center"/>
              <w:textAlignment w:val="baseline"/>
              <w:rPr>
                <w:rFonts w:eastAsia="仿宋_GB2312"/>
                <w:color w:val="auto"/>
                <w:sz w:val="30"/>
                <w:szCs w:val="30"/>
              </w:rPr>
            </w:pPr>
          </w:p>
        </w:tc>
        <w:tc>
          <w:tcPr>
            <w:tcW w:w="1480" w:type="dxa"/>
            <w:vAlign w:val="center"/>
          </w:tcPr>
          <w:p w14:paraId="4792DDE5">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4FCD14F1">
            <w:pPr>
              <w:keepNext/>
              <w:adjustRightInd w:val="0"/>
              <w:spacing w:line="440" w:lineRule="exact"/>
              <w:ind w:left="63" w:leftChars="30" w:right="63" w:rightChars="30"/>
              <w:jc w:val="center"/>
              <w:textAlignment w:val="baseline"/>
              <w:rPr>
                <w:rFonts w:eastAsia="仿宋_GB2312"/>
                <w:color w:val="auto"/>
                <w:sz w:val="30"/>
                <w:szCs w:val="30"/>
              </w:rPr>
            </w:pPr>
          </w:p>
        </w:tc>
        <w:tc>
          <w:tcPr>
            <w:tcW w:w="921" w:type="dxa"/>
            <w:vAlign w:val="center"/>
          </w:tcPr>
          <w:p w14:paraId="623AA4A4">
            <w:pPr>
              <w:keepNext/>
              <w:adjustRightInd w:val="0"/>
              <w:spacing w:line="440" w:lineRule="exact"/>
              <w:ind w:left="63" w:leftChars="30" w:right="63" w:rightChars="30"/>
              <w:jc w:val="center"/>
              <w:textAlignment w:val="baseline"/>
              <w:rPr>
                <w:rFonts w:eastAsia="仿宋_GB2312"/>
                <w:color w:val="auto"/>
                <w:sz w:val="30"/>
                <w:szCs w:val="30"/>
              </w:rPr>
            </w:pPr>
          </w:p>
        </w:tc>
      </w:tr>
      <w:tr w14:paraId="2282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457C2F84">
            <w:pPr>
              <w:keepNext/>
              <w:adjustRightInd w:val="0"/>
              <w:spacing w:line="440" w:lineRule="exact"/>
              <w:ind w:left="63" w:leftChars="30" w:right="63" w:rightChars="30"/>
              <w:jc w:val="center"/>
              <w:textAlignment w:val="baseline"/>
              <w:rPr>
                <w:rFonts w:eastAsia="仿宋_GB2312"/>
                <w:color w:val="auto"/>
                <w:sz w:val="30"/>
                <w:szCs w:val="30"/>
              </w:rPr>
            </w:pPr>
          </w:p>
        </w:tc>
        <w:tc>
          <w:tcPr>
            <w:tcW w:w="1418" w:type="dxa"/>
            <w:vAlign w:val="center"/>
          </w:tcPr>
          <w:p w14:paraId="67393538">
            <w:pPr>
              <w:keepNext/>
              <w:adjustRightInd w:val="0"/>
              <w:spacing w:line="440" w:lineRule="exact"/>
              <w:ind w:left="63" w:leftChars="30" w:right="63" w:rightChars="30"/>
              <w:jc w:val="center"/>
              <w:textAlignment w:val="baseline"/>
              <w:rPr>
                <w:rFonts w:eastAsia="仿宋_GB2312"/>
                <w:color w:val="auto"/>
                <w:sz w:val="30"/>
                <w:szCs w:val="30"/>
              </w:rPr>
            </w:pPr>
          </w:p>
        </w:tc>
        <w:tc>
          <w:tcPr>
            <w:tcW w:w="850" w:type="dxa"/>
            <w:vAlign w:val="center"/>
          </w:tcPr>
          <w:p w14:paraId="0527499B">
            <w:pPr>
              <w:keepNext/>
              <w:adjustRightInd w:val="0"/>
              <w:spacing w:line="440" w:lineRule="exact"/>
              <w:ind w:left="63" w:leftChars="30" w:right="63" w:rightChars="30"/>
              <w:jc w:val="center"/>
              <w:textAlignment w:val="baseline"/>
              <w:rPr>
                <w:rFonts w:eastAsia="仿宋_GB2312"/>
                <w:color w:val="auto"/>
                <w:sz w:val="30"/>
                <w:szCs w:val="30"/>
              </w:rPr>
            </w:pPr>
          </w:p>
        </w:tc>
        <w:tc>
          <w:tcPr>
            <w:tcW w:w="1058" w:type="dxa"/>
            <w:vAlign w:val="center"/>
          </w:tcPr>
          <w:p w14:paraId="32A1FD49">
            <w:pPr>
              <w:keepNext/>
              <w:adjustRightInd w:val="0"/>
              <w:spacing w:line="440" w:lineRule="exact"/>
              <w:ind w:left="63" w:leftChars="30" w:right="63" w:rightChars="30"/>
              <w:jc w:val="center"/>
              <w:textAlignment w:val="baseline"/>
              <w:rPr>
                <w:rFonts w:eastAsia="仿宋_GB2312"/>
                <w:color w:val="auto"/>
                <w:sz w:val="30"/>
                <w:szCs w:val="30"/>
              </w:rPr>
            </w:pPr>
          </w:p>
        </w:tc>
        <w:tc>
          <w:tcPr>
            <w:tcW w:w="880" w:type="dxa"/>
            <w:vAlign w:val="center"/>
          </w:tcPr>
          <w:p w14:paraId="2CF36BBA">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5C898AAD">
            <w:pPr>
              <w:keepNext/>
              <w:adjustRightInd w:val="0"/>
              <w:spacing w:line="440" w:lineRule="exact"/>
              <w:ind w:left="63" w:leftChars="30" w:right="63" w:rightChars="30"/>
              <w:jc w:val="center"/>
              <w:textAlignment w:val="baseline"/>
              <w:rPr>
                <w:rFonts w:eastAsia="仿宋_GB2312"/>
                <w:color w:val="auto"/>
                <w:sz w:val="30"/>
                <w:szCs w:val="30"/>
              </w:rPr>
            </w:pPr>
          </w:p>
        </w:tc>
        <w:tc>
          <w:tcPr>
            <w:tcW w:w="1480" w:type="dxa"/>
            <w:vAlign w:val="center"/>
          </w:tcPr>
          <w:p w14:paraId="41792D0A">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456E977F">
            <w:pPr>
              <w:keepNext/>
              <w:adjustRightInd w:val="0"/>
              <w:spacing w:line="440" w:lineRule="exact"/>
              <w:ind w:left="63" w:leftChars="30" w:right="63" w:rightChars="30"/>
              <w:jc w:val="center"/>
              <w:textAlignment w:val="baseline"/>
              <w:rPr>
                <w:rFonts w:eastAsia="仿宋_GB2312"/>
                <w:color w:val="auto"/>
                <w:sz w:val="30"/>
                <w:szCs w:val="30"/>
              </w:rPr>
            </w:pPr>
          </w:p>
        </w:tc>
        <w:tc>
          <w:tcPr>
            <w:tcW w:w="921" w:type="dxa"/>
            <w:vAlign w:val="center"/>
          </w:tcPr>
          <w:p w14:paraId="0C0799E1">
            <w:pPr>
              <w:keepNext/>
              <w:adjustRightInd w:val="0"/>
              <w:spacing w:line="440" w:lineRule="exact"/>
              <w:ind w:left="63" w:leftChars="30" w:right="63" w:rightChars="30"/>
              <w:jc w:val="center"/>
              <w:textAlignment w:val="baseline"/>
              <w:rPr>
                <w:rFonts w:eastAsia="仿宋_GB2312"/>
                <w:color w:val="auto"/>
                <w:sz w:val="30"/>
                <w:szCs w:val="30"/>
              </w:rPr>
            </w:pPr>
          </w:p>
        </w:tc>
      </w:tr>
      <w:tr w14:paraId="06EE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621B297">
            <w:pPr>
              <w:keepNext/>
              <w:adjustRightInd w:val="0"/>
              <w:spacing w:line="440" w:lineRule="exact"/>
              <w:ind w:left="63" w:leftChars="30" w:right="63" w:rightChars="30"/>
              <w:jc w:val="center"/>
              <w:textAlignment w:val="baseline"/>
              <w:rPr>
                <w:rFonts w:eastAsia="仿宋_GB2312"/>
                <w:color w:val="auto"/>
                <w:sz w:val="30"/>
                <w:szCs w:val="30"/>
              </w:rPr>
            </w:pPr>
          </w:p>
        </w:tc>
        <w:tc>
          <w:tcPr>
            <w:tcW w:w="1418" w:type="dxa"/>
            <w:vAlign w:val="center"/>
          </w:tcPr>
          <w:p w14:paraId="1C91944D">
            <w:pPr>
              <w:keepNext/>
              <w:adjustRightInd w:val="0"/>
              <w:spacing w:line="440" w:lineRule="exact"/>
              <w:ind w:left="63" w:leftChars="30" w:right="63" w:rightChars="30"/>
              <w:jc w:val="center"/>
              <w:textAlignment w:val="baseline"/>
              <w:rPr>
                <w:rFonts w:eastAsia="仿宋_GB2312"/>
                <w:color w:val="auto"/>
                <w:sz w:val="30"/>
                <w:szCs w:val="30"/>
              </w:rPr>
            </w:pPr>
          </w:p>
        </w:tc>
        <w:tc>
          <w:tcPr>
            <w:tcW w:w="850" w:type="dxa"/>
            <w:vAlign w:val="center"/>
          </w:tcPr>
          <w:p w14:paraId="477BA331">
            <w:pPr>
              <w:keepNext/>
              <w:adjustRightInd w:val="0"/>
              <w:spacing w:line="440" w:lineRule="exact"/>
              <w:ind w:left="63" w:leftChars="30" w:right="63" w:rightChars="30"/>
              <w:jc w:val="center"/>
              <w:textAlignment w:val="baseline"/>
              <w:rPr>
                <w:rFonts w:eastAsia="仿宋_GB2312"/>
                <w:color w:val="auto"/>
                <w:sz w:val="30"/>
                <w:szCs w:val="30"/>
              </w:rPr>
            </w:pPr>
          </w:p>
        </w:tc>
        <w:tc>
          <w:tcPr>
            <w:tcW w:w="1058" w:type="dxa"/>
            <w:vAlign w:val="center"/>
          </w:tcPr>
          <w:p w14:paraId="39151C9F">
            <w:pPr>
              <w:keepNext/>
              <w:adjustRightInd w:val="0"/>
              <w:spacing w:line="440" w:lineRule="exact"/>
              <w:ind w:left="63" w:leftChars="30" w:right="63" w:rightChars="30"/>
              <w:jc w:val="center"/>
              <w:textAlignment w:val="baseline"/>
              <w:rPr>
                <w:rFonts w:eastAsia="仿宋_GB2312"/>
                <w:color w:val="auto"/>
                <w:sz w:val="30"/>
                <w:szCs w:val="30"/>
              </w:rPr>
            </w:pPr>
          </w:p>
        </w:tc>
        <w:tc>
          <w:tcPr>
            <w:tcW w:w="880" w:type="dxa"/>
            <w:vAlign w:val="center"/>
          </w:tcPr>
          <w:p w14:paraId="031BFCCF">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276F01EC">
            <w:pPr>
              <w:keepNext/>
              <w:adjustRightInd w:val="0"/>
              <w:spacing w:line="440" w:lineRule="exact"/>
              <w:ind w:left="63" w:leftChars="30" w:right="63" w:rightChars="30"/>
              <w:jc w:val="center"/>
              <w:textAlignment w:val="baseline"/>
              <w:rPr>
                <w:rFonts w:eastAsia="仿宋_GB2312"/>
                <w:color w:val="auto"/>
                <w:sz w:val="30"/>
                <w:szCs w:val="30"/>
              </w:rPr>
            </w:pPr>
          </w:p>
        </w:tc>
        <w:tc>
          <w:tcPr>
            <w:tcW w:w="1480" w:type="dxa"/>
            <w:vAlign w:val="center"/>
          </w:tcPr>
          <w:p w14:paraId="0AD36F9B">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373024C4">
            <w:pPr>
              <w:keepNext/>
              <w:adjustRightInd w:val="0"/>
              <w:spacing w:line="440" w:lineRule="exact"/>
              <w:ind w:left="63" w:leftChars="30" w:right="63" w:rightChars="30"/>
              <w:jc w:val="center"/>
              <w:textAlignment w:val="baseline"/>
              <w:rPr>
                <w:rFonts w:eastAsia="仿宋_GB2312"/>
                <w:color w:val="auto"/>
                <w:sz w:val="30"/>
                <w:szCs w:val="30"/>
              </w:rPr>
            </w:pPr>
          </w:p>
        </w:tc>
        <w:tc>
          <w:tcPr>
            <w:tcW w:w="921" w:type="dxa"/>
            <w:vAlign w:val="center"/>
          </w:tcPr>
          <w:p w14:paraId="2A9AF6B6">
            <w:pPr>
              <w:keepNext/>
              <w:adjustRightInd w:val="0"/>
              <w:spacing w:line="440" w:lineRule="exact"/>
              <w:ind w:left="63" w:leftChars="30" w:right="63" w:rightChars="30"/>
              <w:jc w:val="center"/>
              <w:textAlignment w:val="baseline"/>
              <w:rPr>
                <w:rFonts w:eastAsia="仿宋_GB2312"/>
                <w:color w:val="auto"/>
                <w:sz w:val="30"/>
                <w:szCs w:val="30"/>
              </w:rPr>
            </w:pPr>
          </w:p>
        </w:tc>
      </w:tr>
      <w:tr w14:paraId="22E1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C812714">
            <w:pPr>
              <w:rPr>
                <w:rFonts w:eastAsia="仿宋_GB2312"/>
                <w:color w:val="auto"/>
                <w:sz w:val="30"/>
                <w:szCs w:val="30"/>
              </w:rPr>
            </w:pPr>
          </w:p>
        </w:tc>
        <w:tc>
          <w:tcPr>
            <w:tcW w:w="1418" w:type="dxa"/>
          </w:tcPr>
          <w:p w14:paraId="1AD3D4B8">
            <w:pPr>
              <w:rPr>
                <w:rFonts w:eastAsia="仿宋_GB2312"/>
                <w:color w:val="auto"/>
                <w:sz w:val="30"/>
                <w:szCs w:val="30"/>
              </w:rPr>
            </w:pPr>
          </w:p>
        </w:tc>
        <w:tc>
          <w:tcPr>
            <w:tcW w:w="850" w:type="dxa"/>
          </w:tcPr>
          <w:p w14:paraId="7CD99E24">
            <w:pPr>
              <w:rPr>
                <w:rFonts w:eastAsia="仿宋_GB2312"/>
                <w:color w:val="auto"/>
                <w:sz w:val="30"/>
                <w:szCs w:val="30"/>
              </w:rPr>
            </w:pPr>
          </w:p>
        </w:tc>
        <w:tc>
          <w:tcPr>
            <w:tcW w:w="1058" w:type="dxa"/>
          </w:tcPr>
          <w:p w14:paraId="172B3188">
            <w:pPr>
              <w:rPr>
                <w:rFonts w:eastAsia="仿宋_GB2312"/>
                <w:color w:val="auto"/>
                <w:sz w:val="30"/>
                <w:szCs w:val="30"/>
              </w:rPr>
            </w:pPr>
          </w:p>
        </w:tc>
        <w:tc>
          <w:tcPr>
            <w:tcW w:w="880" w:type="dxa"/>
          </w:tcPr>
          <w:p w14:paraId="7C5C63CD">
            <w:pPr>
              <w:rPr>
                <w:rFonts w:eastAsia="仿宋_GB2312"/>
                <w:color w:val="auto"/>
                <w:sz w:val="30"/>
                <w:szCs w:val="30"/>
              </w:rPr>
            </w:pPr>
          </w:p>
        </w:tc>
        <w:tc>
          <w:tcPr>
            <w:tcW w:w="1020" w:type="dxa"/>
          </w:tcPr>
          <w:p w14:paraId="16BE0A67">
            <w:pPr>
              <w:rPr>
                <w:rFonts w:eastAsia="仿宋_GB2312"/>
                <w:color w:val="auto"/>
                <w:sz w:val="30"/>
                <w:szCs w:val="30"/>
              </w:rPr>
            </w:pPr>
          </w:p>
        </w:tc>
        <w:tc>
          <w:tcPr>
            <w:tcW w:w="1480" w:type="dxa"/>
          </w:tcPr>
          <w:p w14:paraId="1BE13C92">
            <w:pPr>
              <w:rPr>
                <w:rFonts w:eastAsia="仿宋_GB2312"/>
                <w:color w:val="auto"/>
                <w:sz w:val="30"/>
                <w:szCs w:val="30"/>
              </w:rPr>
            </w:pPr>
          </w:p>
        </w:tc>
        <w:tc>
          <w:tcPr>
            <w:tcW w:w="1020" w:type="dxa"/>
          </w:tcPr>
          <w:p w14:paraId="4712203F">
            <w:pPr>
              <w:rPr>
                <w:rFonts w:eastAsia="仿宋_GB2312"/>
                <w:color w:val="auto"/>
                <w:sz w:val="30"/>
                <w:szCs w:val="30"/>
              </w:rPr>
            </w:pPr>
          </w:p>
        </w:tc>
        <w:tc>
          <w:tcPr>
            <w:tcW w:w="921" w:type="dxa"/>
          </w:tcPr>
          <w:p w14:paraId="48C7D85E">
            <w:pPr>
              <w:rPr>
                <w:rFonts w:eastAsia="仿宋_GB2312"/>
                <w:color w:val="auto"/>
                <w:sz w:val="30"/>
                <w:szCs w:val="30"/>
              </w:rPr>
            </w:pPr>
          </w:p>
        </w:tc>
      </w:tr>
      <w:tr w14:paraId="4862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7BFD49EA">
            <w:pPr>
              <w:keepNext/>
              <w:adjustRightInd w:val="0"/>
              <w:spacing w:line="440" w:lineRule="exact"/>
              <w:ind w:left="63" w:leftChars="30" w:right="63" w:rightChars="30"/>
              <w:jc w:val="center"/>
              <w:textAlignment w:val="baseline"/>
              <w:rPr>
                <w:rFonts w:eastAsia="仿宋_GB2312"/>
                <w:color w:val="auto"/>
                <w:sz w:val="30"/>
                <w:szCs w:val="30"/>
              </w:rPr>
            </w:pPr>
          </w:p>
        </w:tc>
        <w:tc>
          <w:tcPr>
            <w:tcW w:w="1418" w:type="dxa"/>
            <w:vAlign w:val="center"/>
          </w:tcPr>
          <w:p w14:paraId="5F707223">
            <w:pPr>
              <w:keepNext/>
              <w:adjustRightInd w:val="0"/>
              <w:spacing w:line="440" w:lineRule="exact"/>
              <w:ind w:left="63" w:leftChars="30" w:right="63" w:rightChars="30"/>
              <w:jc w:val="center"/>
              <w:textAlignment w:val="baseline"/>
              <w:rPr>
                <w:rFonts w:eastAsia="仿宋_GB2312"/>
                <w:color w:val="auto"/>
                <w:sz w:val="30"/>
                <w:szCs w:val="30"/>
              </w:rPr>
            </w:pPr>
          </w:p>
        </w:tc>
        <w:tc>
          <w:tcPr>
            <w:tcW w:w="850" w:type="dxa"/>
            <w:vAlign w:val="center"/>
          </w:tcPr>
          <w:p w14:paraId="102AE4F3">
            <w:pPr>
              <w:keepNext/>
              <w:adjustRightInd w:val="0"/>
              <w:spacing w:line="440" w:lineRule="exact"/>
              <w:ind w:left="63" w:leftChars="30" w:right="63" w:rightChars="30"/>
              <w:jc w:val="center"/>
              <w:textAlignment w:val="baseline"/>
              <w:rPr>
                <w:rFonts w:eastAsia="仿宋_GB2312"/>
                <w:color w:val="auto"/>
                <w:sz w:val="30"/>
                <w:szCs w:val="30"/>
              </w:rPr>
            </w:pPr>
          </w:p>
        </w:tc>
        <w:tc>
          <w:tcPr>
            <w:tcW w:w="1058" w:type="dxa"/>
            <w:vAlign w:val="center"/>
          </w:tcPr>
          <w:p w14:paraId="0771B2C9">
            <w:pPr>
              <w:keepNext/>
              <w:adjustRightInd w:val="0"/>
              <w:spacing w:line="440" w:lineRule="exact"/>
              <w:ind w:left="63" w:leftChars="30" w:right="63" w:rightChars="30"/>
              <w:jc w:val="center"/>
              <w:textAlignment w:val="baseline"/>
              <w:rPr>
                <w:rFonts w:eastAsia="仿宋_GB2312"/>
                <w:color w:val="auto"/>
                <w:sz w:val="30"/>
                <w:szCs w:val="30"/>
              </w:rPr>
            </w:pPr>
          </w:p>
        </w:tc>
        <w:tc>
          <w:tcPr>
            <w:tcW w:w="880" w:type="dxa"/>
            <w:vAlign w:val="center"/>
          </w:tcPr>
          <w:p w14:paraId="7357AFF9">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0A8F6A4D">
            <w:pPr>
              <w:keepNext/>
              <w:adjustRightInd w:val="0"/>
              <w:spacing w:line="440" w:lineRule="exact"/>
              <w:ind w:left="63" w:leftChars="30" w:right="63" w:rightChars="30"/>
              <w:jc w:val="center"/>
              <w:textAlignment w:val="baseline"/>
              <w:rPr>
                <w:rFonts w:eastAsia="仿宋_GB2312"/>
                <w:color w:val="auto"/>
                <w:sz w:val="30"/>
                <w:szCs w:val="30"/>
              </w:rPr>
            </w:pPr>
          </w:p>
        </w:tc>
        <w:tc>
          <w:tcPr>
            <w:tcW w:w="1480" w:type="dxa"/>
            <w:vAlign w:val="center"/>
          </w:tcPr>
          <w:p w14:paraId="04317AD0">
            <w:pPr>
              <w:keepNext/>
              <w:adjustRightInd w:val="0"/>
              <w:spacing w:line="440" w:lineRule="exact"/>
              <w:ind w:left="63" w:leftChars="30" w:right="63" w:rightChars="30"/>
              <w:jc w:val="center"/>
              <w:textAlignment w:val="baseline"/>
              <w:rPr>
                <w:rFonts w:eastAsia="仿宋_GB2312"/>
                <w:color w:val="auto"/>
                <w:sz w:val="30"/>
                <w:szCs w:val="30"/>
              </w:rPr>
            </w:pPr>
          </w:p>
        </w:tc>
        <w:tc>
          <w:tcPr>
            <w:tcW w:w="1020" w:type="dxa"/>
            <w:vAlign w:val="center"/>
          </w:tcPr>
          <w:p w14:paraId="7FA1967E">
            <w:pPr>
              <w:keepNext/>
              <w:adjustRightInd w:val="0"/>
              <w:spacing w:line="440" w:lineRule="exact"/>
              <w:ind w:left="63" w:leftChars="30" w:right="63" w:rightChars="30"/>
              <w:jc w:val="center"/>
              <w:textAlignment w:val="baseline"/>
              <w:rPr>
                <w:rFonts w:eastAsia="仿宋_GB2312"/>
                <w:color w:val="auto"/>
                <w:sz w:val="30"/>
                <w:szCs w:val="30"/>
              </w:rPr>
            </w:pPr>
          </w:p>
        </w:tc>
        <w:tc>
          <w:tcPr>
            <w:tcW w:w="921" w:type="dxa"/>
            <w:vAlign w:val="center"/>
          </w:tcPr>
          <w:p w14:paraId="2B3F8B49">
            <w:pPr>
              <w:keepNext/>
              <w:adjustRightInd w:val="0"/>
              <w:spacing w:line="440" w:lineRule="exact"/>
              <w:ind w:left="63" w:leftChars="30" w:right="63" w:rightChars="30"/>
              <w:jc w:val="center"/>
              <w:textAlignment w:val="baseline"/>
              <w:rPr>
                <w:rFonts w:eastAsia="仿宋_GB2312"/>
                <w:color w:val="auto"/>
                <w:sz w:val="30"/>
                <w:szCs w:val="30"/>
              </w:rPr>
            </w:pPr>
          </w:p>
        </w:tc>
      </w:tr>
      <w:tr w14:paraId="4B21F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2A13CF65">
            <w:pPr>
              <w:rPr>
                <w:rFonts w:eastAsia="仿宋_GB2312"/>
                <w:color w:val="auto"/>
                <w:sz w:val="30"/>
                <w:szCs w:val="30"/>
              </w:rPr>
            </w:pPr>
          </w:p>
        </w:tc>
        <w:tc>
          <w:tcPr>
            <w:tcW w:w="1418" w:type="dxa"/>
          </w:tcPr>
          <w:p w14:paraId="350ECD2D">
            <w:pPr>
              <w:rPr>
                <w:rFonts w:eastAsia="仿宋_GB2312"/>
                <w:color w:val="auto"/>
                <w:sz w:val="30"/>
                <w:szCs w:val="30"/>
              </w:rPr>
            </w:pPr>
          </w:p>
        </w:tc>
        <w:tc>
          <w:tcPr>
            <w:tcW w:w="850" w:type="dxa"/>
          </w:tcPr>
          <w:p w14:paraId="43F3AEB3">
            <w:pPr>
              <w:rPr>
                <w:rFonts w:eastAsia="仿宋_GB2312"/>
                <w:color w:val="auto"/>
                <w:sz w:val="30"/>
                <w:szCs w:val="30"/>
              </w:rPr>
            </w:pPr>
          </w:p>
        </w:tc>
        <w:tc>
          <w:tcPr>
            <w:tcW w:w="1058" w:type="dxa"/>
          </w:tcPr>
          <w:p w14:paraId="2FC49845">
            <w:pPr>
              <w:rPr>
                <w:rFonts w:eastAsia="仿宋_GB2312"/>
                <w:color w:val="auto"/>
                <w:sz w:val="30"/>
                <w:szCs w:val="30"/>
              </w:rPr>
            </w:pPr>
          </w:p>
        </w:tc>
        <w:tc>
          <w:tcPr>
            <w:tcW w:w="880" w:type="dxa"/>
          </w:tcPr>
          <w:p w14:paraId="5D1FC4F8">
            <w:pPr>
              <w:rPr>
                <w:rFonts w:eastAsia="仿宋_GB2312"/>
                <w:color w:val="auto"/>
                <w:sz w:val="30"/>
                <w:szCs w:val="30"/>
              </w:rPr>
            </w:pPr>
          </w:p>
        </w:tc>
        <w:tc>
          <w:tcPr>
            <w:tcW w:w="1020" w:type="dxa"/>
          </w:tcPr>
          <w:p w14:paraId="3CDD6D45">
            <w:pPr>
              <w:rPr>
                <w:rFonts w:eastAsia="仿宋_GB2312"/>
                <w:color w:val="auto"/>
                <w:sz w:val="30"/>
                <w:szCs w:val="30"/>
              </w:rPr>
            </w:pPr>
          </w:p>
        </w:tc>
        <w:tc>
          <w:tcPr>
            <w:tcW w:w="1480" w:type="dxa"/>
          </w:tcPr>
          <w:p w14:paraId="75C84ECF">
            <w:pPr>
              <w:rPr>
                <w:rFonts w:eastAsia="仿宋_GB2312"/>
                <w:color w:val="auto"/>
                <w:sz w:val="30"/>
                <w:szCs w:val="30"/>
              </w:rPr>
            </w:pPr>
          </w:p>
        </w:tc>
        <w:tc>
          <w:tcPr>
            <w:tcW w:w="1020" w:type="dxa"/>
          </w:tcPr>
          <w:p w14:paraId="6B698A56">
            <w:pPr>
              <w:rPr>
                <w:rFonts w:eastAsia="仿宋_GB2312"/>
                <w:color w:val="auto"/>
                <w:sz w:val="30"/>
                <w:szCs w:val="30"/>
              </w:rPr>
            </w:pPr>
          </w:p>
        </w:tc>
        <w:tc>
          <w:tcPr>
            <w:tcW w:w="921" w:type="dxa"/>
          </w:tcPr>
          <w:p w14:paraId="035C4AE9">
            <w:pPr>
              <w:rPr>
                <w:rFonts w:eastAsia="仿宋_GB2312"/>
                <w:color w:val="auto"/>
                <w:sz w:val="30"/>
                <w:szCs w:val="30"/>
              </w:rPr>
            </w:pPr>
          </w:p>
        </w:tc>
      </w:tr>
      <w:tr w14:paraId="255BB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3F58C2B5">
            <w:pPr>
              <w:rPr>
                <w:rFonts w:eastAsia="仿宋_GB2312"/>
                <w:color w:val="auto"/>
                <w:sz w:val="30"/>
                <w:szCs w:val="30"/>
              </w:rPr>
            </w:pPr>
          </w:p>
        </w:tc>
        <w:tc>
          <w:tcPr>
            <w:tcW w:w="1418" w:type="dxa"/>
          </w:tcPr>
          <w:p w14:paraId="7AED11D2">
            <w:pPr>
              <w:rPr>
                <w:rFonts w:eastAsia="仿宋_GB2312"/>
                <w:color w:val="auto"/>
                <w:sz w:val="30"/>
                <w:szCs w:val="30"/>
              </w:rPr>
            </w:pPr>
          </w:p>
        </w:tc>
        <w:tc>
          <w:tcPr>
            <w:tcW w:w="850" w:type="dxa"/>
          </w:tcPr>
          <w:p w14:paraId="1362222B">
            <w:pPr>
              <w:rPr>
                <w:rFonts w:eastAsia="仿宋_GB2312"/>
                <w:color w:val="auto"/>
                <w:sz w:val="30"/>
                <w:szCs w:val="30"/>
              </w:rPr>
            </w:pPr>
          </w:p>
        </w:tc>
        <w:tc>
          <w:tcPr>
            <w:tcW w:w="1058" w:type="dxa"/>
          </w:tcPr>
          <w:p w14:paraId="6266391D">
            <w:pPr>
              <w:rPr>
                <w:rFonts w:eastAsia="仿宋_GB2312"/>
                <w:color w:val="auto"/>
                <w:sz w:val="30"/>
                <w:szCs w:val="30"/>
              </w:rPr>
            </w:pPr>
          </w:p>
        </w:tc>
        <w:tc>
          <w:tcPr>
            <w:tcW w:w="880" w:type="dxa"/>
          </w:tcPr>
          <w:p w14:paraId="492567CF">
            <w:pPr>
              <w:rPr>
                <w:rFonts w:eastAsia="仿宋_GB2312"/>
                <w:color w:val="auto"/>
                <w:sz w:val="30"/>
                <w:szCs w:val="30"/>
              </w:rPr>
            </w:pPr>
          </w:p>
        </w:tc>
        <w:tc>
          <w:tcPr>
            <w:tcW w:w="1020" w:type="dxa"/>
          </w:tcPr>
          <w:p w14:paraId="27856450">
            <w:pPr>
              <w:rPr>
                <w:rFonts w:eastAsia="仿宋_GB2312"/>
                <w:color w:val="auto"/>
                <w:sz w:val="30"/>
                <w:szCs w:val="30"/>
              </w:rPr>
            </w:pPr>
          </w:p>
        </w:tc>
        <w:tc>
          <w:tcPr>
            <w:tcW w:w="1480" w:type="dxa"/>
          </w:tcPr>
          <w:p w14:paraId="36D2C459">
            <w:pPr>
              <w:rPr>
                <w:rFonts w:eastAsia="仿宋_GB2312"/>
                <w:color w:val="auto"/>
                <w:sz w:val="30"/>
                <w:szCs w:val="30"/>
              </w:rPr>
            </w:pPr>
          </w:p>
        </w:tc>
        <w:tc>
          <w:tcPr>
            <w:tcW w:w="1020" w:type="dxa"/>
          </w:tcPr>
          <w:p w14:paraId="7BE03C57">
            <w:pPr>
              <w:rPr>
                <w:rFonts w:eastAsia="仿宋_GB2312"/>
                <w:color w:val="auto"/>
                <w:sz w:val="30"/>
                <w:szCs w:val="30"/>
              </w:rPr>
            </w:pPr>
          </w:p>
        </w:tc>
        <w:tc>
          <w:tcPr>
            <w:tcW w:w="921" w:type="dxa"/>
          </w:tcPr>
          <w:p w14:paraId="59552382">
            <w:pPr>
              <w:rPr>
                <w:rFonts w:eastAsia="仿宋_GB2312"/>
                <w:color w:val="auto"/>
                <w:sz w:val="30"/>
                <w:szCs w:val="30"/>
              </w:rPr>
            </w:pPr>
          </w:p>
        </w:tc>
      </w:tr>
      <w:tr w14:paraId="53A9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79F0D036">
            <w:pPr>
              <w:rPr>
                <w:rFonts w:eastAsia="仿宋_GB2312"/>
                <w:color w:val="auto"/>
                <w:sz w:val="30"/>
                <w:szCs w:val="30"/>
              </w:rPr>
            </w:pPr>
          </w:p>
        </w:tc>
        <w:tc>
          <w:tcPr>
            <w:tcW w:w="1418" w:type="dxa"/>
          </w:tcPr>
          <w:p w14:paraId="1F2AA70F">
            <w:pPr>
              <w:rPr>
                <w:rFonts w:eastAsia="仿宋_GB2312"/>
                <w:color w:val="auto"/>
                <w:sz w:val="30"/>
                <w:szCs w:val="30"/>
              </w:rPr>
            </w:pPr>
          </w:p>
        </w:tc>
        <w:tc>
          <w:tcPr>
            <w:tcW w:w="850" w:type="dxa"/>
          </w:tcPr>
          <w:p w14:paraId="6AB7D79B">
            <w:pPr>
              <w:rPr>
                <w:rFonts w:eastAsia="仿宋_GB2312"/>
                <w:color w:val="auto"/>
                <w:sz w:val="30"/>
                <w:szCs w:val="30"/>
              </w:rPr>
            </w:pPr>
          </w:p>
        </w:tc>
        <w:tc>
          <w:tcPr>
            <w:tcW w:w="1058" w:type="dxa"/>
          </w:tcPr>
          <w:p w14:paraId="25CB13CE">
            <w:pPr>
              <w:rPr>
                <w:rFonts w:eastAsia="仿宋_GB2312"/>
                <w:color w:val="auto"/>
                <w:sz w:val="30"/>
                <w:szCs w:val="30"/>
              </w:rPr>
            </w:pPr>
          </w:p>
        </w:tc>
        <w:tc>
          <w:tcPr>
            <w:tcW w:w="880" w:type="dxa"/>
          </w:tcPr>
          <w:p w14:paraId="59FF468D">
            <w:pPr>
              <w:rPr>
                <w:rFonts w:eastAsia="仿宋_GB2312"/>
                <w:color w:val="auto"/>
                <w:sz w:val="30"/>
                <w:szCs w:val="30"/>
              </w:rPr>
            </w:pPr>
          </w:p>
        </w:tc>
        <w:tc>
          <w:tcPr>
            <w:tcW w:w="1020" w:type="dxa"/>
          </w:tcPr>
          <w:p w14:paraId="2807A1AE">
            <w:pPr>
              <w:rPr>
                <w:rFonts w:eastAsia="仿宋_GB2312"/>
                <w:color w:val="auto"/>
                <w:sz w:val="30"/>
                <w:szCs w:val="30"/>
              </w:rPr>
            </w:pPr>
          </w:p>
        </w:tc>
        <w:tc>
          <w:tcPr>
            <w:tcW w:w="1480" w:type="dxa"/>
          </w:tcPr>
          <w:p w14:paraId="38B023DE">
            <w:pPr>
              <w:rPr>
                <w:rFonts w:eastAsia="仿宋_GB2312"/>
                <w:color w:val="auto"/>
                <w:sz w:val="30"/>
                <w:szCs w:val="30"/>
              </w:rPr>
            </w:pPr>
          </w:p>
        </w:tc>
        <w:tc>
          <w:tcPr>
            <w:tcW w:w="1020" w:type="dxa"/>
          </w:tcPr>
          <w:p w14:paraId="7D87D6DD">
            <w:pPr>
              <w:rPr>
                <w:rFonts w:eastAsia="仿宋_GB2312"/>
                <w:color w:val="auto"/>
                <w:sz w:val="30"/>
                <w:szCs w:val="30"/>
              </w:rPr>
            </w:pPr>
          </w:p>
        </w:tc>
        <w:tc>
          <w:tcPr>
            <w:tcW w:w="921" w:type="dxa"/>
          </w:tcPr>
          <w:p w14:paraId="63477338">
            <w:pPr>
              <w:rPr>
                <w:rFonts w:eastAsia="仿宋_GB2312"/>
                <w:color w:val="auto"/>
                <w:sz w:val="30"/>
                <w:szCs w:val="30"/>
              </w:rPr>
            </w:pPr>
          </w:p>
        </w:tc>
      </w:tr>
      <w:tr w14:paraId="21F3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73DD6049">
            <w:pPr>
              <w:rPr>
                <w:rFonts w:eastAsia="仿宋_GB2312"/>
                <w:color w:val="auto"/>
                <w:sz w:val="30"/>
                <w:szCs w:val="30"/>
              </w:rPr>
            </w:pPr>
          </w:p>
        </w:tc>
        <w:tc>
          <w:tcPr>
            <w:tcW w:w="1418" w:type="dxa"/>
          </w:tcPr>
          <w:p w14:paraId="52F0C817">
            <w:pPr>
              <w:rPr>
                <w:rFonts w:eastAsia="仿宋_GB2312"/>
                <w:color w:val="auto"/>
                <w:sz w:val="30"/>
                <w:szCs w:val="30"/>
              </w:rPr>
            </w:pPr>
          </w:p>
        </w:tc>
        <w:tc>
          <w:tcPr>
            <w:tcW w:w="850" w:type="dxa"/>
          </w:tcPr>
          <w:p w14:paraId="2F75B4AA">
            <w:pPr>
              <w:rPr>
                <w:rFonts w:eastAsia="仿宋_GB2312"/>
                <w:color w:val="auto"/>
                <w:sz w:val="30"/>
                <w:szCs w:val="30"/>
              </w:rPr>
            </w:pPr>
          </w:p>
        </w:tc>
        <w:tc>
          <w:tcPr>
            <w:tcW w:w="1058" w:type="dxa"/>
          </w:tcPr>
          <w:p w14:paraId="762AC8E1">
            <w:pPr>
              <w:rPr>
                <w:rFonts w:eastAsia="仿宋_GB2312"/>
                <w:color w:val="auto"/>
                <w:sz w:val="30"/>
                <w:szCs w:val="30"/>
              </w:rPr>
            </w:pPr>
          </w:p>
        </w:tc>
        <w:tc>
          <w:tcPr>
            <w:tcW w:w="880" w:type="dxa"/>
          </w:tcPr>
          <w:p w14:paraId="540C1844">
            <w:pPr>
              <w:rPr>
                <w:rFonts w:eastAsia="仿宋_GB2312"/>
                <w:color w:val="auto"/>
                <w:sz w:val="30"/>
                <w:szCs w:val="30"/>
              </w:rPr>
            </w:pPr>
          </w:p>
        </w:tc>
        <w:tc>
          <w:tcPr>
            <w:tcW w:w="1020" w:type="dxa"/>
          </w:tcPr>
          <w:p w14:paraId="5EEA756F">
            <w:pPr>
              <w:rPr>
                <w:rFonts w:eastAsia="仿宋_GB2312"/>
                <w:color w:val="auto"/>
                <w:sz w:val="30"/>
                <w:szCs w:val="30"/>
              </w:rPr>
            </w:pPr>
          </w:p>
        </w:tc>
        <w:tc>
          <w:tcPr>
            <w:tcW w:w="1480" w:type="dxa"/>
          </w:tcPr>
          <w:p w14:paraId="0D664D37">
            <w:pPr>
              <w:rPr>
                <w:rFonts w:eastAsia="仿宋_GB2312"/>
                <w:color w:val="auto"/>
                <w:sz w:val="30"/>
                <w:szCs w:val="30"/>
              </w:rPr>
            </w:pPr>
          </w:p>
        </w:tc>
        <w:tc>
          <w:tcPr>
            <w:tcW w:w="1020" w:type="dxa"/>
          </w:tcPr>
          <w:p w14:paraId="0DC1229C">
            <w:pPr>
              <w:rPr>
                <w:rFonts w:eastAsia="仿宋_GB2312"/>
                <w:color w:val="auto"/>
                <w:sz w:val="30"/>
                <w:szCs w:val="30"/>
              </w:rPr>
            </w:pPr>
          </w:p>
        </w:tc>
        <w:tc>
          <w:tcPr>
            <w:tcW w:w="921" w:type="dxa"/>
          </w:tcPr>
          <w:p w14:paraId="03350266">
            <w:pPr>
              <w:rPr>
                <w:rFonts w:eastAsia="仿宋_GB2312"/>
                <w:color w:val="auto"/>
                <w:sz w:val="30"/>
                <w:szCs w:val="30"/>
              </w:rPr>
            </w:pPr>
          </w:p>
        </w:tc>
      </w:tr>
      <w:tr w14:paraId="2E92F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78B617D8">
            <w:pPr>
              <w:rPr>
                <w:rFonts w:eastAsia="仿宋_GB2312"/>
                <w:color w:val="auto"/>
                <w:sz w:val="30"/>
                <w:szCs w:val="30"/>
              </w:rPr>
            </w:pPr>
          </w:p>
        </w:tc>
        <w:tc>
          <w:tcPr>
            <w:tcW w:w="1418" w:type="dxa"/>
          </w:tcPr>
          <w:p w14:paraId="66931CBF">
            <w:pPr>
              <w:rPr>
                <w:rFonts w:eastAsia="仿宋_GB2312"/>
                <w:color w:val="auto"/>
                <w:sz w:val="30"/>
                <w:szCs w:val="30"/>
              </w:rPr>
            </w:pPr>
          </w:p>
        </w:tc>
        <w:tc>
          <w:tcPr>
            <w:tcW w:w="850" w:type="dxa"/>
          </w:tcPr>
          <w:p w14:paraId="0E4F7EB3">
            <w:pPr>
              <w:rPr>
                <w:rFonts w:eastAsia="仿宋_GB2312"/>
                <w:color w:val="auto"/>
                <w:sz w:val="30"/>
                <w:szCs w:val="30"/>
              </w:rPr>
            </w:pPr>
          </w:p>
        </w:tc>
        <w:tc>
          <w:tcPr>
            <w:tcW w:w="1058" w:type="dxa"/>
          </w:tcPr>
          <w:p w14:paraId="3CA253E4">
            <w:pPr>
              <w:rPr>
                <w:rFonts w:eastAsia="仿宋_GB2312"/>
                <w:color w:val="auto"/>
                <w:sz w:val="30"/>
                <w:szCs w:val="30"/>
              </w:rPr>
            </w:pPr>
          </w:p>
        </w:tc>
        <w:tc>
          <w:tcPr>
            <w:tcW w:w="880" w:type="dxa"/>
          </w:tcPr>
          <w:p w14:paraId="325DFC3B">
            <w:pPr>
              <w:rPr>
                <w:rFonts w:eastAsia="仿宋_GB2312"/>
                <w:color w:val="auto"/>
                <w:sz w:val="30"/>
                <w:szCs w:val="30"/>
              </w:rPr>
            </w:pPr>
          </w:p>
        </w:tc>
        <w:tc>
          <w:tcPr>
            <w:tcW w:w="1020" w:type="dxa"/>
          </w:tcPr>
          <w:p w14:paraId="59F30991">
            <w:pPr>
              <w:rPr>
                <w:rFonts w:eastAsia="仿宋_GB2312"/>
                <w:color w:val="auto"/>
                <w:sz w:val="30"/>
                <w:szCs w:val="30"/>
              </w:rPr>
            </w:pPr>
          </w:p>
        </w:tc>
        <w:tc>
          <w:tcPr>
            <w:tcW w:w="1480" w:type="dxa"/>
          </w:tcPr>
          <w:p w14:paraId="3C4B3F77">
            <w:pPr>
              <w:rPr>
                <w:rFonts w:eastAsia="仿宋_GB2312"/>
                <w:color w:val="auto"/>
                <w:sz w:val="30"/>
                <w:szCs w:val="30"/>
              </w:rPr>
            </w:pPr>
          </w:p>
        </w:tc>
        <w:tc>
          <w:tcPr>
            <w:tcW w:w="1020" w:type="dxa"/>
          </w:tcPr>
          <w:p w14:paraId="506D0E96">
            <w:pPr>
              <w:rPr>
                <w:rFonts w:eastAsia="仿宋_GB2312"/>
                <w:color w:val="auto"/>
                <w:sz w:val="30"/>
                <w:szCs w:val="30"/>
              </w:rPr>
            </w:pPr>
          </w:p>
        </w:tc>
        <w:tc>
          <w:tcPr>
            <w:tcW w:w="921" w:type="dxa"/>
          </w:tcPr>
          <w:p w14:paraId="1861710C">
            <w:pPr>
              <w:rPr>
                <w:rFonts w:eastAsia="仿宋_GB2312"/>
                <w:color w:val="auto"/>
                <w:sz w:val="30"/>
                <w:szCs w:val="30"/>
              </w:rPr>
            </w:pPr>
          </w:p>
        </w:tc>
      </w:tr>
      <w:tr w14:paraId="48278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2A9C10DD">
            <w:pPr>
              <w:rPr>
                <w:rFonts w:eastAsia="仿宋_GB2312"/>
                <w:color w:val="auto"/>
                <w:sz w:val="30"/>
                <w:szCs w:val="30"/>
              </w:rPr>
            </w:pPr>
          </w:p>
        </w:tc>
        <w:tc>
          <w:tcPr>
            <w:tcW w:w="1418" w:type="dxa"/>
          </w:tcPr>
          <w:p w14:paraId="7B138D45">
            <w:pPr>
              <w:rPr>
                <w:rFonts w:eastAsia="仿宋_GB2312"/>
                <w:color w:val="auto"/>
                <w:sz w:val="30"/>
                <w:szCs w:val="30"/>
              </w:rPr>
            </w:pPr>
          </w:p>
        </w:tc>
        <w:tc>
          <w:tcPr>
            <w:tcW w:w="850" w:type="dxa"/>
          </w:tcPr>
          <w:p w14:paraId="42851DE8">
            <w:pPr>
              <w:rPr>
                <w:rFonts w:eastAsia="仿宋_GB2312"/>
                <w:color w:val="auto"/>
                <w:sz w:val="30"/>
                <w:szCs w:val="30"/>
              </w:rPr>
            </w:pPr>
          </w:p>
        </w:tc>
        <w:tc>
          <w:tcPr>
            <w:tcW w:w="1058" w:type="dxa"/>
          </w:tcPr>
          <w:p w14:paraId="24B9A8B5">
            <w:pPr>
              <w:rPr>
                <w:rFonts w:eastAsia="仿宋_GB2312"/>
                <w:color w:val="auto"/>
                <w:sz w:val="30"/>
                <w:szCs w:val="30"/>
              </w:rPr>
            </w:pPr>
          </w:p>
        </w:tc>
        <w:tc>
          <w:tcPr>
            <w:tcW w:w="880" w:type="dxa"/>
          </w:tcPr>
          <w:p w14:paraId="0AA5372A">
            <w:pPr>
              <w:rPr>
                <w:rFonts w:eastAsia="仿宋_GB2312"/>
                <w:color w:val="auto"/>
                <w:sz w:val="30"/>
                <w:szCs w:val="30"/>
              </w:rPr>
            </w:pPr>
          </w:p>
        </w:tc>
        <w:tc>
          <w:tcPr>
            <w:tcW w:w="1020" w:type="dxa"/>
          </w:tcPr>
          <w:p w14:paraId="0AFC45DD">
            <w:pPr>
              <w:rPr>
                <w:rFonts w:eastAsia="仿宋_GB2312"/>
                <w:color w:val="auto"/>
                <w:sz w:val="30"/>
                <w:szCs w:val="30"/>
              </w:rPr>
            </w:pPr>
          </w:p>
        </w:tc>
        <w:tc>
          <w:tcPr>
            <w:tcW w:w="1480" w:type="dxa"/>
          </w:tcPr>
          <w:p w14:paraId="13ADD863">
            <w:pPr>
              <w:rPr>
                <w:rFonts w:eastAsia="仿宋_GB2312"/>
                <w:color w:val="auto"/>
                <w:sz w:val="30"/>
                <w:szCs w:val="30"/>
              </w:rPr>
            </w:pPr>
          </w:p>
        </w:tc>
        <w:tc>
          <w:tcPr>
            <w:tcW w:w="1020" w:type="dxa"/>
          </w:tcPr>
          <w:p w14:paraId="3EEF0959">
            <w:pPr>
              <w:rPr>
                <w:rFonts w:eastAsia="仿宋_GB2312"/>
                <w:color w:val="auto"/>
                <w:sz w:val="30"/>
                <w:szCs w:val="30"/>
              </w:rPr>
            </w:pPr>
          </w:p>
        </w:tc>
        <w:tc>
          <w:tcPr>
            <w:tcW w:w="921" w:type="dxa"/>
          </w:tcPr>
          <w:p w14:paraId="30B7D0DF">
            <w:pPr>
              <w:rPr>
                <w:rFonts w:eastAsia="仿宋_GB2312"/>
                <w:color w:val="auto"/>
                <w:sz w:val="30"/>
                <w:szCs w:val="30"/>
              </w:rPr>
            </w:pPr>
          </w:p>
        </w:tc>
      </w:tr>
      <w:tr w14:paraId="0A5C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470B90B1">
            <w:pPr>
              <w:rPr>
                <w:rFonts w:eastAsia="仿宋_GB2312"/>
                <w:color w:val="auto"/>
                <w:sz w:val="30"/>
                <w:szCs w:val="30"/>
              </w:rPr>
            </w:pPr>
          </w:p>
        </w:tc>
        <w:tc>
          <w:tcPr>
            <w:tcW w:w="1418" w:type="dxa"/>
          </w:tcPr>
          <w:p w14:paraId="1D4BBC67">
            <w:pPr>
              <w:rPr>
                <w:rFonts w:eastAsia="仿宋_GB2312"/>
                <w:color w:val="auto"/>
                <w:sz w:val="30"/>
                <w:szCs w:val="30"/>
              </w:rPr>
            </w:pPr>
          </w:p>
        </w:tc>
        <w:tc>
          <w:tcPr>
            <w:tcW w:w="850" w:type="dxa"/>
          </w:tcPr>
          <w:p w14:paraId="7A88B902">
            <w:pPr>
              <w:rPr>
                <w:rFonts w:eastAsia="仿宋_GB2312"/>
                <w:color w:val="auto"/>
                <w:sz w:val="30"/>
                <w:szCs w:val="30"/>
              </w:rPr>
            </w:pPr>
          </w:p>
        </w:tc>
        <w:tc>
          <w:tcPr>
            <w:tcW w:w="1058" w:type="dxa"/>
          </w:tcPr>
          <w:p w14:paraId="7F7CAE2B">
            <w:pPr>
              <w:rPr>
                <w:rFonts w:eastAsia="仿宋_GB2312"/>
                <w:color w:val="auto"/>
                <w:sz w:val="30"/>
                <w:szCs w:val="30"/>
              </w:rPr>
            </w:pPr>
          </w:p>
        </w:tc>
        <w:tc>
          <w:tcPr>
            <w:tcW w:w="880" w:type="dxa"/>
          </w:tcPr>
          <w:p w14:paraId="386EA099">
            <w:pPr>
              <w:rPr>
                <w:rFonts w:eastAsia="仿宋_GB2312"/>
                <w:color w:val="auto"/>
                <w:sz w:val="30"/>
                <w:szCs w:val="30"/>
              </w:rPr>
            </w:pPr>
          </w:p>
        </w:tc>
        <w:tc>
          <w:tcPr>
            <w:tcW w:w="1020" w:type="dxa"/>
          </w:tcPr>
          <w:p w14:paraId="7BAEEA07">
            <w:pPr>
              <w:rPr>
                <w:rFonts w:eastAsia="仿宋_GB2312"/>
                <w:color w:val="auto"/>
                <w:sz w:val="30"/>
                <w:szCs w:val="30"/>
              </w:rPr>
            </w:pPr>
          </w:p>
        </w:tc>
        <w:tc>
          <w:tcPr>
            <w:tcW w:w="1480" w:type="dxa"/>
          </w:tcPr>
          <w:p w14:paraId="629C86EB">
            <w:pPr>
              <w:rPr>
                <w:rFonts w:eastAsia="仿宋_GB2312"/>
                <w:color w:val="auto"/>
                <w:sz w:val="30"/>
                <w:szCs w:val="30"/>
              </w:rPr>
            </w:pPr>
          </w:p>
        </w:tc>
        <w:tc>
          <w:tcPr>
            <w:tcW w:w="1020" w:type="dxa"/>
          </w:tcPr>
          <w:p w14:paraId="1E939C56">
            <w:pPr>
              <w:rPr>
                <w:rFonts w:eastAsia="仿宋_GB2312"/>
                <w:color w:val="auto"/>
                <w:sz w:val="30"/>
                <w:szCs w:val="30"/>
              </w:rPr>
            </w:pPr>
          </w:p>
        </w:tc>
        <w:tc>
          <w:tcPr>
            <w:tcW w:w="921" w:type="dxa"/>
          </w:tcPr>
          <w:p w14:paraId="78A5FAF5">
            <w:pPr>
              <w:rPr>
                <w:rFonts w:eastAsia="仿宋_GB2312"/>
                <w:color w:val="auto"/>
                <w:sz w:val="30"/>
                <w:szCs w:val="30"/>
              </w:rPr>
            </w:pPr>
          </w:p>
        </w:tc>
      </w:tr>
      <w:tr w14:paraId="6B4B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A852286">
            <w:pPr>
              <w:rPr>
                <w:rFonts w:eastAsia="仿宋_GB2312"/>
                <w:color w:val="auto"/>
                <w:sz w:val="30"/>
                <w:szCs w:val="30"/>
              </w:rPr>
            </w:pPr>
          </w:p>
        </w:tc>
        <w:tc>
          <w:tcPr>
            <w:tcW w:w="1418" w:type="dxa"/>
          </w:tcPr>
          <w:p w14:paraId="691C2EA2">
            <w:pPr>
              <w:rPr>
                <w:rFonts w:eastAsia="仿宋_GB2312"/>
                <w:color w:val="auto"/>
                <w:sz w:val="30"/>
                <w:szCs w:val="30"/>
              </w:rPr>
            </w:pPr>
          </w:p>
        </w:tc>
        <w:tc>
          <w:tcPr>
            <w:tcW w:w="850" w:type="dxa"/>
          </w:tcPr>
          <w:p w14:paraId="11216DFC">
            <w:pPr>
              <w:rPr>
                <w:rFonts w:eastAsia="仿宋_GB2312"/>
                <w:color w:val="auto"/>
                <w:sz w:val="30"/>
                <w:szCs w:val="30"/>
              </w:rPr>
            </w:pPr>
          </w:p>
        </w:tc>
        <w:tc>
          <w:tcPr>
            <w:tcW w:w="1058" w:type="dxa"/>
          </w:tcPr>
          <w:p w14:paraId="57592354">
            <w:pPr>
              <w:rPr>
                <w:rFonts w:eastAsia="仿宋_GB2312"/>
                <w:color w:val="auto"/>
                <w:sz w:val="30"/>
                <w:szCs w:val="30"/>
              </w:rPr>
            </w:pPr>
          </w:p>
        </w:tc>
        <w:tc>
          <w:tcPr>
            <w:tcW w:w="880" w:type="dxa"/>
          </w:tcPr>
          <w:p w14:paraId="158BF5C8">
            <w:pPr>
              <w:rPr>
                <w:rFonts w:eastAsia="仿宋_GB2312"/>
                <w:color w:val="auto"/>
                <w:sz w:val="30"/>
                <w:szCs w:val="30"/>
              </w:rPr>
            </w:pPr>
          </w:p>
        </w:tc>
        <w:tc>
          <w:tcPr>
            <w:tcW w:w="1020" w:type="dxa"/>
          </w:tcPr>
          <w:p w14:paraId="6A54C05F">
            <w:pPr>
              <w:rPr>
                <w:rFonts w:eastAsia="仿宋_GB2312"/>
                <w:color w:val="auto"/>
                <w:sz w:val="30"/>
                <w:szCs w:val="30"/>
              </w:rPr>
            </w:pPr>
          </w:p>
        </w:tc>
        <w:tc>
          <w:tcPr>
            <w:tcW w:w="1480" w:type="dxa"/>
          </w:tcPr>
          <w:p w14:paraId="0090FB06">
            <w:pPr>
              <w:rPr>
                <w:rFonts w:eastAsia="仿宋_GB2312"/>
                <w:color w:val="auto"/>
                <w:sz w:val="30"/>
                <w:szCs w:val="30"/>
              </w:rPr>
            </w:pPr>
          </w:p>
        </w:tc>
        <w:tc>
          <w:tcPr>
            <w:tcW w:w="1020" w:type="dxa"/>
          </w:tcPr>
          <w:p w14:paraId="4FD75829">
            <w:pPr>
              <w:rPr>
                <w:rFonts w:eastAsia="仿宋_GB2312"/>
                <w:color w:val="auto"/>
                <w:sz w:val="30"/>
                <w:szCs w:val="30"/>
              </w:rPr>
            </w:pPr>
          </w:p>
        </w:tc>
        <w:tc>
          <w:tcPr>
            <w:tcW w:w="921" w:type="dxa"/>
          </w:tcPr>
          <w:p w14:paraId="30AD7C0B">
            <w:pPr>
              <w:rPr>
                <w:rFonts w:eastAsia="仿宋_GB2312"/>
                <w:color w:val="auto"/>
                <w:sz w:val="30"/>
                <w:szCs w:val="30"/>
              </w:rPr>
            </w:pPr>
          </w:p>
        </w:tc>
      </w:tr>
      <w:tr w14:paraId="58C8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14B00B8">
            <w:pPr>
              <w:rPr>
                <w:rFonts w:eastAsia="仿宋_GB2312"/>
                <w:color w:val="auto"/>
                <w:sz w:val="30"/>
                <w:szCs w:val="30"/>
              </w:rPr>
            </w:pPr>
          </w:p>
        </w:tc>
        <w:tc>
          <w:tcPr>
            <w:tcW w:w="1418" w:type="dxa"/>
          </w:tcPr>
          <w:p w14:paraId="5E6DFC8E">
            <w:pPr>
              <w:rPr>
                <w:rFonts w:eastAsia="仿宋_GB2312"/>
                <w:color w:val="auto"/>
                <w:sz w:val="30"/>
                <w:szCs w:val="30"/>
              </w:rPr>
            </w:pPr>
          </w:p>
        </w:tc>
        <w:tc>
          <w:tcPr>
            <w:tcW w:w="850" w:type="dxa"/>
          </w:tcPr>
          <w:p w14:paraId="3FD90239">
            <w:pPr>
              <w:rPr>
                <w:rFonts w:eastAsia="仿宋_GB2312"/>
                <w:color w:val="auto"/>
                <w:sz w:val="30"/>
                <w:szCs w:val="30"/>
              </w:rPr>
            </w:pPr>
          </w:p>
        </w:tc>
        <w:tc>
          <w:tcPr>
            <w:tcW w:w="1058" w:type="dxa"/>
          </w:tcPr>
          <w:p w14:paraId="670F8D87">
            <w:pPr>
              <w:rPr>
                <w:rFonts w:eastAsia="仿宋_GB2312"/>
                <w:color w:val="auto"/>
                <w:sz w:val="30"/>
                <w:szCs w:val="30"/>
              </w:rPr>
            </w:pPr>
          </w:p>
        </w:tc>
        <w:tc>
          <w:tcPr>
            <w:tcW w:w="880" w:type="dxa"/>
          </w:tcPr>
          <w:p w14:paraId="116B647F">
            <w:pPr>
              <w:rPr>
                <w:rFonts w:eastAsia="仿宋_GB2312"/>
                <w:color w:val="auto"/>
                <w:sz w:val="30"/>
                <w:szCs w:val="30"/>
              </w:rPr>
            </w:pPr>
          </w:p>
        </w:tc>
        <w:tc>
          <w:tcPr>
            <w:tcW w:w="1020" w:type="dxa"/>
          </w:tcPr>
          <w:p w14:paraId="62F96310">
            <w:pPr>
              <w:rPr>
                <w:rFonts w:eastAsia="仿宋_GB2312"/>
                <w:color w:val="auto"/>
                <w:sz w:val="30"/>
                <w:szCs w:val="30"/>
              </w:rPr>
            </w:pPr>
          </w:p>
        </w:tc>
        <w:tc>
          <w:tcPr>
            <w:tcW w:w="1480" w:type="dxa"/>
          </w:tcPr>
          <w:p w14:paraId="2B2C0E29">
            <w:pPr>
              <w:rPr>
                <w:rFonts w:eastAsia="仿宋_GB2312"/>
                <w:color w:val="auto"/>
                <w:sz w:val="30"/>
                <w:szCs w:val="30"/>
              </w:rPr>
            </w:pPr>
          </w:p>
        </w:tc>
        <w:tc>
          <w:tcPr>
            <w:tcW w:w="1020" w:type="dxa"/>
          </w:tcPr>
          <w:p w14:paraId="1BEFCF8B">
            <w:pPr>
              <w:rPr>
                <w:rFonts w:eastAsia="仿宋_GB2312"/>
                <w:color w:val="auto"/>
                <w:sz w:val="30"/>
                <w:szCs w:val="30"/>
              </w:rPr>
            </w:pPr>
          </w:p>
        </w:tc>
        <w:tc>
          <w:tcPr>
            <w:tcW w:w="921" w:type="dxa"/>
          </w:tcPr>
          <w:p w14:paraId="221CAB72">
            <w:pPr>
              <w:rPr>
                <w:rFonts w:eastAsia="仿宋_GB2312"/>
                <w:color w:val="auto"/>
                <w:sz w:val="30"/>
                <w:szCs w:val="30"/>
              </w:rPr>
            </w:pPr>
          </w:p>
        </w:tc>
      </w:tr>
    </w:tbl>
    <w:p w14:paraId="389B7BE1">
      <w:pPr>
        <w:spacing w:line="440" w:lineRule="exact"/>
        <w:jc w:val="left"/>
        <w:outlineLvl w:val="0"/>
        <w:rPr>
          <w:rFonts w:hint="eastAsia" w:eastAsia="仿宋_GB2312" w:cs="仿宋_GB2312"/>
          <w:color w:val="auto"/>
          <w:sz w:val="30"/>
          <w:szCs w:val="30"/>
        </w:rPr>
      </w:pPr>
      <w:bookmarkStart w:id="1589" w:name="_Toc1934"/>
      <w:bookmarkStart w:id="1590" w:name="_Toc7587"/>
    </w:p>
    <w:p w14:paraId="5F8DB051">
      <w:pPr>
        <w:spacing w:line="440" w:lineRule="exact"/>
        <w:jc w:val="left"/>
        <w:outlineLvl w:val="0"/>
        <w:rPr>
          <w:rFonts w:eastAsia="黑体"/>
          <w:color w:val="auto"/>
          <w:sz w:val="30"/>
          <w:szCs w:val="30"/>
        </w:rPr>
      </w:pPr>
      <w:r>
        <w:rPr>
          <w:rFonts w:hint="eastAsia" w:eastAsia="仿宋_GB2312" w:cs="仿宋_GB2312"/>
          <w:color w:val="auto"/>
          <w:sz w:val="30"/>
          <w:szCs w:val="30"/>
        </w:rPr>
        <w:t>附</w:t>
      </w:r>
      <w:bookmarkStart w:id="1591" w:name="_Toc296891056"/>
      <w:bookmarkStart w:id="1592" w:name="_Toc267261699"/>
      <w:bookmarkStart w:id="1593" w:name="_Toc296503228"/>
      <w:bookmarkStart w:id="1594" w:name="_Toc296346729"/>
      <w:bookmarkStart w:id="1595" w:name="_Toc296891268"/>
      <w:bookmarkStart w:id="1596" w:name="_Toc296347227"/>
      <w:bookmarkStart w:id="1597" w:name="_Toc296944567"/>
      <w:r>
        <w:rPr>
          <w:rFonts w:hint="eastAsia" w:eastAsia="仿宋_GB2312" w:cs="仿宋_GB2312"/>
          <w:color w:val="auto"/>
          <w:sz w:val="30"/>
          <w:szCs w:val="30"/>
        </w:rPr>
        <w:t>件</w:t>
      </w:r>
      <w:r>
        <w:rPr>
          <w:rFonts w:hint="eastAsia" w:eastAsia="仿宋_GB2312"/>
          <w:color w:val="auto"/>
          <w:sz w:val="30"/>
          <w:szCs w:val="30"/>
        </w:rPr>
        <w:t>5</w:t>
      </w:r>
      <w:r>
        <w:rPr>
          <w:rFonts w:hint="eastAsia" w:eastAsia="仿宋_GB2312" w:cs="仿宋_GB2312"/>
          <w:color w:val="auto"/>
          <w:sz w:val="30"/>
          <w:szCs w:val="30"/>
        </w:rPr>
        <w:t>：</w:t>
      </w:r>
      <w:bookmarkEnd w:id="1589"/>
      <w:bookmarkEnd w:id="1590"/>
    </w:p>
    <w:bookmarkEnd w:id="1591"/>
    <w:bookmarkEnd w:id="1592"/>
    <w:bookmarkEnd w:id="1593"/>
    <w:bookmarkEnd w:id="1594"/>
    <w:bookmarkEnd w:id="1595"/>
    <w:bookmarkEnd w:id="1596"/>
    <w:bookmarkEnd w:id="1597"/>
    <w:p w14:paraId="7D4B5398">
      <w:pPr>
        <w:spacing w:beforeLines="50" w:afterLines="50" w:line="440" w:lineRule="exact"/>
        <w:jc w:val="center"/>
        <w:rPr>
          <w:rFonts w:eastAsia="黑体"/>
          <w:color w:val="auto"/>
          <w:sz w:val="30"/>
          <w:szCs w:val="30"/>
        </w:rPr>
      </w:pPr>
      <w:r>
        <w:rPr>
          <w:rFonts w:hint="eastAsia" w:eastAsia="黑体" w:cs="黑体"/>
          <w:color w:val="auto"/>
          <w:sz w:val="30"/>
          <w:szCs w:val="30"/>
        </w:rPr>
        <w:t>承包人主要施工管理人员表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3B7B7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61A81B9">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名</w:t>
            </w:r>
            <w:r>
              <w:rPr>
                <w:rFonts w:eastAsia="仿宋_GB2312"/>
                <w:color w:val="auto"/>
                <w:sz w:val="28"/>
                <w:szCs w:val="28"/>
              </w:rPr>
              <w:t xml:space="preserve">    </w:t>
            </w:r>
            <w:r>
              <w:rPr>
                <w:rFonts w:hint="eastAsia" w:eastAsia="仿宋_GB2312" w:cs="仿宋_GB2312"/>
                <w:color w:val="auto"/>
                <w:sz w:val="28"/>
                <w:szCs w:val="28"/>
              </w:rPr>
              <w:t>称</w:t>
            </w:r>
          </w:p>
        </w:tc>
        <w:tc>
          <w:tcPr>
            <w:tcW w:w="1418" w:type="dxa"/>
            <w:vAlign w:val="center"/>
          </w:tcPr>
          <w:p w14:paraId="4CBAFD08">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姓名</w:t>
            </w:r>
          </w:p>
        </w:tc>
        <w:tc>
          <w:tcPr>
            <w:tcW w:w="1134" w:type="dxa"/>
            <w:vAlign w:val="center"/>
          </w:tcPr>
          <w:p w14:paraId="2F48A066">
            <w:pPr>
              <w:keepNext/>
              <w:adjustRightInd w:val="0"/>
              <w:spacing w:line="440" w:lineRule="exact"/>
              <w:ind w:left="63" w:leftChars="30" w:right="63" w:rightChars="30"/>
              <w:jc w:val="center"/>
              <w:textAlignment w:val="baseline"/>
              <w:rPr>
                <w:rFonts w:eastAsia="仿宋_GB2312"/>
                <w:color w:val="auto"/>
                <w:sz w:val="30"/>
                <w:szCs w:val="30"/>
              </w:rPr>
            </w:pPr>
            <w:r>
              <w:rPr>
                <w:rFonts w:hint="eastAsia" w:eastAsia="仿宋_GB2312" w:cs="仿宋_GB2312"/>
                <w:color w:val="auto"/>
                <w:sz w:val="30"/>
                <w:szCs w:val="30"/>
              </w:rPr>
              <w:t>职务</w:t>
            </w:r>
          </w:p>
        </w:tc>
        <w:tc>
          <w:tcPr>
            <w:tcW w:w="1134" w:type="dxa"/>
            <w:vAlign w:val="center"/>
          </w:tcPr>
          <w:p w14:paraId="142FB902">
            <w:pPr>
              <w:keepNext/>
              <w:adjustRightInd w:val="0"/>
              <w:spacing w:line="440" w:lineRule="exact"/>
              <w:ind w:left="63" w:leftChars="30" w:right="63" w:rightChars="30"/>
              <w:jc w:val="center"/>
              <w:textAlignment w:val="baseline"/>
              <w:rPr>
                <w:rFonts w:eastAsia="仿宋_GB2312"/>
                <w:color w:val="auto"/>
                <w:sz w:val="30"/>
                <w:szCs w:val="30"/>
              </w:rPr>
            </w:pPr>
            <w:r>
              <w:rPr>
                <w:rFonts w:hint="eastAsia" w:eastAsia="仿宋_GB2312" w:cs="仿宋_GB2312"/>
                <w:color w:val="auto"/>
                <w:sz w:val="30"/>
                <w:szCs w:val="30"/>
              </w:rPr>
              <w:t>职称</w:t>
            </w:r>
          </w:p>
        </w:tc>
        <w:tc>
          <w:tcPr>
            <w:tcW w:w="4252" w:type="dxa"/>
            <w:vAlign w:val="center"/>
          </w:tcPr>
          <w:p w14:paraId="26020D5F">
            <w:pPr>
              <w:keepNext/>
              <w:adjustRightInd w:val="0"/>
              <w:spacing w:line="440" w:lineRule="exact"/>
              <w:ind w:right="63" w:rightChars="30"/>
              <w:jc w:val="center"/>
              <w:textAlignment w:val="baseline"/>
              <w:rPr>
                <w:rFonts w:eastAsia="仿宋_GB2312"/>
                <w:color w:val="auto"/>
                <w:sz w:val="30"/>
                <w:szCs w:val="30"/>
              </w:rPr>
            </w:pPr>
            <w:r>
              <w:rPr>
                <w:rFonts w:hint="eastAsia" w:eastAsia="仿宋_GB2312" w:cs="仿宋_GB2312"/>
                <w:color w:val="auto"/>
                <w:sz w:val="30"/>
                <w:szCs w:val="30"/>
              </w:rPr>
              <w:t>计划进场时间</w:t>
            </w:r>
          </w:p>
        </w:tc>
      </w:tr>
      <w:tr w14:paraId="532D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32BC30D2">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一、总部人员</w:t>
            </w:r>
          </w:p>
        </w:tc>
      </w:tr>
      <w:tr w14:paraId="56C2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B642E38">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项目主管</w:t>
            </w:r>
          </w:p>
        </w:tc>
        <w:tc>
          <w:tcPr>
            <w:tcW w:w="1418" w:type="dxa"/>
            <w:vAlign w:val="center"/>
          </w:tcPr>
          <w:p w14:paraId="657851BB">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63CCFC07">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23808F6D">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7BE65FA4">
            <w:pPr>
              <w:keepNext/>
              <w:adjustRightInd w:val="0"/>
              <w:spacing w:line="440" w:lineRule="exact"/>
              <w:ind w:left="63" w:leftChars="30" w:right="63" w:rightChars="30"/>
              <w:jc w:val="center"/>
              <w:textAlignment w:val="baseline"/>
              <w:rPr>
                <w:rFonts w:eastAsia="仿宋_GB2312"/>
                <w:color w:val="auto"/>
                <w:sz w:val="30"/>
                <w:szCs w:val="30"/>
              </w:rPr>
            </w:pPr>
          </w:p>
        </w:tc>
      </w:tr>
      <w:tr w14:paraId="77C1F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18B4D0D5">
            <w:pPr>
              <w:keepNext/>
              <w:adjustRightInd w:val="0"/>
              <w:spacing w:after="60"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其他人员</w:t>
            </w:r>
          </w:p>
        </w:tc>
        <w:tc>
          <w:tcPr>
            <w:tcW w:w="1418" w:type="dxa"/>
            <w:vAlign w:val="center"/>
          </w:tcPr>
          <w:p w14:paraId="59EBE2DB">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3E6FF997">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7CEC1710">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3F107421">
            <w:pPr>
              <w:keepNext/>
              <w:adjustRightInd w:val="0"/>
              <w:spacing w:line="440" w:lineRule="exact"/>
              <w:ind w:left="63" w:leftChars="30" w:right="63" w:rightChars="30"/>
              <w:jc w:val="center"/>
              <w:textAlignment w:val="baseline"/>
              <w:rPr>
                <w:rFonts w:eastAsia="仿宋_GB2312"/>
                <w:color w:val="auto"/>
                <w:sz w:val="30"/>
                <w:szCs w:val="30"/>
              </w:rPr>
            </w:pPr>
          </w:p>
        </w:tc>
      </w:tr>
      <w:tr w14:paraId="3848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5CBC5BF">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7DF5CA1A">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76A74C24">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2E7F1CA4">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72FE4E7E">
            <w:pPr>
              <w:keepNext/>
              <w:adjustRightInd w:val="0"/>
              <w:spacing w:line="440" w:lineRule="exact"/>
              <w:ind w:left="63" w:leftChars="30" w:right="63" w:rightChars="30"/>
              <w:jc w:val="center"/>
              <w:textAlignment w:val="baseline"/>
              <w:rPr>
                <w:rFonts w:eastAsia="仿宋_GB2312"/>
                <w:color w:val="auto"/>
                <w:sz w:val="30"/>
                <w:szCs w:val="30"/>
              </w:rPr>
            </w:pPr>
          </w:p>
        </w:tc>
      </w:tr>
      <w:tr w14:paraId="78C8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D64CD6A">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664DA6FF">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12CFA3E8">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546F40B4">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2F4438F0">
            <w:pPr>
              <w:keepNext/>
              <w:adjustRightInd w:val="0"/>
              <w:spacing w:line="440" w:lineRule="exact"/>
              <w:ind w:left="63" w:leftChars="30" w:right="63" w:rightChars="30"/>
              <w:jc w:val="center"/>
              <w:textAlignment w:val="baseline"/>
              <w:rPr>
                <w:rFonts w:eastAsia="仿宋_GB2312"/>
                <w:color w:val="auto"/>
                <w:sz w:val="30"/>
                <w:szCs w:val="30"/>
              </w:rPr>
            </w:pPr>
          </w:p>
        </w:tc>
      </w:tr>
      <w:tr w14:paraId="14FB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2F520FC5">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二、现场人员</w:t>
            </w:r>
          </w:p>
        </w:tc>
      </w:tr>
      <w:tr w14:paraId="6D17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8081760">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项目经理</w:t>
            </w:r>
          </w:p>
        </w:tc>
        <w:tc>
          <w:tcPr>
            <w:tcW w:w="1418" w:type="dxa"/>
            <w:vAlign w:val="center"/>
          </w:tcPr>
          <w:p w14:paraId="343B4748">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65A1F8C3">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5021C23F">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10100404">
            <w:pPr>
              <w:keepNext/>
              <w:adjustRightInd w:val="0"/>
              <w:spacing w:line="440" w:lineRule="exact"/>
              <w:ind w:left="63" w:leftChars="30" w:right="63" w:rightChars="30"/>
              <w:jc w:val="center"/>
              <w:textAlignment w:val="baseline"/>
              <w:rPr>
                <w:rFonts w:eastAsia="仿宋_GB2312"/>
                <w:color w:val="auto"/>
                <w:sz w:val="30"/>
                <w:szCs w:val="30"/>
              </w:rPr>
            </w:pPr>
          </w:p>
        </w:tc>
      </w:tr>
      <w:tr w14:paraId="5BF23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C179B91">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项目副经理</w:t>
            </w:r>
          </w:p>
        </w:tc>
        <w:tc>
          <w:tcPr>
            <w:tcW w:w="1418" w:type="dxa"/>
            <w:vAlign w:val="center"/>
          </w:tcPr>
          <w:p w14:paraId="73D7F1A0">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3AC62609">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1809F1C1">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1AAC1FAF">
            <w:pPr>
              <w:keepNext/>
              <w:adjustRightInd w:val="0"/>
              <w:spacing w:line="440" w:lineRule="exact"/>
              <w:ind w:left="63" w:leftChars="30" w:right="63" w:rightChars="30"/>
              <w:jc w:val="center"/>
              <w:textAlignment w:val="baseline"/>
              <w:rPr>
                <w:rFonts w:eastAsia="仿宋_GB2312"/>
                <w:color w:val="auto"/>
                <w:sz w:val="30"/>
                <w:szCs w:val="30"/>
              </w:rPr>
            </w:pPr>
          </w:p>
        </w:tc>
      </w:tr>
      <w:tr w14:paraId="694B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E606AE9">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技术负责人</w:t>
            </w:r>
          </w:p>
        </w:tc>
        <w:tc>
          <w:tcPr>
            <w:tcW w:w="1418" w:type="dxa"/>
            <w:vAlign w:val="center"/>
          </w:tcPr>
          <w:p w14:paraId="7FFE2E1D">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775E76D4">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68CCD336">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52AC1C07">
            <w:pPr>
              <w:keepNext/>
              <w:adjustRightInd w:val="0"/>
              <w:spacing w:line="440" w:lineRule="exact"/>
              <w:ind w:left="63" w:leftChars="30" w:right="63" w:rightChars="30"/>
              <w:jc w:val="center"/>
              <w:textAlignment w:val="baseline"/>
              <w:rPr>
                <w:rFonts w:eastAsia="仿宋_GB2312"/>
                <w:color w:val="auto"/>
                <w:sz w:val="30"/>
                <w:szCs w:val="30"/>
              </w:rPr>
            </w:pPr>
          </w:p>
        </w:tc>
      </w:tr>
      <w:tr w14:paraId="00C2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38A0C7A">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造价管理</w:t>
            </w:r>
          </w:p>
        </w:tc>
        <w:tc>
          <w:tcPr>
            <w:tcW w:w="1418" w:type="dxa"/>
            <w:vAlign w:val="center"/>
          </w:tcPr>
          <w:p w14:paraId="431EDFEB">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3B211E28">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6A6832E3">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6F54A63A">
            <w:pPr>
              <w:keepNext/>
              <w:adjustRightInd w:val="0"/>
              <w:spacing w:line="440" w:lineRule="exact"/>
              <w:ind w:left="63" w:leftChars="30" w:right="63" w:rightChars="30"/>
              <w:jc w:val="center"/>
              <w:textAlignment w:val="baseline"/>
              <w:rPr>
                <w:rFonts w:eastAsia="仿宋_GB2312"/>
                <w:color w:val="auto"/>
                <w:sz w:val="30"/>
                <w:szCs w:val="30"/>
              </w:rPr>
            </w:pPr>
          </w:p>
        </w:tc>
      </w:tr>
      <w:tr w14:paraId="4646E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480C345F">
            <w:pPr>
              <w:keepNext/>
              <w:adjustRightInd w:val="0"/>
              <w:spacing w:after="60"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质量管理</w:t>
            </w:r>
          </w:p>
        </w:tc>
        <w:tc>
          <w:tcPr>
            <w:tcW w:w="1418" w:type="dxa"/>
            <w:vAlign w:val="center"/>
          </w:tcPr>
          <w:p w14:paraId="64BED395">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54397DEE">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03B89B4D">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229D9D1C">
            <w:pPr>
              <w:keepNext/>
              <w:adjustRightInd w:val="0"/>
              <w:spacing w:line="440" w:lineRule="exact"/>
              <w:ind w:left="63" w:leftChars="30" w:right="63" w:rightChars="30"/>
              <w:jc w:val="center"/>
              <w:textAlignment w:val="baseline"/>
              <w:rPr>
                <w:rFonts w:eastAsia="仿宋_GB2312"/>
                <w:color w:val="auto"/>
                <w:sz w:val="30"/>
                <w:szCs w:val="30"/>
              </w:rPr>
            </w:pPr>
          </w:p>
        </w:tc>
      </w:tr>
      <w:tr w14:paraId="5361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C1EEFA9">
            <w:pPr>
              <w:keepNext/>
              <w:adjustRightInd w:val="0"/>
              <w:spacing w:after="60" w:line="440" w:lineRule="exact"/>
              <w:ind w:left="63" w:leftChars="30" w:right="63" w:rightChars="30"/>
              <w:jc w:val="center"/>
              <w:textAlignment w:val="baseline"/>
              <w:rPr>
                <w:rFonts w:eastAsia="仿宋_GB2312"/>
                <w:color w:val="auto"/>
                <w:sz w:val="28"/>
                <w:szCs w:val="28"/>
              </w:rPr>
            </w:pPr>
          </w:p>
        </w:tc>
        <w:tc>
          <w:tcPr>
            <w:tcW w:w="1418" w:type="dxa"/>
            <w:vAlign w:val="center"/>
          </w:tcPr>
          <w:p w14:paraId="78B8A772">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4DED6BE6">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7B72B287">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7DB2C178">
            <w:pPr>
              <w:keepNext/>
              <w:adjustRightInd w:val="0"/>
              <w:spacing w:line="440" w:lineRule="exact"/>
              <w:ind w:left="63" w:leftChars="30" w:right="63" w:rightChars="30"/>
              <w:jc w:val="center"/>
              <w:textAlignment w:val="baseline"/>
              <w:rPr>
                <w:rFonts w:eastAsia="仿宋_GB2312"/>
                <w:color w:val="auto"/>
                <w:sz w:val="30"/>
                <w:szCs w:val="30"/>
              </w:rPr>
            </w:pPr>
          </w:p>
        </w:tc>
      </w:tr>
      <w:tr w14:paraId="0DDD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01A445C">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32C51027">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74798E04">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1DBFA3C8">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0D6DF869">
            <w:pPr>
              <w:keepNext/>
              <w:adjustRightInd w:val="0"/>
              <w:spacing w:line="440" w:lineRule="exact"/>
              <w:ind w:left="63" w:leftChars="30" w:right="63" w:rightChars="30"/>
              <w:jc w:val="center"/>
              <w:textAlignment w:val="baseline"/>
              <w:rPr>
                <w:rFonts w:eastAsia="仿宋_GB2312"/>
                <w:color w:val="auto"/>
                <w:sz w:val="30"/>
                <w:szCs w:val="30"/>
              </w:rPr>
            </w:pPr>
          </w:p>
        </w:tc>
      </w:tr>
      <w:tr w14:paraId="7811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177ADBDD">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材料管理</w:t>
            </w:r>
          </w:p>
        </w:tc>
        <w:tc>
          <w:tcPr>
            <w:tcW w:w="1418" w:type="dxa"/>
            <w:vAlign w:val="center"/>
          </w:tcPr>
          <w:p w14:paraId="10CCDB09">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6FD6AE09">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299537F8">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54CA0A17">
            <w:pPr>
              <w:keepNext/>
              <w:adjustRightInd w:val="0"/>
              <w:spacing w:line="440" w:lineRule="exact"/>
              <w:ind w:left="63" w:leftChars="30" w:right="63" w:rightChars="30"/>
              <w:jc w:val="center"/>
              <w:textAlignment w:val="baseline"/>
              <w:rPr>
                <w:rFonts w:eastAsia="仿宋_GB2312"/>
                <w:color w:val="auto"/>
                <w:sz w:val="30"/>
                <w:szCs w:val="30"/>
              </w:rPr>
            </w:pPr>
          </w:p>
        </w:tc>
      </w:tr>
      <w:tr w14:paraId="11AC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692F473">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计划管理</w:t>
            </w:r>
          </w:p>
        </w:tc>
        <w:tc>
          <w:tcPr>
            <w:tcW w:w="1418" w:type="dxa"/>
            <w:vAlign w:val="center"/>
          </w:tcPr>
          <w:p w14:paraId="4D35F84C">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6CC06A08">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2E6E7F6B">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34415127">
            <w:pPr>
              <w:keepNext/>
              <w:adjustRightInd w:val="0"/>
              <w:spacing w:line="440" w:lineRule="exact"/>
              <w:ind w:left="63" w:leftChars="30" w:right="63" w:rightChars="30"/>
              <w:jc w:val="center"/>
              <w:textAlignment w:val="baseline"/>
              <w:rPr>
                <w:rFonts w:eastAsia="仿宋_GB2312"/>
                <w:color w:val="auto"/>
                <w:sz w:val="30"/>
                <w:szCs w:val="30"/>
              </w:rPr>
            </w:pPr>
          </w:p>
        </w:tc>
      </w:tr>
      <w:tr w14:paraId="59E44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2EE17D8B">
            <w:pPr>
              <w:keepNext/>
              <w:adjustRightInd w:val="0"/>
              <w:spacing w:after="60"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安全管理</w:t>
            </w:r>
          </w:p>
        </w:tc>
        <w:tc>
          <w:tcPr>
            <w:tcW w:w="1418" w:type="dxa"/>
            <w:vAlign w:val="center"/>
          </w:tcPr>
          <w:p w14:paraId="0EE1AD64">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0813505A">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64FFB406">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243E04A1">
            <w:pPr>
              <w:keepNext/>
              <w:adjustRightInd w:val="0"/>
              <w:spacing w:line="440" w:lineRule="exact"/>
              <w:ind w:left="63" w:leftChars="30" w:right="63" w:rightChars="30"/>
              <w:jc w:val="center"/>
              <w:textAlignment w:val="baseline"/>
              <w:rPr>
                <w:rFonts w:eastAsia="仿宋_GB2312"/>
                <w:color w:val="auto"/>
                <w:sz w:val="30"/>
                <w:szCs w:val="30"/>
              </w:rPr>
            </w:pPr>
          </w:p>
        </w:tc>
      </w:tr>
      <w:tr w14:paraId="7B554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C9FA196">
            <w:pPr>
              <w:keepNext/>
              <w:adjustRightInd w:val="0"/>
              <w:spacing w:after="60" w:line="440" w:lineRule="exact"/>
              <w:ind w:left="63" w:leftChars="30" w:right="63" w:rightChars="30"/>
              <w:jc w:val="center"/>
              <w:textAlignment w:val="baseline"/>
              <w:rPr>
                <w:rFonts w:eastAsia="仿宋_GB2312"/>
                <w:color w:val="auto"/>
                <w:sz w:val="28"/>
                <w:szCs w:val="28"/>
              </w:rPr>
            </w:pPr>
          </w:p>
        </w:tc>
        <w:tc>
          <w:tcPr>
            <w:tcW w:w="1418" w:type="dxa"/>
            <w:vAlign w:val="center"/>
          </w:tcPr>
          <w:p w14:paraId="3488A7F4">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079237D0">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24ADE228">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3109E448">
            <w:pPr>
              <w:keepNext/>
              <w:adjustRightInd w:val="0"/>
              <w:spacing w:line="440" w:lineRule="exact"/>
              <w:ind w:left="63" w:leftChars="30" w:right="63" w:rightChars="30"/>
              <w:jc w:val="center"/>
              <w:textAlignment w:val="baseline"/>
              <w:rPr>
                <w:rFonts w:eastAsia="仿宋_GB2312"/>
                <w:color w:val="auto"/>
                <w:sz w:val="30"/>
                <w:szCs w:val="30"/>
              </w:rPr>
            </w:pPr>
          </w:p>
        </w:tc>
      </w:tr>
      <w:tr w14:paraId="6D95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3980A22">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5D898A4E">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31A9C391">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2548B998">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7E50D70F">
            <w:pPr>
              <w:keepNext/>
              <w:adjustRightInd w:val="0"/>
              <w:spacing w:line="440" w:lineRule="exact"/>
              <w:ind w:left="63" w:leftChars="30" w:right="63" w:rightChars="30"/>
              <w:jc w:val="center"/>
              <w:textAlignment w:val="baseline"/>
              <w:rPr>
                <w:rFonts w:eastAsia="仿宋_GB2312"/>
                <w:color w:val="auto"/>
                <w:sz w:val="30"/>
                <w:szCs w:val="30"/>
              </w:rPr>
            </w:pPr>
          </w:p>
        </w:tc>
      </w:tr>
      <w:tr w14:paraId="44B38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1918C1AD">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其他人员</w:t>
            </w:r>
          </w:p>
        </w:tc>
        <w:tc>
          <w:tcPr>
            <w:tcW w:w="1418" w:type="dxa"/>
            <w:vAlign w:val="center"/>
          </w:tcPr>
          <w:p w14:paraId="22062F45">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765BBC34">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5DF9D209">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0DB85D8D">
            <w:pPr>
              <w:keepNext/>
              <w:adjustRightInd w:val="0"/>
              <w:spacing w:line="440" w:lineRule="exact"/>
              <w:ind w:left="63" w:leftChars="30" w:right="63" w:rightChars="30"/>
              <w:jc w:val="center"/>
              <w:textAlignment w:val="baseline"/>
              <w:rPr>
                <w:rFonts w:eastAsia="仿宋_GB2312"/>
                <w:color w:val="auto"/>
                <w:sz w:val="30"/>
                <w:szCs w:val="30"/>
              </w:rPr>
            </w:pPr>
          </w:p>
        </w:tc>
      </w:tr>
      <w:tr w14:paraId="1E05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EF7826D">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0437E489">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71A4739F">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761063F0">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0166FB38">
            <w:pPr>
              <w:keepNext/>
              <w:adjustRightInd w:val="0"/>
              <w:spacing w:line="440" w:lineRule="exact"/>
              <w:ind w:left="63" w:leftChars="30" w:right="63" w:rightChars="30"/>
              <w:jc w:val="center"/>
              <w:textAlignment w:val="baseline"/>
              <w:rPr>
                <w:rFonts w:eastAsia="仿宋_GB2312"/>
                <w:color w:val="auto"/>
                <w:sz w:val="30"/>
                <w:szCs w:val="30"/>
              </w:rPr>
            </w:pPr>
          </w:p>
        </w:tc>
      </w:tr>
      <w:tr w14:paraId="5127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F823E92">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0CAAFC26">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44A6056D">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488D2C86">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5247C731">
            <w:pPr>
              <w:keepNext/>
              <w:adjustRightInd w:val="0"/>
              <w:spacing w:line="440" w:lineRule="exact"/>
              <w:ind w:left="63" w:leftChars="30" w:right="63" w:rightChars="30"/>
              <w:jc w:val="center"/>
              <w:textAlignment w:val="baseline"/>
              <w:rPr>
                <w:rFonts w:eastAsia="仿宋_GB2312"/>
                <w:color w:val="auto"/>
                <w:sz w:val="30"/>
                <w:szCs w:val="30"/>
              </w:rPr>
            </w:pPr>
          </w:p>
        </w:tc>
      </w:tr>
      <w:tr w14:paraId="5E3D5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87DF64F">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550F4561">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4D4046D6">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4A03F35B">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5B667D2D">
            <w:pPr>
              <w:keepNext/>
              <w:adjustRightInd w:val="0"/>
              <w:spacing w:line="440" w:lineRule="exact"/>
              <w:ind w:left="63" w:leftChars="30" w:right="63" w:rightChars="30"/>
              <w:jc w:val="center"/>
              <w:textAlignment w:val="baseline"/>
              <w:rPr>
                <w:rFonts w:eastAsia="仿宋_GB2312"/>
                <w:color w:val="auto"/>
                <w:sz w:val="30"/>
                <w:szCs w:val="30"/>
              </w:rPr>
            </w:pPr>
          </w:p>
        </w:tc>
      </w:tr>
      <w:tr w14:paraId="2C334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52918A7">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4335CC39">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3457A7DF">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7E51D990">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2195B066">
            <w:pPr>
              <w:keepNext/>
              <w:adjustRightInd w:val="0"/>
              <w:spacing w:line="440" w:lineRule="exact"/>
              <w:ind w:left="63" w:leftChars="30" w:right="63" w:rightChars="30"/>
              <w:jc w:val="center"/>
              <w:textAlignment w:val="baseline"/>
              <w:rPr>
                <w:rFonts w:eastAsia="仿宋_GB2312"/>
                <w:color w:val="auto"/>
                <w:sz w:val="30"/>
                <w:szCs w:val="30"/>
              </w:rPr>
            </w:pPr>
          </w:p>
        </w:tc>
      </w:tr>
      <w:tr w14:paraId="17666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7169F864">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6EA8957F">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2D8345C2">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5F0D7697">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46B0A698">
            <w:pPr>
              <w:keepNext/>
              <w:adjustRightInd w:val="0"/>
              <w:spacing w:line="440" w:lineRule="exact"/>
              <w:ind w:left="63" w:leftChars="30" w:right="63" w:rightChars="30"/>
              <w:jc w:val="center"/>
              <w:textAlignment w:val="baseline"/>
              <w:rPr>
                <w:rFonts w:eastAsia="仿宋_GB2312"/>
                <w:color w:val="auto"/>
                <w:sz w:val="30"/>
                <w:szCs w:val="30"/>
              </w:rPr>
            </w:pPr>
          </w:p>
        </w:tc>
      </w:tr>
    </w:tbl>
    <w:p w14:paraId="647B26F5">
      <w:pPr>
        <w:spacing w:line="440" w:lineRule="exact"/>
        <w:outlineLvl w:val="0"/>
        <w:rPr>
          <w:rFonts w:eastAsia="黑体"/>
          <w:color w:val="auto"/>
          <w:sz w:val="30"/>
          <w:szCs w:val="30"/>
        </w:rPr>
      </w:pPr>
      <w:r>
        <w:rPr>
          <w:rFonts w:eastAsia="仿宋_GB2312"/>
          <w:color w:val="auto"/>
          <w:sz w:val="30"/>
          <w:szCs w:val="30"/>
        </w:rPr>
        <w:br w:type="page"/>
      </w:r>
      <w:bookmarkStart w:id="1598" w:name="_Toc6938"/>
      <w:bookmarkStart w:id="1599" w:name="_Toc3533"/>
      <w:r>
        <w:rPr>
          <w:rFonts w:hint="eastAsia" w:eastAsia="仿宋_GB2312" w:cs="仿宋_GB2312"/>
          <w:color w:val="auto"/>
          <w:sz w:val="30"/>
          <w:szCs w:val="30"/>
        </w:rPr>
        <w:t>附</w:t>
      </w:r>
      <w:bookmarkStart w:id="1600" w:name="_Toc296503229"/>
      <w:bookmarkStart w:id="1601" w:name="_Toc296891269"/>
      <w:bookmarkStart w:id="1602" w:name="_Toc296346730"/>
      <w:bookmarkStart w:id="1603" w:name="_Toc296891057"/>
      <w:bookmarkStart w:id="1604" w:name="_Toc296944568"/>
      <w:bookmarkStart w:id="1605" w:name="_Toc296347228"/>
      <w:r>
        <w:rPr>
          <w:rFonts w:hint="eastAsia" w:eastAsia="仿宋_GB2312" w:cs="仿宋_GB2312"/>
          <w:color w:val="auto"/>
          <w:sz w:val="30"/>
          <w:szCs w:val="30"/>
        </w:rPr>
        <w:t>件</w:t>
      </w:r>
      <w:r>
        <w:rPr>
          <w:rFonts w:hint="eastAsia" w:eastAsia="仿宋_GB2312"/>
          <w:color w:val="auto"/>
          <w:sz w:val="30"/>
          <w:szCs w:val="30"/>
        </w:rPr>
        <w:t>6</w:t>
      </w:r>
      <w:r>
        <w:rPr>
          <w:rFonts w:hint="eastAsia" w:eastAsia="仿宋_GB2312" w:cs="仿宋_GB2312"/>
          <w:color w:val="auto"/>
          <w:sz w:val="30"/>
          <w:szCs w:val="30"/>
        </w:rPr>
        <w:t>：</w:t>
      </w:r>
      <w:bookmarkEnd w:id="1598"/>
      <w:bookmarkEnd w:id="1599"/>
    </w:p>
    <w:bookmarkEnd w:id="1600"/>
    <w:bookmarkEnd w:id="1601"/>
    <w:bookmarkEnd w:id="1602"/>
    <w:bookmarkEnd w:id="1603"/>
    <w:bookmarkEnd w:id="1604"/>
    <w:bookmarkEnd w:id="1605"/>
    <w:p w14:paraId="78804AC5">
      <w:pPr>
        <w:spacing w:beforeLines="50" w:afterLines="50" w:line="440" w:lineRule="exact"/>
        <w:jc w:val="center"/>
        <w:rPr>
          <w:rFonts w:eastAsia="黑体"/>
          <w:color w:val="auto"/>
          <w:sz w:val="30"/>
          <w:szCs w:val="30"/>
        </w:rPr>
      </w:pPr>
      <w:r>
        <w:rPr>
          <w:rFonts w:hint="eastAsia" w:eastAsia="黑体" w:cs="黑体"/>
          <w:color w:val="auto"/>
          <w:sz w:val="30"/>
          <w:szCs w:val="30"/>
        </w:rPr>
        <w:t>分包人主要施工管理人员表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0779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D390DC5">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名</w:t>
            </w:r>
            <w:r>
              <w:rPr>
                <w:rFonts w:eastAsia="仿宋_GB2312"/>
                <w:color w:val="auto"/>
                <w:sz w:val="28"/>
                <w:szCs w:val="28"/>
              </w:rPr>
              <w:t xml:space="preserve">    </w:t>
            </w:r>
            <w:r>
              <w:rPr>
                <w:rFonts w:hint="eastAsia" w:eastAsia="仿宋_GB2312" w:cs="仿宋_GB2312"/>
                <w:color w:val="auto"/>
                <w:sz w:val="28"/>
                <w:szCs w:val="28"/>
              </w:rPr>
              <w:t>称</w:t>
            </w:r>
          </w:p>
        </w:tc>
        <w:tc>
          <w:tcPr>
            <w:tcW w:w="1418" w:type="dxa"/>
            <w:vAlign w:val="center"/>
          </w:tcPr>
          <w:p w14:paraId="5B88A0D5">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姓名</w:t>
            </w:r>
          </w:p>
        </w:tc>
        <w:tc>
          <w:tcPr>
            <w:tcW w:w="1134" w:type="dxa"/>
            <w:vAlign w:val="center"/>
          </w:tcPr>
          <w:p w14:paraId="579D830E">
            <w:pPr>
              <w:keepNext/>
              <w:adjustRightInd w:val="0"/>
              <w:spacing w:line="440" w:lineRule="exact"/>
              <w:ind w:left="63" w:leftChars="30" w:right="63" w:rightChars="30"/>
              <w:jc w:val="center"/>
              <w:textAlignment w:val="baseline"/>
              <w:rPr>
                <w:rFonts w:eastAsia="仿宋_GB2312"/>
                <w:color w:val="auto"/>
                <w:sz w:val="30"/>
                <w:szCs w:val="30"/>
              </w:rPr>
            </w:pPr>
            <w:r>
              <w:rPr>
                <w:rFonts w:hint="eastAsia" w:eastAsia="仿宋_GB2312" w:cs="仿宋_GB2312"/>
                <w:color w:val="auto"/>
                <w:sz w:val="30"/>
                <w:szCs w:val="30"/>
              </w:rPr>
              <w:t>职务</w:t>
            </w:r>
          </w:p>
        </w:tc>
        <w:tc>
          <w:tcPr>
            <w:tcW w:w="1134" w:type="dxa"/>
            <w:vAlign w:val="center"/>
          </w:tcPr>
          <w:p w14:paraId="67B33E7E">
            <w:pPr>
              <w:keepNext/>
              <w:adjustRightInd w:val="0"/>
              <w:spacing w:line="440" w:lineRule="exact"/>
              <w:ind w:left="63" w:leftChars="30" w:right="63" w:rightChars="30"/>
              <w:jc w:val="center"/>
              <w:textAlignment w:val="baseline"/>
              <w:rPr>
                <w:rFonts w:eastAsia="仿宋_GB2312"/>
                <w:color w:val="auto"/>
                <w:sz w:val="30"/>
                <w:szCs w:val="30"/>
              </w:rPr>
            </w:pPr>
            <w:r>
              <w:rPr>
                <w:rFonts w:hint="eastAsia" w:eastAsia="仿宋_GB2312" w:cs="仿宋_GB2312"/>
                <w:color w:val="auto"/>
                <w:sz w:val="30"/>
                <w:szCs w:val="30"/>
              </w:rPr>
              <w:t>职称</w:t>
            </w:r>
          </w:p>
        </w:tc>
        <w:tc>
          <w:tcPr>
            <w:tcW w:w="4252" w:type="dxa"/>
            <w:vAlign w:val="center"/>
          </w:tcPr>
          <w:p w14:paraId="5F857D9D">
            <w:pPr>
              <w:keepNext/>
              <w:adjustRightInd w:val="0"/>
              <w:spacing w:line="440" w:lineRule="exact"/>
              <w:ind w:left="63" w:leftChars="30" w:right="63" w:rightChars="30"/>
              <w:jc w:val="center"/>
              <w:textAlignment w:val="baseline"/>
              <w:rPr>
                <w:rFonts w:eastAsia="仿宋_GB2312"/>
                <w:color w:val="auto"/>
                <w:sz w:val="30"/>
                <w:szCs w:val="30"/>
              </w:rPr>
            </w:pPr>
            <w:r>
              <w:rPr>
                <w:rFonts w:hint="eastAsia" w:eastAsia="仿宋_GB2312" w:cs="仿宋_GB2312"/>
                <w:color w:val="auto"/>
                <w:sz w:val="30"/>
                <w:szCs w:val="30"/>
              </w:rPr>
              <w:t>主要资历、经验及承担过的项目</w:t>
            </w:r>
          </w:p>
        </w:tc>
      </w:tr>
      <w:tr w14:paraId="02012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5E390051">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一、总部人员</w:t>
            </w:r>
          </w:p>
        </w:tc>
      </w:tr>
      <w:tr w14:paraId="16A19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C8840A1">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项目主管</w:t>
            </w:r>
          </w:p>
        </w:tc>
        <w:tc>
          <w:tcPr>
            <w:tcW w:w="1418" w:type="dxa"/>
            <w:vAlign w:val="center"/>
          </w:tcPr>
          <w:p w14:paraId="062148DD">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1A5F1B7A">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4E7D4350">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00875EC4">
            <w:pPr>
              <w:keepNext/>
              <w:adjustRightInd w:val="0"/>
              <w:spacing w:line="440" w:lineRule="exact"/>
              <w:ind w:left="63" w:leftChars="30" w:right="63" w:rightChars="30"/>
              <w:jc w:val="center"/>
              <w:textAlignment w:val="baseline"/>
              <w:rPr>
                <w:rFonts w:eastAsia="仿宋_GB2312"/>
                <w:color w:val="auto"/>
                <w:sz w:val="30"/>
                <w:szCs w:val="30"/>
              </w:rPr>
            </w:pPr>
          </w:p>
        </w:tc>
      </w:tr>
      <w:tr w14:paraId="4030B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2E565204">
            <w:pPr>
              <w:keepNext/>
              <w:adjustRightInd w:val="0"/>
              <w:spacing w:after="60"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其他人员</w:t>
            </w:r>
          </w:p>
        </w:tc>
        <w:tc>
          <w:tcPr>
            <w:tcW w:w="1418" w:type="dxa"/>
            <w:vAlign w:val="center"/>
          </w:tcPr>
          <w:p w14:paraId="118863B9">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000B85FD">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52C43E2C">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0F25B591">
            <w:pPr>
              <w:keepNext/>
              <w:adjustRightInd w:val="0"/>
              <w:spacing w:line="440" w:lineRule="exact"/>
              <w:ind w:left="63" w:leftChars="30" w:right="63" w:rightChars="30"/>
              <w:jc w:val="center"/>
              <w:textAlignment w:val="baseline"/>
              <w:rPr>
                <w:rFonts w:eastAsia="仿宋_GB2312"/>
                <w:color w:val="auto"/>
                <w:sz w:val="30"/>
                <w:szCs w:val="30"/>
              </w:rPr>
            </w:pPr>
          </w:p>
        </w:tc>
      </w:tr>
      <w:tr w14:paraId="443E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D7AEA59">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5D51E34F">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2A5FABCE">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6080D5A9">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72BAFFAC">
            <w:pPr>
              <w:keepNext/>
              <w:adjustRightInd w:val="0"/>
              <w:spacing w:line="440" w:lineRule="exact"/>
              <w:ind w:left="63" w:leftChars="30" w:right="63" w:rightChars="30"/>
              <w:jc w:val="center"/>
              <w:textAlignment w:val="baseline"/>
              <w:rPr>
                <w:rFonts w:eastAsia="仿宋_GB2312"/>
                <w:color w:val="auto"/>
                <w:sz w:val="30"/>
                <w:szCs w:val="30"/>
              </w:rPr>
            </w:pPr>
          </w:p>
        </w:tc>
      </w:tr>
      <w:tr w14:paraId="17A46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9DB0100">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5DA7972D">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11FDA435">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6DA583E4">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58CB5F93">
            <w:pPr>
              <w:keepNext/>
              <w:adjustRightInd w:val="0"/>
              <w:spacing w:line="440" w:lineRule="exact"/>
              <w:ind w:left="63" w:leftChars="30" w:right="63" w:rightChars="30"/>
              <w:jc w:val="center"/>
              <w:textAlignment w:val="baseline"/>
              <w:rPr>
                <w:rFonts w:eastAsia="仿宋_GB2312"/>
                <w:color w:val="auto"/>
                <w:sz w:val="30"/>
                <w:szCs w:val="30"/>
              </w:rPr>
            </w:pPr>
          </w:p>
        </w:tc>
      </w:tr>
      <w:tr w14:paraId="7155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087D779B">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二、现场人员</w:t>
            </w:r>
          </w:p>
        </w:tc>
      </w:tr>
      <w:tr w14:paraId="6262F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6103EE3">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项目经理</w:t>
            </w:r>
          </w:p>
        </w:tc>
        <w:tc>
          <w:tcPr>
            <w:tcW w:w="1418" w:type="dxa"/>
            <w:vAlign w:val="center"/>
          </w:tcPr>
          <w:p w14:paraId="1B875D23">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75CF64EF">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0CB23DF8">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542E0678">
            <w:pPr>
              <w:keepNext/>
              <w:adjustRightInd w:val="0"/>
              <w:spacing w:line="440" w:lineRule="exact"/>
              <w:ind w:left="63" w:leftChars="30" w:right="63" w:rightChars="30"/>
              <w:jc w:val="center"/>
              <w:textAlignment w:val="baseline"/>
              <w:rPr>
                <w:rFonts w:eastAsia="仿宋_GB2312"/>
                <w:color w:val="auto"/>
                <w:sz w:val="30"/>
                <w:szCs w:val="30"/>
              </w:rPr>
            </w:pPr>
          </w:p>
        </w:tc>
      </w:tr>
      <w:tr w14:paraId="2438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2A2735C">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项目副经理</w:t>
            </w:r>
          </w:p>
        </w:tc>
        <w:tc>
          <w:tcPr>
            <w:tcW w:w="1418" w:type="dxa"/>
            <w:vAlign w:val="center"/>
          </w:tcPr>
          <w:p w14:paraId="7E8691EE">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005A176F">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778FA875">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5AF9D426">
            <w:pPr>
              <w:keepNext/>
              <w:adjustRightInd w:val="0"/>
              <w:spacing w:line="440" w:lineRule="exact"/>
              <w:ind w:left="63" w:leftChars="30" w:right="63" w:rightChars="30"/>
              <w:jc w:val="center"/>
              <w:textAlignment w:val="baseline"/>
              <w:rPr>
                <w:rFonts w:eastAsia="仿宋_GB2312"/>
                <w:color w:val="auto"/>
                <w:sz w:val="30"/>
                <w:szCs w:val="30"/>
              </w:rPr>
            </w:pPr>
          </w:p>
        </w:tc>
      </w:tr>
      <w:tr w14:paraId="41D3A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1C13880">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技术负责人</w:t>
            </w:r>
          </w:p>
        </w:tc>
        <w:tc>
          <w:tcPr>
            <w:tcW w:w="1418" w:type="dxa"/>
            <w:vAlign w:val="center"/>
          </w:tcPr>
          <w:p w14:paraId="1DE48287">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3DC239C9">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40E2C733">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0636F250">
            <w:pPr>
              <w:keepNext/>
              <w:adjustRightInd w:val="0"/>
              <w:spacing w:line="440" w:lineRule="exact"/>
              <w:ind w:left="63" w:leftChars="30" w:right="63" w:rightChars="30"/>
              <w:jc w:val="center"/>
              <w:textAlignment w:val="baseline"/>
              <w:rPr>
                <w:rFonts w:eastAsia="仿宋_GB2312"/>
                <w:color w:val="auto"/>
                <w:sz w:val="30"/>
                <w:szCs w:val="30"/>
              </w:rPr>
            </w:pPr>
          </w:p>
        </w:tc>
      </w:tr>
      <w:tr w14:paraId="7AC1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2E01BC5">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造价管理</w:t>
            </w:r>
          </w:p>
        </w:tc>
        <w:tc>
          <w:tcPr>
            <w:tcW w:w="1418" w:type="dxa"/>
            <w:vAlign w:val="center"/>
          </w:tcPr>
          <w:p w14:paraId="65A2FF51">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21428276">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601619C3">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538F2A93">
            <w:pPr>
              <w:keepNext/>
              <w:adjustRightInd w:val="0"/>
              <w:spacing w:line="440" w:lineRule="exact"/>
              <w:ind w:left="63" w:leftChars="30" w:right="63" w:rightChars="30"/>
              <w:jc w:val="center"/>
              <w:textAlignment w:val="baseline"/>
              <w:rPr>
                <w:rFonts w:eastAsia="仿宋_GB2312"/>
                <w:color w:val="auto"/>
                <w:sz w:val="30"/>
                <w:szCs w:val="30"/>
              </w:rPr>
            </w:pPr>
          </w:p>
        </w:tc>
      </w:tr>
      <w:tr w14:paraId="36051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DB9C1AD">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质量管理</w:t>
            </w:r>
          </w:p>
        </w:tc>
        <w:tc>
          <w:tcPr>
            <w:tcW w:w="1418" w:type="dxa"/>
            <w:vAlign w:val="center"/>
          </w:tcPr>
          <w:p w14:paraId="4E9C9A4A">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573BAC84">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3EFDF342">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3E76C190">
            <w:pPr>
              <w:keepNext/>
              <w:adjustRightInd w:val="0"/>
              <w:spacing w:line="440" w:lineRule="exact"/>
              <w:ind w:left="63" w:leftChars="30" w:right="63" w:rightChars="30"/>
              <w:jc w:val="center"/>
              <w:textAlignment w:val="baseline"/>
              <w:rPr>
                <w:rFonts w:eastAsia="仿宋_GB2312"/>
                <w:color w:val="auto"/>
                <w:sz w:val="30"/>
                <w:szCs w:val="30"/>
              </w:rPr>
            </w:pPr>
          </w:p>
        </w:tc>
      </w:tr>
      <w:tr w14:paraId="3550A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A57E403">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材料管理</w:t>
            </w:r>
          </w:p>
        </w:tc>
        <w:tc>
          <w:tcPr>
            <w:tcW w:w="1418" w:type="dxa"/>
            <w:vAlign w:val="center"/>
          </w:tcPr>
          <w:p w14:paraId="6598A319">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62684D02">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088C1CD1">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46269ECB">
            <w:pPr>
              <w:keepNext/>
              <w:adjustRightInd w:val="0"/>
              <w:spacing w:line="440" w:lineRule="exact"/>
              <w:ind w:left="63" w:leftChars="30" w:right="63" w:rightChars="30"/>
              <w:jc w:val="center"/>
              <w:textAlignment w:val="baseline"/>
              <w:rPr>
                <w:rFonts w:eastAsia="仿宋_GB2312"/>
                <w:color w:val="auto"/>
                <w:sz w:val="30"/>
                <w:szCs w:val="30"/>
              </w:rPr>
            </w:pPr>
          </w:p>
        </w:tc>
      </w:tr>
      <w:tr w14:paraId="75A0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DD86124">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计划管理</w:t>
            </w:r>
          </w:p>
        </w:tc>
        <w:tc>
          <w:tcPr>
            <w:tcW w:w="1418" w:type="dxa"/>
            <w:vAlign w:val="center"/>
          </w:tcPr>
          <w:p w14:paraId="3CA3CAE3">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0F9946B0">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1073EEAF">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5E512317">
            <w:pPr>
              <w:keepNext/>
              <w:adjustRightInd w:val="0"/>
              <w:spacing w:line="440" w:lineRule="exact"/>
              <w:ind w:left="63" w:leftChars="30" w:right="63" w:rightChars="30"/>
              <w:jc w:val="center"/>
              <w:textAlignment w:val="baseline"/>
              <w:rPr>
                <w:rFonts w:eastAsia="仿宋_GB2312"/>
                <w:color w:val="auto"/>
                <w:sz w:val="30"/>
                <w:szCs w:val="30"/>
              </w:rPr>
            </w:pPr>
          </w:p>
        </w:tc>
      </w:tr>
      <w:tr w14:paraId="072E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DD2C265">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安全管理</w:t>
            </w:r>
          </w:p>
        </w:tc>
        <w:tc>
          <w:tcPr>
            <w:tcW w:w="1418" w:type="dxa"/>
            <w:vAlign w:val="center"/>
          </w:tcPr>
          <w:p w14:paraId="4DD7F2AB">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4A86588E">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4AA02901">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46A65853">
            <w:pPr>
              <w:keepNext/>
              <w:adjustRightInd w:val="0"/>
              <w:spacing w:line="440" w:lineRule="exact"/>
              <w:ind w:left="63" w:leftChars="30" w:right="63" w:rightChars="30"/>
              <w:jc w:val="center"/>
              <w:textAlignment w:val="baseline"/>
              <w:rPr>
                <w:rFonts w:eastAsia="仿宋_GB2312"/>
                <w:color w:val="auto"/>
                <w:sz w:val="30"/>
                <w:szCs w:val="30"/>
              </w:rPr>
            </w:pPr>
          </w:p>
        </w:tc>
      </w:tr>
      <w:tr w14:paraId="5C39E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501126A9">
            <w:pPr>
              <w:keepNext/>
              <w:adjustRightInd w:val="0"/>
              <w:spacing w:line="440" w:lineRule="exact"/>
              <w:ind w:left="63" w:leftChars="30" w:right="63" w:rightChars="30"/>
              <w:jc w:val="center"/>
              <w:textAlignment w:val="baseline"/>
              <w:rPr>
                <w:rFonts w:eastAsia="仿宋_GB2312"/>
                <w:color w:val="auto"/>
                <w:sz w:val="28"/>
                <w:szCs w:val="28"/>
              </w:rPr>
            </w:pPr>
            <w:r>
              <w:rPr>
                <w:rFonts w:hint="eastAsia" w:eastAsia="仿宋_GB2312" w:cs="仿宋_GB2312"/>
                <w:color w:val="auto"/>
                <w:sz w:val="28"/>
                <w:szCs w:val="28"/>
              </w:rPr>
              <w:t>其他人员</w:t>
            </w:r>
          </w:p>
        </w:tc>
        <w:tc>
          <w:tcPr>
            <w:tcW w:w="1418" w:type="dxa"/>
            <w:vAlign w:val="center"/>
          </w:tcPr>
          <w:p w14:paraId="7468EB1C">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5EEBDA51">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524AAC5A">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4B7A0F84">
            <w:pPr>
              <w:keepNext/>
              <w:adjustRightInd w:val="0"/>
              <w:spacing w:line="440" w:lineRule="exact"/>
              <w:ind w:left="63" w:leftChars="30" w:right="63" w:rightChars="30"/>
              <w:jc w:val="center"/>
              <w:textAlignment w:val="baseline"/>
              <w:rPr>
                <w:rFonts w:eastAsia="仿宋_GB2312"/>
                <w:color w:val="auto"/>
                <w:sz w:val="30"/>
                <w:szCs w:val="30"/>
              </w:rPr>
            </w:pPr>
          </w:p>
        </w:tc>
      </w:tr>
      <w:tr w14:paraId="04B3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326CFD4">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5BA38126">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3DBFB20E">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740A74CE">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6636A740">
            <w:pPr>
              <w:keepNext/>
              <w:adjustRightInd w:val="0"/>
              <w:spacing w:line="440" w:lineRule="exact"/>
              <w:ind w:left="63" w:leftChars="30" w:right="63" w:rightChars="30"/>
              <w:jc w:val="center"/>
              <w:textAlignment w:val="baseline"/>
              <w:rPr>
                <w:rFonts w:eastAsia="仿宋_GB2312"/>
                <w:color w:val="auto"/>
                <w:sz w:val="30"/>
                <w:szCs w:val="30"/>
              </w:rPr>
            </w:pPr>
          </w:p>
        </w:tc>
      </w:tr>
      <w:tr w14:paraId="50EC3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687F65C">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19F37EDC">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1D24302C">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44C24CA5">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0F35BF79">
            <w:pPr>
              <w:keepNext/>
              <w:adjustRightInd w:val="0"/>
              <w:spacing w:line="440" w:lineRule="exact"/>
              <w:ind w:left="63" w:leftChars="30" w:right="63" w:rightChars="30"/>
              <w:jc w:val="center"/>
              <w:textAlignment w:val="baseline"/>
              <w:rPr>
                <w:rFonts w:eastAsia="仿宋_GB2312"/>
                <w:color w:val="auto"/>
                <w:sz w:val="30"/>
                <w:szCs w:val="30"/>
              </w:rPr>
            </w:pPr>
          </w:p>
        </w:tc>
      </w:tr>
      <w:tr w14:paraId="66AE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AE19D11">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5BF82F67">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227EFFA5">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62278879">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21D2B729">
            <w:pPr>
              <w:keepNext/>
              <w:adjustRightInd w:val="0"/>
              <w:spacing w:line="440" w:lineRule="exact"/>
              <w:ind w:left="63" w:leftChars="30" w:right="63" w:rightChars="30"/>
              <w:jc w:val="center"/>
              <w:textAlignment w:val="baseline"/>
              <w:rPr>
                <w:rFonts w:eastAsia="仿宋_GB2312"/>
                <w:color w:val="auto"/>
                <w:sz w:val="30"/>
                <w:szCs w:val="30"/>
              </w:rPr>
            </w:pPr>
          </w:p>
        </w:tc>
      </w:tr>
      <w:tr w14:paraId="6738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C34EF01">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5766E8C7">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52E1CADA">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487F00C0">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73E2038A">
            <w:pPr>
              <w:keepNext/>
              <w:adjustRightInd w:val="0"/>
              <w:spacing w:line="440" w:lineRule="exact"/>
              <w:ind w:left="63" w:leftChars="30" w:right="63" w:rightChars="30"/>
              <w:jc w:val="center"/>
              <w:textAlignment w:val="baseline"/>
              <w:rPr>
                <w:rFonts w:eastAsia="仿宋_GB2312"/>
                <w:color w:val="auto"/>
                <w:sz w:val="30"/>
                <w:szCs w:val="30"/>
              </w:rPr>
            </w:pPr>
          </w:p>
        </w:tc>
      </w:tr>
      <w:tr w14:paraId="367C8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C7A955C">
            <w:pPr>
              <w:keepNext/>
              <w:adjustRightInd w:val="0"/>
              <w:spacing w:line="440" w:lineRule="exact"/>
              <w:ind w:left="63" w:leftChars="30" w:right="63" w:rightChars="30"/>
              <w:jc w:val="center"/>
              <w:textAlignment w:val="baseline"/>
              <w:rPr>
                <w:rFonts w:eastAsia="仿宋_GB2312"/>
                <w:color w:val="auto"/>
                <w:sz w:val="28"/>
                <w:szCs w:val="28"/>
              </w:rPr>
            </w:pPr>
          </w:p>
        </w:tc>
        <w:tc>
          <w:tcPr>
            <w:tcW w:w="1418" w:type="dxa"/>
            <w:vAlign w:val="center"/>
          </w:tcPr>
          <w:p w14:paraId="47FF2D41">
            <w:pPr>
              <w:keepNext/>
              <w:adjustRightInd w:val="0"/>
              <w:spacing w:line="440" w:lineRule="exact"/>
              <w:ind w:left="63" w:leftChars="30" w:right="63" w:rightChars="30"/>
              <w:jc w:val="center"/>
              <w:textAlignment w:val="baseline"/>
              <w:rPr>
                <w:rFonts w:eastAsia="仿宋_GB2312"/>
                <w:color w:val="auto"/>
                <w:sz w:val="28"/>
                <w:szCs w:val="28"/>
              </w:rPr>
            </w:pPr>
          </w:p>
        </w:tc>
        <w:tc>
          <w:tcPr>
            <w:tcW w:w="1134" w:type="dxa"/>
            <w:vAlign w:val="center"/>
          </w:tcPr>
          <w:p w14:paraId="701071CC">
            <w:pPr>
              <w:keepNext/>
              <w:adjustRightInd w:val="0"/>
              <w:spacing w:line="440" w:lineRule="exact"/>
              <w:ind w:left="63" w:leftChars="30" w:right="63" w:rightChars="30"/>
              <w:jc w:val="center"/>
              <w:textAlignment w:val="baseline"/>
              <w:rPr>
                <w:rFonts w:eastAsia="仿宋_GB2312"/>
                <w:color w:val="auto"/>
                <w:sz w:val="30"/>
                <w:szCs w:val="30"/>
              </w:rPr>
            </w:pPr>
          </w:p>
        </w:tc>
        <w:tc>
          <w:tcPr>
            <w:tcW w:w="1134" w:type="dxa"/>
            <w:vAlign w:val="center"/>
          </w:tcPr>
          <w:p w14:paraId="6C941597">
            <w:pPr>
              <w:keepNext/>
              <w:adjustRightInd w:val="0"/>
              <w:spacing w:line="440" w:lineRule="exact"/>
              <w:ind w:left="63" w:leftChars="30" w:right="63" w:rightChars="30"/>
              <w:jc w:val="center"/>
              <w:textAlignment w:val="baseline"/>
              <w:rPr>
                <w:rFonts w:eastAsia="仿宋_GB2312"/>
                <w:color w:val="auto"/>
                <w:sz w:val="30"/>
                <w:szCs w:val="30"/>
              </w:rPr>
            </w:pPr>
          </w:p>
        </w:tc>
        <w:tc>
          <w:tcPr>
            <w:tcW w:w="4252" w:type="dxa"/>
            <w:vAlign w:val="center"/>
          </w:tcPr>
          <w:p w14:paraId="03AC3C1B">
            <w:pPr>
              <w:keepNext/>
              <w:adjustRightInd w:val="0"/>
              <w:spacing w:line="440" w:lineRule="exact"/>
              <w:ind w:left="63" w:leftChars="30" w:right="63" w:rightChars="30"/>
              <w:jc w:val="center"/>
              <w:textAlignment w:val="baseline"/>
              <w:rPr>
                <w:rFonts w:eastAsia="仿宋_GB2312"/>
                <w:color w:val="auto"/>
                <w:sz w:val="30"/>
                <w:szCs w:val="30"/>
              </w:rPr>
            </w:pPr>
          </w:p>
        </w:tc>
      </w:tr>
    </w:tbl>
    <w:p w14:paraId="37B08D92">
      <w:pPr>
        <w:spacing w:line="440" w:lineRule="exact"/>
        <w:outlineLvl w:val="0"/>
        <w:rPr>
          <w:rFonts w:eastAsia="黑体"/>
          <w:color w:val="auto"/>
          <w:sz w:val="30"/>
          <w:szCs w:val="30"/>
        </w:rPr>
      </w:pPr>
      <w:r>
        <w:rPr>
          <w:rFonts w:eastAsia="仿宋_GB2312"/>
          <w:color w:val="auto"/>
          <w:sz w:val="30"/>
          <w:szCs w:val="30"/>
        </w:rPr>
        <w:br w:type="page"/>
      </w:r>
      <w:bookmarkStart w:id="1606" w:name="_Toc28509"/>
      <w:bookmarkStart w:id="1607" w:name="_Toc22461"/>
      <w:bookmarkStart w:id="1608" w:name="_Toc267261701"/>
      <w:r>
        <w:rPr>
          <w:rFonts w:hint="eastAsia" w:eastAsia="仿宋_GB2312" w:cs="仿宋_GB2312"/>
          <w:color w:val="auto"/>
          <w:sz w:val="30"/>
          <w:szCs w:val="30"/>
        </w:rPr>
        <w:t>附</w:t>
      </w:r>
      <w:bookmarkStart w:id="1609" w:name="_Toc296891271"/>
      <w:bookmarkStart w:id="1610" w:name="_Toc296891059"/>
      <w:bookmarkStart w:id="1611" w:name="_Toc296503231"/>
      <w:bookmarkStart w:id="1612" w:name="_Toc296347230"/>
      <w:bookmarkStart w:id="1613" w:name="_Toc296346732"/>
      <w:bookmarkStart w:id="1614" w:name="_Toc296944570"/>
      <w:r>
        <w:rPr>
          <w:rFonts w:hint="eastAsia" w:eastAsia="仿宋_GB2312" w:cs="仿宋_GB2312"/>
          <w:color w:val="auto"/>
          <w:sz w:val="30"/>
          <w:szCs w:val="30"/>
        </w:rPr>
        <w:t>件</w:t>
      </w:r>
      <w:r>
        <w:rPr>
          <w:rFonts w:hint="eastAsia" w:eastAsia="仿宋_GB2312"/>
          <w:color w:val="auto"/>
          <w:sz w:val="30"/>
          <w:szCs w:val="30"/>
        </w:rPr>
        <w:t>7</w:t>
      </w:r>
      <w:r>
        <w:rPr>
          <w:rFonts w:hint="eastAsia" w:eastAsia="仿宋_GB2312" w:cs="仿宋_GB2312"/>
          <w:color w:val="auto"/>
          <w:sz w:val="30"/>
          <w:szCs w:val="30"/>
        </w:rPr>
        <w:t>：</w:t>
      </w:r>
      <w:bookmarkEnd w:id="1606"/>
      <w:bookmarkEnd w:id="1607"/>
    </w:p>
    <w:bookmarkEnd w:id="1608"/>
    <w:bookmarkEnd w:id="1609"/>
    <w:bookmarkEnd w:id="1610"/>
    <w:bookmarkEnd w:id="1611"/>
    <w:bookmarkEnd w:id="1612"/>
    <w:bookmarkEnd w:id="1613"/>
    <w:bookmarkEnd w:id="1614"/>
    <w:p w14:paraId="0EC461B3">
      <w:pPr>
        <w:spacing w:beforeLines="50" w:afterLines="50" w:line="440" w:lineRule="exact"/>
        <w:jc w:val="center"/>
        <w:rPr>
          <w:rFonts w:eastAsia="黑体"/>
          <w:color w:val="auto"/>
          <w:sz w:val="30"/>
          <w:szCs w:val="30"/>
        </w:rPr>
      </w:pPr>
      <w:r>
        <w:rPr>
          <w:rFonts w:hint="eastAsia" w:eastAsia="黑体" w:cs="黑体"/>
          <w:color w:val="auto"/>
          <w:sz w:val="30"/>
          <w:szCs w:val="30"/>
        </w:rPr>
        <w:t>履约担保</w:t>
      </w:r>
    </w:p>
    <w:p w14:paraId="476D9D4F">
      <w:pPr>
        <w:spacing w:line="360" w:lineRule="auto"/>
        <w:rPr>
          <w:color w:val="auto"/>
          <w:szCs w:val="21"/>
          <w:u w:val="single"/>
        </w:rPr>
      </w:pPr>
    </w:p>
    <w:p w14:paraId="713C5D65">
      <w:pPr>
        <w:spacing w:line="360" w:lineRule="auto"/>
        <w:rPr>
          <w:color w:val="auto"/>
          <w:szCs w:val="21"/>
        </w:rPr>
      </w:pPr>
      <w:r>
        <w:rPr>
          <w:color w:val="auto"/>
          <w:szCs w:val="21"/>
          <w:u w:val="single"/>
        </w:rPr>
        <w:t xml:space="preserve">                          </w:t>
      </w:r>
      <w:r>
        <w:rPr>
          <w:rFonts w:hint="eastAsia" w:hAnsi="宋体" w:cs="宋体"/>
          <w:color w:val="auto"/>
          <w:szCs w:val="21"/>
        </w:rPr>
        <w:t>（发包人名称）：</w:t>
      </w:r>
    </w:p>
    <w:p w14:paraId="4CA1E069">
      <w:pPr>
        <w:spacing w:line="360" w:lineRule="auto"/>
        <w:ind w:firstLine="420" w:firstLineChars="200"/>
        <w:rPr>
          <w:color w:val="auto"/>
          <w:szCs w:val="21"/>
        </w:rPr>
      </w:pPr>
      <w:r>
        <w:rPr>
          <w:rFonts w:hint="eastAsia" w:hAnsi="宋体" w:cs="宋体"/>
          <w:color w:val="auto"/>
          <w:szCs w:val="21"/>
        </w:rPr>
        <w:t>鉴于</w:t>
      </w:r>
      <w:r>
        <w:rPr>
          <w:color w:val="auto"/>
          <w:szCs w:val="21"/>
          <w:u w:val="single"/>
        </w:rPr>
        <w:t xml:space="preserve">                                        </w:t>
      </w:r>
      <w:r>
        <w:rPr>
          <w:rFonts w:hint="eastAsia" w:hAnsi="宋体" w:cs="宋体"/>
          <w:color w:val="auto"/>
          <w:szCs w:val="21"/>
        </w:rPr>
        <w:t>（发包人名称，以下简称</w:t>
      </w:r>
      <w:r>
        <w:rPr>
          <w:color w:val="auto"/>
          <w:szCs w:val="21"/>
        </w:rPr>
        <w:t>“</w:t>
      </w:r>
      <w:r>
        <w:rPr>
          <w:rFonts w:hint="eastAsia" w:hAnsi="宋体" w:cs="宋体"/>
          <w:color w:val="auto"/>
          <w:szCs w:val="21"/>
        </w:rPr>
        <w:t>发包人</w:t>
      </w:r>
      <w:r>
        <w:rPr>
          <w:color w:val="auto"/>
          <w:szCs w:val="21"/>
        </w:rPr>
        <w:t>”</w:t>
      </w:r>
      <w:r>
        <w:rPr>
          <w:rFonts w:hint="eastAsia" w:hAnsi="宋体" w:cs="宋体"/>
          <w:color w:val="auto"/>
          <w:szCs w:val="21"/>
        </w:rPr>
        <w:t>）</w:t>
      </w:r>
      <w:r>
        <w:rPr>
          <w:rFonts w:hAnsi="宋体"/>
          <w:color w:val="auto"/>
          <w:szCs w:val="21"/>
        </w:rPr>
        <w:t xml:space="preserve"> </w:t>
      </w:r>
      <w:r>
        <w:rPr>
          <w:rFonts w:hint="eastAsia" w:hAnsi="宋体" w:cs="宋体"/>
          <w:color w:val="auto"/>
          <w:szCs w:val="21"/>
        </w:rPr>
        <w:t>已于</w:t>
      </w:r>
      <w:r>
        <w:rPr>
          <w:color w:val="auto"/>
          <w:szCs w:val="21"/>
          <w:u w:val="single"/>
        </w:rPr>
        <w:t xml:space="preserve">           </w:t>
      </w:r>
      <w:r>
        <w:rPr>
          <w:rFonts w:hint="eastAsia" w:hAnsi="宋体" w:cs="宋体"/>
          <w:color w:val="auto"/>
          <w:szCs w:val="21"/>
        </w:rPr>
        <w:t>年</w:t>
      </w:r>
      <w:r>
        <w:rPr>
          <w:color w:val="auto"/>
          <w:szCs w:val="21"/>
          <w:u w:val="single"/>
        </w:rPr>
        <w:t xml:space="preserve">      </w:t>
      </w:r>
      <w:r>
        <w:rPr>
          <w:rFonts w:hint="eastAsia" w:hAnsi="宋体" w:cs="宋体"/>
          <w:color w:val="auto"/>
          <w:szCs w:val="21"/>
        </w:rPr>
        <w:t>月</w:t>
      </w:r>
      <w:r>
        <w:rPr>
          <w:color w:val="auto"/>
          <w:szCs w:val="21"/>
          <w:u w:val="single"/>
        </w:rPr>
        <w:t xml:space="preserve">      </w:t>
      </w:r>
      <w:r>
        <w:rPr>
          <w:rFonts w:hint="eastAsia" w:hAnsi="宋体" w:cs="宋体"/>
          <w:color w:val="auto"/>
          <w:szCs w:val="21"/>
        </w:rPr>
        <w:t>日发放</w:t>
      </w:r>
      <w:r>
        <w:rPr>
          <w:rFonts w:hint="eastAsia" w:hAnsi="宋体" w:cs="宋体"/>
          <w:color w:val="auto"/>
          <w:szCs w:val="21"/>
          <w:lang w:eastAsia="zh-CN"/>
        </w:rPr>
        <w:t>成交</w:t>
      </w:r>
      <w:r>
        <w:rPr>
          <w:rFonts w:hint="eastAsia" w:hAnsi="宋体" w:cs="宋体"/>
          <w:color w:val="auto"/>
          <w:szCs w:val="21"/>
        </w:rPr>
        <w:t>通知书，明确</w:t>
      </w:r>
      <w:r>
        <w:rPr>
          <w:color w:val="auto"/>
          <w:szCs w:val="21"/>
          <w:u w:val="single"/>
        </w:rPr>
        <w:t xml:space="preserve">                           </w:t>
      </w:r>
      <w:r>
        <w:rPr>
          <w:rFonts w:hint="eastAsia" w:hAnsi="宋体" w:cs="宋体"/>
          <w:color w:val="auto"/>
          <w:szCs w:val="21"/>
        </w:rPr>
        <w:t>（承包人名称）（以下称</w:t>
      </w:r>
      <w:r>
        <w:rPr>
          <w:color w:val="auto"/>
          <w:szCs w:val="21"/>
        </w:rPr>
        <w:t>“</w:t>
      </w:r>
      <w:r>
        <w:rPr>
          <w:rFonts w:hint="eastAsia" w:hAnsi="宋体" w:cs="宋体"/>
          <w:color w:val="auto"/>
          <w:szCs w:val="21"/>
        </w:rPr>
        <w:t>承包人</w:t>
      </w:r>
      <w:r>
        <w:rPr>
          <w:color w:val="auto"/>
          <w:szCs w:val="21"/>
        </w:rPr>
        <w:t>”</w:t>
      </w:r>
      <w:r>
        <w:rPr>
          <w:rFonts w:hint="eastAsia" w:hAnsi="宋体" w:cs="宋体"/>
          <w:color w:val="auto"/>
          <w:szCs w:val="21"/>
        </w:rPr>
        <w:t>）于</w:t>
      </w:r>
      <w:r>
        <w:rPr>
          <w:color w:val="auto"/>
          <w:szCs w:val="21"/>
          <w:u w:val="single"/>
        </w:rPr>
        <w:t xml:space="preserve">           </w:t>
      </w:r>
      <w:r>
        <w:rPr>
          <w:rFonts w:hint="eastAsia" w:hAnsi="宋体" w:cs="宋体"/>
          <w:color w:val="auto"/>
          <w:szCs w:val="21"/>
        </w:rPr>
        <w:t>年</w:t>
      </w:r>
      <w:r>
        <w:rPr>
          <w:color w:val="auto"/>
          <w:szCs w:val="21"/>
          <w:u w:val="single"/>
        </w:rPr>
        <w:t xml:space="preserve">      </w:t>
      </w:r>
      <w:r>
        <w:rPr>
          <w:rFonts w:hint="eastAsia" w:hAnsi="宋体" w:cs="宋体"/>
          <w:color w:val="auto"/>
          <w:szCs w:val="21"/>
        </w:rPr>
        <w:t>月</w:t>
      </w:r>
      <w:r>
        <w:rPr>
          <w:color w:val="auto"/>
          <w:szCs w:val="21"/>
          <w:u w:val="single"/>
        </w:rPr>
        <w:t xml:space="preserve">      </w:t>
      </w:r>
      <w:r>
        <w:rPr>
          <w:rFonts w:hint="eastAsia" w:hAnsi="宋体" w:cs="宋体"/>
          <w:color w:val="auto"/>
          <w:szCs w:val="21"/>
        </w:rPr>
        <w:t>日为</w:t>
      </w:r>
      <w:r>
        <w:rPr>
          <w:color w:val="auto"/>
          <w:szCs w:val="21"/>
          <w:u w:val="single"/>
        </w:rPr>
        <w:t xml:space="preserve">                       </w:t>
      </w:r>
      <w:r>
        <w:rPr>
          <w:rFonts w:hint="eastAsia" w:hAnsi="宋体" w:cs="宋体"/>
          <w:color w:val="auto"/>
          <w:szCs w:val="21"/>
        </w:rPr>
        <w:t>（工程名称）的中标人。我方愿意无条件地、不可撤销地就承包人履行与你方签订的合同，向你方提供连带责任担保。</w:t>
      </w:r>
      <w:r>
        <w:rPr>
          <w:color w:val="auto"/>
          <w:szCs w:val="21"/>
        </w:rPr>
        <w:t xml:space="preserve"> </w:t>
      </w:r>
    </w:p>
    <w:p w14:paraId="1E15D109">
      <w:pPr>
        <w:spacing w:line="360" w:lineRule="auto"/>
        <w:ind w:firstLine="420" w:firstLineChars="200"/>
        <w:rPr>
          <w:color w:val="auto"/>
          <w:szCs w:val="21"/>
        </w:rPr>
      </w:pPr>
      <w:r>
        <w:rPr>
          <w:color w:val="auto"/>
          <w:szCs w:val="21"/>
        </w:rPr>
        <w:t xml:space="preserve">1. </w:t>
      </w:r>
      <w:r>
        <w:rPr>
          <w:rFonts w:hint="eastAsia" w:hAnsi="宋体" w:cs="宋体"/>
          <w:color w:val="auto"/>
          <w:szCs w:val="21"/>
        </w:rPr>
        <w:t>担保金额人民币（大写）</w:t>
      </w:r>
      <w:r>
        <w:rPr>
          <w:color w:val="auto"/>
          <w:szCs w:val="21"/>
          <w:u w:val="single"/>
        </w:rPr>
        <w:t xml:space="preserve">                 </w:t>
      </w:r>
      <w:r>
        <w:rPr>
          <w:rFonts w:hint="eastAsia" w:hAnsi="宋体" w:cs="宋体"/>
          <w:color w:val="auto"/>
          <w:szCs w:val="21"/>
        </w:rPr>
        <w:t>元（</w:t>
      </w:r>
      <w:r>
        <w:rPr>
          <w:color w:val="auto"/>
          <w:szCs w:val="21"/>
        </w:rPr>
        <w:t>¥</w:t>
      </w:r>
      <w:r>
        <w:rPr>
          <w:color w:val="auto"/>
          <w:szCs w:val="21"/>
          <w:u w:val="single"/>
        </w:rPr>
        <w:t xml:space="preserve">             </w:t>
      </w:r>
      <w:r>
        <w:rPr>
          <w:rFonts w:hint="eastAsia" w:hAnsi="宋体" w:cs="宋体"/>
          <w:color w:val="auto"/>
          <w:szCs w:val="21"/>
        </w:rPr>
        <w:t>）。</w:t>
      </w:r>
    </w:p>
    <w:p w14:paraId="18B36845">
      <w:pPr>
        <w:spacing w:line="360" w:lineRule="auto"/>
        <w:ind w:firstLine="420" w:firstLineChars="200"/>
        <w:rPr>
          <w:color w:val="auto"/>
          <w:szCs w:val="21"/>
        </w:rPr>
      </w:pPr>
      <w:r>
        <w:rPr>
          <w:color w:val="auto"/>
          <w:szCs w:val="21"/>
        </w:rPr>
        <w:t xml:space="preserve">2. </w:t>
      </w:r>
      <w:r>
        <w:rPr>
          <w:rFonts w:hint="eastAsia" w:hAnsi="宋体" w:cs="宋体"/>
          <w:color w:val="auto"/>
          <w:szCs w:val="21"/>
        </w:rPr>
        <w:t>担保有效期自你方与承包人签订的合同生效之日起至你方签发或应签发工程接收证书之日止。</w:t>
      </w:r>
    </w:p>
    <w:p w14:paraId="5289C82A">
      <w:pPr>
        <w:spacing w:line="360" w:lineRule="auto"/>
        <w:ind w:firstLine="420" w:firstLineChars="200"/>
        <w:rPr>
          <w:color w:val="auto"/>
          <w:szCs w:val="21"/>
        </w:rPr>
      </w:pPr>
      <w:r>
        <w:rPr>
          <w:color w:val="auto"/>
          <w:szCs w:val="21"/>
        </w:rPr>
        <w:t xml:space="preserve">3. </w:t>
      </w:r>
      <w:r>
        <w:rPr>
          <w:rFonts w:hint="eastAsia" w:hAnsi="宋体" w:cs="宋体"/>
          <w:color w:val="auto"/>
          <w:szCs w:val="21"/>
        </w:rPr>
        <w:t>在本担保有效期内，因承包人违反合同约定的义务给你方造成经济损失时，我方在收到你方以书面形式提出的在担保金额内的赔偿要求后，在</w:t>
      </w:r>
      <w:r>
        <w:rPr>
          <w:color w:val="auto"/>
          <w:szCs w:val="21"/>
        </w:rPr>
        <w:t>7</w:t>
      </w:r>
      <w:r>
        <w:rPr>
          <w:rFonts w:hint="eastAsia" w:hAnsi="宋体" w:cs="宋体"/>
          <w:color w:val="auto"/>
          <w:szCs w:val="21"/>
        </w:rPr>
        <w:t>天内无条件支付。</w:t>
      </w:r>
    </w:p>
    <w:p w14:paraId="62F6CFCE">
      <w:pPr>
        <w:spacing w:line="360" w:lineRule="auto"/>
        <w:ind w:firstLine="420" w:firstLineChars="200"/>
        <w:rPr>
          <w:color w:val="auto"/>
          <w:szCs w:val="21"/>
        </w:rPr>
      </w:pPr>
      <w:r>
        <w:rPr>
          <w:color w:val="auto"/>
          <w:szCs w:val="21"/>
        </w:rPr>
        <w:t xml:space="preserve">4. </w:t>
      </w:r>
      <w:r>
        <w:rPr>
          <w:rFonts w:hint="eastAsia" w:hAnsi="宋体" w:cs="宋体"/>
          <w:color w:val="auto"/>
          <w:szCs w:val="21"/>
        </w:rPr>
        <w:t>你方和承包人按合同约定变更合同时，我方承担本担保规定的义务不变。</w:t>
      </w:r>
    </w:p>
    <w:p w14:paraId="46E1353C">
      <w:pPr>
        <w:spacing w:line="360" w:lineRule="auto"/>
        <w:ind w:firstLine="420" w:firstLineChars="200"/>
        <w:rPr>
          <w:color w:val="auto"/>
          <w:szCs w:val="21"/>
        </w:rPr>
      </w:pPr>
      <w:r>
        <w:rPr>
          <w:color w:val="auto"/>
          <w:szCs w:val="21"/>
        </w:rPr>
        <w:t xml:space="preserve">5. </w:t>
      </w:r>
      <w:r>
        <w:rPr>
          <w:rFonts w:hint="eastAsia" w:hAnsi="宋体" w:cs="宋体"/>
          <w:color w:val="auto"/>
          <w:szCs w:val="21"/>
        </w:rPr>
        <w:t>因本保函发生的纠纷，可由双方协商解决，协商不成的，任何一方均可提请</w:t>
      </w:r>
      <w:r>
        <w:rPr>
          <w:color w:val="auto"/>
          <w:szCs w:val="21"/>
          <w:u w:val="single"/>
        </w:rPr>
        <w:t xml:space="preserve">      </w:t>
      </w:r>
      <w:r>
        <w:rPr>
          <w:rFonts w:hint="eastAsia" w:hAnsi="宋体" w:cs="宋体"/>
          <w:color w:val="auto"/>
          <w:szCs w:val="21"/>
        </w:rPr>
        <w:t>仲裁委员会仲裁。</w:t>
      </w:r>
    </w:p>
    <w:p w14:paraId="5EDE987C">
      <w:pPr>
        <w:spacing w:line="360" w:lineRule="auto"/>
        <w:ind w:firstLine="420" w:firstLineChars="200"/>
        <w:rPr>
          <w:color w:val="auto"/>
          <w:szCs w:val="21"/>
        </w:rPr>
      </w:pPr>
      <w:r>
        <w:rPr>
          <w:color w:val="auto"/>
          <w:szCs w:val="21"/>
        </w:rPr>
        <w:t xml:space="preserve">6. </w:t>
      </w:r>
      <w:r>
        <w:rPr>
          <w:rFonts w:hint="eastAsia" w:hAnsi="宋体" w:cs="宋体"/>
          <w:color w:val="auto"/>
          <w:szCs w:val="21"/>
        </w:rPr>
        <w:t>本保函自我方法定代表人（或其授权代理人）签字并加盖公章之日起生效。</w:t>
      </w:r>
    </w:p>
    <w:p w14:paraId="62442A94">
      <w:pPr>
        <w:spacing w:line="360" w:lineRule="auto"/>
        <w:rPr>
          <w:color w:val="auto"/>
          <w:szCs w:val="21"/>
        </w:rPr>
      </w:pPr>
    </w:p>
    <w:p w14:paraId="1EFA86D8">
      <w:pPr>
        <w:spacing w:line="360" w:lineRule="auto"/>
        <w:rPr>
          <w:color w:val="auto"/>
          <w:szCs w:val="21"/>
        </w:rPr>
      </w:pPr>
      <w:r>
        <w:rPr>
          <w:rFonts w:hint="eastAsia" w:hAnsi="宋体" w:cs="宋体"/>
          <w:color w:val="auto"/>
          <w:szCs w:val="21"/>
        </w:rPr>
        <w:t>担</w:t>
      </w:r>
      <w:r>
        <w:rPr>
          <w:color w:val="auto"/>
          <w:szCs w:val="21"/>
        </w:rPr>
        <w:t xml:space="preserve"> </w:t>
      </w:r>
      <w:r>
        <w:rPr>
          <w:rFonts w:hint="eastAsia" w:hAnsi="宋体" w:cs="宋体"/>
          <w:color w:val="auto"/>
          <w:szCs w:val="21"/>
        </w:rPr>
        <w:t>保</w:t>
      </w:r>
      <w:r>
        <w:rPr>
          <w:color w:val="auto"/>
          <w:szCs w:val="21"/>
        </w:rPr>
        <w:t xml:space="preserve"> </w:t>
      </w:r>
      <w:r>
        <w:rPr>
          <w:rFonts w:hint="eastAsia" w:hAnsi="宋体" w:cs="宋体"/>
          <w:color w:val="auto"/>
          <w:szCs w:val="21"/>
        </w:rPr>
        <w:t>人：</w:t>
      </w:r>
      <w:r>
        <w:rPr>
          <w:color w:val="auto"/>
          <w:szCs w:val="21"/>
          <w:u w:val="single"/>
        </w:rPr>
        <w:t xml:space="preserve">                           </w:t>
      </w:r>
      <w:r>
        <w:rPr>
          <w:rFonts w:hint="eastAsia" w:hAnsi="宋体" w:cs="宋体"/>
          <w:color w:val="auto"/>
          <w:szCs w:val="21"/>
        </w:rPr>
        <w:t>（盖单位章）</w:t>
      </w:r>
    </w:p>
    <w:p w14:paraId="5E3DDB48">
      <w:pPr>
        <w:spacing w:line="360" w:lineRule="auto"/>
        <w:rPr>
          <w:color w:val="auto"/>
          <w:szCs w:val="21"/>
        </w:rPr>
      </w:pPr>
      <w:r>
        <w:rPr>
          <w:rFonts w:hint="eastAsia" w:hAnsi="宋体" w:cs="宋体"/>
          <w:color w:val="auto"/>
          <w:szCs w:val="21"/>
        </w:rPr>
        <w:t>法定代表人或其委托代理人：</w:t>
      </w:r>
      <w:r>
        <w:rPr>
          <w:color w:val="auto"/>
          <w:szCs w:val="21"/>
          <w:u w:val="single"/>
        </w:rPr>
        <w:t xml:space="preserve">               </w:t>
      </w:r>
      <w:r>
        <w:rPr>
          <w:rFonts w:hint="eastAsia" w:hAnsi="宋体" w:cs="宋体"/>
          <w:color w:val="auto"/>
          <w:szCs w:val="21"/>
        </w:rPr>
        <w:t>（签字）</w:t>
      </w:r>
    </w:p>
    <w:p w14:paraId="3888C92E">
      <w:pPr>
        <w:spacing w:line="360" w:lineRule="auto"/>
        <w:rPr>
          <w:color w:val="auto"/>
          <w:szCs w:val="21"/>
        </w:rPr>
      </w:pPr>
      <w:r>
        <w:rPr>
          <w:rFonts w:hint="eastAsia" w:hAnsi="宋体" w:cs="宋体"/>
          <w:color w:val="auto"/>
          <w:szCs w:val="21"/>
        </w:rPr>
        <w:t>地</w:t>
      </w:r>
      <w:r>
        <w:rPr>
          <w:color w:val="auto"/>
          <w:szCs w:val="21"/>
        </w:rPr>
        <w:t xml:space="preserve">    </w:t>
      </w:r>
      <w:r>
        <w:rPr>
          <w:rFonts w:hint="eastAsia" w:hAnsi="宋体" w:cs="宋体"/>
          <w:color w:val="auto"/>
          <w:szCs w:val="21"/>
        </w:rPr>
        <w:t>址：</w:t>
      </w:r>
      <w:r>
        <w:rPr>
          <w:color w:val="auto"/>
          <w:szCs w:val="21"/>
          <w:u w:val="single"/>
        </w:rPr>
        <w:t xml:space="preserve">                                      </w:t>
      </w:r>
    </w:p>
    <w:p w14:paraId="72B17BC0">
      <w:pPr>
        <w:spacing w:line="360" w:lineRule="auto"/>
        <w:rPr>
          <w:color w:val="auto"/>
          <w:szCs w:val="21"/>
        </w:rPr>
      </w:pPr>
      <w:r>
        <w:rPr>
          <w:rFonts w:hint="eastAsia" w:hAnsi="宋体" w:cs="宋体"/>
          <w:color w:val="auto"/>
          <w:szCs w:val="21"/>
        </w:rPr>
        <w:t>邮政编码：</w:t>
      </w:r>
      <w:r>
        <w:rPr>
          <w:color w:val="auto"/>
          <w:szCs w:val="21"/>
          <w:u w:val="single"/>
        </w:rPr>
        <w:t xml:space="preserve">                                      </w:t>
      </w:r>
    </w:p>
    <w:p w14:paraId="57A52B73">
      <w:pPr>
        <w:spacing w:line="360" w:lineRule="auto"/>
        <w:rPr>
          <w:color w:val="auto"/>
          <w:szCs w:val="21"/>
          <w:u w:val="single"/>
        </w:rPr>
      </w:pPr>
      <w:r>
        <w:rPr>
          <w:rFonts w:hint="eastAsia" w:hAnsi="宋体" w:cs="宋体"/>
          <w:color w:val="auto"/>
          <w:szCs w:val="21"/>
        </w:rPr>
        <w:t>电</w:t>
      </w:r>
      <w:r>
        <w:rPr>
          <w:color w:val="auto"/>
          <w:szCs w:val="21"/>
        </w:rPr>
        <w:t xml:space="preserve">    </w:t>
      </w:r>
      <w:r>
        <w:rPr>
          <w:rFonts w:hint="eastAsia" w:hAnsi="宋体" w:cs="宋体"/>
          <w:color w:val="auto"/>
          <w:szCs w:val="21"/>
        </w:rPr>
        <w:t>话：</w:t>
      </w:r>
      <w:r>
        <w:rPr>
          <w:color w:val="auto"/>
          <w:szCs w:val="21"/>
          <w:u w:val="single"/>
        </w:rPr>
        <w:t xml:space="preserve">                                      </w:t>
      </w:r>
    </w:p>
    <w:p w14:paraId="42701C08">
      <w:pPr>
        <w:spacing w:line="360" w:lineRule="auto"/>
        <w:rPr>
          <w:color w:val="auto"/>
          <w:szCs w:val="21"/>
        </w:rPr>
      </w:pPr>
      <w:r>
        <w:rPr>
          <w:rFonts w:hint="eastAsia" w:hAnsi="宋体" w:cs="宋体"/>
          <w:color w:val="auto"/>
          <w:szCs w:val="21"/>
        </w:rPr>
        <w:t>传</w:t>
      </w:r>
      <w:r>
        <w:rPr>
          <w:color w:val="auto"/>
          <w:szCs w:val="21"/>
        </w:rPr>
        <w:t xml:space="preserve">    </w:t>
      </w:r>
      <w:r>
        <w:rPr>
          <w:rFonts w:hint="eastAsia" w:hAnsi="宋体" w:cs="宋体"/>
          <w:color w:val="auto"/>
          <w:szCs w:val="21"/>
        </w:rPr>
        <w:t>真：</w:t>
      </w:r>
      <w:r>
        <w:rPr>
          <w:color w:val="auto"/>
          <w:szCs w:val="21"/>
          <w:u w:val="single"/>
        </w:rPr>
        <w:t xml:space="preserve">                                      </w:t>
      </w:r>
    </w:p>
    <w:p w14:paraId="74CFB50A">
      <w:pPr>
        <w:spacing w:line="360" w:lineRule="auto"/>
        <w:jc w:val="left"/>
        <w:rPr>
          <w:color w:val="auto"/>
          <w:szCs w:val="21"/>
          <w:u w:val="single"/>
        </w:rPr>
      </w:pPr>
    </w:p>
    <w:p w14:paraId="32A660B3">
      <w:pPr>
        <w:spacing w:line="360" w:lineRule="auto"/>
        <w:ind w:left="1329" w:hanging="1329" w:hangingChars="633"/>
        <w:rPr>
          <w:color w:val="auto"/>
          <w:szCs w:val="21"/>
        </w:rPr>
      </w:pPr>
      <w:r>
        <w:rPr>
          <w:color w:val="auto"/>
          <w:szCs w:val="21"/>
        </w:rPr>
        <w:t xml:space="preserve">               </w:t>
      </w:r>
      <w:r>
        <w:rPr>
          <w:color w:val="auto"/>
          <w:szCs w:val="21"/>
          <w:u w:val="single"/>
        </w:rPr>
        <w:t xml:space="preserve">           </w:t>
      </w:r>
      <w:r>
        <w:rPr>
          <w:rFonts w:hint="eastAsia" w:hAnsi="宋体" w:cs="宋体"/>
          <w:color w:val="auto"/>
          <w:szCs w:val="21"/>
        </w:rPr>
        <w:t>年</w:t>
      </w:r>
      <w:r>
        <w:rPr>
          <w:color w:val="auto"/>
          <w:szCs w:val="21"/>
          <w:u w:val="single"/>
        </w:rPr>
        <w:t xml:space="preserve">        </w:t>
      </w:r>
      <w:r>
        <w:rPr>
          <w:rFonts w:hint="eastAsia" w:hAnsi="宋体" w:cs="宋体"/>
          <w:color w:val="auto"/>
          <w:szCs w:val="21"/>
        </w:rPr>
        <w:t>月</w:t>
      </w:r>
      <w:r>
        <w:rPr>
          <w:color w:val="auto"/>
          <w:szCs w:val="21"/>
          <w:u w:val="single"/>
        </w:rPr>
        <w:t xml:space="preserve">        </w:t>
      </w:r>
      <w:r>
        <w:rPr>
          <w:rFonts w:hint="eastAsia" w:hAnsi="宋体" w:cs="宋体"/>
          <w:color w:val="auto"/>
          <w:szCs w:val="21"/>
        </w:rPr>
        <w:t>日</w:t>
      </w:r>
    </w:p>
    <w:p w14:paraId="57AF4B50">
      <w:pPr>
        <w:spacing w:line="360" w:lineRule="auto"/>
        <w:ind w:left="1329" w:hanging="1329" w:hangingChars="633"/>
        <w:rPr>
          <w:color w:val="auto"/>
          <w:szCs w:val="21"/>
        </w:rPr>
      </w:pPr>
    </w:p>
    <w:p w14:paraId="7424FFE4">
      <w:pPr>
        <w:spacing w:line="360" w:lineRule="auto"/>
        <w:ind w:right="150" w:firstLine="420" w:firstLineChars="200"/>
        <w:jc w:val="left"/>
        <w:rPr>
          <w:color w:val="auto"/>
          <w:szCs w:val="21"/>
        </w:rPr>
      </w:pPr>
      <w:r>
        <w:rPr>
          <w:rFonts w:hint="eastAsia" w:hAnsi="宋体" w:cs="宋体"/>
          <w:color w:val="auto"/>
          <w:szCs w:val="21"/>
        </w:rPr>
        <w:t>（备注</w:t>
      </w:r>
      <w:r>
        <w:rPr>
          <w:rFonts w:hAnsi="宋体" w:cs="宋体"/>
          <w:color w:val="auto"/>
          <w:szCs w:val="21"/>
        </w:rPr>
        <w:t>：</w:t>
      </w:r>
      <w:r>
        <w:rPr>
          <w:rFonts w:hint="eastAsia" w:hAnsi="宋体" w:cs="宋体"/>
          <w:color w:val="auto"/>
          <w:szCs w:val="21"/>
        </w:rPr>
        <w:t>银行、保险公司和担保公司出具的</w:t>
      </w:r>
      <w:r>
        <w:rPr>
          <w:rFonts w:hint="eastAsia" w:ascii="仿宋_GB2312" w:hAnsi="宋体" w:cs="宋体"/>
          <w:color w:val="auto"/>
          <w:szCs w:val="21"/>
        </w:rPr>
        <w:t>保函格式和文本可</w:t>
      </w:r>
      <w:r>
        <w:rPr>
          <w:rFonts w:ascii="仿宋_GB2312" w:hAnsi="宋体" w:cs="宋体"/>
          <w:color w:val="auto"/>
          <w:szCs w:val="21"/>
        </w:rPr>
        <w:t>以自拟，</w:t>
      </w:r>
      <w:r>
        <w:rPr>
          <w:rFonts w:hint="eastAsia" w:ascii="仿宋_GB2312" w:hAnsi="宋体" w:cs="宋体"/>
          <w:color w:val="auto"/>
          <w:szCs w:val="21"/>
        </w:rPr>
        <w:t>但是必须包含以上条款所列全部内容</w:t>
      </w:r>
      <w:r>
        <w:rPr>
          <w:rFonts w:ascii="仿宋_GB2312" w:hAnsi="宋体" w:cs="宋体"/>
          <w:color w:val="auto"/>
          <w:szCs w:val="21"/>
        </w:rPr>
        <w:t>）</w:t>
      </w:r>
    </w:p>
    <w:p w14:paraId="47D3A4F5">
      <w:pPr>
        <w:widowControl/>
        <w:jc w:val="left"/>
        <w:rPr>
          <w:rFonts w:eastAsia="仿宋_GB2312" w:cs="仿宋_GB2312"/>
          <w:color w:val="auto"/>
          <w:sz w:val="30"/>
          <w:szCs w:val="30"/>
        </w:rPr>
      </w:pPr>
      <w:r>
        <w:rPr>
          <w:rFonts w:eastAsia="仿宋_GB2312" w:cs="仿宋_GB2312"/>
          <w:color w:val="auto"/>
          <w:sz w:val="30"/>
          <w:szCs w:val="30"/>
        </w:rPr>
        <w:br w:type="page"/>
      </w:r>
    </w:p>
    <w:p w14:paraId="6A450395">
      <w:pPr>
        <w:spacing w:line="360" w:lineRule="auto"/>
        <w:outlineLvl w:val="0"/>
        <w:rPr>
          <w:rFonts w:eastAsia="黑体"/>
          <w:color w:val="auto"/>
          <w:sz w:val="30"/>
          <w:szCs w:val="30"/>
        </w:rPr>
      </w:pPr>
      <w:bookmarkStart w:id="1615" w:name="_Toc26420"/>
      <w:bookmarkStart w:id="1616" w:name="_Toc26864"/>
      <w:r>
        <w:rPr>
          <w:rFonts w:hint="eastAsia" w:eastAsia="仿宋_GB2312" w:cs="仿宋_GB2312"/>
          <w:color w:val="auto"/>
          <w:sz w:val="30"/>
          <w:szCs w:val="30"/>
        </w:rPr>
        <w:t>附件</w:t>
      </w:r>
      <w:r>
        <w:rPr>
          <w:rFonts w:hint="eastAsia" w:eastAsia="仿宋_GB2312"/>
          <w:color w:val="auto"/>
          <w:sz w:val="30"/>
          <w:szCs w:val="30"/>
        </w:rPr>
        <w:t>8</w:t>
      </w:r>
      <w:r>
        <w:rPr>
          <w:rFonts w:hint="eastAsia" w:eastAsia="仿宋_GB2312" w:cs="仿宋_GB2312"/>
          <w:color w:val="auto"/>
          <w:sz w:val="30"/>
          <w:szCs w:val="30"/>
        </w:rPr>
        <w:t>：</w:t>
      </w:r>
      <w:bookmarkEnd w:id="1615"/>
      <w:bookmarkEnd w:id="1616"/>
    </w:p>
    <w:p w14:paraId="502D07EF">
      <w:pPr>
        <w:spacing w:beforeLines="50" w:afterLines="50" w:line="440" w:lineRule="exact"/>
        <w:jc w:val="center"/>
        <w:rPr>
          <w:rFonts w:eastAsia="黑体"/>
          <w:color w:val="auto"/>
          <w:sz w:val="30"/>
          <w:szCs w:val="30"/>
        </w:rPr>
      </w:pPr>
      <w:r>
        <w:rPr>
          <w:rFonts w:hint="eastAsia" w:eastAsia="黑体" w:cs="黑体"/>
          <w:color w:val="auto"/>
          <w:sz w:val="30"/>
          <w:szCs w:val="30"/>
        </w:rPr>
        <w:t>预付款担保</w:t>
      </w:r>
    </w:p>
    <w:p w14:paraId="0BE2F633">
      <w:pPr>
        <w:spacing w:line="360" w:lineRule="auto"/>
        <w:rPr>
          <w:color w:val="auto"/>
          <w:szCs w:val="21"/>
        </w:rPr>
      </w:pPr>
      <w:r>
        <w:rPr>
          <w:color w:val="auto"/>
          <w:szCs w:val="21"/>
          <w:u w:val="single"/>
        </w:rPr>
        <w:t xml:space="preserve">                    </w:t>
      </w:r>
      <w:r>
        <w:rPr>
          <w:color w:val="auto"/>
          <w:szCs w:val="21"/>
        </w:rPr>
        <w:t xml:space="preserve"> </w:t>
      </w:r>
      <w:r>
        <w:rPr>
          <w:rFonts w:hint="eastAsia" w:hAnsi="宋体" w:cs="宋体"/>
          <w:color w:val="auto"/>
          <w:szCs w:val="21"/>
        </w:rPr>
        <w:t>（发包人名称）：</w:t>
      </w:r>
    </w:p>
    <w:p w14:paraId="6FF0BC2A">
      <w:pPr>
        <w:spacing w:line="360" w:lineRule="auto"/>
        <w:ind w:firstLine="420" w:firstLineChars="200"/>
        <w:rPr>
          <w:color w:val="auto"/>
          <w:szCs w:val="21"/>
        </w:rPr>
      </w:pPr>
      <w:r>
        <w:rPr>
          <w:rFonts w:hint="eastAsia" w:hAnsi="宋体" w:cs="宋体"/>
          <w:color w:val="auto"/>
          <w:szCs w:val="21"/>
        </w:rPr>
        <w:t>根据</w:t>
      </w:r>
      <w:r>
        <w:rPr>
          <w:color w:val="auto"/>
          <w:szCs w:val="21"/>
          <w:u w:val="single"/>
        </w:rPr>
        <w:t xml:space="preserve">                 </w:t>
      </w:r>
      <w:r>
        <w:rPr>
          <w:rFonts w:hint="eastAsia" w:hAnsi="宋体" w:cs="宋体"/>
          <w:color w:val="auto"/>
          <w:szCs w:val="21"/>
        </w:rPr>
        <w:t>（承包人名称）（以下称</w:t>
      </w:r>
      <w:r>
        <w:rPr>
          <w:color w:val="auto"/>
          <w:szCs w:val="21"/>
        </w:rPr>
        <w:t>“</w:t>
      </w:r>
      <w:r>
        <w:rPr>
          <w:rFonts w:hint="eastAsia" w:hAnsi="宋体" w:cs="宋体"/>
          <w:color w:val="auto"/>
          <w:szCs w:val="21"/>
        </w:rPr>
        <w:t>承包人</w:t>
      </w:r>
      <w:r>
        <w:rPr>
          <w:color w:val="auto"/>
          <w:szCs w:val="21"/>
        </w:rPr>
        <w:t>”</w:t>
      </w:r>
      <w:r>
        <w:rPr>
          <w:rFonts w:hint="eastAsia" w:hAnsi="宋体" w:cs="宋体"/>
          <w:color w:val="auto"/>
          <w:szCs w:val="21"/>
        </w:rPr>
        <w:t>）与</w:t>
      </w:r>
      <w:r>
        <w:rPr>
          <w:color w:val="auto"/>
          <w:szCs w:val="21"/>
          <w:u w:val="single"/>
        </w:rPr>
        <w:t xml:space="preserve">                        </w:t>
      </w:r>
      <w:r>
        <w:rPr>
          <w:rFonts w:hint="eastAsia" w:hAnsi="宋体" w:cs="宋体"/>
          <w:color w:val="auto"/>
          <w:szCs w:val="21"/>
        </w:rPr>
        <w:t>（发包人名称）（以下简称</w:t>
      </w:r>
      <w:r>
        <w:rPr>
          <w:color w:val="auto"/>
          <w:szCs w:val="21"/>
        </w:rPr>
        <w:t>“</w:t>
      </w:r>
      <w:r>
        <w:rPr>
          <w:rFonts w:hint="eastAsia" w:hAnsi="宋体" w:cs="宋体"/>
          <w:color w:val="auto"/>
          <w:szCs w:val="21"/>
        </w:rPr>
        <w:t>发包人</w:t>
      </w:r>
      <w:r>
        <w:rPr>
          <w:color w:val="auto"/>
          <w:szCs w:val="21"/>
        </w:rPr>
        <w:t>”</w:t>
      </w:r>
      <w:r>
        <w:rPr>
          <w:rFonts w:hint="eastAsia" w:hAnsi="宋体" w:cs="宋体"/>
          <w:color w:val="auto"/>
          <w:szCs w:val="21"/>
        </w:rPr>
        <w:t>）于</w:t>
      </w:r>
      <w:r>
        <w:rPr>
          <w:color w:val="auto"/>
          <w:szCs w:val="21"/>
          <w:u w:val="single"/>
        </w:rPr>
        <w:t xml:space="preserve">           </w:t>
      </w:r>
      <w:r>
        <w:rPr>
          <w:rFonts w:hint="eastAsia" w:hAnsi="宋体" w:cs="宋体"/>
          <w:color w:val="auto"/>
          <w:szCs w:val="21"/>
        </w:rPr>
        <w:t>年</w:t>
      </w:r>
      <w:r>
        <w:rPr>
          <w:color w:val="auto"/>
          <w:szCs w:val="21"/>
          <w:u w:val="single"/>
        </w:rPr>
        <w:t xml:space="preserve">    </w:t>
      </w:r>
      <w:r>
        <w:rPr>
          <w:rFonts w:hint="eastAsia" w:hAnsi="宋体" w:cs="宋体"/>
          <w:color w:val="auto"/>
          <w:szCs w:val="21"/>
        </w:rPr>
        <w:t>月</w:t>
      </w:r>
      <w:r>
        <w:rPr>
          <w:color w:val="auto"/>
          <w:szCs w:val="21"/>
          <w:u w:val="single"/>
        </w:rPr>
        <w:t xml:space="preserve">    </w:t>
      </w:r>
      <w:r>
        <w:rPr>
          <w:rFonts w:hint="eastAsia" w:hAnsi="宋体" w:cs="宋体"/>
          <w:color w:val="auto"/>
          <w:szCs w:val="21"/>
        </w:rPr>
        <w:t>日签订的</w:t>
      </w:r>
      <w:r>
        <w:rPr>
          <w:color w:val="auto"/>
          <w:szCs w:val="21"/>
          <w:u w:val="single"/>
        </w:rPr>
        <w:t xml:space="preserve">                   </w:t>
      </w:r>
      <w:r>
        <w:rPr>
          <w:rFonts w:hint="eastAsia" w:hAnsi="宋体" w:cs="宋体"/>
          <w:color w:val="auto"/>
          <w:szCs w:val="21"/>
        </w:rPr>
        <w:t>（工程名称）《建设工程施工合同》，承包人按约定的金额向你方提交一份预付款担保，即有权得到你方支付相等金额的预付款。我方愿意就你方提供给承包人的预付款为承包人提供连带责任担保。</w:t>
      </w:r>
    </w:p>
    <w:p w14:paraId="49FD5156">
      <w:pPr>
        <w:spacing w:line="360" w:lineRule="auto"/>
        <w:ind w:firstLine="420" w:firstLineChars="200"/>
        <w:rPr>
          <w:color w:val="auto"/>
          <w:szCs w:val="21"/>
        </w:rPr>
      </w:pPr>
      <w:r>
        <w:rPr>
          <w:color w:val="auto"/>
          <w:szCs w:val="21"/>
        </w:rPr>
        <w:t xml:space="preserve">1. </w:t>
      </w:r>
      <w:r>
        <w:rPr>
          <w:rFonts w:hint="eastAsia" w:hAnsi="宋体" w:cs="宋体"/>
          <w:color w:val="auto"/>
          <w:szCs w:val="21"/>
        </w:rPr>
        <w:t>担保金额人民币（大写）</w:t>
      </w:r>
      <w:r>
        <w:rPr>
          <w:color w:val="auto"/>
          <w:szCs w:val="21"/>
          <w:u w:val="single"/>
        </w:rPr>
        <w:t xml:space="preserve">                </w:t>
      </w:r>
      <w:r>
        <w:rPr>
          <w:rFonts w:hint="eastAsia" w:hAnsi="宋体" w:cs="宋体"/>
          <w:color w:val="auto"/>
          <w:szCs w:val="21"/>
        </w:rPr>
        <w:t>元（</w:t>
      </w:r>
      <w:r>
        <w:rPr>
          <w:color w:val="auto"/>
          <w:szCs w:val="21"/>
        </w:rPr>
        <w:t>¥</w:t>
      </w:r>
      <w:r>
        <w:rPr>
          <w:color w:val="auto"/>
          <w:szCs w:val="21"/>
          <w:u w:val="single"/>
        </w:rPr>
        <w:t xml:space="preserve">             </w:t>
      </w:r>
      <w:r>
        <w:rPr>
          <w:rFonts w:hint="eastAsia" w:hAnsi="宋体" w:cs="宋体"/>
          <w:color w:val="auto"/>
          <w:szCs w:val="21"/>
        </w:rPr>
        <w:t>）。</w:t>
      </w:r>
    </w:p>
    <w:p w14:paraId="47150F20">
      <w:pPr>
        <w:spacing w:line="360" w:lineRule="auto"/>
        <w:ind w:firstLine="420" w:firstLineChars="200"/>
        <w:rPr>
          <w:color w:val="auto"/>
          <w:szCs w:val="21"/>
        </w:rPr>
      </w:pPr>
      <w:r>
        <w:rPr>
          <w:color w:val="auto"/>
          <w:szCs w:val="21"/>
        </w:rPr>
        <w:t xml:space="preserve">2. </w:t>
      </w:r>
      <w:r>
        <w:rPr>
          <w:rFonts w:hint="eastAsia" w:hAnsi="宋体" w:cs="宋体"/>
          <w:color w:val="auto"/>
          <w:szCs w:val="21"/>
        </w:rPr>
        <w:t>担保有效期自预付款支付给承包人起生效，至你方签发的进度款支付证书说明已完全扣清止。</w:t>
      </w:r>
    </w:p>
    <w:p w14:paraId="5B59BF38">
      <w:pPr>
        <w:spacing w:line="360" w:lineRule="auto"/>
        <w:ind w:firstLine="420" w:firstLineChars="200"/>
        <w:rPr>
          <w:color w:val="auto"/>
          <w:szCs w:val="21"/>
        </w:rPr>
      </w:pPr>
      <w:r>
        <w:rPr>
          <w:color w:val="auto"/>
          <w:szCs w:val="21"/>
        </w:rPr>
        <w:t xml:space="preserve">3. </w:t>
      </w:r>
      <w:r>
        <w:rPr>
          <w:rFonts w:hint="eastAsia" w:hAnsi="宋体" w:cs="宋体"/>
          <w:color w:val="auto"/>
          <w:szCs w:val="21"/>
        </w:rPr>
        <w:t>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6FB5EC7F">
      <w:pPr>
        <w:spacing w:line="360" w:lineRule="auto"/>
        <w:ind w:firstLine="420" w:firstLineChars="200"/>
        <w:rPr>
          <w:color w:val="auto"/>
          <w:szCs w:val="21"/>
        </w:rPr>
      </w:pPr>
      <w:r>
        <w:rPr>
          <w:color w:val="auto"/>
          <w:szCs w:val="21"/>
        </w:rPr>
        <w:t xml:space="preserve">4. </w:t>
      </w:r>
      <w:r>
        <w:rPr>
          <w:rFonts w:hint="eastAsia" w:hAnsi="宋体" w:cs="宋体"/>
          <w:color w:val="auto"/>
          <w:szCs w:val="21"/>
        </w:rPr>
        <w:t>你方和承包人按合同约定变更合同时，我方承担本保函规定的义务不变。</w:t>
      </w:r>
    </w:p>
    <w:p w14:paraId="288286A7">
      <w:pPr>
        <w:spacing w:line="360" w:lineRule="auto"/>
        <w:ind w:firstLine="420" w:firstLineChars="200"/>
        <w:rPr>
          <w:color w:val="auto"/>
          <w:szCs w:val="21"/>
        </w:rPr>
      </w:pPr>
      <w:r>
        <w:rPr>
          <w:color w:val="auto"/>
          <w:szCs w:val="21"/>
        </w:rPr>
        <w:t xml:space="preserve">5. </w:t>
      </w:r>
      <w:r>
        <w:rPr>
          <w:rFonts w:hint="eastAsia" w:hAnsi="宋体" w:cs="宋体"/>
          <w:color w:val="auto"/>
          <w:szCs w:val="21"/>
        </w:rPr>
        <w:t>因本保函发生的纠纷，可由双方协商解决，协商不成的，任何一方均可提请</w:t>
      </w:r>
      <w:r>
        <w:rPr>
          <w:color w:val="auto"/>
          <w:szCs w:val="21"/>
          <w:u w:val="single"/>
        </w:rPr>
        <w:t xml:space="preserve">      </w:t>
      </w:r>
      <w:r>
        <w:rPr>
          <w:rFonts w:hint="eastAsia" w:hAnsi="宋体" w:cs="宋体"/>
          <w:color w:val="auto"/>
          <w:szCs w:val="21"/>
        </w:rPr>
        <w:t>仲裁委员会仲裁。</w:t>
      </w:r>
    </w:p>
    <w:p w14:paraId="6F17EDC8">
      <w:pPr>
        <w:spacing w:line="360" w:lineRule="auto"/>
        <w:ind w:firstLine="420" w:firstLineChars="200"/>
        <w:jc w:val="left"/>
        <w:rPr>
          <w:color w:val="auto"/>
          <w:szCs w:val="21"/>
        </w:rPr>
      </w:pPr>
      <w:r>
        <w:rPr>
          <w:color w:val="auto"/>
          <w:szCs w:val="21"/>
        </w:rPr>
        <w:t xml:space="preserve">6. </w:t>
      </w:r>
      <w:r>
        <w:rPr>
          <w:rFonts w:hint="eastAsia" w:hAnsi="宋体" w:cs="宋体"/>
          <w:color w:val="auto"/>
          <w:szCs w:val="21"/>
        </w:rPr>
        <w:t>本保函自我方法定代表人（或其授权代理人）签字并加盖公章之日起生效。</w:t>
      </w:r>
    </w:p>
    <w:p w14:paraId="42660F53">
      <w:pPr>
        <w:spacing w:line="360" w:lineRule="auto"/>
        <w:rPr>
          <w:color w:val="auto"/>
          <w:szCs w:val="21"/>
        </w:rPr>
      </w:pPr>
    </w:p>
    <w:p w14:paraId="67F08A81">
      <w:pPr>
        <w:spacing w:line="360" w:lineRule="auto"/>
        <w:rPr>
          <w:color w:val="auto"/>
          <w:szCs w:val="21"/>
        </w:rPr>
      </w:pPr>
      <w:r>
        <w:rPr>
          <w:rFonts w:hint="eastAsia" w:hAnsi="宋体" w:cs="宋体"/>
          <w:color w:val="auto"/>
          <w:szCs w:val="21"/>
        </w:rPr>
        <w:t>担保人：</w:t>
      </w:r>
      <w:r>
        <w:rPr>
          <w:color w:val="auto"/>
          <w:szCs w:val="21"/>
          <w:u w:val="single"/>
        </w:rPr>
        <w:t xml:space="preserve">                          </w:t>
      </w:r>
      <w:r>
        <w:rPr>
          <w:rFonts w:hint="eastAsia" w:hAnsi="宋体" w:cs="宋体"/>
          <w:color w:val="auto"/>
          <w:szCs w:val="21"/>
        </w:rPr>
        <w:t>（盖单位章）</w:t>
      </w:r>
    </w:p>
    <w:p w14:paraId="49CF8AD7">
      <w:pPr>
        <w:spacing w:line="360" w:lineRule="auto"/>
        <w:rPr>
          <w:color w:val="auto"/>
          <w:szCs w:val="21"/>
        </w:rPr>
      </w:pPr>
      <w:r>
        <w:rPr>
          <w:rFonts w:hint="eastAsia" w:hAnsi="宋体" w:cs="宋体"/>
          <w:color w:val="auto"/>
          <w:szCs w:val="21"/>
        </w:rPr>
        <w:t>法定代表人或其委托代理人：</w:t>
      </w:r>
      <w:r>
        <w:rPr>
          <w:color w:val="auto"/>
          <w:szCs w:val="21"/>
          <w:u w:val="single"/>
        </w:rPr>
        <w:t xml:space="preserve">            </w:t>
      </w:r>
      <w:r>
        <w:rPr>
          <w:rFonts w:hint="eastAsia" w:hAnsi="宋体" w:cs="宋体"/>
          <w:color w:val="auto"/>
          <w:szCs w:val="21"/>
        </w:rPr>
        <w:t>（签字）</w:t>
      </w:r>
    </w:p>
    <w:p w14:paraId="719F722B">
      <w:pPr>
        <w:spacing w:line="360" w:lineRule="auto"/>
        <w:rPr>
          <w:color w:val="auto"/>
          <w:szCs w:val="21"/>
        </w:rPr>
      </w:pPr>
      <w:r>
        <w:rPr>
          <w:rFonts w:hint="eastAsia" w:hAnsi="宋体" w:cs="宋体"/>
          <w:color w:val="auto"/>
          <w:szCs w:val="21"/>
        </w:rPr>
        <w:t>地</w:t>
      </w:r>
      <w:r>
        <w:rPr>
          <w:color w:val="auto"/>
          <w:szCs w:val="21"/>
        </w:rPr>
        <w:t xml:space="preserve">    </w:t>
      </w:r>
      <w:r>
        <w:rPr>
          <w:rFonts w:hint="eastAsia" w:hAnsi="宋体" w:cs="宋体"/>
          <w:color w:val="auto"/>
          <w:szCs w:val="21"/>
        </w:rPr>
        <w:t>址：</w:t>
      </w:r>
      <w:r>
        <w:rPr>
          <w:color w:val="auto"/>
          <w:szCs w:val="21"/>
          <w:u w:val="single"/>
        </w:rPr>
        <w:t xml:space="preserve">                            </w:t>
      </w:r>
    </w:p>
    <w:p w14:paraId="2A579AFC">
      <w:pPr>
        <w:spacing w:line="360" w:lineRule="auto"/>
        <w:rPr>
          <w:color w:val="auto"/>
          <w:szCs w:val="21"/>
          <w:u w:val="single"/>
        </w:rPr>
      </w:pPr>
      <w:r>
        <w:rPr>
          <w:rFonts w:hint="eastAsia" w:hAnsi="宋体" w:cs="宋体"/>
          <w:color w:val="auto"/>
          <w:szCs w:val="21"/>
        </w:rPr>
        <w:t>邮政编码：</w:t>
      </w:r>
      <w:r>
        <w:rPr>
          <w:color w:val="auto"/>
          <w:szCs w:val="21"/>
          <w:u w:val="single"/>
        </w:rPr>
        <w:t xml:space="preserve">                            </w:t>
      </w:r>
    </w:p>
    <w:p w14:paraId="068E89E8">
      <w:pPr>
        <w:spacing w:line="360" w:lineRule="auto"/>
        <w:rPr>
          <w:color w:val="auto"/>
          <w:szCs w:val="21"/>
          <w:u w:val="single"/>
        </w:rPr>
      </w:pPr>
      <w:r>
        <w:rPr>
          <w:rFonts w:hint="eastAsia" w:hAnsi="宋体" w:cs="宋体"/>
          <w:color w:val="auto"/>
          <w:szCs w:val="21"/>
        </w:rPr>
        <w:t>电</w:t>
      </w:r>
      <w:r>
        <w:rPr>
          <w:color w:val="auto"/>
          <w:szCs w:val="21"/>
        </w:rPr>
        <w:t xml:space="preserve">    </w:t>
      </w:r>
      <w:r>
        <w:rPr>
          <w:rFonts w:hint="eastAsia" w:hAnsi="宋体" w:cs="宋体"/>
          <w:color w:val="auto"/>
          <w:szCs w:val="21"/>
        </w:rPr>
        <w:t>话：</w:t>
      </w:r>
      <w:r>
        <w:rPr>
          <w:color w:val="auto"/>
          <w:szCs w:val="21"/>
          <w:u w:val="single"/>
        </w:rPr>
        <w:t xml:space="preserve">                            </w:t>
      </w:r>
    </w:p>
    <w:p w14:paraId="5CBC9A90">
      <w:pPr>
        <w:spacing w:line="360" w:lineRule="auto"/>
        <w:rPr>
          <w:color w:val="auto"/>
          <w:szCs w:val="21"/>
          <w:u w:val="single"/>
        </w:rPr>
      </w:pPr>
      <w:r>
        <w:rPr>
          <w:rFonts w:hint="eastAsia" w:hAnsi="宋体" w:cs="宋体"/>
          <w:color w:val="auto"/>
          <w:szCs w:val="21"/>
        </w:rPr>
        <w:t>传</w:t>
      </w:r>
      <w:r>
        <w:rPr>
          <w:color w:val="auto"/>
          <w:szCs w:val="21"/>
        </w:rPr>
        <w:t xml:space="preserve">    </w:t>
      </w:r>
      <w:r>
        <w:rPr>
          <w:rFonts w:hint="eastAsia" w:hAnsi="宋体" w:cs="宋体"/>
          <w:color w:val="auto"/>
          <w:szCs w:val="21"/>
        </w:rPr>
        <w:t>真：</w:t>
      </w:r>
      <w:r>
        <w:rPr>
          <w:color w:val="auto"/>
          <w:szCs w:val="21"/>
          <w:u w:val="single"/>
        </w:rPr>
        <w:t xml:space="preserve">                            </w:t>
      </w:r>
    </w:p>
    <w:p w14:paraId="0DC2E905">
      <w:pPr>
        <w:spacing w:line="360" w:lineRule="auto"/>
        <w:rPr>
          <w:color w:val="auto"/>
          <w:szCs w:val="21"/>
          <w:u w:val="single"/>
        </w:rPr>
      </w:pPr>
    </w:p>
    <w:p w14:paraId="6245D4AF">
      <w:pPr>
        <w:spacing w:line="360" w:lineRule="auto"/>
        <w:rPr>
          <w:color w:val="auto"/>
          <w:szCs w:val="21"/>
        </w:rPr>
      </w:pPr>
      <w:r>
        <w:rPr>
          <w:color w:val="auto"/>
          <w:szCs w:val="21"/>
        </w:rPr>
        <w:t xml:space="preserve">            </w:t>
      </w:r>
      <w:r>
        <w:rPr>
          <w:color w:val="auto"/>
          <w:szCs w:val="21"/>
          <w:u w:val="single"/>
        </w:rPr>
        <w:t xml:space="preserve">               </w:t>
      </w:r>
      <w:r>
        <w:rPr>
          <w:rFonts w:hint="eastAsia" w:hAnsi="宋体" w:cs="宋体"/>
          <w:color w:val="auto"/>
          <w:szCs w:val="21"/>
        </w:rPr>
        <w:t>年</w:t>
      </w:r>
      <w:r>
        <w:rPr>
          <w:color w:val="auto"/>
          <w:szCs w:val="21"/>
          <w:u w:val="single"/>
        </w:rPr>
        <w:t xml:space="preserve">      </w:t>
      </w:r>
      <w:r>
        <w:rPr>
          <w:rFonts w:hint="eastAsia" w:hAnsi="宋体" w:cs="宋体"/>
          <w:color w:val="auto"/>
          <w:szCs w:val="21"/>
        </w:rPr>
        <w:t>月</w:t>
      </w:r>
      <w:r>
        <w:rPr>
          <w:color w:val="auto"/>
          <w:szCs w:val="21"/>
          <w:u w:val="single"/>
        </w:rPr>
        <w:t xml:space="preserve">      </w:t>
      </w:r>
      <w:r>
        <w:rPr>
          <w:rFonts w:hint="eastAsia" w:hAnsi="宋体" w:cs="宋体"/>
          <w:color w:val="auto"/>
          <w:szCs w:val="21"/>
        </w:rPr>
        <w:t>日</w:t>
      </w:r>
    </w:p>
    <w:p w14:paraId="6E956CA5">
      <w:pPr>
        <w:spacing w:line="480" w:lineRule="auto"/>
        <w:rPr>
          <w:rFonts w:hAnsi="宋体"/>
          <w:color w:val="auto"/>
          <w:szCs w:val="21"/>
        </w:rPr>
      </w:pPr>
    </w:p>
    <w:p w14:paraId="08DDA56E">
      <w:pPr>
        <w:spacing w:line="360" w:lineRule="auto"/>
        <w:ind w:right="150" w:firstLine="420" w:firstLineChars="200"/>
        <w:jc w:val="left"/>
        <w:rPr>
          <w:color w:val="auto"/>
          <w:szCs w:val="21"/>
        </w:rPr>
      </w:pPr>
      <w:r>
        <w:rPr>
          <w:rFonts w:hint="eastAsia" w:hAnsi="宋体" w:cs="宋体"/>
          <w:color w:val="auto"/>
          <w:szCs w:val="21"/>
        </w:rPr>
        <w:t>（备注</w:t>
      </w:r>
      <w:r>
        <w:rPr>
          <w:rFonts w:hAnsi="宋体" w:cs="宋体"/>
          <w:color w:val="auto"/>
          <w:szCs w:val="21"/>
        </w:rPr>
        <w:t>：</w:t>
      </w:r>
      <w:r>
        <w:rPr>
          <w:rFonts w:hint="eastAsia" w:hAnsi="宋体" w:cs="宋体"/>
          <w:color w:val="auto"/>
          <w:szCs w:val="21"/>
        </w:rPr>
        <w:t>银行、保险公司和担保公司出具的</w:t>
      </w:r>
      <w:r>
        <w:rPr>
          <w:rFonts w:hint="eastAsia" w:ascii="仿宋_GB2312" w:hAnsi="宋体" w:cs="宋体"/>
          <w:color w:val="auto"/>
          <w:szCs w:val="21"/>
        </w:rPr>
        <w:t>保函格式和文本可</w:t>
      </w:r>
      <w:r>
        <w:rPr>
          <w:rFonts w:ascii="仿宋_GB2312" w:hAnsi="宋体" w:cs="宋体"/>
          <w:color w:val="auto"/>
          <w:szCs w:val="21"/>
        </w:rPr>
        <w:t>以自拟，</w:t>
      </w:r>
      <w:r>
        <w:rPr>
          <w:rFonts w:hint="eastAsia" w:ascii="仿宋_GB2312" w:hAnsi="宋体" w:cs="宋体"/>
          <w:color w:val="auto"/>
          <w:szCs w:val="21"/>
        </w:rPr>
        <w:t>但是必须包含以上条款所列全部内容</w:t>
      </w:r>
      <w:r>
        <w:rPr>
          <w:rFonts w:ascii="仿宋_GB2312" w:hAnsi="宋体" w:cs="宋体"/>
          <w:color w:val="auto"/>
          <w:szCs w:val="21"/>
        </w:rPr>
        <w:t>）</w:t>
      </w:r>
    </w:p>
    <w:p w14:paraId="7F855999">
      <w:pPr>
        <w:widowControl/>
        <w:jc w:val="left"/>
        <w:rPr>
          <w:rFonts w:eastAsia="仿宋_GB2312" w:cs="仿宋_GB2312"/>
          <w:color w:val="auto"/>
          <w:sz w:val="30"/>
          <w:szCs w:val="30"/>
        </w:rPr>
      </w:pPr>
      <w:r>
        <w:rPr>
          <w:rFonts w:eastAsia="仿宋_GB2312" w:cs="仿宋_GB2312"/>
          <w:color w:val="auto"/>
          <w:sz w:val="30"/>
          <w:szCs w:val="30"/>
        </w:rPr>
        <w:br w:type="page"/>
      </w:r>
    </w:p>
    <w:p w14:paraId="027F9346">
      <w:pPr>
        <w:spacing w:line="440" w:lineRule="exact"/>
        <w:jc w:val="left"/>
        <w:outlineLvl w:val="0"/>
        <w:rPr>
          <w:rFonts w:eastAsia="黑体"/>
          <w:color w:val="auto"/>
          <w:sz w:val="30"/>
          <w:szCs w:val="30"/>
        </w:rPr>
      </w:pPr>
      <w:bookmarkStart w:id="1617" w:name="_Toc20996"/>
      <w:bookmarkStart w:id="1618" w:name="_Toc6449"/>
      <w:r>
        <w:rPr>
          <w:rFonts w:hint="eastAsia" w:eastAsia="仿宋_GB2312" w:cs="仿宋_GB2312"/>
          <w:color w:val="auto"/>
          <w:sz w:val="30"/>
          <w:szCs w:val="30"/>
        </w:rPr>
        <w:t>附件</w:t>
      </w:r>
      <w:r>
        <w:rPr>
          <w:rFonts w:hint="eastAsia" w:eastAsia="仿宋_GB2312"/>
          <w:color w:val="auto"/>
          <w:sz w:val="30"/>
          <w:szCs w:val="30"/>
        </w:rPr>
        <w:t>9</w:t>
      </w:r>
      <w:r>
        <w:rPr>
          <w:rFonts w:hint="eastAsia" w:eastAsia="仿宋_GB2312" w:cs="仿宋_GB2312"/>
          <w:color w:val="auto"/>
          <w:sz w:val="30"/>
          <w:szCs w:val="30"/>
        </w:rPr>
        <w:t>：</w:t>
      </w:r>
      <w:bookmarkEnd w:id="1617"/>
      <w:bookmarkEnd w:id="1618"/>
    </w:p>
    <w:p w14:paraId="4AB0C449">
      <w:pPr>
        <w:spacing w:beforeLines="50" w:afterLines="50" w:line="440" w:lineRule="exact"/>
        <w:jc w:val="center"/>
        <w:rPr>
          <w:rFonts w:eastAsia="黑体"/>
          <w:color w:val="auto"/>
          <w:sz w:val="30"/>
          <w:szCs w:val="30"/>
        </w:rPr>
      </w:pPr>
      <w:r>
        <w:rPr>
          <w:rFonts w:hint="eastAsia" w:eastAsia="黑体" w:cs="黑体"/>
          <w:color w:val="auto"/>
          <w:sz w:val="30"/>
          <w:szCs w:val="30"/>
        </w:rPr>
        <w:t>支付担保</w:t>
      </w:r>
    </w:p>
    <w:p w14:paraId="07DBC92C">
      <w:pPr>
        <w:spacing w:line="360" w:lineRule="auto"/>
        <w:jc w:val="left"/>
        <w:rPr>
          <w:color w:val="auto"/>
          <w:szCs w:val="21"/>
        </w:rPr>
      </w:pPr>
      <w:r>
        <w:rPr>
          <w:color w:val="auto"/>
          <w:szCs w:val="21"/>
          <w:u w:val="single"/>
        </w:rPr>
        <w:t xml:space="preserve">                     </w:t>
      </w:r>
      <w:r>
        <w:rPr>
          <w:rFonts w:hint="eastAsia" w:hAnsi="宋体" w:cs="宋体"/>
          <w:color w:val="auto"/>
          <w:szCs w:val="21"/>
        </w:rPr>
        <w:t>（承包人）：</w:t>
      </w:r>
    </w:p>
    <w:p w14:paraId="529CF51A">
      <w:pPr>
        <w:spacing w:line="360" w:lineRule="auto"/>
        <w:jc w:val="left"/>
        <w:rPr>
          <w:color w:val="auto"/>
          <w:szCs w:val="21"/>
        </w:rPr>
      </w:pPr>
    </w:p>
    <w:p w14:paraId="5B1847BA">
      <w:pPr>
        <w:spacing w:line="360" w:lineRule="auto"/>
        <w:ind w:firstLine="420" w:firstLineChars="200"/>
        <w:jc w:val="left"/>
        <w:rPr>
          <w:rFonts w:hAnsi="宋体"/>
          <w:color w:val="auto"/>
          <w:szCs w:val="21"/>
        </w:rPr>
      </w:pPr>
      <w:r>
        <w:rPr>
          <w:rFonts w:hint="eastAsia" w:hAnsi="宋体" w:cs="宋体"/>
          <w:color w:val="auto"/>
          <w:szCs w:val="21"/>
        </w:rPr>
        <w:t>鉴于你方作为承包人已经与</w:t>
      </w:r>
      <w:r>
        <w:rPr>
          <w:color w:val="auto"/>
          <w:szCs w:val="21"/>
          <w:u w:val="single"/>
        </w:rPr>
        <w:t xml:space="preserve">           </w:t>
      </w:r>
      <w:r>
        <w:rPr>
          <w:rFonts w:hint="eastAsia" w:hAnsi="宋体" w:cs="宋体"/>
          <w:color w:val="auto"/>
          <w:szCs w:val="21"/>
        </w:rPr>
        <w:t>（发包人名称）（以下称</w:t>
      </w:r>
      <w:r>
        <w:rPr>
          <w:color w:val="auto"/>
          <w:szCs w:val="21"/>
        </w:rPr>
        <w:t>“</w:t>
      </w:r>
      <w:r>
        <w:rPr>
          <w:rFonts w:hint="eastAsia" w:hAnsi="宋体" w:cs="宋体"/>
          <w:color w:val="auto"/>
          <w:szCs w:val="21"/>
        </w:rPr>
        <w:t>发包人</w:t>
      </w:r>
      <w:r>
        <w:rPr>
          <w:color w:val="auto"/>
          <w:szCs w:val="21"/>
        </w:rPr>
        <w:t>”</w:t>
      </w:r>
      <w:r>
        <w:rPr>
          <w:rFonts w:hint="eastAsia" w:hAnsi="宋体" w:cs="宋体"/>
          <w:color w:val="auto"/>
          <w:szCs w:val="21"/>
        </w:rPr>
        <w:t>）于</w:t>
      </w:r>
      <w:r>
        <w:rPr>
          <w:color w:val="auto"/>
          <w:szCs w:val="21"/>
          <w:u w:val="single"/>
        </w:rPr>
        <w:t xml:space="preserve">      </w:t>
      </w:r>
      <w:r>
        <w:rPr>
          <w:rFonts w:hint="eastAsia" w:hAnsi="宋体" w:cs="宋体"/>
          <w:color w:val="auto"/>
          <w:szCs w:val="21"/>
        </w:rPr>
        <w:t>年</w:t>
      </w:r>
      <w:r>
        <w:rPr>
          <w:color w:val="auto"/>
          <w:szCs w:val="21"/>
          <w:u w:val="single"/>
        </w:rPr>
        <w:t xml:space="preserve">   </w:t>
      </w:r>
      <w:r>
        <w:rPr>
          <w:rFonts w:hint="eastAsia" w:hAnsi="宋体" w:cs="宋体"/>
          <w:color w:val="auto"/>
          <w:szCs w:val="21"/>
        </w:rPr>
        <w:t>月</w:t>
      </w:r>
      <w:r>
        <w:rPr>
          <w:color w:val="auto"/>
          <w:szCs w:val="21"/>
          <w:u w:val="single"/>
        </w:rPr>
        <w:t xml:space="preserve">    </w:t>
      </w:r>
      <w:r>
        <w:rPr>
          <w:rFonts w:hint="eastAsia" w:hAnsi="宋体" w:cs="宋体"/>
          <w:color w:val="auto"/>
          <w:szCs w:val="21"/>
        </w:rPr>
        <w:t>日签订了</w:t>
      </w:r>
      <w:r>
        <w:rPr>
          <w:color w:val="auto"/>
          <w:szCs w:val="21"/>
          <w:u w:val="single"/>
        </w:rPr>
        <w:t xml:space="preserve">                          </w:t>
      </w:r>
      <w:r>
        <w:rPr>
          <w:rFonts w:hint="eastAsia" w:hAnsi="宋体" w:cs="宋体"/>
          <w:color w:val="auto"/>
          <w:szCs w:val="21"/>
        </w:rPr>
        <w:t>（工程名称）《建设工程施工合同》（以下称</w:t>
      </w:r>
      <w:r>
        <w:rPr>
          <w:color w:val="auto"/>
          <w:szCs w:val="21"/>
        </w:rPr>
        <w:t>“</w:t>
      </w:r>
      <w:r>
        <w:rPr>
          <w:rFonts w:hint="eastAsia" w:hAnsi="宋体" w:cs="宋体"/>
          <w:color w:val="auto"/>
          <w:szCs w:val="21"/>
        </w:rPr>
        <w:t>主合同</w:t>
      </w:r>
      <w:r>
        <w:rPr>
          <w:color w:val="auto"/>
          <w:szCs w:val="21"/>
        </w:rPr>
        <w:t>”</w:t>
      </w:r>
      <w:r>
        <w:rPr>
          <w:rFonts w:hint="eastAsia" w:hAnsi="宋体" w:cs="宋体"/>
          <w:color w:val="auto"/>
          <w:szCs w:val="21"/>
        </w:rPr>
        <w:t>），应发包人的申请，我方愿就发包人履行主合同约定的工程款支付义务以保证的方式向你方提供如下担保：</w:t>
      </w:r>
    </w:p>
    <w:p w14:paraId="0693E12C">
      <w:pPr>
        <w:spacing w:line="360" w:lineRule="auto"/>
        <w:ind w:firstLine="420" w:firstLineChars="200"/>
        <w:jc w:val="left"/>
        <w:rPr>
          <w:rFonts w:ascii="黑体" w:eastAsia="黑体"/>
          <w:color w:val="auto"/>
          <w:szCs w:val="21"/>
        </w:rPr>
      </w:pPr>
      <w:r>
        <w:rPr>
          <w:rFonts w:hint="eastAsia" w:ascii="黑体" w:hAnsi="宋体" w:eastAsia="黑体" w:cs="黑体"/>
          <w:color w:val="auto"/>
          <w:szCs w:val="21"/>
        </w:rPr>
        <w:t>一、保证的范围及保证金额</w:t>
      </w:r>
    </w:p>
    <w:p w14:paraId="445A8186">
      <w:pPr>
        <w:spacing w:line="360" w:lineRule="auto"/>
        <w:ind w:firstLine="420" w:firstLineChars="200"/>
        <w:jc w:val="left"/>
        <w:rPr>
          <w:color w:val="auto"/>
          <w:szCs w:val="21"/>
        </w:rPr>
      </w:pPr>
      <w:r>
        <w:rPr>
          <w:color w:val="auto"/>
          <w:szCs w:val="21"/>
        </w:rPr>
        <w:t xml:space="preserve">1. </w:t>
      </w:r>
      <w:r>
        <w:rPr>
          <w:rFonts w:hint="eastAsia" w:hAnsi="宋体" w:cs="宋体"/>
          <w:color w:val="auto"/>
          <w:szCs w:val="21"/>
        </w:rPr>
        <w:t>我方的保证范围是主合同约定的工程款。</w:t>
      </w:r>
    </w:p>
    <w:p w14:paraId="0DDC910E">
      <w:pPr>
        <w:spacing w:line="360" w:lineRule="auto"/>
        <w:ind w:firstLine="420" w:firstLineChars="200"/>
        <w:jc w:val="left"/>
        <w:rPr>
          <w:color w:val="auto"/>
          <w:szCs w:val="21"/>
        </w:rPr>
      </w:pPr>
      <w:r>
        <w:rPr>
          <w:color w:val="auto"/>
          <w:szCs w:val="21"/>
        </w:rPr>
        <w:t xml:space="preserve">2. </w:t>
      </w:r>
      <w:r>
        <w:rPr>
          <w:rFonts w:hint="eastAsia" w:hAnsi="宋体" w:cs="宋体"/>
          <w:color w:val="auto"/>
          <w:szCs w:val="21"/>
        </w:rPr>
        <w:t>本保函所称主合同约定的工程款是指主合同约定的除工程质量保证金以外的合同价款。</w:t>
      </w:r>
    </w:p>
    <w:p w14:paraId="00AA73CE">
      <w:pPr>
        <w:spacing w:line="360" w:lineRule="auto"/>
        <w:ind w:firstLine="420" w:firstLineChars="200"/>
        <w:jc w:val="left"/>
        <w:rPr>
          <w:color w:val="auto"/>
          <w:szCs w:val="21"/>
        </w:rPr>
      </w:pPr>
      <w:r>
        <w:rPr>
          <w:color w:val="auto"/>
          <w:szCs w:val="21"/>
        </w:rPr>
        <w:t xml:space="preserve">3. </w:t>
      </w:r>
      <w:r>
        <w:rPr>
          <w:rFonts w:hint="eastAsia" w:hAnsi="宋体" w:cs="宋体"/>
          <w:color w:val="auto"/>
          <w:szCs w:val="21"/>
        </w:rPr>
        <w:t>我方保证的金额是主合同约定的工程款的</w:t>
      </w:r>
      <w:r>
        <w:rPr>
          <w:color w:val="auto"/>
          <w:szCs w:val="21"/>
          <w:u w:val="single"/>
        </w:rPr>
        <w:t xml:space="preserve">      </w:t>
      </w:r>
      <w:r>
        <w:rPr>
          <w:color w:val="auto"/>
          <w:szCs w:val="21"/>
        </w:rPr>
        <w:t>%</w:t>
      </w:r>
      <w:r>
        <w:rPr>
          <w:rFonts w:hint="eastAsia" w:hAnsi="宋体" w:cs="宋体"/>
          <w:color w:val="auto"/>
          <w:szCs w:val="21"/>
        </w:rPr>
        <w:t>，数额最高不超过人民币元（大写：</w:t>
      </w:r>
      <w:r>
        <w:rPr>
          <w:color w:val="auto"/>
          <w:szCs w:val="21"/>
          <w:u w:val="single"/>
        </w:rPr>
        <w:t xml:space="preserve">        </w:t>
      </w:r>
      <w:r>
        <w:rPr>
          <w:rFonts w:hint="eastAsia" w:hAnsi="宋体" w:cs="宋体"/>
          <w:color w:val="auto"/>
          <w:szCs w:val="21"/>
        </w:rPr>
        <w:t>）。</w:t>
      </w:r>
    </w:p>
    <w:p w14:paraId="76B61790">
      <w:pPr>
        <w:spacing w:line="360" w:lineRule="auto"/>
        <w:ind w:firstLine="420" w:firstLineChars="200"/>
        <w:jc w:val="left"/>
        <w:rPr>
          <w:rFonts w:ascii="黑体" w:eastAsia="黑体"/>
          <w:color w:val="auto"/>
          <w:szCs w:val="21"/>
        </w:rPr>
      </w:pPr>
      <w:r>
        <w:rPr>
          <w:rFonts w:hint="eastAsia" w:ascii="黑体" w:hAnsi="宋体" w:eastAsia="黑体" w:cs="黑体"/>
          <w:color w:val="auto"/>
          <w:szCs w:val="21"/>
        </w:rPr>
        <w:t>二、保证的方式及保证期间</w:t>
      </w:r>
    </w:p>
    <w:p w14:paraId="57D0BC68">
      <w:pPr>
        <w:spacing w:line="360" w:lineRule="auto"/>
        <w:ind w:firstLine="420" w:firstLineChars="200"/>
        <w:jc w:val="left"/>
        <w:rPr>
          <w:color w:val="auto"/>
          <w:szCs w:val="21"/>
        </w:rPr>
      </w:pPr>
      <w:r>
        <w:rPr>
          <w:color w:val="auto"/>
          <w:szCs w:val="21"/>
        </w:rPr>
        <w:t xml:space="preserve">1. </w:t>
      </w:r>
      <w:r>
        <w:rPr>
          <w:rFonts w:hint="eastAsia" w:hAnsi="宋体" w:cs="宋体"/>
          <w:color w:val="auto"/>
          <w:szCs w:val="21"/>
        </w:rPr>
        <w:t>我方保证的方式为：连带责任保证。</w:t>
      </w:r>
    </w:p>
    <w:p w14:paraId="3E3583C5">
      <w:pPr>
        <w:spacing w:line="360" w:lineRule="auto"/>
        <w:ind w:firstLine="420" w:firstLineChars="200"/>
        <w:jc w:val="left"/>
        <w:rPr>
          <w:color w:val="auto"/>
          <w:szCs w:val="21"/>
        </w:rPr>
      </w:pPr>
      <w:r>
        <w:rPr>
          <w:color w:val="auto"/>
          <w:szCs w:val="21"/>
        </w:rPr>
        <w:t xml:space="preserve">2. </w:t>
      </w:r>
      <w:r>
        <w:rPr>
          <w:rFonts w:hint="eastAsia" w:hAnsi="宋体" w:cs="宋体"/>
          <w:color w:val="auto"/>
          <w:szCs w:val="21"/>
        </w:rPr>
        <w:t>我方保证的期间为：自本合同生效之日起至主合同约定的工程款支付完毕之日后</w:t>
      </w:r>
      <w:r>
        <w:rPr>
          <w:color w:val="auto"/>
          <w:szCs w:val="21"/>
          <w:u w:val="single"/>
        </w:rPr>
        <w:t xml:space="preserve">    </w:t>
      </w:r>
      <w:r>
        <w:rPr>
          <w:rFonts w:hint="eastAsia" w:hAnsi="宋体" w:cs="宋体"/>
          <w:color w:val="auto"/>
          <w:szCs w:val="21"/>
        </w:rPr>
        <w:t>日内。</w:t>
      </w:r>
    </w:p>
    <w:p w14:paraId="38690C2E">
      <w:pPr>
        <w:spacing w:line="360" w:lineRule="auto"/>
        <w:ind w:firstLine="420" w:firstLineChars="200"/>
        <w:jc w:val="left"/>
        <w:rPr>
          <w:color w:val="auto"/>
          <w:szCs w:val="21"/>
        </w:rPr>
      </w:pPr>
      <w:r>
        <w:rPr>
          <w:color w:val="auto"/>
          <w:szCs w:val="21"/>
        </w:rPr>
        <w:t xml:space="preserve">3. </w:t>
      </w:r>
      <w:r>
        <w:rPr>
          <w:rFonts w:hint="eastAsia" w:hAnsi="宋体" w:cs="宋体"/>
          <w:color w:val="auto"/>
          <w:szCs w:val="21"/>
        </w:rPr>
        <w:t>你方与发包人协议变更工程款支付日期的，经我方书面同意后，保证期间按照变更后的支付日期做相应调整。</w:t>
      </w:r>
    </w:p>
    <w:p w14:paraId="6400A9F6">
      <w:pPr>
        <w:spacing w:line="360" w:lineRule="auto"/>
        <w:ind w:firstLine="420" w:firstLineChars="200"/>
        <w:jc w:val="left"/>
        <w:rPr>
          <w:rFonts w:ascii="黑体" w:eastAsia="黑体"/>
          <w:color w:val="auto"/>
          <w:szCs w:val="21"/>
        </w:rPr>
      </w:pPr>
      <w:r>
        <w:rPr>
          <w:rFonts w:hint="eastAsia" w:ascii="黑体" w:hAnsi="宋体" w:eastAsia="黑体" w:cs="黑体"/>
          <w:color w:val="auto"/>
          <w:szCs w:val="21"/>
        </w:rPr>
        <w:t>三、承担保证责任的形式</w:t>
      </w:r>
    </w:p>
    <w:p w14:paraId="4E00400E">
      <w:pPr>
        <w:spacing w:line="360" w:lineRule="auto"/>
        <w:ind w:firstLine="420" w:firstLineChars="200"/>
        <w:jc w:val="left"/>
        <w:rPr>
          <w:color w:val="auto"/>
          <w:szCs w:val="21"/>
        </w:rPr>
      </w:pPr>
      <w:r>
        <w:rPr>
          <w:rFonts w:hint="eastAsia" w:hAnsi="宋体" w:cs="宋体"/>
          <w:color w:val="auto"/>
          <w:szCs w:val="21"/>
        </w:rPr>
        <w:t>我方承担保证责任的形式是代为支付。发包人未按主合同约定向你方支付工程款的，由我方在保证金额内代为支付。</w:t>
      </w:r>
    </w:p>
    <w:p w14:paraId="405D426A">
      <w:pPr>
        <w:spacing w:line="360" w:lineRule="auto"/>
        <w:ind w:firstLine="420" w:firstLineChars="200"/>
        <w:jc w:val="left"/>
        <w:rPr>
          <w:rFonts w:ascii="黑体" w:eastAsia="黑体"/>
          <w:color w:val="auto"/>
          <w:szCs w:val="21"/>
        </w:rPr>
      </w:pPr>
      <w:r>
        <w:rPr>
          <w:rFonts w:hint="eastAsia" w:ascii="黑体" w:hAnsi="宋体" w:eastAsia="黑体" w:cs="黑体"/>
          <w:color w:val="auto"/>
          <w:szCs w:val="21"/>
        </w:rPr>
        <w:t>四、代偿的安排</w:t>
      </w:r>
    </w:p>
    <w:p w14:paraId="7EFFCCF6">
      <w:pPr>
        <w:spacing w:line="360" w:lineRule="auto"/>
        <w:ind w:firstLine="420" w:firstLineChars="200"/>
        <w:jc w:val="left"/>
        <w:rPr>
          <w:color w:val="auto"/>
          <w:szCs w:val="21"/>
        </w:rPr>
      </w:pPr>
      <w:r>
        <w:rPr>
          <w:color w:val="auto"/>
          <w:szCs w:val="21"/>
        </w:rPr>
        <w:t xml:space="preserve">1. </w:t>
      </w:r>
      <w:r>
        <w:rPr>
          <w:rFonts w:hint="eastAsia" w:hAnsi="宋体" w:cs="宋体"/>
          <w:color w:val="auto"/>
          <w:szCs w:val="21"/>
        </w:rPr>
        <w:t>你方要求我方承担保证责任的，应向我方发出书面索赔通知及发包人未支付主合同约定工程款的证明材料。索赔通知应写明要求索赔的金额，支付款项应到达的账号。</w:t>
      </w:r>
    </w:p>
    <w:p w14:paraId="15ACA4B9">
      <w:pPr>
        <w:spacing w:line="360" w:lineRule="auto"/>
        <w:ind w:firstLine="420" w:firstLineChars="200"/>
        <w:jc w:val="left"/>
        <w:rPr>
          <w:color w:val="auto"/>
          <w:szCs w:val="21"/>
        </w:rPr>
      </w:pPr>
      <w:r>
        <w:rPr>
          <w:color w:val="auto"/>
          <w:szCs w:val="21"/>
        </w:rPr>
        <w:t xml:space="preserve">2. </w:t>
      </w:r>
      <w:r>
        <w:rPr>
          <w:rFonts w:hint="eastAsia" w:hAnsi="宋体" w:cs="宋体"/>
          <w:color w:val="auto"/>
          <w:szCs w:val="21"/>
        </w:rPr>
        <w:t>在出现你方与发包人因工程质量发生争议，发包人拒绝向你方支付工程款的情形时，你方要求我方履行保证责任代为支付的，需提供符合相应条件要求的工程质量检测机构出具的质量说明材料。</w:t>
      </w:r>
    </w:p>
    <w:p w14:paraId="04CAFDF0">
      <w:pPr>
        <w:spacing w:line="360" w:lineRule="auto"/>
        <w:ind w:firstLine="420" w:firstLineChars="200"/>
        <w:jc w:val="left"/>
        <w:rPr>
          <w:color w:val="auto"/>
          <w:szCs w:val="21"/>
        </w:rPr>
      </w:pPr>
      <w:r>
        <w:rPr>
          <w:color w:val="auto"/>
          <w:szCs w:val="21"/>
        </w:rPr>
        <w:t xml:space="preserve">3. </w:t>
      </w:r>
      <w:r>
        <w:rPr>
          <w:rFonts w:hint="eastAsia" w:hAnsi="宋体" w:cs="宋体"/>
          <w:color w:val="auto"/>
          <w:szCs w:val="21"/>
        </w:rPr>
        <w:t>我方收到你方的书面索赔通知及相应的证明材料后７天内无条件支付。</w:t>
      </w:r>
    </w:p>
    <w:p w14:paraId="0763A61F">
      <w:pPr>
        <w:spacing w:line="360" w:lineRule="auto"/>
        <w:ind w:firstLine="420" w:firstLineChars="200"/>
        <w:jc w:val="left"/>
        <w:rPr>
          <w:rFonts w:ascii="黑体" w:eastAsia="黑体"/>
          <w:color w:val="auto"/>
          <w:szCs w:val="21"/>
        </w:rPr>
      </w:pPr>
      <w:r>
        <w:rPr>
          <w:rFonts w:hint="eastAsia" w:ascii="黑体" w:hAnsi="宋体" w:eastAsia="黑体" w:cs="黑体"/>
          <w:color w:val="auto"/>
          <w:szCs w:val="21"/>
        </w:rPr>
        <w:t>五、保证责任的解除</w:t>
      </w:r>
    </w:p>
    <w:p w14:paraId="069527AC">
      <w:pPr>
        <w:spacing w:line="360" w:lineRule="auto"/>
        <w:ind w:firstLine="420" w:firstLineChars="200"/>
        <w:jc w:val="left"/>
        <w:rPr>
          <w:color w:val="auto"/>
          <w:szCs w:val="21"/>
        </w:rPr>
      </w:pPr>
      <w:r>
        <w:rPr>
          <w:color w:val="auto"/>
          <w:szCs w:val="21"/>
        </w:rPr>
        <w:t xml:space="preserve">1. </w:t>
      </w:r>
      <w:r>
        <w:rPr>
          <w:rFonts w:hint="eastAsia" w:hAnsi="宋体" w:cs="宋体"/>
          <w:color w:val="auto"/>
          <w:szCs w:val="21"/>
        </w:rPr>
        <w:t>在本保函承诺的保证期间内，你方未书面向我方主张保证责任的，自保证期间届满次日起，我方保证责任解除。</w:t>
      </w:r>
    </w:p>
    <w:p w14:paraId="1296BF7C">
      <w:pPr>
        <w:spacing w:line="360" w:lineRule="auto"/>
        <w:ind w:firstLine="420" w:firstLineChars="200"/>
        <w:jc w:val="left"/>
        <w:rPr>
          <w:color w:val="auto"/>
          <w:szCs w:val="21"/>
        </w:rPr>
      </w:pPr>
      <w:r>
        <w:rPr>
          <w:color w:val="auto"/>
          <w:szCs w:val="21"/>
        </w:rPr>
        <w:t xml:space="preserve">2. </w:t>
      </w:r>
      <w:r>
        <w:rPr>
          <w:rFonts w:hint="eastAsia" w:hAnsi="宋体" w:cs="宋体"/>
          <w:color w:val="auto"/>
          <w:szCs w:val="21"/>
        </w:rPr>
        <w:t>发包人按主合同约定履行了工程款的全部支付义务的，自本保函承诺的保证期间届满次日起，我方保证责任解除。</w:t>
      </w:r>
    </w:p>
    <w:p w14:paraId="11F63BB3">
      <w:pPr>
        <w:spacing w:line="360" w:lineRule="auto"/>
        <w:ind w:firstLine="420" w:firstLineChars="200"/>
        <w:jc w:val="left"/>
        <w:rPr>
          <w:color w:val="auto"/>
          <w:szCs w:val="21"/>
        </w:rPr>
      </w:pPr>
      <w:r>
        <w:rPr>
          <w:color w:val="auto"/>
          <w:szCs w:val="21"/>
        </w:rPr>
        <w:t xml:space="preserve">3. </w:t>
      </w:r>
      <w:r>
        <w:rPr>
          <w:rFonts w:hint="eastAsia" w:hAnsi="宋体" w:cs="宋体"/>
          <w:color w:val="auto"/>
          <w:szCs w:val="21"/>
        </w:rPr>
        <w:t>我方按照本保函向你方履行保证责任所支付金额达到本保函保证金额时，自我方向你方支付（支付款项从我方账户划出）之日起，保证责任即解除。</w:t>
      </w:r>
    </w:p>
    <w:p w14:paraId="40CDAFF9">
      <w:pPr>
        <w:spacing w:line="360" w:lineRule="auto"/>
        <w:ind w:firstLine="420" w:firstLineChars="200"/>
        <w:jc w:val="left"/>
        <w:rPr>
          <w:color w:val="auto"/>
          <w:szCs w:val="21"/>
        </w:rPr>
      </w:pPr>
      <w:r>
        <w:rPr>
          <w:color w:val="auto"/>
          <w:szCs w:val="21"/>
        </w:rPr>
        <w:t xml:space="preserve">4. </w:t>
      </w:r>
      <w:r>
        <w:rPr>
          <w:rFonts w:hint="eastAsia" w:hAnsi="宋体" w:cs="宋体"/>
          <w:color w:val="auto"/>
          <w:szCs w:val="21"/>
        </w:rPr>
        <w:t>按照法律法规的规定或出现应解除我方保证责任的其他情形的，我方在本保函项下的保证责任亦解除。</w:t>
      </w:r>
    </w:p>
    <w:p w14:paraId="519FFA10">
      <w:pPr>
        <w:spacing w:line="360" w:lineRule="auto"/>
        <w:ind w:firstLine="420" w:firstLineChars="200"/>
        <w:jc w:val="left"/>
        <w:rPr>
          <w:color w:val="auto"/>
          <w:szCs w:val="21"/>
        </w:rPr>
      </w:pPr>
      <w:r>
        <w:rPr>
          <w:color w:val="auto"/>
          <w:szCs w:val="21"/>
        </w:rPr>
        <w:t xml:space="preserve">5. </w:t>
      </w:r>
      <w:r>
        <w:rPr>
          <w:rFonts w:hint="eastAsia" w:hAnsi="宋体" w:cs="宋体"/>
          <w:color w:val="auto"/>
          <w:szCs w:val="21"/>
        </w:rPr>
        <w:t>我方解除保证责任后，你方应自我方保证责任解除之日起</w:t>
      </w:r>
      <w:r>
        <w:rPr>
          <w:color w:val="auto"/>
          <w:szCs w:val="21"/>
          <w:u w:val="single"/>
        </w:rPr>
        <w:t xml:space="preserve">  </w:t>
      </w:r>
      <w:r>
        <w:rPr>
          <w:rFonts w:hint="eastAsia" w:hAnsi="宋体" w:cs="宋体"/>
          <w:color w:val="auto"/>
          <w:szCs w:val="21"/>
        </w:rPr>
        <w:t>个工作日内，将本保函原件返还我方。</w:t>
      </w:r>
    </w:p>
    <w:p w14:paraId="00D54B6B">
      <w:pPr>
        <w:spacing w:line="360" w:lineRule="auto"/>
        <w:ind w:firstLine="420" w:firstLineChars="200"/>
        <w:jc w:val="left"/>
        <w:rPr>
          <w:rFonts w:ascii="黑体" w:eastAsia="黑体"/>
          <w:color w:val="auto"/>
          <w:szCs w:val="21"/>
        </w:rPr>
      </w:pPr>
      <w:r>
        <w:rPr>
          <w:rFonts w:hint="eastAsia" w:ascii="黑体" w:hAnsi="宋体" w:eastAsia="黑体" w:cs="黑体"/>
          <w:color w:val="auto"/>
          <w:szCs w:val="21"/>
        </w:rPr>
        <w:t>六、免责条款</w:t>
      </w:r>
    </w:p>
    <w:p w14:paraId="7C76E3E7">
      <w:pPr>
        <w:spacing w:line="360" w:lineRule="auto"/>
        <w:ind w:firstLine="420" w:firstLineChars="200"/>
        <w:jc w:val="left"/>
        <w:rPr>
          <w:color w:val="auto"/>
          <w:szCs w:val="21"/>
        </w:rPr>
      </w:pPr>
      <w:r>
        <w:rPr>
          <w:color w:val="auto"/>
          <w:szCs w:val="21"/>
        </w:rPr>
        <w:t xml:space="preserve">1. </w:t>
      </w:r>
      <w:r>
        <w:rPr>
          <w:rFonts w:hint="eastAsia" w:hAnsi="宋体" w:cs="宋体"/>
          <w:color w:val="auto"/>
          <w:szCs w:val="21"/>
        </w:rPr>
        <w:t>因你方违约致使发包人不能履行义务的，我方不承担保证责任。</w:t>
      </w:r>
    </w:p>
    <w:p w14:paraId="6DDE35C4">
      <w:pPr>
        <w:spacing w:line="360" w:lineRule="auto"/>
        <w:ind w:firstLine="420" w:firstLineChars="200"/>
        <w:jc w:val="left"/>
        <w:rPr>
          <w:color w:val="auto"/>
          <w:szCs w:val="21"/>
        </w:rPr>
      </w:pPr>
      <w:r>
        <w:rPr>
          <w:color w:val="auto"/>
          <w:szCs w:val="21"/>
        </w:rPr>
        <w:t xml:space="preserve">2. </w:t>
      </w:r>
      <w:r>
        <w:rPr>
          <w:rFonts w:hint="eastAsia" w:hAnsi="宋体" w:cs="宋体"/>
          <w:color w:val="auto"/>
          <w:szCs w:val="21"/>
        </w:rPr>
        <w:t>依照法律法规的规定或你方与发包人的另行约定，免除发包人部分或全部义务的，我方亦免除其相应的保证责任。</w:t>
      </w:r>
    </w:p>
    <w:p w14:paraId="353BA4FE">
      <w:pPr>
        <w:spacing w:line="360" w:lineRule="auto"/>
        <w:ind w:firstLine="420" w:firstLineChars="200"/>
        <w:jc w:val="left"/>
        <w:rPr>
          <w:color w:val="auto"/>
          <w:szCs w:val="21"/>
        </w:rPr>
      </w:pPr>
      <w:r>
        <w:rPr>
          <w:color w:val="auto"/>
          <w:szCs w:val="21"/>
        </w:rPr>
        <w:t xml:space="preserve">3. </w:t>
      </w:r>
      <w:r>
        <w:rPr>
          <w:rFonts w:hint="eastAsia" w:hAnsi="宋体" w:cs="宋体"/>
          <w:color w:val="auto"/>
          <w:szCs w:val="21"/>
        </w:rPr>
        <w:t>你方与发包人协议变更主合同的，如加重发包人责任致使我方保证责任加重的，需征得我方书面同意，否则我方不再承担因此而加重部分的保证责任，但主合同第</w:t>
      </w:r>
      <w:r>
        <w:rPr>
          <w:color w:val="auto"/>
          <w:szCs w:val="21"/>
        </w:rPr>
        <w:t>10</w:t>
      </w:r>
      <w:r>
        <w:rPr>
          <w:rFonts w:hint="eastAsia" w:hAnsi="宋体" w:cs="宋体"/>
          <w:color w:val="auto"/>
          <w:szCs w:val="21"/>
        </w:rPr>
        <w:t>条〔变更〕约定的变更不受本款限制。</w:t>
      </w:r>
    </w:p>
    <w:p w14:paraId="3B2658CA">
      <w:pPr>
        <w:spacing w:line="360" w:lineRule="auto"/>
        <w:ind w:firstLine="420" w:firstLineChars="200"/>
        <w:jc w:val="left"/>
        <w:rPr>
          <w:color w:val="auto"/>
          <w:szCs w:val="21"/>
        </w:rPr>
      </w:pPr>
      <w:r>
        <w:rPr>
          <w:color w:val="auto"/>
          <w:szCs w:val="21"/>
        </w:rPr>
        <w:t xml:space="preserve">4. </w:t>
      </w:r>
      <w:r>
        <w:rPr>
          <w:rFonts w:hint="eastAsia" w:hAnsi="宋体" w:cs="宋体"/>
          <w:color w:val="auto"/>
          <w:szCs w:val="21"/>
        </w:rPr>
        <w:t>因不可抗力造成发包人不能履行义务的，我方不承担保证责任。</w:t>
      </w:r>
    </w:p>
    <w:p w14:paraId="1A6CC6C9">
      <w:pPr>
        <w:spacing w:line="360" w:lineRule="auto"/>
        <w:ind w:firstLine="420" w:firstLineChars="200"/>
        <w:jc w:val="left"/>
        <w:rPr>
          <w:rFonts w:ascii="黑体" w:eastAsia="黑体"/>
          <w:color w:val="auto"/>
          <w:szCs w:val="21"/>
        </w:rPr>
      </w:pPr>
      <w:r>
        <w:rPr>
          <w:rFonts w:hint="eastAsia" w:ascii="黑体" w:hAnsi="宋体" w:eastAsia="黑体" w:cs="黑体"/>
          <w:color w:val="auto"/>
          <w:szCs w:val="21"/>
        </w:rPr>
        <w:t>七、争议解决</w:t>
      </w:r>
    </w:p>
    <w:p w14:paraId="5D7EEBF6">
      <w:pPr>
        <w:spacing w:line="360" w:lineRule="auto"/>
        <w:ind w:firstLine="420" w:firstLineChars="200"/>
        <w:rPr>
          <w:color w:val="auto"/>
          <w:szCs w:val="21"/>
        </w:rPr>
      </w:pPr>
      <w:r>
        <w:rPr>
          <w:rFonts w:hint="eastAsia" w:hAnsi="宋体" w:cs="宋体"/>
          <w:color w:val="auto"/>
          <w:szCs w:val="21"/>
        </w:rPr>
        <w:t>因本保函或本保函相关事项发生的纠纷，可由双方协商解决，协商不成的，按下列第</w:t>
      </w:r>
      <w:r>
        <w:rPr>
          <w:color w:val="auto"/>
          <w:szCs w:val="21"/>
          <w:u w:val="single"/>
        </w:rPr>
        <w:t xml:space="preserve">     </w:t>
      </w:r>
      <w:r>
        <w:rPr>
          <w:rFonts w:hint="eastAsia" w:hAnsi="宋体" w:cs="宋体"/>
          <w:color w:val="auto"/>
          <w:szCs w:val="21"/>
        </w:rPr>
        <w:t>种方式解决：</w:t>
      </w:r>
    </w:p>
    <w:p w14:paraId="74AE89C7">
      <w:pPr>
        <w:spacing w:line="360" w:lineRule="auto"/>
        <w:ind w:firstLine="420" w:firstLineChars="200"/>
        <w:jc w:val="left"/>
        <w:rPr>
          <w:color w:val="auto"/>
          <w:szCs w:val="21"/>
        </w:rPr>
      </w:pPr>
      <w:r>
        <w:rPr>
          <w:rFonts w:hint="eastAsia" w:hAnsi="宋体" w:cs="宋体"/>
          <w:color w:val="auto"/>
          <w:szCs w:val="21"/>
        </w:rPr>
        <w:t>（</w:t>
      </w:r>
      <w:r>
        <w:rPr>
          <w:color w:val="auto"/>
          <w:szCs w:val="21"/>
        </w:rPr>
        <w:t>1</w:t>
      </w:r>
      <w:r>
        <w:rPr>
          <w:rFonts w:hint="eastAsia" w:hAnsi="宋体" w:cs="宋体"/>
          <w:color w:val="auto"/>
          <w:szCs w:val="21"/>
        </w:rPr>
        <w:t>）向</w:t>
      </w:r>
      <w:r>
        <w:rPr>
          <w:color w:val="auto"/>
          <w:szCs w:val="21"/>
          <w:u w:val="single"/>
        </w:rPr>
        <w:t xml:space="preserve">                     </w:t>
      </w:r>
      <w:r>
        <w:rPr>
          <w:rFonts w:hint="eastAsia" w:hAnsi="宋体" w:cs="宋体"/>
          <w:color w:val="auto"/>
          <w:szCs w:val="21"/>
        </w:rPr>
        <w:t>仲裁委员会申请仲裁；</w:t>
      </w:r>
    </w:p>
    <w:p w14:paraId="71EB1F59">
      <w:pPr>
        <w:spacing w:line="360" w:lineRule="auto"/>
        <w:ind w:firstLine="420" w:firstLineChars="200"/>
        <w:jc w:val="left"/>
        <w:rPr>
          <w:color w:val="auto"/>
          <w:szCs w:val="21"/>
        </w:rPr>
      </w:pPr>
      <w:r>
        <w:rPr>
          <w:rFonts w:hint="eastAsia" w:hAnsi="宋体" w:cs="宋体"/>
          <w:color w:val="auto"/>
          <w:szCs w:val="21"/>
        </w:rPr>
        <w:t>（</w:t>
      </w:r>
      <w:r>
        <w:rPr>
          <w:color w:val="auto"/>
          <w:szCs w:val="21"/>
        </w:rPr>
        <w:t>2</w:t>
      </w:r>
      <w:r>
        <w:rPr>
          <w:rFonts w:hint="eastAsia" w:hAnsi="宋体" w:cs="宋体"/>
          <w:color w:val="auto"/>
          <w:szCs w:val="21"/>
        </w:rPr>
        <w:t>）向</w:t>
      </w:r>
      <w:r>
        <w:rPr>
          <w:color w:val="auto"/>
          <w:szCs w:val="21"/>
          <w:u w:val="single"/>
        </w:rPr>
        <w:t xml:space="preserve">                     </w:t>
      </w:r>
      <w:r>
        <w:rPr>
          <w:rFonts w:hint="eastAsia" w:hAnsi="宋体" w:cs="宋体"/>
          <w:color w:val="auto"/>
          <w:szCs w:val="21"/>
        </w:rPr>
        <w:t>人民法院起诉。</w:t>
      </w:r>
    </w:p>
    <w:p w14:paraId="50A6B2A6">
      <w:pPr>
        <w:spacing w:line="360" w:lineRule="auto"/>
        <w:ind w:firstLine="420" w:firstLineChars="200"/>
        <w:jc w:val="left"/>
        <w:rPr>
          <w:rFonts w:ascii="黑体" w:eastAsia="黑体"/>
          <w:color w:val="auto"/>
          <w:szCs w:val="21"/>
        </w:rPr>
      </w:pPr>
      <w:r>
        <w:rPr>
          <w:rFonts w:hint="eastAsia" w:ascii="黑体" w:hAnsi="宋体" w:eastAsia="黑体" w:cs="黑体"/>
          <w:color w:val="auto"/>
          <w:szCs w:val="21"/>
        </w:rPr>
        <w:t>八、保函的生效</w:t>
      </w:r>
    </w:p>
    <w:p w14:paraId="52AC29C9">
      <w:pPr>
        <w:spacing w:line="360" w:lineRule="auto"/>
        <w:ind w:firstLine="420" w:firstLineChars="200"/>
        <w:jc w:val="left"/>
        <w:rPr>
          <w:color w:val="auto"/>
          <w:szCs w:val="21"/>
        </w:rPr>
      </w:pPr>
      <w:r>
        <w:rPr>
          <w:rFonts w:hint="eastAsia" w:hAnsi="宋体" w:cs="宋体"/>
          <w:color w:val="auto"/>
          <w:szCs w:val="21"/>
        </w:rPr>
        <w:t>本保函自我方法定代表人（或其授权代理人）签字并加盖公章之日起生效。</w:t>
      </w:r>
    </w:p>
    <w:p w14:paraId="0142336A">
      <w:pPr>
        <w:spacing w:line="360" w:lineRule="auto"/>
        <w:jc w:val="left"/>
        <w:rPr>
          <w:color w:val="auto"/>
          <w:szCs w:val="21"/>
        </w:rPr>
      </w:pPr>
    </w:p>
    <w:p w14:paraId="5B817CF2">
      <w:pPr>
        <w:spacing w:line="360" w:lineRule="auto"/>
        <w:ind w:right="600"/>
        <w:jc w:val="left"/>
        <w:rPr>
          <w:color w:val="auto"/>
          <w:szCs w:val="21"/>
        </w:rPr>
      </w:pPr>
    </w:p>
    <w:p w14:paraId="30F9F20A">
      <w:pPr>
        <w:spacing w:line="360" w:lineRule="auto"/>
        <w:ind w:right="600"/>
        <w:jc w:val="left"/>
        <w:rPr>
          <w:color w:val="auto"/>
          <w:szCs w:val="21"/>
        </w:rPr>
      </w:pPr>
      <w:r>
        <w:rPr>
          <w:rFonts w:hint="eastAsia" w:hAnsi="宋体" w:cs="宋体"/>
          <w:color w:val="auto"/>
          <w:szCs w:val="21"/>
        </w:rPr>
        <w:t>担保人：</w:t>
      </w:r>
      <w:r>
        <w:rPr>
          <w:color w:val="auto"/>
          <w:szCs w:val="21"/>
          <w:u w:val="single"/>
        </w:rPr>
        <w:t xml:space="preserve">                                   </w:t>
      </w:r>
      <w:r>
        <w:rPr>
          <w:rFonts w:hint="eastAsia" w:hAnsi="宋体" w:cs="宋体"/>
          <w:color w:val="auto"/>
          <w:szCs w:val="21"/>
        </w:rPr>
        <w:t>（盖章）</w:t>
      </w:r>
    </w:p>
    <w:p w14:paraId="7CB6BA96">
      <w:pPr>
        <w:spacing w:line="360" w:lineRule="auto"/>
        <w:ind w:right="1200"/>
        <w:rPr>
          <w:color w:val="auto"/>
          <w:szCs w:val="21"/>
        </w:rPr>
      </w:pPr>
      <w:r>
        <w:rPr>
          <w:rFonts w:hint="eastAsia" w:hAnsi="宋体" w:cs="宋体"/>
          <w:color w:val="auto"/>
          <w:szCs w:val="21"/>
        </w:rPr>
        <w:t>法定代表人或委托代理人：</w:t>
      </w:r>
      <w:r>
        <w:rPr>
          <w:color w:val="auto"/>
          <w:szCs w:val="21"/>
          <w:u w:val="single"/>
        </w:rPr>
        <w:t xml:space="preserve">                   </w:t>
      </w:r>
      <w:r>
        <w:rPr>
          <w:rFonts w:hint="eastAsia" w:hAnsi="宋体" w:cs="宋体"/>
          <w:color w:val="auto"/>
          <w:szCs w:val="21"/>
        </w:rPr>
        <w:t>（签字）</w:t>
      </w:r>
    </w:p>
    <w:p w14:paraId="7BAE7195">
      <w:pPr>
        <w:spacing w:line="360" w:lineRule="auto"/>
        <w:jc w:val="left"/>
        <w:rPr>
          <w:color w:val="auto"/>
          <w:szCs w:val="21"/>
        </w:rPr>
      </w:pPr>
      <w:r>
        <w:rPr>
          <w:rFonts w:hint="eastAsia" w:hAnsi="宋体" w:cs="宋体"/>
          <w:color w:val="auto"/>
          <w:szCs w:val="21"/>
        </w:rPr>
        <w:t>地</w:t>
      </w:r>
      <w:r>
        <w:rPr>
          <w:color w:val="auto"/>
          <w:szCs w:val="21"/>
        </w:rPr>
        <w:t xml:space="preserve">    </w:t>
      </w:r>
      <w:r>
        <w:rPr>
          <w:rFonts w:hint="eastAsia" w:hAnsi="宋体" w:cs="宋体"/>
          <w:color w:val="auto"/>
          <w:szCs w:val="21"/>
        </w:rPr>
        <w:t>址：</w:t>
      </w:r>
      <w:r>
        <w:rPr>
          <w:color w:val="auto"/>
          <w:szCs w:val="21"/>
          <w:u w:val="single"/>
        </w:rPr>
        <w:t xml:space="preserve">                                        </w:t>
      </w:r>
    </w:p>
    <w:p w14:paraId="7020067C">
      <w:pPr>
        <w:spacing w:line="360" w:lineRule="auto"/>
        <w:jc w:val="left"/>
        <w:rPr>
          <w:color w:val="auto"/>
          <w:szCs w:val="21"/>
        </w:rPr>
      </w:pPr>
      <w:r>
        <w:rPr>
          <w:rFonts w:hint="eastAsia" w:hAnsi="宋体" w:cs="宋体"/>
          <w:color w:val="auto"/>
          <w:szCs w:val="21"/>
        </w:rPr>
        <w:t>邮政编码：</w:t>
      </w:r>
      <w:r>
        <w:rPr>
          <w:color w:val="auto"/>
          <w:szCs w:val="21"/>
          <w:u w:val="single"/>
        </w:rPr>
        <w:t xml:space="preserve">                                        </w:t>
      </w:r>
    </w:p>
    <w:p w14:paraId="00551CE6">
      <w:pPr>
        <w:spacing w:line="360" w:lineRule="auto"/>
        <w:jc w:val="left"/>
        <w:rPr>
          <w:color w:val="auto"/>
          <w:szCs w:val="21"/>
        </w:rPr>
      </w:pPr>
      <w:r>
        <w:rPr>
          <w:rFonts w:hint="eastAsia" w:hAnsi="宋体" w:cs="宋体"/>
          <w:color w:val="auto"/>
          <w:szCs w:val="21"/>
        </w:rPr>
        <w:t>传</w:t>
      </w:r>
      <w:r>
        <w:rPr>
          <w:color w:val="auto"/>
          <w:szCs w:val="21"/>
        </w:rPr>
        <w:t xml:space="preserve">    </w:t>
      </w:r>
      <w:r>
        <w:rPr>
          <w:rFonts w:hint="eastAsia" w:hAnsi="宋体" w:cs="宋体"/>
          <w:color w:val="auto"/>
          <w:szCs w:val="21"/>
        </w:rPr>
        <w:t>真：</w:t>
      </w:r>
      <w:r>
        <w:rPr>
          <w:color w:val="auto"/>
          <w:szCs w:val="21"/>
          <w:u w:val="single"/>
        </w:rPr>
        <w:t xml:space="preserve">                                        </w:t>
      </w:r>
    </w:p>
    <w:p w14:paraId="602F6737">
      <w:pPr>
        <w:spacing w:line="360" w:lineRule="auto"/>
        <w:ind w:right="150" w:firstLine="420" w:firstLineChars="200"/>
        <w:jc w:val="left"/>
        <w:rPr>
          <w:color w:val="auto"/>
          <w:szCs w:val="21"/>
          <w:u w:val="single"/>
        </w:rPr>
      </w:pPr>
    </w:p>
    <w:p w14:paraId="1040A918">
      <w:pPr>
        <w:spacing w:line="360" w:lineRule="auto"/>
        <w:ind w:right="150" w:firstLine="420" w:firstLineChars="200"/>
        <w:jc w:val="left"/>
        <w:rPr>
          <w:rFonts w:hAnsi="宋体" w:cs="宋体"/>
          <w:color w:val="auto"/>
          <w:szCs w:val="21"/>
        </w:rPr>
      </w:pPr>
      <w:r>
        <w:rPr>
          <w:color w:val="auto"/>
          <w:szCs w:val="21"/>
        </w:rPr>
        <w:t xml:space="preserve">             </w:t>
      </w:r>
      <w:r>
        <w:rPr>
          <w:color w:val="auto"/>
          <w:szCs w:val="21"/>
          <w:u w:val="single"/>
        </w:rPr>
        <w:t xml:space="preserve">               </w:t>
      </w:r>
      <w:r>
        <w:rPr>
          <w:rFonts w:hint="eastAsia" w:hAnsi="宋体" w:cs="宋体"/>
          <w:color w:val="auto"/>
          <w:szCs w:val="21"/>
        </w:rPr>
        <w:t>年</w:t>
      </w:r>
      <w:r>
        <w:rPr>
          <w:color w:val="auto"/>
          <w:szCs w:val="21"/>
          <w:u w:val="single"/>
        </w:rPr>
        <w:t xml:space="preserve">      </w:t>
      </w:r>
      <w:r>
        <w:rPr>
          <w:rFonts w:hint="eastAsia" w:hAnsi="宋体" w:cs="宋体"/>
          <w:color w:val="auto"/>
          <w:szCs w:val="21"/>
        </w:rPr>
        <w:t>月</w:t>
      </w:r>
      <w:r>
        <w:rPr>
          <w:color w:val="auto"/>
          <w:szCs w:val="21"/>
          <w:u w:val="single"/>
        </w:rPr>
        <w:t xml:space="preserve">      </w:t>
      </w:r>
      <w:r>
        <w:rPr>
          <w:rFonts w:hint="eastAsia" w:hAnsi="宋体" w:cs="宋体"/>
          <w:color w:val="auto"/>
          <w:szCs w:val="21"/>
        </w:rPr>
        <w:t>日</w:t>
      </w:r>
    </w:p>
    <w:p w14:paraId="6B1143A9">
      <w:pPr>
        <w:spacing w:line="360" w:lineRule="auto"/>
        <w:ind w:right="150" w:firstLine="420" w:firstLineChars="200"/>
        <w:jc w:val="left"/>
        <w:rPr>
          <w:color w:val="auto"/>
          <w:szCs w:val="21"/>
        </w:rPr>
      </w:pPr>
      <w:r>
        <w:rPr>
          <w:rFonts w:hint="eastAsia" w:hAnsi="宋体" w:cs="宋体"/>
          <w:color w:val="auto"/>
          <w:szCs w:val="21"/>
        </w:rPr>
        <w:t>（备注</w:t>
      </w:r>
      <w:r>
        <w:rPr>
          <w:rFonts w:hAnsi="宋体" w:cs="宋体"/>
          <w:color w:val="auto"/>
          <w:szCs w:val="21"/>
        </w:rPr>
        <w:t>：</w:t>
      </w:r>
      <w:r>
        <w:rPr>
          <w:rFonts w:hint="eastAsia" w:hAnsi="宋体" w:cs="宋体"/>
          <w:color w:val="auto"/>
          <w:szCs w:val="21"/>
        </w:rPr>
        <w:t>银行、保险公司和担保公司出具的</w:t>
      </w:r>
      <w:r>
        <w:rPr>
          <w:rFonts w:hint="eastAsia" w:ascii="仿宋_GB2312" w:hAnsi="宋体" w:cs="宋体"/>
          <w:color w:val="auto"/>
          <w:szCs w:val="21"/>
        </w:rPr>
        <w:t>保函格式和文本可</w:t>
      </w:r>
      <w:r>
        <w:rPr>
          <w:rFonts w:ascii="仿宋_GB2312" w:hAnsi="宋体" w:cs="宋体"/>
          <w:color w:val="auto"/>
          <w:szCs w:val="21"/>
        </w:rPr>
        <w:t>以自拟，</w:t>
      </w:r>
      <w:r>
        <w:rPr>
          <w:rFonts w:hint="eastAsia" w:ascii="仿宋_GB2312" w:hAnsi="宋体" w:cs="宋体"/>
          <w:color w:val="auto"/>
          <w:szCs w:val="21"/>
        </w:rPr>
        <w:t>但是必须包含以上条款所列全部内容</w:t>
      </w:r>
      <w:r>
        <w:rPr>
          <w:rFonts w:ascii="仿宋_GB2312" w:hAnsi="宋体" w:cs="宋体"/>
          <w:color w:val="auto"/>
          <w:szCs w:val="21"/>
        </w:rPr>
        <w:t>）</w:t>
      </w:r>
    </w:p>
    <w:p w14:paraId="2BC368D2">
      <w:pPr>
        <w:jc w:val="left"/>
        <w:outlineLvl w:val="0"/>
        <w:rPr>
          <w:rFonts w:hAnsi="宋体" w:cs="宋体"/>
          <w:color w:val="auto"/>
          <w:sz w:val="30"/>
          <w:szCs w:val="30"/>
        </w:rPr>
      </w:pPr>
      <w:r>
        <w:rPr>
          <w:rFonts w:hAnsi="宋体" w:cs="宋体"/>
          <w:color w:val="auto"/>
          <w:sz w:val="30"/>
          <w:szCs w:val="30"/>
        </w:rPr>
        <w:br w:type="page"/>
      </w:r>
      <w:r>
        <w:rPr>
          <w:rFonts w:eastAsia="仿宋_GB2312"/>
          <w:color w:val="auto"/>
          <w:sz w:val="30"/>
          <w:szCs w:val="30"/>
        </w:rPr>
        <w:t xml:space="preserve"> </w:t>
      </w:r>
      <w:bookmarkStart w:id="1619" w:name="_Toc25289"/>
      <w:bookmarkStart w:id="1620" w:name="_Toc29007"/>
      <w:r>
        <w:rPr>
          <w:rFonts w:hint="eastAsia" w:hAnsi="宋体" w:cs="宋体"/>
          <w:color w:val="auto"/>
          <w:sz w:val="30"/>
          <w:szCs w:val="30"/>
        </w:rPr>
        <w:t>附件10：</w:t>
      </w:r>
      <w:bookmarkEnd w:id="1619"/>
      <w:bookmarkEnd w:id="1620"/>
    </w:p>
    <w:p w14:paraId="117F6F1A">
      <w:pPr>
        <w:jc w:val="center"/>
        <w:rPr>
          <w:b/>
          <w:color w:val="auto"/>
          <w:sz w:val="36"/>
          <w:szCs w:val="36"/>
        </w:rPr>
      </w:pPr>
      <w:r>
        <w:rPr>
          <w:rFonts w:hint="eastAsia"/>
          <w:b/>
          <w:color w:val="auto"/>
          <w:sz w:val="36"/>
          <w:szCs w:val="36"/>
        </w:rPr>
        <w:t>预付款支付申请（核准）表</w:t>
      </w:r>
    </w:p>
    <w:p w14:paraId="0CF4E9E2">
      <w:pPr>
        <w:rPr>
          <w:color w:val="auto"/>
          <w:sz w:val="24"/>
        </w:rPr>
      </w:pPr>
      <w:r>
        <w:rPr>
          <w:rFonts w:hint="eastAsia"/>
          <w:color w:val="auto"/>
          <w:sz w:val="24"/>
        </w:rPr>
        <w:t>工程名称：                                             编号：</w:t>
      </w:r>
    </w:p>
    <w:tbl>
      <w:tblPr>
        <w:tblStyle w:val="4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8"/>
        <w:gridCol w:w="4697"/>
      </w:tblGrid>
      <w:tr w14:paraId="6196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tcPr>
          <w:p w14:paraId="59D9EDEC">
            <w:pPr>
              <w:spacing w:line="480" w:lineRule="exact"/>
              <w:ind w:left="524" w:leftChars="149" w:hanging="212" w:hangingChars="101"/>
              <w:rPr>
                <w:color w:val="auto"/>
                <w:szCs w:val="21"/>
                <w:u w:val="single"/>
              </w:rPr>
            </w:pPr>
            <w:r>
              <w:rPr>
                <w:rFonts w:hint="eastAsia"/>
                <w:color w:val="auto"/>
                <w:szCs w:val="21"/>
              </w:rPr>
              <w:t>致：</w:t>
            </w:r>
            <w:r>
              <w:rPr>
                <w:rFonts w:hint="eastAsia"/>
                <w:color w:val="auto"/>
                <w:szCs w:val="21"/>
                <w:u w:val="single"/>
              </w:rPr>
              <w:t xml:space="preserve">                                   （发包人全称）</w:t>
            </w:r>
          </w:p>
          <w:p w14:paraId="03FBAC4C">
            <w:pPr>
              <w:spacing w:line="400" w:lineRule="exact"/>
              <w:ind w:left="-4" w:leftChars="-2" w:firstLine="315" w:firstLineChars="150"/>
              <w:rPr>
                <w:color w:val="auto"/>
                <w:szCs w:val="21"/>
              </w:rPr>
            </w:pPr>
            <w:r>
              <w:rPr>
                <w:rFonts w:hint="eastAsia"/>
                <w:color w:val="auto"/>
                <w:szCs w:val="21"/>
              </w:rPr>
              <w:t>我方根据施工合同的约定，现申请支付工程预付款额为(大写)</w:t>
            </w:r>
            <w:r>
              <w:rPr>
                <w:rFonts w:hint="eastAsia"/>
                <w:color w:val="auto"/>
                <w:szCs w:val="21"/>
                <w:u w:val="single"/>
              </w:rPr>
              <w:t xml:space="preserve">            </w:t>
            </w:r>
            <w:r>
              <w:rPr>
                <w:rFonts w:hint="eastAsia"/>
                <w:color w:val="auto"/>
                <w:szCs w:val="21"/>
              </w:rPr>
              <w:t>元，(小写)</w:t>
            </w:r>
          </w:p>
          <w:p w14:paraId="36ADD31F">
            <w:pPr>
              <w:spacing w:line="400" w:lineRule="exact"/>
              <w:rPr>
                <w:color w:val="auto"/>
                <w:szCs w:val="21"/>
              </w:rPr>
            </w:pPr>
            <w:r>
              <w:rPr>
                <w:rFonts w:hint="eastAsia"/>
                <w:color w:val="auto"/>
                <w:szCs w:val="21"/>
                <w:u w:val="single"/>
              </w:rPr>
              <w:t xml:space="preserve">         </w:t>
            </w:r>
            <w:r>
              <w:rPr>
                <w:rFonts w:hint="eastAsia"/>
                <w:color w:val="auto"/>
                <w:szCs w:val="21"/>
              </w:rPr>
              <w:t>元，请予核准。</w:t>
            </w:r>
          </w:p>
          <w:tbl>
            <w:tblPr>
              <w:tblStyle w:val="48"/>
              <w:tblpPr w:leftFromText="180" w:rightFromText="180" w:vertAnchor="page" w:horzAnchor="margin" w:tblpY="1309"/>
              <w:tblOverlap w:val="never"/>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340"/>
              <w:gridCol w:w="1764"/>
              <w:gridCol w:w="2240"/>
              <w:gridCol w:w="1080"/>
            </w:tblGrid>
            <w:tr w14:paraId="72829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3D697170">
                  <w:pPr>
                    <w:spacing w:line="280" w:lineRule="exact"/>
                    <w:jc w:val="center"/>
                    <w:rPr>
                      <w:color w:val="auto"/>
                      <w:szCs w:val="21"/>
                    </w:rPr>
                  </w:pPr>
                  <w:r>
                    <w:rPr>
                      <w:rFonts w:hint="eastAsia"/>
                      <w:color w:val="auto"/>
                      <w:szCs w:val="21"/>
                    </w:rPr>
                    <w:t>序号</w:t>
                  </w:r>
                </w:p>
              </w:tc>
              <w:tc>
                <w:tcPr>
                  <w:tcW w:w="3340" w:type="dxa"/>
                  <w:vAlign w:val="center"/>
                </w:tcPr>
                <w:p w14:paraId="3BA90446">
                  <w:pPr>
                    <w:spacing w:line="280" w:lineRule="exact"/>
                    <w:jc w:val="center"/>
                    <w:rPr>
                      <w:color w:val="auto"/>
                      <w:szCs w:val="21"/>
                    </w:rPr>
                  </w:pPr>
                  <w:r>
                    <w:rPr>
                      <w:rFonts w:hint="eastAsia"/>
                      <w:color w:val="auto"/>
                      <w:szCs w:val="21"/>
                    </w:rPr>
                    <w:t>名      称</w:t>
                  </w:r>
                </w:p>
              </w:tc>
              <w:tc>
                <w:tcPr>
                  <w:tcW w:w="1764" w:type="dxa"/>
                  <w:vAlign w:val="center"/>
                </w:tcPr>
                <w:p w14:paraId="1B3B949B">
                  <w:pPr>
                    <w:spacing w:line="280" w:lineRule="exact"/>
                    <w:jc w:val="center"/>
                    <w:rPr>
                      <w:color w:val="auto"/>
                      <w:szCs w:val="21"/>
                    </w:rPr>
                  </w:pPr>
                  <w:r>
                    <w:rPr>
                      <w:rFonts w:hint="eastAsia"/>
                      <w:color w:val="auto"/>
                      <w:szCs w:val="21"/>
                    </w:rPr>
                    <w:t>申请金额（元）</w:t>
                  </w:r>
                </w:p>
              </w:tc>
              <w:tc>
                <w:tcPr>
                  <w:tcW w:w="2240" w:type="dxa"/>
                  <w:vAlign w:val="center"/>
                </w:tcPr>
                <w:p w14:paraId="366756C1">
                  <w:pPr>
                    <w:spacing w:line="280" w:lineRule="exact"/>
                    <w:jc w:val="center"/>
                    <w:rPr>
                      <w:color w:val="auto"/>
                      <w:szCs w:val="21"/>
                    </w:rPr>
                  </w:pPr>
                  <w:r>
                    <w:rPr>
                      <w:rFonts w:hint="eastAsia"/>
                      <w:color w:val="auto"/>
                      <w:szCs w:val="21"/>
                    </w:rPr>
                    <w:t>复核金额（元）</w:t>
                  </w:r>
                </w:p>
              </w:tc>
              <w:tc>
                <w:tcPr>
                  <w:tcW w:w="1080" w:type="dxa"/>
                  <w:vAlign w:val="center"/>
                </w:tcPr>
                <w:p w14:paraId="7528EB3B">
                  <w:pPr>
                    <w:spacing w:line="280" w:lineRule="exact"/>
                    <w:jc w:val="center"/>
                    <w:rPr>
                      <w:color w:val="auto"/>
                      <w:szCs w:val="21"/>
                    </w:rPr>
                  </w:pPr>
                  <w:r>
                    <w:rPr>
                      <w:rFonts w:hint="eastAsia"/>
                      <w:color w:val="auto"/>
                      <w:szCs w:val="21"/>
                    </w:rPr>
                    <w:t>备注</w:t>
                  </w:r>
                </w:p>
              </w:tc>
            </w:tr>
            <w:tr w14:paraId="4FCA8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9E6E939">
                  <w:pPr>
                    <w:spacing w:line="280" w:lineRule="exact"/>
                    <w:jc w:val="center"/>
                    <w:rPr>
                      <w:color w:val="auto"/>
                      <w:szCs w:val="21"/>
                    </w:rPr>
                  </w:pPr>
                  <w:r>
                    <w:rPr>
                      <w:rFonts w:hint="eastAsia"/>
                      <w:color w:val="auto"/>
                      <w:szCs w:val="21"/>
                    </w:rPr>
                    <w:t>1</w:t>
                  </w:r>
                </w:p>
              </w:tc>
              <w:tc>
                <w:tcPr>
                  <w:tcW w:w="3340" w:type="dxa"/>
                </w:tcPr>
                <w:p w14:paraId="2B929172">
                  <w:pPr>
                    <w:spacing w:line="280" w:lineRule="exact"/>
                    <w:rPr>
                      <w:color w:val="auto"/>
                      <w:szCs w:val="21"/>
                    </w:rPr>
                  </w:pPr>
                  <w:r>
                    <w:rPr>
                      <w:rFonts w:hint="eastAsia"/>
                      <w:color w:val="auto"/>
                      <w:szCs w:val="21"/>
                    </w:rPr>
                    <w:t>已签约合同价款金额</w:t>
                  </w:r>
                </w:p>
              </w:tc>
              <w:tc>
                <w:tcPr>
                  <w:tcW w:w="1764" w:type="dxa"/>
                </w:tcPr>
                <w:p w14:paraId="6DEDBACC">
                  <w:pPr>
                    <w:spacing w:line="280" w:lineRule="exact"/>
                    <w:rPr>
                      <w:color w:val="auto"/>
                      <w:szCs w:val="21"/>
                    </w:rPr>
                  </w:pPr>
                </w:p>
              </w:tc>
              <w:tc>
                <w:tcPr>
                  <w:tcW w:w="2240" w:type="dxa"/>
                </w:tcPr>
                <w:p w14:paraId="62248A8B">
                  <w:pPr>
                    <w:spacing w:line="280" w:lineRule="exact"/>
                    <w:rPr>
                      <w:color w:val="auto"/>
                      <w:szCs w:val="21"/>
                    </w:rPr>
                  </w:pPr>
                </w:p>
              </w:tc>
              <w:tc>
                <w:tcPr>
                  <w:tcW w:w="1080" w:type="dxa"/>
                </w:tcPr>
                <w:p w14:paraId="17F14484">
                  <w:pPr>
                    <w:spacing w:line="280" w:lineRule="exact"/>
                    <w:rPr>
                      <w:color w:val="auto"/>
                      <w:szCs w:val="21"/>
                    </w:rPr>
                  </w:pPr>
                </w:p>
              </w:tc>
            </w:tr>
            <w:tr w14:paraId="2DF3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373686E">
                  <w:pPr>
                    <w:spacing w:line="280" w:lineRule="exact"/>
                    <w:jc w:val="center"/>
                    <w:rPr>
                      <w:color w:val="auto"/>
                      <w:szCs w:val="21"/>
                    </w:rPr>
                  </w:pPr>
                  <w:r>
                    <w:rPr>
                      <w:rFonts w:hint="eastAsia"/>
                      <w:color w:val="auto"/>
                      <w:szCs w:val="21"/>
                    </w:rPr>
                    <w:t>2</w:t>
                  </w:r>
                </w:p>
              </w:tc>
              <w:tc>
                <w:tcPr>
                  <w:tcW w:w="3340" w:type="dxa"/>
                </w:tcPr>
                <w:p w14:paraId="18C02B2F">
                  <w:pPr>
                    <w:spacing w:line="280" w:lineRule="exact"/>
                    <w:rPr>
                      <w:color w:val="auto"/>
                      <w:szCs w:val="21"/>
                    </w:rPr>
                  </w:pPr>
                  <w:r>
                    <w:rPr>
                      <w:rFonts w:hint="eastAsia"/>
                      <w:color w:val="auto"/>
                      <w:szCs w:val="21"/>
                    </w:rPr>
                    <w:t>其中：安全文明施工费</w:t>
                  </w:r>
                </w:p>
              </w:tc>
              <w:tc>
                <w:tcPr>
                  <w:tcW w:w="1764" w:type="dxa"/>
                </w:tcPr>
                <w:p w14:paraId="3E577D04">
                  <w:pPr>
                    <w:spacing w:line="280" w:lineRule="exact"/>
                    <w:rPr>
                      <w:color w:val="auto"/>
                      <w:szCs w:val="21"/>
                    </w:rPr>
                  </w:pPr>
                </w:p>
              </w:tc>
              <w:tc>
                <w:tcPr>
                  <w:tcW w:w="2240" w:type="dxa"/>
                </w:tcPr>
                <w:p w14:paraId="13257596">
                  <w:pPr>
                    <w:spacing w:line="280" w:lineRule="exact"/>
                    <w:rPr>
                      <w:color w:val="auto"/>
                      <w:szCs w:val="21"/>
                    </w:rPr>
                  </w:pPr>
                </w:p>
              </w:tc>
              <w:tc>
                <w:tcPr>
                  <w:tcW w:w="1080" w:type="dxa"/>
                </w:tcPr>
                <w:p w14:paraId="59256337">
                  <w:pPr>
                    <w:spacing w:line="280" w:lineRule="exact"/>
                    <w:rPr>
                      <w:color w:val="auto"/>
                      <w:szCs w:val="21"/>
                    </w:rPr>
                  </w:pPr>
                </w:p>
              </w:tc>
            </w:tr>
            <w:tr w14:paraId="560FB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E184288">
                  <w:pPr>
                    <w:spacing w:line="280" w:lineRule="exact"/>
                    <w:jc w:val="center"/>
                    <w:rPr>
                      <w:color w:val="auto"/>
                      <w:szCs w:val="21"/>
                    </w:rPr>
                  </w:pPr>
                  <w:r>
                    <w:rPr>
                      <w:rFonts w:hint="eastAsia"/>
                      <w:color w:val="auto"/>
                      <w:szCs w:val="21"/>
                    </w:rPr>
                    <w:t>3</w:t>
                  </w:r>
                </w:p>
              </w:tc>
              <w:tc>
                <w:tcPr>
                  <w:tcW w:w="3340" w:type="dxa"/>
                </w:tcPr>
                <w:p w14:paraId="51274931">
                  <w:pPr>
                    <w:spacing w:line="280" w:lineRule="exact"/>
                    <w:rPr>
                      <w:color w:val="auto"/>
                      <w:szCs w:val="21"/>
                    </w:rPr>
                  </w:pPr>
                  <w:r>
                    <w:rPr>
                      <w:rFonts w:hint="eastAsia"/>
                      <w:color w:val="auto"/>
                      <w:szCs w:val="21"/>
                    </w:rPr>
                    <w:t>应支付的预付款</w:t>
                  </w:r>
                </w:p>
              </w:tc>
              <w:tc>
                <w:tcPr>
                  <w:tcW w:w="1764" w:type="dxa"/>
                </w:tcPr>
                <w:p w14:paraId="02D73D54">
                  <w:pPr>
                    <w:spacing w:line="280" w:lineRule="exact"/>
                    <w:rPr>
                      <w:color w:val="auto"/>
                      <w:szCs w:val="21"/>
                    </w:rPr>
                  </w:pPr>
                </w:p>
              </w:tc>
              <w:tc>
                <w:tcPr>
                  <w:tcW w:w="2240" w:type="dxa"/>
                </w:tcPr>
                <w:p w14:paraId="60689EC3">
                  <w:pPr>
                    <w:spacing w:line="280" w:lineRule="exact"/>
                    <w:rPr>
                      <w:color w:val="auto"/>
                      <w:szCs w:val="21"/>
                    </w:rPr>
                  </w:pPr>
                </w:p>
              </w:tc>
              <w:tc>
                <w:tcPr>
                  <w:tcW w:w="1080" w:type="dxa"/>
                </w:tcPr>
                <w:p w14:paraId="5D88E215">
                  <w:pPr>
                    <w:spacing w:line="280" w:lineRule="exact"/>
                    <w:rPr>
                      <w:color w:val="auto"/>
                      <w:szCs w:val="21"/>
                    </w:rPr>
                  </w:pPr>
                </w:p>
              </w:tc>
            </w:tr>
            <w:tr w14:paraId="3864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3A677B5">
                  <w:pPr>
                    <w:spacing w:line="280" w:lineRule="exact"/>
                    <w:jc w:val="center"/>
                    <w:rPr>
                      <w:color w:val="auto"/>
                      <w:szCs w:val="21"/>
                    </w:rPr>
                  </w:pPr>
                  <w:r>
                    <w:rPr>
                      <w:rFonts w:hint="eastAsia"/>
                      <w:color w:val="auto"/>
                      <w:szCs w:val="21"/>
                    </w:rPr>
                    <w:t>4</w:t>
                  </w:r>
                </w:p>
              </w:tc>
              <w:tc>
                <w:tcPr>
                  <w:tcW w:w="3340" w:type="dxa"/>
                </w:tcPr>
                <w:p w14:paraId="22FE216A">
                  <w:pPr>
                    <w:spacing w:line="280" w:lineRule="exact"/>
                    <w:rPr>
                      <w:color w:val="auto"/>
                      <w:szCs w:val="21"/>
                    </w:rPr>
                  </w:pPr>
                  <w:r>
                    <w:rPr>
                      <w:rFonts w:hint="eastAsia"/>
                      <w:color w:val="auto"/>
                      <w:szCs w:val="21"/>
                    </w:rPr>
                    <w:t>应支付的安全文明施工费预付款</w:t>
                  </w:r>
                </w:p>
              </w:tc>
              <w:tc>
                <w:tcPr>
                  <w:tcW w:w="1764" w:type="dxa"/>
                </w:tcPr>
                <w:p w14:paraId="59673EAA">
                  <w:pPr>
                    <w:spacing w:line="280" w:lineRule="exact"/>
                    <w:rPr>
                      <w:color w:val="auto"/>
                      <w:szCs w:val="21"/>
                    </w:rPr>
                  </w:pPr>
                </w:p>
              </w:tc>
              <w:tc>
                <w:tcPr>
                  <w:tcW w:w="2240" w:type="dxa"/>
                </w:tcPr>
                <w:p w14:paraId="0BAB5B56">
                  <w:pPr>
                    <w:spacing w:line="280" w:lineRule="exact"/>
                    <w:rPr>
                      <w:color w:val="auto"/>
                      <w:szCs w:val="21"/>
                    </w:rPr>
                  </w:pPr>
                </w:p>
              </w:tc>
              <w:tc>
                <w:tcPr>
                  <w:tcW w:w="1080" w:type="dxa"/>
                </w:tcPr>
                <w:p w14:paraId="57123D68">
                  <w:pPr>
                    <w:spacing w:line="280" w:lineRule="exact"/>
                    <w:rPr>
                      <w:color w:val="auto"/>
                      <w:szCs w:val="21"/>
                    </w:rPr>
                  </w:pPr>
                </w:p>
              </w:tc>
            </w:tr>
            <w:tr w14:paraId="6687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F0E61CA">
                  <w:pPr>
                    <w:spacing w:line="280" w:lineRule="exact"/>
                    <w:jc w:val="center"/>
                    <w:rPr>
                      <w:color w:val="auto"/>
                      <w:szCs w:val="21"/>
                    </w:rPr>
                  </w:pPr>
                  <w:r>
                    <w:rPr>
                      <w:rFonts w:hint="eastAsia"/>
                      <w:color w:val="auto"/>
                      <w:szCs w:val="21"/>
                    </w:rPr>
                    <w:t>5</w:t>
                  </w:r>
                </w:p>
              </w:tc>
              <w:tc>
                <w:tcPr>
                  <w:tcW w:w="3340" w:type="dxa"/>
                </w:tcPr>
                <w:p w14:paraId="1C3D752F">
                  <w:pPr>
                    <w:spacing w:line="280" w:lineRule="exact"/>
                    <w:rPr>
                      <w:color w:val="auto"/>
                      <w:szCs w:val="21"/>
                    </w:rPr>
                  </w:pPr>
                  <w:r>
                    <w:rPr>
                      <w:rFonts w:hint="eastAsia"/>
                      <w:color w:val="auto"/>
                      <w:szCs w:val="21"/>
                    </w:rPr>
                    <w:t>合计应支付的预付款</w:t>
                  </w:r>
                </w:p>
              </w:tc>
              <w:tc>
                <w:tcPr>
                  <w:tcW w:w="1764" w:type="dxa"/>
                </w:tcPr>
                <w:p w14:paraId="66429D4E">
                  <w:pPr>
                    <w:spacing w:line="280" w:lineRule="exact"/>
                    <w:rPr>
                      <w:color w:val="auto"/>
                      <w:szCs w:val="21"/>
                    </w:rPr>
                  </w:pPr>
                </w:p>
              </w:tc>
              <w:tc>
                <w:tcPr>
                  <w:tcW w:w="2240" w:type="dxa"/>
                </w:tcPr>
                <w:p w14:paraId="0ABAC0A9">
                  <w:pPr>
                    <w:spacing w:line="280" w:lineRule="exact"/>
                    <w:rPr>
                      <w:color w:val="auto"/>
                      <w:szCs w:val="21"/>
                    </w:rPr>
                  </w:pPr>
                </w:p>
              </w:tc>
              <w:tc>
                <w:tcPr>
                  <w:tcW w:w="1080" w:type="dxa"/>
                </w:tcPr>
                <w:p w14:paraId="41F7B56F">
                  <w:pPr>
                    <w:spacing w:line="280" w:lineRule="exact"/>
                    <w:rPr>
                      <w:color w:val="auto"/>
                      <w:szCs w:val="21"/>
                    </w:rPr>
                  </w:pPr>
                </w:p>
              </w:tc>
            </w:tr>
            <w:tr w14:paraId="2EB8F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07E1136">
                  <w:pPr>
                    <w:spacing w:line="280" w:lineRule="exact"/>
                    <w:jc w:val="center"/>
                    <w:rPr>
                      <w:color w:val="auto"/>
                      <w:szCs w:val="21"/>
                    </w:rPr>
                  </w:pPr>
                </w:p>
              </w:tc>
              <w:tc>
                <w:tcPr>
                  <w:tcW w:w="3340" w:type="dxa"/>
                </w:tcPr>
                <w:p w14:paraId="31E2953E">
                  <w:pPr>
                    <w:spacing w:line="280" w:lineRule="exact"/>
                    <w:rPr>
                      <w:color w:val="auto"/>
                      <w:szCs w:val="21"/>
                    </w:rPr>
                  </w:pPr>
                </w:p>
              </w:tc>
              <w:tc>
                <w:tcPr>
                  <w:tcW w:w="1764" w:type="dxa"/>
                </w:tcPr>
                <w:p w14:paraId="06826C81">
                  <w:pPr>
                    <w:spacing w:line="280" w:lineRule="exact"/>
                    <w:rPr>
                      <w:color w:val="auto"/>
                      <w:szCs w:val="21"/>
                    </w:rPr>
                  </w:pPr>
                </w:p>
              </w:tc>
              <w:tc>
                <w:tcPr>
                  <w:tcW w:w="2240" w:type="dxa"/>
                </w:tcPr>
                <w:p w14:paraId="45BF3FCD">
                  <w:pPr>
                    <w:spacing w:line="280" w:lineRule="exact"/>
                    <w:rPr>
                      <w:color w:val="auto"/>
                      <w:szCs w:val="21"/>
                    </w:rPr>
                  </w:pPr>
                </w:p>
              </w:tc>
              <w:tc>
                <w:tcPr>
                  <w:tcW w:w="1080" w:type="dxa"/>
                </w:tcPr>
                <w:p w14:paraId="6735CA42">
                  <w:pPr>
                    <w:spacing w:line="280" w:lineRule="exact"/>
                    <w:rPr>
                      <w:color w:val="auto"/>
                      <w:szCs w:val="21"/>
                    </w:rPr>
                  </w:pPr>
                </w:p>
              </w:tc>
            </w:tr>
          </w:tbl>
          <w:p w14:paraId="3878E5FA">
            <w:pPr>
              <w:wordWrap w:val="0"/>
              <w:spacing w:line="400" w:lineRule="exact"/>
              <w:ind w:right="420"/>
              <w:rPr>
                <w:color w:val="auto"/>
                <w:szCs w:val="21"/>
              </w:rPr>
            </w:pPr>
          </w:p>
          <w:p w14:paraId="42F15C1B">
            <w:pPr>
              <w:wordWrap w:val="0"/>
              <w:spacing w:line="400" w:lineRule="exact"/>
              <w:ind w:right="420"/>
              <w:rPr>
                <w:color w:val="auto"/>
                <w:szCs w:val="21"/>
              </w:rPr>
            </w:pPr>
            <w:r>
              <w:rPr>
                <w:rFonts w:hint="eastAsia"/>
                <w:color w:val="auto"/>
                <w:szCs w:val="21"/>
              </w:rPr>
              <w:t xml:space="preserve">                                            承包人（章）             </w:t>
            </w:r>
          </w:p>
          <w:p w14:paraId="6AB63591">
            <w:pPr>
              <w:spacing w:line="400" w:lineRule="exact"/>
              <w:ind w:right="420" w:firstLine="435"/>
              <w:rPr>
                <w:color w:val="auto"/>
                <w:szCs w:val="21"/>
              </w:rPr>
            </w:pPr>
            <w:r>
              <w:rPr>
                <w:rFonts w:hint="eastAsia"/>
                <w:color w:val="auto"/>
                <w:szCs w:val="21"/>
              </w:rPr>
              <w:t>造价人员</w:t>
            </w:r>
            <w:r>
              <w:rPr>
                <w:rFonts w:hint="eastAsia"/>
                <w:color w:val="auto"/>
                <w:szCs w:val="21"/>
                <w:u w:val="single"/>
              </w:rPr>
              <w:t xml:space="preserve">               </w:t>
            </w:r>
            <w:r>
              <w:rPr>
                <w:rFonts w:hint="eastAsia"/>
                <w:color w:val="auto"/>
                <w:szCs w:val="21"/>
              </w:rPr>
              <w:t>承包人代表</w:t>
            </w:r>
            <w:r>
              <w:rPr>
                <w:rFonts w:hint="eastAsia"/>
                <w:color w:val="auto"/>
                <w:szCs w:val="21"/>
                <w:u w:val="single"/>
              </w:rPr>
              <w:t xml:space="preserve">               </w:t>
            </w:r>
            <w:r>
              <w:rPr>
                <w:rFonts w:hint="eastAsia"/>
                <w:color w:val="auto"/>
                <w:szCs w:val="21"/>
              </w:rPr>
              <w:t>日      期</w:t>
            </w:r>
            <w:r>
              <w:rPr>
                <w:rFonts w:hint="eastAsia"/>
                <w:color w:val="auto"/>
                <w:szCs w:val="21"/>
                <w:u w:val="single"/>
              </w:rPr>
              <w:t xml:space="preserve">               </w:t>
            </w:r>
          </w:p>
        </w:tc>
      </w:tr>
      <w:tr w14:paraId="1EFA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Pr>
          <w:p w14:paraId="6F428083">
            <w:pPr>
              <w:spacing w:line="360" w:lineRule="exact"/>
              <w:rPr>
                <w:color w:val="auto"/>
                <w:szCs w:val="21"/>
              </w:rPr>
            </w:pPr>
            <w:r>
              <w:rPr>
                <w:rFonts w:hint="eastAsia"/>
                <w:color w:val="auto"/>
                <w:szCs w:val="21"/>
              </w:rPr>
              <w:t>复核意见：</w:t>
            </w:r>
          </w:p>
          <w:p w14:paraId="4221BAC4">
            <w:pPr>
              <w:spacing w:line="360" w:lineRule="exact"/>
              <w:ind w:firstLine="312"/>
              <w:rPr>
                <w:color w:val="auto"/>
                <w:szCs w:val="21"/>
              </w:rPr>
            </w:pPr>
            <w:r>
              <w:rPr>
                <w:rFonts w:hint="eastAsia"/>
                <w:color w:val="auto"/>
                <w:szCs w:val="21"/>
              </w:rPr>
              <w:t>□与合同约定不相符，修改意见见附件。</w:t>
            </w:r>
          </w:p>
          <w:p w14:paraId="520CD5FD">
            <w:pPr>
              <w:spacing w:line="360" w:lineRule="exact"/>
              <w:ind w:firstLine="312"/>
              <w:rPr>
                <w:color w:val="auto"/>
                <w:szCs w:val="21"/>
              </w:rPr>
            </w:pPr>
            <w:r>
              <w:rPr>
                <w:rFonts w:hint="eastAsia"/>
                <w:color w:val="auto"/>
                <w:szCs w:val="21"/>
              </w:rPr>
              <w:t>□与合同约定相符，具体金额由造价工程师复核。</w:t>
            </w:r>
          </w:p>
          <w:p w14:paraId="336FB69B">
            <w:pPr>
              <w:spacing w:line="360" w:lineRule="exact"/>
              <w:ind w:firstLine="435"/>
              <w:jc w:val="right"/>
              <w:rPr>
                <w:color w:val="auto"/>
                <w:szCs w:val="21"/>
              </w:rPr>
            </w:pPr>
          </w:p>
          <w:p w14:paraId="2517D403">
            <w:pPr>
              <w:spacing w:line="360" w:lineRule="exact"/>
              <w:ind w:firstLine="435"/>
              <w:jc w:val="center"/>
              <w:rPr>
                <w:color w:val="auto"/>
                <w:szCs w:val="21"/>
                <w:u w:val="single"/>
              </w:rPr>
            </w:pPr>
            <w:r>
              <w:rPr>
                <w:color w:val="auto"/>
                <w:szCs w:val="21"/>
              </w:rPr>
              <w:t xml:space="preserve">    </w:t>
            </w:r>
            <w:r>
              <w:rPr>
                <w:rFonts w:hint="eastAsia"/>
                <w:color w:val="auto"/>
                <w:szCs w:val="21"/>
              </w:rPr>
              <w:t xml:space="preserve">     监理工程师</w:t>
            </w:r>
            <w:r>
              <w:rPr>
                <w:rFonts w:hint="eastAsia"/>
                <w:color w:val="auto"/>
                <w:szCs w:val="21"/>
                <w:u w:val="single"/>
              </w:rPr>
              <w:t xml:space="preserve">           </w:t>
            </w:r>
          </w:p>
          <w:p w14:paraId="4CAEC136">
            <w:pPr>
              <w:spacing w:line="360" w:lineRule="exact"/>
              <w:ind w:firstLine="435"/>
              <w:jc w:val="center"/>
              <w:rPr>
                <w:color w:val="auto"/>
                <w:szCs w:val="21"/>
                <w:u w:val="single"/>
              </w:rPr>
            </w:pPr>
            <w:r>
              <w:rPr>
                <w:color w:val="auto"/>
                <w:szCs w:val="21"/>
              </w:rPr>
              <w:t xml:space="preserve">    </w:t>
            </w:r>
            <w:r>
              <w:rPr>
                <w:rFonts w:hint="eastAsia"/>
                <w:color w:val="auto"/>
                <w:szCs w:val="21"/>
              </w:rPr>
              <w:t xml:space="preserve">    日      期</w:t>
            </w:r>
            <w:r>
              <w:rPr>
                <w:rFonts w:hint="eastAsia"/>
                <w:color w:val="auto"/>
                <w:szCs w:val="21"/>
                <w:u w:val="single"/>
              </w:rPr>
              <w:t xml:space="preserve">           </w:t>
            </w:r>
          </w:p>
        </w:tc>
        <w:tc>
          <w:tcPr>
            <w:tcW w:w="4552" w:type="dxa"/>
          </w:tcPr>
          <w:p w14:paraId="63F000AF">
            <w:pPr>
              <w:spacing w:line="360" w:lineRule="exact"/>
              <w:rPr>
                <w:color w:val="auto"/>
                <w:szCs w:val="21"/>
              </w:rPr>
            </w:pPr>
            <w:r>
              <w:rPr>
                <w:rFonts w:hint="eastAsia"/>
                <w:color w:val="auto"/>
                <w:szCs w:val="21"/>
              </w:rPr>
              <w:t>复核意见：</w:t>
            </w:r>
          </w:p>
          <w:p w14:paraId="1EFC6A78">
            <w:pPr>
              <w:spacing w:line="360" w:lineRule="exact"/>
              <w:ind w:firstLine="435"/>
              <w:rPr>
                <w:color w:val="auto"/>
                <w:szCs w:val="21"/>
              </w:rPr>
            </w:pPr>
            <w:r>
              <w:rPr>
                <w:rFonts w:hint="eastAsia"/>
                <w:color w:val="auto"/>
                <w:szCs w:val="21"/>
              </w:rPr>
              <w:t>你方提出的支付申请经复核，应支付预付款金额为(大写)</w:t>
            </w:r>
            <w:r>
              <w:rPr>
                <w:rFonts w:hint="eastAsia"/>
                <w:color w:val="auto"/>
                <w:szCs w:val="21"/>
                <w:u w:val="single"/>
              </w:rPr>
              <w:t xml:space="preserve">                </w:t>
            </w:r>
            <w:r>
              <w:rPr>
                <w:rFonts w:hint="eastAsia"/>
                <w:color w:val="auto"/>
                <w:szCs w:val="21"/>
              </w:rPr>
              <w:t>元，（小写）</w:t>
            </w:r>
          </w:p>
          <w:p w14:paraId="0554F0A2">
            <w:pPr>
              <w:spacing w:line="360" w:lineRule="exact"/>
              <w:rPr>
                <w:color w:val="auto"/>
                <w:szCs w:val="21"/>
              </w:rPr>
            </w:pPr>
            <w:r>
              <w:rPr>
                <w:rFonts w:hint="eastAsia"/>
                <w:color w:val="auto"/>
                <w:szCs w:val="21"/>
                <w:u w:val="single"/>
              </w:rPr>
              <w:t xml:space="preserve">          </w:t>
            </w:r>
            <w:r>
              <w:rPr>
                <w:rFonts w:hint="eastAsia"/>
                <w:color w:val="auto"/>
                <w:szCs w:val="21"/>
              </w:rPr>
              <w:t xml:space="preserve"> 元。</w:t>
            </w:r>
          </w:p>
          <w:p w14:paraId="1CAD8D35">
            <w:pPr>
              <w:spacing w:line="360" w:lineRule="exact"/>
              <w:rPr>
                <w:color w:val="auto"/>
                <w:szCs w:val="21"/>
                <w:u w:val="single"/>
              </w:rPr>
            </w:pPr>
          </w:p>
          <w:p w14:paraId="0106C734">
            <w:pPr>
              <w:spacing w:line="360" w:lineRule="exact"/>
              <w:ind w:firstLine="435"/>
              <w:jc w:val="center"/>
              <w:rPr>
                <w:color w:val="auto"/>
                <w:szCs w:val="21"/>
                <w:u w:val="single"/>
              </w:rPr>
            </w:pPr>
            <w:r>
              <w:rPr>
                <w:color w:val="auto"/>
                <w:szCs w:val="21"/>
              </w:rPr>
              <w:t xml:space="preserve">    </w:t>
            </w:r>
            <w:r>
              <w:rPr>
                <w:rFonts w:hint="eastAsia"/>
                <w:color w:val="auto"/>
                <w:szCs w:val="21"/>
              </w:rPr>
              <w:t xml:space="preserve">    造价工程师</w:t>
            </w:r>
            <w:r>
              <w:rPr>
                <w:rFonts w:hint="eastAsia"/>
                <w:color w:val="auto"/>
                <w:szCs w:val="21"/>
                <w:u w:val="single"/>
              </w:rPr>
              <w:t xml:space="preserve">           </w:t>
            </w:r>
          </w:p>
          <w:p w14:paraId="3386A73B">
            <w:pPr>
              <w:spacing w:line="360" w:lineRule="exact"/>
              <w:ind w:firstLine="435"/>
              <w:jc w:val="center"/>
              <w:rPr>
                <w:color w:val="auto"/>
                <w:szCs w:val="21"/>
                <w:u w:val="single"/>
              </w:rPr>
            </w:pPr>
            <w:r>
              <w:rPr>
                <w:color w:val="auto"/>
                <w:szCs w:val="21"/>
              </w:rPr>
              <w:t xml:space="preserve">    </w:t>
            </w:r>
            <w:r>
              <w:rPr>
                <w:rFonts w:hint="eastAsia"/>
                <w:color w:val="auto"/>
                <w:szCs w:val="21"/>
              </w:rPr>
              <w:t xml:space="preserve">    日      期</w:t>
            </w:r>
            <w:r>
              <w:rPr>
                <w:rFonts w:hint="eastAsia"/>
                <w:color w:val="auto"/>
                <w:szCs w:val="21"/>
                <w:u w:val="single"/>
              </w:rPr>
              <w:t xml:space="preserve">           </w:t>
            </w:r>
          </w:p>
        </w:tc>
      </w:tr>
      <w:tr w14:paraId="23674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2FA4711D">
            <w:pPr>
              <w:spacing w:line="400" w:lineRule="exact"/>
              <w:rPr>
                <w:color w:val="auto"/>
                <w:szCs w:val="21"/>
              </w:rPr>
            </w:pPr>
            <w:r>
              <w:rPr>
                <w:rFonts w:hint="eastAsia"/>
                <w:color w:val="auto"/>
                <w:szCs w:val="21"/>
              </w:rPr>
              <w:t>审核意见：</w:t>
            </w:r>
          </w:p>
          <w:p w14:paraId="5FB55438">
            <w:pPr>
              <w:spacing w:line="400" w:lineRule="exact"/>
              <w:ind w:firstLine="435"/>
              <w:rPr>
                <w:color w:val="auto"/>
                <w:szCs w:val="21"/>
              </w:rPr>
            </w:pPr>
            <w:r>
              <w:rPr>
                <w:rFonts w:hint="eastAsia"/>
                <w:color w:val="auto"/>
                <w:szCs w:val="21"/>
              </w:rPr>
              <w:t>□不同意。</w:t>
            </w:r>
          </w:p>
          <w:p w14:paraId="0B149023">
            <w:pPr>
              <w:spacing w:line="400" w:lineRule="exact"/>
              <w:ind w:firstLine="420" w:firstLineChars="200"/>
              <w:rPr>
                <w:color w:val="auto"/>
                <w:szCs w:val="21"/>
              </w:rPr>
            </w:pPr>
            <w:r>
              <w:rPr>
                <w:rFonts w:hint="eastAsia"/>
                <w:color w:val="auto"/>
                <w:szCs w:val="21"/>
              </w:rPr>
              <w:t>□同意，支付时间为本表签发后的15天内。</w:t>
            </w:r>
          </w:p>
          <w:p w14:paraId="59D3F0AC">
            <w:pPr>
              <w:wordWrap w:val="0"/>
              <w:spacing w:line="400" w:lineRule="exact"/>
              <w:ind w:firstLine="420" w:firstLineChars="200"/>
              <w:jc w:val="right"/>
              <w:rPr>
                <w:color w:val="auto"/>
                <w:szCs w:val="21"/>
              </w:rPr>
            </w:pPr>
            <w:r>
              <w:rPr>
                <w:rFonts w:hint="eastAsia"/>
                <w:color w:val="auto"/>
                <w:szCs w:val="21"/>
              </w:rPr>
              <w:t xml:space="preserve">发包人（章）           </w:t>
            </w:r>
          </w:p>
          <w:p w14:paraId="1CBE0A0A">
            <w:pPr>
              <w:wordWrap w:val="0"/>
              <w:spacing w:line="400" w:lineRule="exact"/>
              <w:ind w:firstLine="420" w:firstLineChars="200"/>
              <w:jc w:val="right"/>
              <w:rPr>
                <w:color w:val="auto"/>
                <w:szCs w:val="21"/>
                <w:u w:val="single"/>
              </w:rPr>
            </w:pPr>
            <w:r>
              <w:rPr>
                <w:rFonts w:hint="eastAsia"/>
                <w:color w:val="auto"/>
                <w:szCs w:val="21"/>
              </w:rPr>
              <w:t>发包人代表</w:t>
            </w:r>
            <w:r>
              <w:rPr>
                <w:rFonts w:hint="eastAsia"/>
                <w:color w:val="auto"/>
                <w:szCs w:val="21"/>
                <w:u w:val="single"/>
              </w:rPr>
              <w:t xml:space="preserve">             </w:t>
            </w:r>
          </w:p>
          <w:p w14:paraId="517F6C03">
            <w:pPr>
              <w:wordWrap w:val="0"/>
              <w:spacing w:line="400" w:lineRule="exact"/>
              <w:ind w:firstLine="420" w:firstLineChars="200"/>
              <w:jc w:val="right"/>
              <w:rPr>
                <w:color w:val="auto"/>
                <w:szCs w:val="21"/>
                <w:u w:val="single"/>
              </w:rPr>
            </w:pPr>
            <w:r>
              <w:rPr>
                <w:rFonts w:hint="eastAsia"/>
                <w:color w:val="auto"/>
                <w:szCs w:val="21"/>
              </w:rPr>
              <w:t>日      期</w:t>
            </w:r>
            <w:r>
              <w:rPr>
                <w:rFonts w:hint="eastAsia"/>
                <w:color w:val="auto"/>
                <w:szCs w:val="21"/>
                <w:u w:val="single"/>
              </w:rPr>
              <w:t xml:space="preserve">             </w:t>
            </w:r>
          </w:p>
        </w:tc>
      </w:tr>
    </w:tbl>
    <w:p w14:paraId="0D5A32C4">
      <w:pPr>
        <w:spacing w:beforeLines="50"/>
        <w:ind w:firstLine="360" w:firstLineChars="200"/>
        <w:rPr>
          <w:color w:val="auto"/>
          <w:sz w:val="18"/>
          <w:szCs w:val="18"/>
        </w:rPr>
      </w:pPr>
      <w:r>
        <w:rPr>
          <w:rFonts w:hint="eastAsia"/>
          <w:color w:val="auto"/>
          <w:sz w:val="18"/>
          <w:szCs w:val="18"/>
        </w:rPr>
        <w:t xml:space="preserve">注：1.在选择栏中的“□”内作标识“√”。 </w:t>
      </w:r>
    </w:p>
    <w:p w14:paraId="328A07CF">
      <w:pPr>
        <w:spacing w:beforeLines="50"/>
        <w:ind w:left="720" w:hanging="720" w:hangingChars="400"/>
        <w:rPr>
          <w:rFonts w:eastAsia="仿宋_GB2312"/>
          <w:color w:val="auto"/>
          <w:sz w:val="30"/>
          <w:szCs w:val="30"/>
        </w:rPr>
      </w:pPr>
      <w:r>
        <w:rPr>
          <w:rFonts w:hint="eastAsia"/>
          <w:color w:val="auto"/>
          <w:sz w:val="18"/>
          <w:szCs w:val="18"/>
        </w:rPr>
        <w:t xml:space="preserve">    </w:t>
      </w:r>
      <w:r>
        <w:rPr>
          <w:color w:val="auto"/>
          <w:sz w:val="18"/>
          <w:szCs w:val="18"/>
        </w:rPr>
        <w:t xml:space="preserve">  </w:t>
      </w:r>
      <w:r>
        <w:rPr>
          <w:rFonts w:hint="eastAsia"/>
          <w:color w:val="auto"/>
          <w:sz w:val="18"/>
          <w:szCs w:val="18"/>
        </w:rPr>
        <w:t xml:space="preserve">  2.本表一式四份，由承包人填报，发包人、监理人、造价咨询人、承包人各存一份。</w:t>
      </w:r>
    </w:p>
    <w:p w14:paraId="20E2C169">
      <w:pPr>
        <w:spacing w:beforeLines="50"/>
        <w:ind w:left="1200" w:leftChars="0" w:hanging="1200" w:hangingChars="400"/>
        <w:outlineLvl w:val="0"/>
        <w:rPr>
          <w:rFonts w:eastAsia="仿宋_GB2312"/>
          <w:color w:val="auto"/>
          <w:sz w:val="30"/>
          <w:szCs w:val="30"/>
        </w:rPr>
      </w:pPr>
      <w:bookmarkStart w:id="1621" w:name="_Toc12547"/>
      <w:bookmarkStart w:id="1622" w:name="_Toc9295"/>
      <w:r>
        <w:rPr>
          <w:rFonts w:hint="eastAsia" w:eastAsia="仿宋_GB2312"/>
          <w:color w:val="auto"/>
          <w:sz w:val="30"/>
          <w:szCs w:val="30"/>
        </w:rPr>
        <w:t>附件11：</w:t>
      </w:r>
      <w:bookmarkEnd w:id="1621"/>
      <w:bookmarkEnd w:id="1622"/>
    </w:p>
    <w:p w14:paraId="37C0D6B9">
      <w:pPr>
        <w:jc w:val="center"/>
        <w:rPr>
          <w:b/>
          <w:color w:val="auto"/>
          <w:sz w:val="36"/>
          <w:szCs w:val="36"/>
        </w:rPr>
      </w:pPr>
      <w:r>
        <w:rPr>
          <w:rFonts w:hint="eastAsia"/>
          <w:b/>
          <w:color w:val="auto"/>
          <w:sz w:val="36"/>
          <w:szCs w:val="36"/>
        </w:rPr>
        <w:t>进度款支付申请（核准）表</w:t>
      </w:r>
    </w:p>
    <w:p w14:paraId="5AD68543">
      <w:pPr>
        <w:rPr>
          <w:color w:val="auto"/>
          <w:sz w:val="24"/>
        </w:rPr>
      </w:pPr>
      <w:r>
        <w:rPr>
          <w:rFonts w:hint="eastAsia"/>
          <w:color w:val="auto"/>
          <w:sz w:val="24"/>
        </w:rPr>
        <w:t>工程名称：                                             编号：</w:t>
      </w:r>
    </w:p>
    <w:tbl>
      <w:tblPr>
        <w:tblStyle w:val="4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0"/>
        <w:gridCol w:w="4552"/>
      </w:tblGrid>
      <w:tr w14:paraId="6F5BD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tcPr>
          <w:p w14:paraId="6877FFA2">
            <w:pPr>
              <w:spacing w:line="480" w:lineRule="exact"/>
              <w:ind w:left="524" w:leftChars="149" w:hanging="212" w:hangingChars="101"/>
              <w:rPr>
                <w:color w:val="auto"/>
                <w:szCs w:val="21"/>
                <w:u w:val="single"/>
              </w:rPr>
            </w:pPr>
            <w:r>
              <w:rPr>
                <w:rFonts w:hint="eastAsia"/>
                <w:color w:val="auto"/>
                <w:szCs w:val="21"/>
              </w:rPr>
              <w:t>致：</w:t>
            </w:r>
            <w:r>
              <w:rPr>
                <w:rFonts w:hint="eastAsia"/>
                <w:color w:val="auto"/>
                <w:szCs w:val="21"/>
                <w:u w:val="single"/>
              </w:rPr>
              <w:t xml:space="preserve">                                   （发包人全称）</w:t>
            </w:r>
          </w:p>
          <w:p w14:paraId="5DBC44B5">
            <w:pPr>
              <w:spacing w:line="400" w:lineRule="exact"/>
              <w:ind w:left="-4" w:leftChars="-2" w:firstLine="315" w:firstLineChars="150"/>
              <w:rPr>
                <w:color w:val="auto"/>
                <w:szCs w:val="21"/>
              </w:rPr>
            </w:pPr>
            <w:r>
              <w:rPr>
                <w:rFonts w:hint="eastAsia"/>
                <w:color w:val="auto"/>
                <w:szCs w:val="21"/>
              </w:rPr>
              <w:t>我方于</w:t>
            </w:r>
            <w:r>
              <w:rPr>
                <w:rFonts w:hint="eastAsia"/>
                <w:color w:val="auto"/>
                <w:szCs w:val="21"/>
                <w:u w:val="single"/>
              </w:rPr>
              <w:t xml:space="preserve">         </w:t>
            </w:r>
            <w:r>
              <w:rPr>
                <w:rFonts w:hint="eastAsia"/>
                <w:color w:val="auto"/>
                <w:szCs w:val="21"/>
              </w:rPr>
              <w:t>至</w:t>
            </w:r>
            <w:r>
              <w:rPr>
                <w:rFonts w:hint="eastAsia"/>
                <w:color w:val="auto"/>
                <w:szCs w:val="21"/>
                <w:u w:val="single"/>
              </w:rPr>
              <w:t xml:space="preserve">          </w:t>
            </w:r>
            <w:r>
              <w:rPr>
                <w:rFonts w:hint="eastAsia"/>
                <w:color w:val="auto"/>
                <w:szCs w:val="21"/>
              </w:rPr>
              <w:t>期间已完成了</w:t>
            </w:r>
            <w:r>
              <w:rPr>
                <w:rFonts w:hint="eastAsia"/>
                <w:color w:val="auto"/>
                <w:szCs w:val="21"/>
                <w:u w:val="single"/>
              </w:rPr>
              <w:t xml:space="preserve">               </w:t>
            </w:r>
            <w:r>
              <w:rPr>
                <w:rFonts w:hint="eastAsia"/>
                <w:color w:val="auto"/>
                <w:szCs w:val="21"/>
              </w:rPr>
              <w:t>工作，根据施工合同的约定，现申请支付本期的合同款额为(大写)</w:t>
            </w:r>
            <w:r>
              <w:rPr>
                <w:rFonts w:hint="eastAsia"/>
                <w:color w:val="auto"/>
                <w:szCs w:val="21"/>
                <w:u w:val="single"/>
              </w:rPr>
              <w:t xml:space="preserve">            </w:t>
            </w:r>
            <w:r>
              <w:rPr>
                <w:rFonts w:hint="eastAsia"/>
                <w:color w:val="auto"/>
                <w:szCs w:val="21"/>
              </w:rPr>
              <w:t>元，(小写)</w:t>
            </w:r>
            <w:r>
              <w:rPr>
                <w:rFonts w:hint="eastAsia"/>
                <w:color w:val="auto"/>
                <w:szCs w:val="21"/>
                <w:u w:val="single"/>
              </w:rPr>
              <w:t xml:space="preserve">         </w:t>
            </w:r>
            <w:r>
              <w:rPr>
                <w:rFonts w:hint="eastAsia"/>
                <w:color w:val="auto"/>
                <w:szCs w:val="21"/>
              </w:rPr>
              <w:t>元，请予核准。</w:t>
            </w:r>
          </w:p>
          <w:tbl>
            <w:tblPr>
              <w:tblStyle w:val="48"/>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340"/>
              <w:gridCol w:w="1340"/>
              <w:gridCol w:w="1440"/>
              <w:gridCol w:w="1260"/>
              <w:gridCol w:w="931"/>
            </w:tblGrid>
            <w:tr w14:paraId="3363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5B0931FE">
                  <w:pPr>
                    <w:spacing w:line="280" w:lineRule="exact"/>
                    <w:jc w:val="center"/>
                    <w:rPr>
                      <w:color w:val="auto"/>
                      <w:szCs w:val="21"/>
                    </w:rPr>
                  </w:pPr>
                  <w:r>
                    <w:rPr>
                      <w:rFonts w:hint="eastAsia"/>
                      <w:color w:val="auto"/>
                      <w:szCs w:val="21"/>
                    </w:rPr>
                    <w:t>序号</w:t>
                  </w:r>
                </w:p>
              </w:tc>
              <w:tc>
                <w:tcPr>
                  <w:tcW w:w="3340" w:type="dxa"/>
                  <w:vAlign w:val="center"/>
                </w:tcPr>
                <w:p w14:paraId="38778931">
                  <w:pPr>
                    <w:spacing w:line="280" w:lineRule="exact"/>
                    <w:jc w:val="center"/>
                    <w:rPr>
                      <w:color w:val="auto"/>
                      <w:szCs w:val="21"/>
                    </w:rPr>
                  </w:pPr>
                  <w:r>
                    <w:rPr>
                      <w:rFonts w:hint="eastAsia"/>
                      <w:color w:val="auto"/>
                      <w:szCs w:val="21"/>
                    </w:rPr>
                    <w:t>名      称</w:t>
                  </w:r>
                </w:p>
              </w:tc>
              <w:tc>
                <w:tcPr>
                  <w:tcW w:w="1340" w:type="dxa"/>
                  <w:vAlign w:val="center"/>
                </w:tcPr>
                <w:p w14:paraId="0726CDC6">
                  <w:pPr>
                    <w:spacing w:line="280" w:lineRule="exact"/>
                    <w:jc w:val="center"/>
                    <w:rPr>
                      <w:color w:val="auto"/>
                      <w:szCs w:val="21"/>
                    </w:rPr>
                  </w:pPr>
                  <w:r>
                    <w:rPr>
                      <w:rFonts w:hint="eastAsia"/>
                      <w:color w:val="auto"/>
                      <w:szCs w:val="21"/>
                    </w:rPr>
                    <w:t>实际金额（元）</w:t>
                  </w:r>
                </w:p>
              </w:tc>
              <w:tc>
                <w:tcPr>
                  <w:tcW w:w="1440" w:type="dxa"/>
                  <w:vAlign w:val="center"/>
                </w:tcPr>
                <w:p w14:paraId="50B3E65C">
                  <w:pPr>
                    <w:spacing w:line="280" w:lineRule="exact"/>
                    <w:jc w:val="center"/>
                    <w:rPr>
                      <w:color w:val="auto"/>
                      <w:szCs w:val="21"/>
                    </w:rPr>
                  </w:pPr>
                  <w:r>
                    <w:rPr>
                      <w:rFonts w:hint="eastAsia"/>
                      <w:color w:val="auto"/>
                      <w:szCs w:val="21"/>
                    </w:rPr>
                    <w:t>申请金额（元）</w:t>
                  </w:r>
                </w:p>
              </w:tc>
              <w:tc>
                <w:tcPr>
                  <w:tcW w:w="1260" w:type="dxa"/>
                  <w:vAlign w:val="center"/>
                </w:tcPr>
                <w:p w14:paraId="2F855858">
                  <w:pPr>
                    <w:spacing w:line="280" w:lineRule="exact"/>
                    <w:jc w:val="center"/>
                    <w:rPr>
                      <w:color w:val="auto"/>
                      <w:szCs w:val="21"/>
                    </w:rPr>
                  </w:pPr>
                  <w:r>
                    <w:rPr>
                      <w:rFonts w:hint="eastAsia"/>
                      <w:color w:val="auto"/>
                      <w:szCs w:val="21"/>
                    </w:rPr>
                    <w:t>复核金额（元）</w:t>
                  </w:r>
                </w:p>
              </w:tc>
              <w:tc>
                <w:tcPr>
                  <w:tcW w:w="931" w:type="dxa"/>
                  <w:vAlign w:val="center"/>
                </w:tcPr>
                <w:p w14:paraId="1F9EED31">
                  <w:pPr>
                    <w:spacing w:line="280" w:lineRule="exact"/>
                    <w:jc w:val="center"/>
                    <w:rPr>
                      <w:color w:val="auto"/>
                      <w:szCs w:val="21"/>
                    </w:rPr>
                  </w:pPr>
                  <w:r>
                    <w:rPr>
                      <w:rFonts w:hint="eastAsia"/>
                      <w:color w:val="auto"/>
                      <w:szCs w:val="21"/>
                    </w:rPr>
                    <w:t>备注</w:t>
                  </w:r>
                </w:p>
              </w:tc>
            </w:tr>
            <w:tr w14:paraId="1526D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F498A5A">
                  <w:pPr>
                    <w:spacing w:line="280" w:lineRule="exact"/>
                    <w:jc w:val="center"/>
                    <w:rPr>
                      <w:color w:val="auto"/>
                      <w:szCs w:val="21"/>
                    </w:rPr>
                  </w:pPr>
                  <w:r>
                    <w:rPr>
                      <w:rFonts w:hint="eastAsia"/>
                      <w:color w:val="auto"/>
                      <w:szCs w:val="21"/>
                    </w:rPr>
                    <w:t>1</w:t>
                  </w:r>
                </w:p>
              </w:tc>
              <w:tc>
                <w:tcPr>
                  <w:tcW w:w="3340" w:type="dxa"/>
                </w:tcPr>
                <w:p w14:paraId="31ECB559">
                  <w:pPr>
                    <w:spacing w:line="280" w:lineRule="exact"/>
                    <w:rPr>
                      <w:color w:val="auto"/>
                      <w:szCs w:val="21"/>
                    </w:rPr>
                  </w:pPr>
                  <w:r>
                    <w:rPr>
                      <w:rFonts w:hint="eastAsia"/>
                      <w:color w:val="auto"/>
                      <w:szCs w:val="21"/>
                    </w:rPr>
                    <w:t>累计已完成的工程价款</w:t>
                  </w:r>
                </w:p>
              </w:tc>
              <w:tc>
                <w:tcPr>
                  <w:tcW w:w="1340" w:type="dxa"/>
                </w:tcPr>
                <w:p w14:paraId="7F9921EE">
                  <w:pPr>
                    <w:spacing w:line="280" w:lineRule="exact"/>
                    <w:rPr>
                      <w:color w:val="auto"/>
                      <w:szCs w:val="21"/>
                    </w:rPr>
                  </w:pPr>
                </w:p>
              </w:tc>
              <w:tc>
                <w:tcPr>
                  <w:tcW w:w="1440" w:type="dxa"/>
                </w:tcPr>
                <w:p w14:paraId="69479A9D">
                  <w:pPr>
                    <w:spacing w:line="280" w:lineRule="exact"/>
                    <w:rPr>
                      <w:color w:val="auto"/>
                      <w:szCs w:val="21"/>
                    </w:rPr>
                  </w:pPr>
                </w:p>
              </w:tc>
              <w:tc>
                <w:tcPr>
                  <w:tcW w:w="1260" w:type="dxa"/>
                </w:tcPr>
                <w:p w14:paraId="29725052">
                  <w:pPr>
                    <w:spacing w:line="280" w:lineRule="exact"/>
                    <w:rPr>
                      <w:color w:val="auto"/>
                      <w:szCs w:val="21"/>
                    </w:rPr>
                  </w:pPr>
                </w:p>
              </w:tc>
              <w:tc>
                <w:tcPr>
                  <w:tcW w:w="931" w:type="dxa"/>
                </w:tcPr>
                <w:p w14:paraId="1B6F708A">
                  <w:pPr>
                    <w:spacing w:line="280" w:lineRule="exact"/>
                    <w:rPr>
                      <w:color w:val="auto"/>
                      <w:szCs w:val="21"/>
                    </w:rPr>
                  </w:pPr>
                </w:p>
              </w:tc>
            </w:tr>
            <w:tr w14:paraId="7CA2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7A99D57">
                  <w:pPr>
                    <w:spacing w:line="280" w:lineRule="exact"/>
                    <w:jc w:val="center"/>
                    <w:rPr>
                      <w:color w:val="auto"/>
                      <w:szCs w:val="21"/>
                    </w:rPr>
                  </w:pPr>
                </w:p>
              </w:tc>
              <w:tc>
                <w:tcPr>
                  <w:tcW w:w="3340" w:type="dxa"/>
                </w:tcPr>
                <w:p w14:paraId="79375A54">
                  <w:pPr>
                    <w:spacing w:line="280" w:lineRule="exact"/>
                    <w:rPr>
                      <w:color w:val="auto"/>
                      <w:szCs w:val="21"/>
                    </w:rPr>
                  </w:pPr>
                  <w:r>
                    <w:rPr>
                      <w:rFonts w:hint="eastAsia"/>
                      <w:color w:val="auto"/>
                      <w:szCs w:val="21"/>
                    </w:rPr>
                    <w:t>其中：人工费</w:t>
                  </w:r>
                </w:p>
              </w:tc>
              <w:tc>
                <w:tcPr>
                  <w:tcW w:w="1340" w:type="dxa"/>
                </w:tcPr>
                <w:p w14:paraId="7C9440C1">
                  <w:pPr>
                    <w:spacing w:line="280" w:lineRule="exact"/>
                    <w:rPr>
                      <w:color w:val="auto"/>
                      <w:szCs w:val="21"/>
                    </w:rPr>
                  </w:pPr>
                </w:p>
              </w:tc>
              <w:tc>
                <w:tcPr>
                  <w:tcW w:w="1440" w:type="dxa"/>
                </w:tcPr>
                <w:p w14:paraId="48943AF8">
                  <w:pPr>
                    <w:spacing w:line="280" w:lineRule="exact"/>
                    <w:rPr>
                      <w:color w:val="auto"/>
                      <w:szCs w:val="21"/>
                    </w:rPr>
                  </w:pPr>
                </w:p>
              </w:tc>
              <w:tc>
                <w:tcPr>
                  <w:tcW w:w="1260" w:type="dxa"/>
                </w:tcPr>
                <w:p w14:paraId="0921A222">
                  <w:pPr>
                    <w:spacing w:line="280" w:lineRule="exact"/>
                    <w:rPr>
                      <w:color w:val="auto"/>
                      <w:szCs w:val="21"/>
                    </w:rPr>
                  </w:pPr>
                </w:p>
              </w:tc>
              <w:tc>
                <w:tcPr>
                  <w:tcW w:w="931" w:type="dxa"/>
                </w:tcPr>
                <w:p w14:paraId="2BB67859">
                  <w:pPr>
                    <w:spacing w:line="280" w:lineRule="exact"/>
                    <w:rPr>
                      <w:color w:val="auto"/>
                      <w:szCs w:val="21"/>
                    </w:rPr>
                  </w:pPr>
                </w:p>
              </w:tc>
            </w:tr>
            <w:tr w14:paraId="53BF5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77F1552">
                  <w:pPr>
                    <w:spacing w:line="280" w:lineRule="exact"/>
                    <w:jc w:val="center"/>
                    <w:rPr>
                      <w:color w:val="auto"/>
                      <w:szCs w:val="21"/>
                    </w:rPr>
                  </w:pPr>
                  <w:r>
                    <w:rPr>
                      <w:rFonts w:hint="eastAsia"/>
                      <w:color w:val="auto"/>
                      <w:szCs w:val="21"/>
                    </w:rPr>
                    <w:t>2</w:t>
                  </w:r>
                </w:p>
              </w:tc>
              <w:tc>
                <w:tcPr>
                  <w:tcW w:w="3340" w:type="dxa"/>
                </w:tcPr>
                <w:p w14:paraId="2A4A36BC">
                  <w:pPr>
                    <w:spacing w:line="280" w:lineRule="exact"/>
                    <w:rPr>
                      <w:color w:val="auto"/>
                      <w:szCs w:val="21"/>
                    </w:rPr>
                  </w:pPr>
                  <w:r>
                    <w:rPr>
                      <w:rFonts w:hint="eastAsia"/>
                      <w:color w:val="auto"/>
                      <w:szCs w:val="21"/>
                    </w:rPr>
                    <w:t>累计已实际支付的工程价款</w:t>
                  </w:r>
                </w:p>
              </w:tc>
              <w:tc>
                <w:tcPr>
                  <w:tcW w:w="1340" w:type="dxa"/>
                </w:tcPr>
                <w:p w14:paraId="27FEF29B">
                  <w:pPr>
                    <w:spacing w:line="280" w:lineRule="exact"/>
                    <w:rPr>
                      <w:color w:val="auto"/>
                      <w:szCs w:val="21"/>
                    </w:rPr>
                  </w:pPr>
                </w:p>
              </w:tc>
              <w:tc>
                <w:tcPr>
                  <w:tcW w:w="1440" w:type="dxa"/>
                </w:tcPr>
                <w:p w14:paraId="3D285876">
                  <w:pPr>
                    <w:spacing w:line="280" w:lineRule="exact"/>
                    <w:rPr>
                      <w:color w:val="auto"/>
                      <w:szCs w:val="21"/>
                    </w:rPr>
                  </w:pPr>
                </w:p>
              </w:tc>
              <w:tc>
                <w:tcPr>
                  <w:tcW w:w="1260" w:type="dxa"/>
                </w:tcPr>
                <w:p w14:paraId="2A2CF5B4">
                  <w:pPr>
                    <w:spacing w:line="280" w:lineRule="exact"/>
                    <w:rPr>
                      <w:color w:val="auto"/>
                      <w:szCs w:val="21"/>
                    </w:rPr>
                  </w:pPr>
                </w:p>
              </w:tc>
              <w:tc>
                <w:tcPr>
                  <w:tcW w:w="931" w:type="dxa"/>
                </w:tcPr>
                <w:p w14:paraId="3AA218D9">
                  <w:pPr>
                    <w:spacing w:line="280" w:lineRule="exact"/>
                    <w:rPr>
                      <w:color w:val="auto"/>
                      <w:szCs w:val="21"/>
                    </w:rPr>
                  </w:pPr>
                </w:p>
              </w:tc>
            </w:tr>
            <w:tr w14:paraId="3C7D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CA9776A">
                  <w:pPr>
                    <w:spacing w:line="280" w:lineRule="exact"/>
                    <w:jc w:val="center"/>
                    <w:rPr>
                      <w:color w:val="auto"/>
                      <w:szCs w:val="21"/>
                    </w:rPr>
                  </w:pPr>
                </w:p>
              </w:tc>
              <w:tc>
                <w:tcPr>
                  <w:tcW w:w="3340" w:type="dxa"/>
                </w:tcPr>
                <w:p w14:paraId="685B07AE">
                  <w:pPr>
                    <w:spacing w:line="280" w:lineRule="exact"/>
                    <w:rPr>
                      <w:color w:val="auto"/>
                      <w:szCs w:val="21"/>
                    </w:rPr>
                  </w:pPr>
                  <w:r>
                    <w:rPr>
                      <w:rFonts w:hint="eastAsia"/>
                      <w:color w:val="auto"/>
                      <w:szCs w:val="21"/>
                    </w:rPr>
                    <w:t>其中：人工费</w:t>
                  </w:r>
                </w:p>
              </w:tc>
              <w:tc>
                <w:tcPr>
                  <w:tcW w:w="1340" w:type="dxa"/>
                </w:tcPr>
                <w:p w14:paraId="4E15B832">
                  <w:pPr>
                    <w:spacing w:line="280" w:lineRule="exact"/>
                    <w:rPr>
                      <w:color w:val="auto"/>
                      <w:szCs w:val="21"/>
                    </w:rPr>
                  </w:pPr>
                </w:p>
              </w:tc>
              <w:tc>
                <w:tcPr>
                  <w:tcW w:w="1440" w:type="dxa"/>
                </w:tcPr>
                <w:p w14:paraId="555FD8AC">
                  <w:pPr>
                    <w:spacing w:line="280" w:lineRule="exact"/>
                    <w:rPr>
                      <w:color w:val="auto"/>
                      <w:szCs w:val="21"/>
                    </w:rPr>
                  </w:pPr>
                </w:p>
              </w:tc>
              <w:tc>
                <w:tcPr>
                  <w:tcW w:w="1260" w:type="dxa"/>
                </w:tcPr>
                <w:p w14:paraId="530C1820">
                  <w:pPr>
                    <w:spacing w:line="280" w:lineRule="exact"/>
                    <w:rPr>
                      <w:color w:val="auto"/>
                      <w:szCs w:val="21"/>
                    </w:rPr>
                  </w:pPr>
                </w:p>
              </w:tc>
              <w:tc>
                <w:tcPr>
                  <w:tcW w:w="931" w:type="dxa"/>
                </w:tcPr>
                <w:p w14:paraId="202E6C28">
                  <w:pPr>
                    <w:spacing w:line="280" w:lineRule="exact"/>
                    <w:rPr>
                      <w:color w:val="auto"/>
                      <w:szCs w:val="21"/>
                    </w:rPr>
                  </w:pPr>
                </w:p>
              </w:tc>
            </w:tr>
            <w:tr w14:paraId="72AD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FB591DD">
                  <w:pPr>
                    <w:spacing w:line="280" w:lineRule="exact"/>
                    <w:jc w:val="center"/>
                    <w:rPr>
                      <w:color w:val="auto"/>
                      <w:szCs w:val="21"/>
                    </w:rPr>
                  </w:pPr>
                  <w:r>
                    <w:rPr>
                      <w:rFonts w:hint="eastAsia"/>
                      <w:color w:val="auto"/>
                      <w:szCs w:val="21"/>
                    </w:rPr>
                    <w:t>3</w:t>
                  </w:r>
                </w:p>
              </w:tc>
              <w:tc>
                <w:tcPr>
                  <w:tcW w:w="3340" w:type="dxa"/>
                </w:tcPr>
                <w:p w14:paraId="671B9AD8">
                  <w:pPr>
                    <w:spacing w:line="280" w:lineRule="exact"/>
                    <w:rPr>
                      <w:color w:val="auto"/>
                      <w:szCs w:val="21"/>
                    </w:rPr>
                  </w:pPr>
                  <w:r>
                    <w:rPr>
                      <w:rFonts w:hint="eastAsia"/>
                      <w:color w:val="auto"/>
                      <w:szCs w:val="21"/>
                    </w:rPr>
                    <w:t>本周期已完成的工程价款</w:t>
                  </w:r>
                </w:p>
              </w:tc>
              <w:tc>
                <w:tcPr>
                  <w:tcW w:w="1340" w:type="dxa"/>
                </w:tcPr>
                <w:p w14:paraId="0010CF96">
                  <w:pPr>
                    <w:spacing w:line="280" w:lineRule="exact"/>
                    <w:rPr>
                      <w:color w:val="auto"/>
                      <w:szCs w:val="21"/>
                    </w:rPr>
                  </w:pPr>
                </w:p>
              </w:tc>
              <w:tc>
                <w:tcPr>
                  <w:tcW w:w="1440" w:type="dxa"/>
                </w:tcPr>
                <w:p w14:paraId="40B17C04">
                  <w:pPr>
                    <w:spacing w:line="280" w:lineRule="exact"/>
                    <w:rPr>
                      <w:color w:val="auto"/>
                      <w:szCs w:val="21"/>
                    </w:rPr>
                  </w:pPr>
                </w:p>
              </w:tc>
              <w:tc>
                <w:tcPr>
                  <w:tcW w:w="1260" w:type="dxa"/>
                </w:tcPr>
                <w:p w14:paraId="53B8E228">
                  <w:pPr>
                    <w:spacing w:line="280" w:lineRule="exact"/>
                    <w:rPr>
                      <w:color w:val="auto"/>
                      <w:szCs w:val="21"/>
                    </w:rPr>
                  </w:pPr>
                </w:p>
              </w:tc>
              <w:tc>
                <w:tcPr>
                  <w:tcW w:w="931" w:type="dxa"/>
                </w:tcPr>
                <w:p w14:paraId="6ABF9F42">
                  <w:pPr>
                    <w:spacing w:line="280" w:lineRule="exact"/>
                    <w:rPr>
                      <w:color w:val="auto"/>
                      <w:szCs w:val="21"/>
                    </w:rPr>
                  </w:pPr>
                </w:p>
              </w:tc>
            </w:tr>
            <w:tr w14:paraId="42F8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23C35B2">
                  <w:pPr>
                    <w:spacing w:line="280" w:lineRule="exact"/>
                    <w:jc w:val="center"/>
                    <w:rPr>
                      <w:color w:val="auto"/>
                      <w:szCs w:val="21"/>
                    </w:rPr>
                  </w:pPr>
                </w:p>
              </w:tc>
              <w:tc>
                <w:tcPr>
                  <w:tcW w:w="3340" w:type="dxa"/>
                </w:tcPr>
                <w:p w14:paraId="523D9AE3">
                  <w:pPr>
                    <w:spacing w:line="280" w:lineRule="exact"/>
                    <w:rPr>
                      <w:color w:val="auto"/>
                      <w:szCs w:val="21"/>
                    </w:rPr>
                  </w:pPr>
                  <w:r>
                    <w:rPr>
                      <w:rFonts w:hint="eastAsia"/>
                      <w:color w:val="auto"/>
                      <w:szCs w:val="21"/>
                    </w:rPr>
                    <w:t>其中：人工费</w:t>
                  </w:r>
                </w:p>
              </w:tc>
              <w:tc>
                <w:tcPr>
                  <w:tcW w:w="1340" w:type="dxa"/>
                </w:tcPr>
                <w:p w14:paraId="585455A3">
                  <w:pPr>
                    <w:spacing w:line="280" w:lineRule="exact"/>
                    <w:rPr>
                      <w:color w:val="auto"/>
                      <w:szCs w:val="21"/>
                    </w:rPr>
                  </w:pPr>
                </w:p>
              </w:tc>
              <w:tc>
                <w:tcPr>
                  <w:tcW w:w="1440" w:type="dxa"/>
                </w:tcPr>
                <w:p w14:paraId="4F98677F">
                  <w:pPr>
                    <w:spacing w:line="280" w:lineRule="exact"/>
                    <w:rPr>
                      <w:color w:val="auto"/>
                      <w:szCs w:val="21"/>
                    </w:rPr>
                  </w:pPr>
                </w:p>
              </w:tc>
              <w:tc>
                <w:tcPr>
                  <w:tcW w:w="1260" w:type="dxa"/>
                </w:tcPr>
                <w:p w14:paraId="4B89030E">
                  <w:pPr>
                    <w:spacing w:line="280" w:lineRule="exact"/>
                    <w:rPr>
                      <w:color w:val="auto"/>
                      <w:szCs w:val="21"/>
                    </w:rPr>
                  </w:pPr>
                </w:p>
              </w:tc>
              <w:tc>
                <w:tcPr>
                  <w:tcW w:w="931" w:type="dxa"/>
                </w:tcPr>
                <w:p w14:paraId="4A1B20E5">
                  <w:pPr>
                    <w:spacing w:line="280" w:lineRule="exact"/>
                    <w:rPr>
                      <w:color w:val="auto"/>
                      <w:szCs w:val="21"/>
                    </w:rPr>
                  </w:pPr>
                </w:p>
              </w:tc>
            </w:tr>
            <w:tr w14:paraId="0509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16110F2">
                  <w:pPr>
                    <w:spacing w:line="280" w:lineRule="exact"/>
                    <w:jc w:val="center"/>
                    <w:rPr>
                      <w:color w:val="auto"/>
                      <w:szCs w:val="21"/>
                    </w:rPr>
                  </w:pPr>
                  <w:r>
                    <w:rPr>
                      <w:rFonts w:hint="eastAsia"/>
                      <w:color w:val="auto"/>
                      <w:szCs w:val="21"/>
                    </w:rPr>
                    <w:t>4</w:t>
                  </w:r>
                </w:p>
              </w:tc>
              <w:tc>
                <w:tcPr>
                  <w:tcW w:w="3340" w:type="dxa"/>
                </w:tcPr>
                <w:p w14:paraId="2CCAD5D6">
                  <w:pPr>
                    <w:spacing w:line="280" w:lineRule="exact"/>
                    <w:rPr>
                      <w:color w:val="auto"/>
                      <w:szCs w:val="21"/>
                    </w:rPr>
                  </w:pPr>
                  <w:r>
                    <w:rPr>
                      <w:rFonts w:hint="eastAsia"/>
                      <w:color w:val="auto"/>
                      <w:szCs w:val="21"/>
                    </w:rPr>
                    <w:t>本周期应扣减的金额</w:t>
                  </w:r>
                </w:p>
              </w:tc>
              <w:tc>
                <w:tcPr>
                  <w:tcW w:w="1340" w:type="dxa"/>
                </w:tcPr>
                <w:p w14:paraId="6B6A6D48">
                  <w:pPr>
                    <w:spacing w:line="280" w:lineRule="exact"/>
                    <w:rPr>
                      <w:color w:val="auto"/>
                      <w:szCs w:val="21"/>
                    </w:rPr>
                  </w:pPr>
                </w:p>
              </w:tc>
              <w:tc>
                <w:tcPr>
                  <w:tcW w:w="1440" w:type="dxa"/>
                </w:tcPr>
                <w:p w14:paraId="1053D2B7">
                  <w:pPr>
                    <w:spacing w:line="280" w:lineRule="exact"/>
                    <w:rPr>
                      <w:color w:val="auto"/>
                      <w:szCs w:val="21"/>
                    </w:rPr>
                  </w:pPr>
                </w:p>
              </w:tc>
              <w:tc>
                <w:tcPr>
                  <w:tcW w:w="1260" w:type="dxa"/>
                </w:tcPr>
                <w:p w14:paraId="092BA4AA">
                  <w:pPr>
                    <w:spacing w:line="280" w:lineRule="exact"/>
                    <w:rPr>
                      <w:color w:val="auto"/>
                      <w:szCs w:val="21"/>
                    </w:rPr>
                  </w:pPr>
                </w:p>
              </w:tc>
              <w:tc>
                <w:tcPr>
                  <w:tcW w:w="931" w:type="dxa"/>
                </w:tcPr>
                <w:p w14:paraId="2CB73F07">
                  <w:pPr>
                    <w:spacing w:line="280" w:lineRule="exact"/>
                    <w:rPr>
                      <w:color w:val="auto"/>
                      <w:szCs w:val="21"/>
                    </w:rPr>
                  </w:pPr>
                </w:p>
              </w:tc>
            </w:tr>
            <w:tr w14:paraId="38DC9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DC77F1E">
                  <w:pPr>
                    <w:spacing w:line="280" w:lineRule="exact"/>
                    <w:jc w:val="center"/>
                    <w:rPr>
                      <w:color w:val="auto"/>
                      <w:szCs w:val="21"/>
                    </w:rPr>
                  </w:pPr>
                  <w:r>
                    <w:rPr>
                      <w:rFonts w:hint="eastAsia"/>
                      <w:color w:val="auto"/>
                      <w:szCs w:val="21"/>
                    </w:rPr>
                    <w:t>4.1</w:t>
                  </w:r>
                </w:p>
              </w:tc>
              <w:tc>
                <w:tcPr>
                  <w:tcW w:w="3340" w:type="dxa"/>
                </w:tcPr>
                <w:p w14:paraId="6B4F5A3A">
                  <w:pPr>
                    <w:spacing w:line="280" w:lineRule="exact"/>
                    <w:rPr>
                      <w:color w:val="auto"/>
                      <w:szCs w:val="21"/>
                    </w:rPr>
                  </w:pPr>
                  <w:r>
                    <w:rPr>
                      <w:rFonts w:hint="eastAsia"/>
                      <w:color w:val="auto"/>
                      <w:szCs w:val="21"/>
                    </w:rPr>
                    <w:t>本周期实际应抵扣的预付款</w:t>
                  </w:r>
                </w:p>
              </w:tc>
              <w:tc>
                <w:tcPr>
                  <w:tcW w:w="1340" w:type="dxa"/>
                </w:tcPr>
                <w:p w14:paraId="24E47713">
                  <w:pPr>
                    <w:spacing w:line="280" w:lineRule="exact"/>
                    <w:rPr>
                      <w:color w:val="auto"/>
                      <w:szCs w:val="21"/>
                    </w:rPr>
                  </w:pPr>
                </w:p>
              </w:tc>
              <w:tc>
                <w:tcPr>
                  <w:tcW w:w="1440" w:type="dxa"/>
                </w:tcPr>
                <w:p w14:paraId="1D0A7045">
                  <w:pPr>
                    <w:spacing w:line="280" w:lineRule="exact"/>
                    <w:rPr>
                      <w:color w:val="auto"/>
                      <w:szCs w:val="21"/>
                    </w:rPr>
                  </w:pPr>
                </w:p>
              </w:tc>
              <w:tc>
                <w:tcPr>
                  <w:tcW w:w="1260" w:type="dxa"/>
                </w:tcPr>
                <w:p w14:paraId="2C6BB316">
                  <w:pPr>
                    <w:spacing w:line="280" w:lineRule="exact"/>
                    <w:rPr>
                      <w:color w:val="auto"/>
                      <w:szCs w:val="21"/>
                    </w:rPr>
                  </w:pPr>
                </w:p>
              </w:tc>
              <w:tc>
                <w:tcPr>
                  <w:tcW w:w="931" w:type="dxa"/>
                </w:tcPr>
                <w:p w14:paraId="48442A5B">
                  <w:pPr>
                    <w:spacing w:line="280" w:lineRule="exact"/>
                    <w:rPr>
                      <w:color w:val="auto"/>
                      <w:szCs w:val="21"/>
                    </w:rPr>
                  </w:pPr>
                </w:p>
              </w:tc>
            </w:tr>
            <w:tr w14:paraId="1B97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5CF3BBE">
                  <w:pPr>
                    <w:spacing w:line="280" w:lineRule="exact"/>
                    <w:jc w:val="center"/>
                    <w:rPr>
                      <w:color w:val="auto"/>
                      <w:szCs w:val="21"/>
                    </w:rPr>
                  </w:pPr>
                  <w:r>
                    <w:rPr>
                      <w:rFonts w:hint="eastAsia"/>
                      <w:color w:val="auto"/>
                      <w:szCs w:val="21"/>
                    </w:rPr>
                    <w:t>4.2</w:t>
                  </w:r>
                </w:p>
              </w:tc>
              <w:tc>
                <w:tcPr>
                  <w:tcW w:w="3340" w:type="dxa"/>
                </w:tcPr>
                <w:p w14:paraId="7333CB05">
                  <w:pPr>
                    <w:spacing w:line="280" w:lineRule="exact"/>
                    <w:rPr>
                      <w:color w:val="auto"/>
                      <w:szCs w:val="21"/>
                    </w:rPr>
                  </w:pPr>
                  <w:r>
                    <w:rPr>
                      <w:rFonts w:hint="eastAsia"/>
                      <w:color w:val="auto"/>
                      <w:szCs w:val="21"/>
                    </w:rPr>
                    <w:t>本周期应扣减的金额</w:t>
                  </w:r>
                </w:p>
              </w:tc>
              <w:tc>
                <w:tcPr>
                  <w:tcW w:w="1340" w:type="dxa"/>
                </w:tcPr>
                <w:p w14:paraId="1477BB0A">
                  <w:pPr>
                    <w:spacing w:line="280" w:lineRule="exact"/>
                    <w:rPr>
                      <w:color w:val="auto"/>
                      <w:szCs w:val="21"/>
                    </w:rPr>
                  </w:pPr>
                </w:p>
              </w:tc>
              <w:tc>
                <w:tcPr>
                  <w:tcW w:w="1440" w:type="dxa"/>
                </w:tcPr>
                <w:p w14:paraId="03A7F228">
                  <w:pPr>
                    <w:spacing w:line="280" w:lineRule="exact"/>
                    <w:rPr>
                      <w:color w:val="auto"/>
                      <w:szCs w:val="21"/>
                    </w:rPr>
                  </w:pPr>
                </w:p>
              </w:tc>
              <w:tc>
                <w:tcPr>
                  <w:tcW w:w="1260" w:type="dxa"/>
                </w:tcPr>
                <w:p w14:paraId="7086ABFA">
                  <w:pPr>
                    <w:spacing w:line="280" w:lineRule="exact"/>
                    <w:rPr>
                      <w:color w:val="auto"/>
                      <w:szCs w:val="21"/>
                    </w:rPr>
                  </w:pPr>
                </w:p>
              </w:tc>
              <w:tc>
                <w:tcPr>
                  <w:tcW w:w="931" w:type="dxa"/>
                </w:tcPr>
                <w:p w14:paraId="3726B3F2">
                  <w:pPr>
                    <w:spacing w:line="280" w:lineRule="exact"/>
                    <w:rPr>
                      <w:color w:val="auto"/>
                      <w:szCs w:val="21"/>
                    </w:rPr>
                  </w:pPr>
                </w:p>
              </w:tc>
            </w:tr>
            <w:tr w14:paraId="1F039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0AE6B078">
                  <w:pPr>
                    <w:spacing w:line="280" w:lineRule="exact"/>
                    <w:jc w:val="center"/>
                    <w:rPr>
                      <w:color w:val="auto"/>
                      <w:szCs w:val="21"/>
                    </w:rPr>
                  </w:pPr>
                  <w:r>
                    <w:rPr>
                      <w:rFonts w:hint="eastAsia"/>
                      <w:color w:val="auto"/>
                      <w:szCs w:val="21"/>
                    </w:rPr>
                    <w:t>5</w:t>
                  </w:r>
                </w:p>
              </w:tc>
              <w:tc>
                <w:tcPr>
                  <w:tcW w:w="3340" w:type="dxa"/>
                </w:tcPr>
                <w:p w14:paraId="64ABF324">
                  <w:pPr>
                    <w:spacing w:line="280" w:lineRule="exact"/>
                    <w:rPr>
                      <w:color w:val="auto"/>
                      <w:szCs w:val="21"/>
                    </w:rPr>
                  </w:pPr>
                  <w:r>
                    <w:rPr>
                      <w:rFonts w:hint="eastAsia"/>
                      <w:color w:val="auto"/>
                      <w:szCs w:val="21"/>
                    </w:rPr>
                    <w:t>本周期应支付的合同价款</w:t>
                  </w:r>
                </w:p>
              </w:tc>
              <w:tc>
                <w:tcPr>
                  <w:tcW w:w="1340" w:type="dxa"/>
                </w:tcPr>
                <w:p w14:paraId="47E4ABF0">
                  <w:pPr>
                    <w:spacing w:line="280" w:lineRule="exact"/>
                    <w:rPr>
                      <w:color w:val="auto"/>
                      <w:szCs w:val="21"/>
                    </w:rPr>
                  </w:pPr>
                </w:p>
              </w:tc>
              <w:tc>
                <w:tcPr>
                  <w:tcW w:w="1440" w:type="dxa"/>
                </w:tcPr>
                <w:p w14:paraId="52AAFDAB">
                  <w:pPr>
                    <w:spacing w:line="280" w:lineRule="exact"/>
                    <w:rPr>
                      <w:color w:val="auto"/>
                      <w:szCs w:val="21"/>
                    </w:rPr>
                  </w:pPr>
                </w:p>
              </w:tc>
              <w:tc>
                <w:tcPr>
                  <w:tcW w:w="1260" w:type="dxa"/>
                </w:tcPr>
                <w:p w14:paraId="3568D75F">
                  <w:pPr>
                    <w:spacing w:line="280" w:lineRule="exact"/>
                    <w:rPr>
                      <w:color w:val="auto"/>
                      <w:szCs w:val="21"/>
                    </w:rPr>
                  </w:pPr>
                </w:p>
              </w:tc>
              <w:tc>
                <w:tcPr>
                  <w:tcW w:w="931" w:type="dxa"/>
                </w:tcPr>
                <w:p w14:paraId="4507E937">
                  <w:pPr>
                    <w:spacing w:line="280" w:lineRule="exact"/>
                    <w:rPr>
                      <w:color w:val="auto"/>
                      <w:szCs w:val="21"/>
                    </w:rPr>
                  </w:pPr>
                </w:p>
              </w:tc>
            </w:tr>
            <w:tr w14:paraId="1D7A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2165471">
                  <w:pPr>
                    <w:spacing w:line="280" w:lineRule="exact"/>
                    <w:jc w:val="center"/>
                    <w:rPr>
                      <w:color w:val="auto"/>
                      <w:szCs w:val="21"/>
                    </w:rPr>
                  </w:pPr>
                </w:p>
              </w:tc>
              <w:tc>
                <w:tcPr>
                  <w:tcW w:w="3340" w:type="dxa"/>
                </w:tcPr>
                <w:p w14:paraId="33ED81F8">
                  <w:pPr>
                    <w:spacing w:line="280" w:lineRule="exact"/>
                    <w:rPr>
                      <w:color w:val="auto"/>
                      <w:szCs w:val="21"/>
                    </w:rPr>
                  </w:pPr>
                  <w:r>
                    <w:rPr>
                      <w:rFonts w:hint="eastAsia"/>
                      <w:color w:val="auto"/>
                      <w:szCs w:val="21"/>
                    </w:rPr>
                    <w:t>其中：人工费</w:t>
                  </w:r>
                </w:p>
              </w:tc>
              <w:tc>
                <w:tcPr>
                  <w:tcW w:w="1340" w:type="dxa"/>
                </w:tcPr>
                <w:p w14:paraId="168D9CAD">
                  <w:pPr>
                    <w:spacing w:line="280" w:lineRule="exact"/>
                    <w:rPr>
                      <w:color w:val="auto"/>
                      <w:szCs w:val="21"/>
                    </w:rPr>
                  </w:pPr>
                </w:p>
              </w:tc>
              <w:tc>
                <w:tcPr>
                  <w:tcW w:w="1440" w:type="dxa"/>
                </w:tcPr>
                <w:p w14:paraId="45740EC6">
                  <w:pPr>
                    <w:spacing w:line="280" w:lineRule="exact"/>
                    <w:rPr>
                      <w:color w:val="auto"/>
                      <w:szCs w:val="21"/>
                    </w:rPr>
                  </w:pPr>
                </w:p>
              </w:tc>
              <w:tc>
                <w:tcPr>
                  <w:tcW w:w="1260" w:type="dxa"/>
                </w:tcPr>
                <w:p w14:paraId="26B9B1C8">
                  <w:pPr>
                    <w:spacing w:line="280" w:lineRule="exact"/>
                    <w:rPr>
                      <w:color w:val="auto"/>
                      <w:szCs w:val="21"/>
                    </w:rPr>
                  </w:pPr>
                </w:p>
              </w:tc>
              <w:tc>
                <w:tcPr>
                  <w:tcW w:w="931" w:type="dxa"/>
                </w:tcPr>
                <w:p w14:paraId="6352EE94">
                  <w:pPr>
                    <w:spacing w:line="280" w:lineRule="exact"/>
                    <w:rPr>
                      <w:color w:val="auto"/>
                      <w:szCs w:val="21"/>
                    </w:rPr>
                  </w:pPr>
                </w:p>
              </w:tc>
            </w:tr>
          </w:tbl>
          <w:p w14:paraId="297EAC42">
            <w:pPr>
              <w:wordWrap w:val="0"/>
              <w:spacing w:line="400" w:lineRule="exact"/>
              <w:ind w:right="420"/>
              <w:rPr>
                <w:color w:val="auto"/>
                <w:szCs w:val="21"/>
              </w:rPr>
            </w:pPr>
            <w:r>
              <w:rPr>
                <w:rFonts w:hint="eastAsia"/>
                <w:color w:val="auto"/>
                <w:szCs w:val="21"/>
              </w:rPr>
              <w:t>附：上述3、4详见附件清单。</w:t>
            </w:r>
          </w:p>
          <w:p w14:paraId="674DCA6B">
            <w:pPr>
              <w:wordWrap w:val="0"/>
              <w:spacing w:line="400" w:lineRule="exact"/>
              <w:ind w:right="420"/>
              <w:rPr>
                <w:color w:val="auto"/>
                <w:szCs w:val="21"/>
              </w:rPr>
            </w:pPr>
            <w:r>
              <w:rPr>
                <w:rFonts w:hint="eastAsia"/>
                <w:color w:val="auto"/>
                <w:szCs w:val="21"/>
              </w:rPr>
              <w:t xml:space="preserve">                                            承包人（章）             </w:t>
            </w:r>
          </w:p>
          <w:p w14:paraId="39BA5E11">
            <w:pPr>
              <w:spacing w:line="400" w:lineRule="exact"/>
              <w:ind w:right="420" w:firstLine="435"/>
              <w:rPr>
                <w:color w:val="auto"/>
                <w:szCs w:val="21"/>
              </w:rPr>
            </w:pPr>
            <w:r>
              <w:rPr>
                <w:rFonts w:hint="eastAsia"/>
                <w:color w:val="auto"/>
                <w:szCs w:val="21"/>
              </w:rPr>
              <w:t>造价人员</w:t>
            </w:r>
            <w:r>
              <w:rPr>
                <w:rFonts w:hint="eastAsia"/>
                <w:color w:val="auto"/>
                <w:szCs w:val="21"/>
                <w:u w:val="single"/>
              </w:rPr>
              <w:t xml:space="preserve">               </w:t>
            </w:r>
            <w:r>
              <w:rPr>
                <w:rFonts w:hint="eastAsia"/>
                <w:color w:val="auto"/>
                <w:szCs w:val="21"/>
              </w:rPr>
              <w:t>承包人代表</w:t>
            </w:r>
            <w:r>
              <w:rPr>
                <w:rFonts w:hint="eastAsia"/>
                <w:color w:val="auto"/>
                <w:szCs w:val="21"/>
                <w:u w:val="single"/>
              </w:rPr>
              <w:t xml:space="preserve">               </w:t>
            </w:r>
            <w:r>
              <w:rPr>
                <w:rFonts w:hint="eastAsia"/>
                <w:color w:val="auto"/>
                <w:szCs w:val="21"/>
              </w:rPr>
              <w:t>日      期</w:t>
            </w:r>
            <w:r>
              <w:rPr>
                <w:rFonts w:hint="eastAsia"/>
                <w:color w:val="auto"/>
                <w:szCs w:val="21"/>
                <w:u w:val="single"/>
              </w:rPr>
              <w:t xml:space="preserve">               </w:t>
            </w:r>
          </w:p>
        </w:tc>
      </w:tr>
      <w:tr w14:paraId="1BB2A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Pr>
          <w:p w14:paraId="152E9AE4">
            <w:pPr>
              <w:spacing w:line="360" w:lineRule="exact"/>
              <w:rPr>
                <w:color w:val="auto"/>
                <w:szCs w:val="21"/>
              </w:rPr>
            </w:pPr>
            <w:r>
              <w:rPr>
                <w:rFonts w:hint="eastAsia"/>
                <w:color w:val="auto"/>
                <w:szCs w:val="21"/>
              </w:rPr>
              <w:t>复核意见：</w:t>
            </w:r>
          </w:p>
          <w:p w14:paraId="1C064EED">
            <w:pPr>
              <w:spacing w:line="360" w:lineRule="exact"/>
              <w:ind w:firstLine="312"/>
              <w:rPr>
                <w:color w:val="auto"/>
                <w:szCs w:val="21"/>
              </w:rPr>
            </w:pPr>
            <w:r>
              <w:rPr>
                <w:rFonts w:hint="eastAsia"/>
                <w:color w:val="auto"/>
                <w:szCs w:val="21"/>
              </w:rPr>
              <w:t>□与实际施工情况不相符，修改意见见附件。</w:t>
            </w:r>
          </w:p>
          <w:p w14:paraId="117D0913">
            <w:pPr>
              <w:spacing w:line="360" w:lineRule="exact"/>
              <w:ind w:firstLine="312"/>
              <w:rPr>
                <w:color w:val="auto"/>
                <w:szCs w:val="21"/>
              </w:rPr>
            </w:pPr>
            <w:r>
              <w:rPr>
                <w:rFonts w:hint="eastAsia"/>
                <w:color w:val="auto"/>
                <w:szCs w:val="21"/>
              </w:rPr>
              <w:t>□与实际施工情况相符，具体金额由造价工程师复核。</w:t>
            </w:r>
          </w:p>
          <w:p w14:paraId="54D2DD69">
            <w:pPr>
              <w:spacing w:line="360" w:lineRule="exact"/>
              <w:ind w:firstLine="435"/>
              <w:jc w:val="right"/>
              <w:rPr>
                <w:color w:val="auto"/>
                <w:szCs w:val="21"/>
              </w:rPr>
            </w:pPr>
          </w:p>
          <w:p w14:paraId="341233C4">
            <w:pPr>
              <w:spacing w:line="360" w:lineRule="exact"/>
              <w:ind w:firstLine="435"/>
              <w:jc w:val="center"/>
              <w:rPr>
                <w:color w:val="auto"/>
                <w:szCs w:val="21"/>
                <w:u w:val="single"/>
              </w:rPr>
            </w:pPr>
            <w:r>
              <w:rPr>
                <w:color w:val="auto"/>
                <w:szCs w:val="21"/>
              </w:rPr>
              <w:t xml:space="preserve">    </w:t>
            </w:r>
            <w:r>
              <w:rPr>
                <w:rFonts w:hint="eastAsia"/>
                <w:color w:val="auto"/>
                <w:szCs w:val="21"/>
              </w:rPr>
              <w:t xml:space="preserve">     监理工程师</w:t>
            </w:r>
            <w:r>
              <w:rPr>
                <w:rFonts w:hint="eastAsia"/>
                <w:color w:val="auto"/>
                <w:szCs w:val="21"/>
                <w:u w:val="single"/>
              </w:rPr>
              <w:t xml:space="preserve">           </w:t>
            </w:r>
          </w:p>
          <w:p w14:paraId="5027570F">
            <w:pPr>
              <w:spacing w:line="360" w:lineRule="exact"/>
              <w:ind w:firstLine="435"/>
              <w:jc w:val="center"/>
              <w:rPr>
                <w:color w:val="auto"/>
                <w:szCs w:val="21"/>
                <w:u w:val="single"/>
              </w:rPr>
            </w:pPr>
            <w:r>
              <w:rPr>
                <w:color w:val="auto"/>
                <w:szCs w:val="21"/>
              </w:rPr>
              <w:t xml:space="preserve">    </w:t>
            </w:r>
            <w:r>
              <w:rPr>
                <w:rFonts w:hint="eastAsia"/>
                <w:color w:val="auto"/>
                <w:szCs w:val="21"/>
              </w:rPr>
              <w:t xml:space="preserve">    日      期</w:t>
            </w:r>
            <w:r>
              <w:rPr>
                <w:rFonts w:hint="eastAsia"/>
                <w:color w:val="auto"/>
                <w:szCs w:val="21"/>
                <w:u w:val="single"/>
              </w:rPr>
              <w:t xml:space="preserve">           </w:t>
            </w:r>
          </w:p>
        </w:tc>
        <w:tc>
          <w:tcPr>
            <w:tcW w:w="4552" w:type="dxa"/>
          </w:tcPr>
          <w:p w14:paraId="5B7BFBA7">
            <w:pPr>
              <w:spacing w:line="360" w:lineRule="exact"/>
              <w:rPr>
                <w:color w:val="auto"/>
                <w:szCs w:val="21"/>
              </w:rPr>
            </w:pPr>
            <w:r>
              <w:rPr>
                <w:rFonts w:hint="eastAsia"/>
                <w:color w:val="auto"/>
                <w:szCs w:val="21"/>
              </w:rPr>
              <w:t>复核意见：</w:t>
            </w:r>
          </w:p>
          <w:p w14:paraId="4803D5DB">
            <w:pPr>
              <w:spacing w:line="360" w:lineRule="exact"/>
              <w:ind w:firstLine="435"/>
              <w:rPr>
                <w:color w:val="auto"/>
                <w:szCs w:val="21"/>
              </w:rPr>
            </w:pPr>
            <w:r>
              <w:rPr>
                <w:rFonts w:hint="eastAsia"/>
                <w:color w:val="auto"/>
                <w:szCs w:val="21"/>
              </w:rPr>
              <w:t>你方提出的支付申请经复核，本周期已完成工程价款为(大写)</w:t>
            </w:r>
            <w:r>
              <w:rPr>
                <w:rFonts w:hint="eastAsia"/>
                <w:color w:val="auto"/>
                <w:szCs w:val="21"/>
                <w:u w:val="single"/>
              </w:rPr>
              <w:t xml:space="preserve">                </w:t>
            </w:r>
            <w:r>
              <w:rPr>
                <w:rFonts w:hint="eastAsia"/>
                <w:color w:val="auto"/>
                <w:szCs w:val="21"/>
              </w:rPr>
              <w:t>元，（小写）</w:t>
            </w:r>
          </w:p>
          <w:p w14:paraId="08C9FCFF">
            <w:pPr>
              <w:spacing w:line="360" w:lineRule="exact"/>
              <w:rPr>
                <w:color w:val="auto"/>
                <w:szCs w:val="21"/>
              </w:rPr>
            </w:pPr>
            <w:r>
              <w:rPr>
                <w:rFonts w:hint="eastAsia"/>
                <w:color w:val="auto"/>
                <w:szCs w:val="21"/>
                <w:u w:val="single"/>
              </w:rPr>
              <w:t xml:space="preserve">          </w:t>
            </w:r>
            <w:r>
              <w:rPr>
                <w:rFonts w:hint="eastAsia"/>
                <w:color w:val="auto"/>
                <w:szCs w:val="21"/>
              </w:rPr>
              <w:t xml:space="preserve"> 元，本期间应支付金额为（大写）</w:t>
            </w:r>
          </w:p>
          <w:p w14:paraId="4C256EA4">
            <w:pPr>
              <w:spacing w:line="360" w:lineRule="exact"/>
              <w:rPr>
                <w:color w:val="auto"/>
                <w:szCs w:val="21"/>
                <w:u w:val="single"/>
              </w:rPr>
            </w:pPr>
            <w:r>
              <w:rPr>
                <w:rFonts w:hint="eastAsia"/>
                <w:color w:val="auto"/>
                <w:szCs w:val="21"/>
                <w:u w:val="single"/>
              </w:rPr>
              <w:t xml:space="preserve">                 </w:t>
            </w:r>
            <w:r>
              <w:rPr>
                <w:rFonts w:hint="eastAsia"/>
                <w:color w:val="auto"/>
                <w:szCs w:val="21"/>
              </w:rPr>
              <w:t>元，（小写）</w:t>
            </w:r>
            <w:r>
              <w:rPr>
                <w:rFonts w:hint="eastAsia"/>
                <w:color w:val="auto"/>
                <w:szCs w:val="21"/>
                <w:u w:val="single"/>
              </w:rPr>
              <w:t xml:space="preserve">         </w:t>
            </w:r>
            <w:r>
              <w:rPr>
                <w:rFonts w:hint="eastAsia"/>
                <w:color w:val="auto"/>
                <w:szCs w:val="21"/>
              </w:rPr>
              <w:t>元。</w:t>
            </w:r>
          </w:p>
          <w:p w14:paraId="61CA47A8">
            <w:pPr>
              <w:spacing w:line="360" w:lineRule="exact"/>
              <w:ind w:firstLine="435"/>
              <w:jc w:val="center"/>
              <w:rPr>
                <w:color w:val="auto"/>
                <w:szCs w:val="21"/>
                <w:u w:val="single"/>
              </w:rPr>
            </w:pPr>
            <w:r>
              <w:rPr>
                <w:color w:val="auto"/>
                <w:szCs w:val="21"/>
              </w:rPr>
              <w:t xml:space="preserve">    </w:t>
            </w:r>
            <w:r>
              <w:rPr>
                <w:rFonts w:hint="eastAsia"/>
                <w:color w:val="auto"/>
                <w:szCs w:val="21"/>
              </w:rPr>
              <w:t xml:space="preserve">    造价工程师</w:t>
            </w:r>
            <w:r>
              <w:rPr>
                <w:rFonts w:hint="eastAsia"/>
                <w:color w:val="auto"/>
                <w:szCs w:val="21"/>
                <w:u w:val="single"/>
              </w:rPr>
              <w:t xml:space="preserve">           </w:t>
            </w:r>
          </w:p>
          <w:p w14:paraId="78ABF0F8">
            <w:pPr>
              <w:spacing w:line="360" w:lineRule="exact"/>
              <w:ind w:firstLine="435"/>
              <w:jc w:val="center"/>
              <w:rPr>
                <w:color w:val="auto"/>
                <w:szCs w:val="21"/>
                <w:u w:val="single"/>
              </w:rPr>
            </w:pPr>
            <w:r>
              <w:rPr>
                <w:color w:val="auto"/>
                <w:szCs w:val="21"/>
              </w:rPr>
              <w:t xml:space="preserve">    </w:t>
            </w:r>
            <w:r>
              <w:rPr>
                <w:rFonts w:hint="eastAsia"/>
                <w:color w:val="auto"/>
                <w:szCs w:val="21"/>
              </w:rPr>
              <w:t>日      期</w:t>
            </w:r>
            <w:r>
              <w:rPr>
                <w:rFonts w:hint="eastAsia"/>
                <w:color w:val="auto"/>
                <w:szCs w:val="21"/>
                <w:u w:val="single"/>
              </w:rPr>
              <w:t xml:space="preserve">           </w:t>
            </w:r>
          </w:p>
        </w:tc>
      </w:tr>
      <w:tr w14:paraId="79DA4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27B1530F">
            <w:pPr>
              <w:spacing w:line="400" w:lineRule="exact"/>
              <w:rPr>
                <w:color w:val="auto"/>
                <w:szCs w:val="21"/>
              </w:rPr>
            </w:pPr>
            <w:r>
              <w:rPr>
                <w:rFonts w:hint="eastAsia"/>
                <w:color w:val="auto"/>
                <w:szCs w:val="21"/>
              </w:rPr>
              <w:t>审核意见：</w:t>
            </w:r>
          </w:p>
          <w:p w14:paraId="62DA6D39">
            <w:pPr>
              <w:spacing w:line="400" w:lineRule="exact"/>
              <w:ind w:firstLine="435"/>
              <w:rPr>
                <w:color w:val="auto"/>
                <w:szCs w:val="21"/>
              </w:rPr>
            </w:pPr>
            <w:r>
              <w:rPr>
                <w:rFonts w:hint="eastAsia"/>
                <w:color w:val="auto"/>
                <w:szCs w:val="21"/>
              </w:rPr>
              <w:t>□不同意。</w:t>
            </w:r>
          </w:p>
          <w:p w14:paraId="59A06605">
            <w:pPr>
              <w:spacing w:line="400" w:lineRule="exact"/>
              <w:ind w:firstLine="420" w:firstLineChars="200"/>
              <w:rPr>
                <w:color w:val="auto"/>
                <w:szCs w:val="21"/>
              </w:rPr>
            </w:pPr>
            <w:r>
              <w:rPr>
                <w:rFonts w:hint="eastAsia"/>
                <w:color w:val="auto"/>
                <w:szCs w:val="21"/>
              </w:rPr>
              <w:t>□同意，支付时间为本表签发后的15天内。</w:t>
            </w:r>
          </w:p>
          <w:p w14:paraId="38A45BEC">
            <w:pPr>
              <w:wordWrap w:val="0"/>
              <w:spacing w:line="400" w:lineRule="exact"/>
              <w:ind w:firstLine="420" w:firstLineChars="200"/>
              <w:jc w:val="right"/>
              <w:rPr>
                <w:color w:val="auto"/>
                <w:szCs w:val="21"/>
              </w:rPr>
            </w:pPr>
            <w:r>
              <w:rPr>
                <w:rFonts w:hint="eastAsia"/>
                <w:color w:val="auto"/>
                <w:szCs w:val="21"/>
              </w:rPr>
              <w:t xml:space="preserve">发包人（章）           </w:t>
            </w:r>
          </w:p>
          <w:p w14:paraId="23C328F4">
            <w:pPr>
              <w:wordWrap w:val="0"/>
              <w:spacing w:line="400" w:lineRule="exact"/>
              <w:ind w:firstLine="420" w:firstLineChars="200"/>
              <w:jc w:val="right"/>
              <w:rPr>
                <w:color w:val="auto"/>
                <w:szCs w:val="21"/>
                <w:u w:val="single"/>
              </w:rPr>
            </w:pPr>
            <w:r>
              <w:rPr>
                <w:rFonts w:hint="eastAsia"/>
                <w:color w:val="auto"/>
                <w:szCs w:val="21"/>
              </w:rPr>
              <w:t>发包人代表</w:t>
            </w:r>
            <w:r>
              <w:rPr>
                <w:rFonts w:hint="eastAsia"/>
                <w:color w:val="auto"/>
                <w:szCs w:val="21"/>
                <w:u w:val="single"/>
              </w:rPr>
              <w:t xml:space="preserve">             </w:t>
            </w:r>
          </w:p>
          <w:p w14:paraId="2FBB701D">
            <w:pPr>
              <w:wordWrap w:val="0"/>
              <w:spacing w:line="400" w:lineRule="exact"/>
              <w:ind w:firstLine="420" w:firstLineChars="200"/>
              <w:jc w:val="right"/>
              <w:rPr>
                <w:color w:val="auto"/>
                <w:szCs w:val="21"/>
                <w:u w:val="single"/>
              </w:rPr>
            </w:pPr>
            <w:r>
              <w:rPr>
                <w:rFonts w:hint="eastAsia"/>
                <w:color w:val="auto"/>
                <w:szCs w:val="21"/>
              </w:rPr>
              <w:t>日      期</w:t>
            </w:r>
            <w:r>
              <w:rPr>
                <w:rFonts w:hint="eastAsia"/>
                <w:color w:val="auto"/>
                <w:szCs w:val="21"/>
                <w:u w:val="single"/>
              </w:rPr>
              <w:t xml:space="preserve">             </w:t>
            </w:r>
          </w:p>
        </w:tc>
      </w:tr>
    </w:tbl>
    <w:p w14:paraId="260011F7">
      <w:pPr>
        <w:spacing w:beforeLines="50"/>
        <w:ind w:firstLine="360" w:firstLineChars="200"/>
        <w:rPr>
          <w:color w:val="auto"/>
          <w:sz w:val="18"/>
          <w:szCs w:val="18"/>
        </w:rPr>
      </w:pPr>
      <w:r>
        <w:rPr>
          <w:rFonts w:hint="eastAsia"/>
          <w:color w:val="auto"/>
          <w:sz w:val="18"/>
          <w:szCs w:val="18"/>
        </w:rPr>
        <w:t xml:space="preserve">注：1.在选择栏中的“□”内作标识“√”。 </w:t>
      </w:r>
    </w:p>
    <w:p w14:paraId="47802367">
      <w:pPr>
        <w:spacing w:beforeLines="50"/>
        <w:ind w:left="720" w:hanging="720" w:hangingChars="400"/>
        <w:rPr>
          <w:color w:val="auto"/>
          <w:sz w:val="18"/>
          <w:szCs w:val="18"/>
        </w:rPr>
      </w:pPr>
      <w:r>
        <w:rPr>
          <w:rFonts w:hint="eastAsia"/>
          <w:color w:val="auto"/>
          <w:sz w:val="18"/>
          <w:szCs w:val="18"/>
        </w:rPr>
        <w:t xml:space="preserve">    </w:t>
      </w:r>
      <w:r>
        <w:rPr>
          <w:color w:val="auto"/>
          <w:sz w:val="18"/>
          <w:szCs w:val="18"/>
        </w:rPr>
        <w:t xml:space="preserve">  </w:t>
      </w:r>
      <w:r>
        <w:rPr>
          <w:rFonts w:hint="eastAsia"/>
          <w:color w:val="auto"/>
          <w:sz w:val="18"/>
          <w:szCs w:val="18"/>
        </w:rPr>
        <w:t xml:space="preserve">  2.本表一式四份，由承包人填报，发包人、监理人、造价咨询人、承包人各存一份。</w:t>
      </w:r>
    </w:p>
    <w:p w14:paraId="18EF712A">
      <w:pPr>
        <w:jc w:val="left"/>
        <w:outlineLvl w:val="0"/>
        <w:rPr>
          <w:color w:val="auto"/>
          <w:sz w:val="30"/>
          <w:szCs w:val="30"/>
        </w:rPr>
      </w:pPr>
      <w:bookmarkStart w:id="1623" w:name="_Toc20912"/>
      <w:bookmarkStart w:id="1624" w:name="_Toc3563"/>
      <w:r>
        <w:rPr>
          <w:rFonts w:hint="eastAsia"/>
          <w:color w:val="auto"/>
          <w:sz w:val="30"/>
          <w:szCs w:val="30"/>
        </w:rPr>
        <w:t>附件12</w:t>
      </w:r>
      <w:bookmarkEnd w:id="1623"/>
      <w:bookmarkEnd w:id="1624"/>
    </w:p>
    <w:p w14:paraId="6D149946">
      <w:pPr>
        <w:jc w:val="center"/>
        <w:rPr>
          <w:b/>
          <w:color w:val="auto"/>
          <w:sz w:val="36"/>
          <w:szCs w:val="36"/>
        </w:rPr>
      </w:pPr>
      <w:r>
        <w:rPr>
          <w:rFonts w:hint="eastAsia"/>
          <w:b/>
          <w:color w:val="auto"/>
          <w:sz w:val="36"/>
          <w:szCs w:val="36"/>
        </w:rPr>
        <w:t>竣工结算款支付申请（核准）表</w:t>
      </w:r>
    </w:p>
    <w:p w14:paraId="7EF599EA">
      <w:pPr>
        <w:rPr>
          <w:color w:val="auto"/>
          <w:sz w:val="24"/>
        </w:rPr>
      </w:pPr>
      <w:r>
        <w:rPr>
          <w:rFonts w:hint="eastAsia"/>
          <w:color w:val="auto"/>
          <w:sz w:val="24"/>
        </w:rPr>
        <w:t>工程名称：                                              编号：</w:t>
      </w:r>
    </w:p>
    <w:tbl>
      <w:tblPr>
        <w:tblStyle w:val="4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9"/>
        <w:gridCol w:w="4533"/>
      </w:tblGrid>
      <w:tr w14:paraId="1306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240" w:type="dxa"/>
            <w:gridSpan w:val="2"/>
          </w:tcPr>
          <w:p w14:paraId="4FADBC18">
            <w:pPr>
              <w:spacing w:line="480" w:lineRule="exact"/>
              <w:ind w:left="524" w:leftChars="149" w:hanging="212" w:hangingChars="101"/>
              <w:rPr>
                <w:color w:val="auto"/>
                <w:szCs w:val="21"/>
                <w:u w:val="single"/>
              </w:rPr>
            </w:pPr>
            <w:r>
              <w:rPr>
                <w:rFonts w:hint="eastAsia"/>
                <w:color w:val="auto"/>
                <w:szCs w:val="21"/>
              </w:rPr>
              <w:t>致：</w:t>
            </w:r>
            <w:r>
              <w:rPr>
                <w:rFonts w:hint="eastAsia"/>
                <w:color w:val="auto"/>
                <w:szCs w:val="21"/>
                <w:u w:val="single"/>
              </w:rPr>
              <w:t xml:space="preserve">                                   （发包人全称）</w:t>
            </w:r>
          </w:p>
          <w:p w14:paraId="78B9191F">
            <w:pPr>
              <w:spacing w:line="400" w:lineRule="exact"/>
              <w:ind w:left="-4" w:leftChars="-2" w:firstLine="315" w:firstLineChars="150"/>
              <w:rPr>
                <w:color w:val="auto"/>
                <w:szCs w:val="21"/>
              </w:rPr>
            </w:pPr>
            <w:r>
              <w:rPr>
                <w:rFonts w:hint="eastAsia"/>
                <w:color w:val="auto"/>
                <w:szCs w:val="21"/>
              </w:rPr>
              <w:t>我方于</w:t>
            </w:r>
            <w:r>
              <w:rPr>
                <w:rFonts w:hint="eastAsia"/>
                <w:color w:val="auto"/>
                <w:szCs w:val="21"/>
                <w:u w:val="single"/>
              </w:rPr>
              <w:t xml:space="preserve">         </w:t>
            </w:r>
            <w:r>
              <w:rPr>
                <w:rFonts w:hint="eastAsia"/>
                <w:color w:val="auto"/>
                <w:szCs w:val="21"/>
              </w:rPr>
              <w:t>至</w:t>
            </w:r>
            <w:r>
              <w:rPr>
                <w:rFonts w:hint="eastAsia"/>
                <w:color w:val="auto"/>
                <w:szCs w:val="21"/>
                <w:u w:val="single"/>
              </w:rPr>
              <w:t xml:space="preserve">          </w:t>
            </w:r>
            <w:r>
              <w:rPr>
                <w:rFonts w:hint="eastAsia"/>
                <w:color w:val="auto"/>
                <w:szCs w:val="21"/>
              </w:rPr>
              <w:t>期间已完成了合同约定的工作，根据施工合同的约定，现申请支付竣工结算的工程款额为(大写)</w:t>
            </w:r>
            <w:r>
              <w:rPr>
                <w:rFonts w:hint="eastAsia"/>
                <w:color w:val="auto"/>
                <w:szCs w:val="21"/>
                <w:u w:val="single"/>
              </w:rPr>
              <w:t xml:space="preserve">            </w:t>
            </w:r>
            <w:r>
              <w:rPr>
                <w:rFonts w:hint="eastAsia"/>
                <w:color w:val="auto"/>
                <w:szCs w:val="21"/>
              </w:rPr>
              <w:t>元，(小写)</w:t>
            </w:r>
            <w:r>
              <w:rPr>
                <w:rFonts w:hint="eastAsia"/>
                <w:color w:val="auto"/>
                <w:szCs w:val="21"/>
                <w:u w:val="single"/>
              </w:rPr>
              <w:t xml:space="preserve">         </w:t>
            </w:r>
            <w:r>
              <w:rPr>
                <w:rFonts w:hint="eastAsia"/>
                <w:color w:val="auto"/>
                <w:szCs w:val="21"/>
              </w:rPr>
              <w:t>元，请予核准。</w:t>
            </w:r>
          </w:p>
          <w:tbl>
            <w:tblPr>
              <w:tblStyle w:val="48"/>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420"/>
              <w:gridCol w:w="1620"/>
              <w:gridCol w:w="1620"/>
              <w:gridCol w:w="1651"/>
            </w:tblGrid>
            <w:tr w14:paraId="65C1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0AA9509B">
                  <w:pPr>
                    <w:spacing w:line="280" w:lineRule="exact"/>
                    <w:jc w:val="center"/>
                    <w:rPr>
                      <w:color w:val="auto"/>
                      <w:szCs w:val="21"/>
                    </w:rPr>
                  </w:pPr>
                  <w:r>
                    <w:rPr>
                      <w:rFonts w:hint="eastAsia"/>
                      <w:color w:val="auto"/>
                      <w:szCs w:val="21"/>
                    </w:rPr>
                    <w:t>序号</w:t>
                  </w:r>
                </w:p>
              </w:tc>
              <w:tc>
                <w:tcPr>
                  <w:tcW w:w="3420" w:type="dxa"/>
                  <w:vAlign w:val="center"/>
                </w:tcPr>
                <w:p w14:paraId="73CB0BA1">
                  <w:pPr>
                    <w:spacing w:line="280" w:lineRule="exact"/>
                    <w:jc w:val="center"/>
                    <w:rPr>
                      <w:color w:val="auto"/>
                      <w:szCs w:val="21"/>
                    </w:rPr>
                  </w:pPr>
                  <w:r>
                    <w:rPr>
                      <w:rFonts w:hint="eastAsia"/>
                      <w:color w:val="auto"/>
                      <w:szCs w:val="21"/>
                    </w:rPr>
                    <w:t>名      称</w:t>
                  </w:r>
                </w:p>
              </w:tc>
              <w:tc>
                <w:tcPr>
                  <w:tcW w:w="1620" w:type="dxa"/>
                  <w:vAlign w:val="center"/>
                </w:tcPr>
                <w:p w14:paraId="5E18B2CE">
                  <w:pPr>
                    <w:spacing w:line="280" w:lineRule="exact"/>
                    <w:jc w:val="center"/>
                    <w:rPr>
                      <w:color w:val="auto"/>
                      <w:szCs w:val="21"/>
                    </w:rPr>
                  </w:pPr>
                  <w:r>
                    <w:rPr>
                      <w:rFonts w:hint="eastAsia"/>
                      <w:color w:val="auto"/>
                      <w:szCs w:val="21"/>
                    </w:rPr>
                    <w:t>申请金额（元）</w:t>
                  </w:r>
                </w:p>
              </w:tc>
              <w:tc>
                <w:tcPr>
                  <w:tcW w:w="1620" w:type="dxa"/>
                  <w:vAlign w:val="center"/>
                </w:tcPr>
                <w:p w14:paraId="79448A3D">
                  <w:pPr>
                    <w:spacing w:line="280" w:lineRule="exact"/>
                    <w:jc w:val="center"/>
                    <w:rPr>
                      <w:color w:val="auto"/>
                      <w:szCs w:val="21"/>
                    </w:rPr>
                  </w:pPr>
                  <w:r>
                    <w:rPr>
                      <w:rFonts w:hint="eastAsia"/>
                      <w:color w:val="auto"/>
                      <w:szCs w:val="21"/>
                    </w:rPr>
                    <w:t>复核金额（元）</w:t>
                  </w:r>
                </w:p>
              </w:tc>
              <w:tc>
                <w:tcPr>
                  <w:tcW w:w="1651" w:type="dxa"/>
                  <w:vAlign w:val="center"/>
                </w:tcPr>
                <w:p w14:paraId="4C5CE088">
                  <w:pPr>
                    <w:spacing w:line="280" w:lineRule="exact"/>
                    <w:jc w:val="center"/>
                    <w:rPr>
                      <w:color w:val="auto"/>
                      <w:szCs w:val="21"/>
                    </w:rPr>
                  </w:pPr>
                  <w:r>
                    <w:rPr>
                      <w:rFonts w:hint="eastAsia"/>
                      <w:color w:val="auto"/>
                      <w:szCs w:val="21"/>
                    </w:rPr>
                    <w:t>备注</w:t>
                  </w:r>
                </w:p>
              </w:tc>
            </w:tr>
            <w:tr w14:paraId="63D5B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2B22BE2">
                  <w:pPr>
                    <w:spacing w:line="280" w:lineRule="exact"/>
                    <w:jc w:val="center"/>
                    <w:rPr>
                      <w:color w:val="auto"/>
                      <w:szCs w:val="21"/>
                    </w:rPr>
                  </w:pPr>
                  <w:r>
                    <w:rPr>
                      <w:rFonts w:hint="eastAsia"/>
                      <w:color w:val="auto"/>
                      <w:szCs w:val="21"/>
                    </w:rPr>
                    <w:t>1</w:t>
                  </w:r>
                </w:p>
              </w:tc>
              <w:tc>
                <w:tcPr>
                  <w:tcW w:w="3420" w:type="dxa"/>
                </w:tcPr>
                <w:p w14:paraId="5AA64F53">
                  <w:pPr>
                    <w:spacing w:line="280" w:lineRule="exact"/>
                    <w:rPr>
                      <w:color w:val="auto"/>
                      <w:szCs w:val="21"/>
                    </w:rPr>
                  </w:pPr>
                  <w:r>
                    <w:rPr>
                      <w:rFonts w:hint="eastAsia"/>
                      <w:color w:val="auto"/>
                      <w:szCs w:val="21"/>
                    </w:rPr>
                    <w:t>竣工结算合同价款总额</w:t>
                  </w:r>
                </w:p>
              </w:tc>
              <w:tc>
                <w:tcPr>
                  <w:tcW w:w="1620" w:type="dxa"/>
                </w:tcPr>
                <w:p w14:paraId="1BEDBA04">
                  <w:pPr>
                    <w:spacing w:line="280" w:lineRule="exact"/>
                    <w:rPr>
                      <w:color w:val="auto"/>
                      <w:szCs w:val="21"/>
                    </w:rPr>
                  </w:pPr>
                </w:p>
              </w:tc>
              <w:tc>
                <w:tcPr>
                  <w:tcW w:w="1620" w:type="dxa"/>
                </w:tcPr>
                <w:p w14:paraId="7EF11D54">
                  <w:pPr>
                    <w:spacing w:line="280" w:lineRule="exact"/>
                    <w:rPr>
                      <w:color w:val="auto"/>
                      <w:szCs w:val="21"/>
                    </w:rPr>
                  </w:pPr>
                </w:p>
              </w:tc>
              <w:tc>
                <w:tcPr>
                  <w:tcW w:w="1651" w:type="dxa"/>
                </w:tcPr>
                <w:p w14:paraId="6A76C40B">
                  <w:pPr>
                    <w:spacing w:line="280" w:lineRule="exact"/>
                    <w:rPr>
                      <w:color w:val="auto"/>
                      <w:szCs w:val="21"/>
                    </w:rPr>
                  </w:pPr>
                </w:p>
              </w:tc>
            </w:tr>
            <w:tr w14:paraId="3270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AB39986">
                  <w:pPr>
                    <w:spacing w:line="280" w:lineRule="exact"/>
                    <w:jc w:val="center"/>
                    <w:rPr>
                      <w:color w:val="auto"/>
                      <w:szCs w:val="21"/>
                    </w:rPr>
                  </w:pPr>
                  <w:r>
                    <w:rPr>
                      <w:rFonts w:hint="eastAsia"/>
                      <w:color w:val="auto"/>
                      <w:szCs w:val="21"/>
                    </w:rPr>
                    <w:t>2</w:t>
                  </w:r>
                </w:p>
              </w:tc>
              <w:tc>
                <w:tcPr>
                  <w:tcW w:w="3420" w:type="dxa"/>
                </w:tcPr>
                <w:p w14:paraId="30181940">
                  <w:pPr>
                    <w:spacing w:line="280" w:lineRule="exact"/>
                    <w:rPr>
                      <w:color w:val="auto"/>
                      <w:szCs w:val="21"/>
                    </w:rPr>
                  </w:pPr>
                  <w:r>
                    <w:rPr>
                      <w:rFonts w:hint="eastAsia"/>
                      <w:color w:val="auto"/>
                      <w:szCs w:val="21"/>
                    </w:rPr>
                    <w:t>累计已实际支付的合同价款</w:t>
                  </w:r>
                </w:p>
              </w:tc>
              <w:tc>
                <w:tcPr>
                  <w:tcW w:w="1620" w:type="dxa"/>
                </w:tcPr>
                <w:p w14:paraId="43BB4036">
                  <w:pPr>
                    <w:spacing w:line="280" w:lineRule="exact"/>
                    <w:rPr>
                      <w:color w:val="auto"/>
                      <w:szCs w:val="21"/>
                    </w:rPr>
                  </w:pPr>
                </w:p>
              </w:tc>
              <w:tc>
                <w:tcPr>
                  <w:tcW w:w="1620" w:type="dxa"/>
                </w:tcPr>
                <w:p w14:paraId="65AC3513">
                  <w:pPr>
                    <w:spacing w:line="280" w:lineRule="exact"/>
                    <w:rPr>
                      <w:color w:val="auto"/>
                      <w:szCs w:val="21"/>
                    </w:rPr>
                  </w:pPr>
                </w:p>
              </w:tc>
              <w:tc>
                <w:tcPr>
                  <w:tcW w:w="1651" w:type="dxa"/>
                </w:tcPr>
                <w:p w14:paraId="0E18904E">
                  <w:pPr>
                    <w:spacing w:line="280" w:lineRule="exact"/>
                    <w:rPr>
                      <w:color w:val="auto"/>
                      <w:szCs w:val="21"/>
                    </w:rPr>
                  </w:pPr>
                </w:p>
              </w:tc>
            </w:tr>
            <w:tr w14:paraId="234B9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4840712">
                  <w:pPr>
                    <w:spacing w:line="280" w:lineRule="exact"/>
                    <w:jc w:val="center"/>
                    <w:rPr>
                      <w:color w:val="auto"/>
                      <w:szCs w:val="21"/>
                    </w:rPr>
                  </w:pPr>
                  <w:r>
                    <w:rPr>
                      <w:rFonts w:hint="eastAsia"/>
                      <w:color w:val="auto"/>
                      <w:szCs w:val="21"/>
                    </w:rPr>
                    <w:t>3</w:t>
                  </w:r>
                </w:p>
              </w:tc>
              <w:tc>
                <w:tcPr>
                  <w:tcW w:w="3420" w:type="dxa"/>
                </w:tcPr>
                <w:p w14:paraId="000FFCD3">
                  <w:pPr>
                    <w:spacing w:line="280" w:lineRule="exact"/>
                    <w:rPr>
                      <w:color w:val="auto"/>
                      <w:szCs w:val="21"/>
                    </w:rPr>
                  </w:pPr>
                  <w:r>
                    <w:rPr>
                      <w:rFonts w:hint="eastAsia"/>
                      <w:color w:val="auto"/>
                      <w:szCs w:val="21"/>
                    </w:rPr>
                    <w:t>应预留的质量保证金</w:t>
                  </w:r>
                </w:p>
              </w:tc>
              <w:tc>
                <w:tcPr>
                  <w:tcW w:w="1620" w:type="dxa"/>
                </w:tcPr>
                <w:p w14:paraId="0CBBCE26">
                  <w:pPr>
                    <w:spacing w:line="280" w:lineRule="exact"/>
                    <w:rPr>
                      <w:color w:val="auto"/>
                      <w:szCs w:val="21"/>
                    </w:rPr>
                  </w:pPr>
                </w:p>
              </w:tc>
              <w:tc>
                <w:tcPr>
                  <w:tcW w:w="1620" w:type="dxa"/>
                </w:tcPr>
                <w:p w14:paraId="62D33AA1">
                  <w:pPr>
                    <w:spacing w:line="280" w:lineRule="exact"/>
                    <w:rPr>
                      <w:color w:val="auto"/>
                      <w:szCs w:val="21"/>
                    </w:rPr>
                  </w:pPr>
                </w:p>
              </w:tc>
              <w:tc>
                <w:tcPr>
                  <w:tcW w:w="1651" w:type="dxa"/>
                </w:tcPr>
                <w:p w14:paraId="4787A790">
                  <w:pPr>
                    <w:spacing w:line="280" w:lineRule="exact"/>
                    <w:rPr>
                      <w:color w:val="auto"/>
                      <w:szCs w:val="21"/>
                    </w:rPr>
                  </w:pPr>
                </w:p>
              </w:tc>
            </w:tr>
            <w:tr w14:paraId="1948E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C2F833A">
                  <w:pPr>
                    <w:spacing w:line="280" w:lineRule="exact"/>
                    <w:jc w:val="center"/>
                    <w:rPr>
                      <w:color w:val="auto"/>
                      <w:szCs w:val="21"/>
                    </w:rPr>
                  </w:pPr>
                  <w:r>
                    <w:rPr>
                      <w:rFonts w:hint="eastAsia"/>
                      <w:color w:val="auto"/>
                      <w:szCs w:val="21"/>
                    </w:rPr>
                    <w:t>4</w:t>
                  </w:r>
                </w:p>
              </w:tc>
              <w:tc>
                <w:tcPr>
                  <w:tcW w:w="3420" w:type="dxa"/>
                </w:tcPr>
                <w:p w14:paraId="6DF98A87">
                  <w:pPr>
                    <w:spacing w:line="280" w:lineRule="exact"/>
                    <w:rPr>
                      <w:color w:val="auto"/>
                      <w:szCs w:val="21"/>
                    </w:rPr>
                  </w:pPr>
                  <w:r>
                    <w:rPr>
                      <w:rFonts w:hint="eastAsia"/>
                      <w:color w:val="auto"/>
                      <w:szCs w:val="21"/>
                    </w:rPr>
                    <w:t>应支付的竣工结算款金额</w:t>
                  </w:r>
                </w:p>
              </w:tc>
              <w:tc>
                <w:tcPr>
                  <w:tcW w:w="1620" w:type="dxa"/>
                </w:tcPr>
                <w:p w14:paraId="3F40AAAC">
                  <w:pPr>
                    <w:spacing w:line="280" w:lineRule="exact"/>
                    <w:rPr>
                      <w:color w:val="auto"/>
                      <w:szCs w:val="21"/>
                    </w:rPr>
                  </w:pPr>
                </w:p>
              </w:tc>
              <w:tc>
                <w:tcPr>
                  <w:tcW w:w="1620" w:type="dxa"/>
                </w:tcPr>
                <w:p w14:paraId="2E1F15EB">
                  <w:pPr>
                    <w:spacing w:line="280" w:lineRule="exact"/>
                    <w:rPr>
                      <w:color w:val="auto"/>
                      <w:szCs w:val="21"/>
                    </w:rPr>
                  </w:pPr>
                </w:p>
              </w:tc>
              <w:tc>
                <w:tcPr>
                  <w:tcW w:w="1651" w:type="dxa"/>
                </w:tcPr>
                <w:p w14:paraId="14FF500B">
                  <w:pPr>
                    <w:spacing w:line="280" w:lineRule="exact"/>
                    <w:rPr>
                      <w:color w:val="auto"/>
                      <w:szCs w:val="21"/>
                    </w:rPr>
                  </w:pPr>
                </w:p>
              </w:tc>
            </w:tr>
            <w:tr w14:paraId="2F577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842E01A">
                  <w:pPr>
                    <w:spacing w:line="280" w:lineRule="exact"/>
                    <w:jc w:val="center"/>
                    <w:rPr>
                      <w:color w:val="auto"/>
                      <w:szCs w:val="21"/>
                    </w:rPr>
                  </w:pPr>
                </w:p>
              </w:tc>
              <w:tc>
                <w:tcPr>
                  <w:tcW w:w="3420" w:type="dxa"/>
                </w:tcPr>
                <w:p w14:paraId="4E2AA880">
                  <w:pPr>
                    <w:spacing w:line="280" w:lineRule="exact"/>
                    <w:rPr>
                      <w:color w:val="auto"/>
                      <w:szCs w:val="21"/>
                    </w:rPr>
                  </w:pPr>
                </w:p>
              </w:tc>
              <w:tc>
                <w:tcPr>
                  <w:tcW w:w="1620" w:type="dxa"/>
                </w:tcPr>
                <w:p w14:paraId="50F0053E">
                  <w:pPr>
                    <w:spacing w:line="280" w:lineRule="exact"/>
                    <w:rPr>
                      <w:color w:val="auto"/>
                      <w:szCs w:val="21"/>
                    </w:rPr>
                  </w:pPr>
                </w:p>
              </w:tc>
              <w:tc>
                <w:tcPr>
                  <w:tcW w:w="1620" w:type="dxa"/>
                </w:tcPr>
                <w:p w14:paraId="05FE19D0">
                  <w:pPr>
                    <w:spacing w:line="280" w:lineRule="exact"/>
                    <w:rPr>
                      <w:color w:val="auto"/>
                      <w:szCs w:val="21"/>
                    </w:rPr>
                  </w:pPr>
                </w:p>
              </w:tc>
              <w:tc>
                <w:tcPr>
                  <w:tcW w:w="1651" w:type="dxa"/>
                </w:tcPr>
                <w:p w14:paraId="7CBC8F13">
                  <w:pPr>
                    <w:spacing w:line="280" w:lineRule="exact"/>
                    <w:rPr>
                      <w:color w:val="auto"/>
                      <w:szCs w:val="21"/>
                    </w:rPr>
                  </w:pPr>
                </w:p>
              </w:tc>
            </w:tr>
            <w:tr w14:paraId="36A0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4456630">
                  <w:pPr>
                    <w:spacing w:line="280" w:lineRule="exact"/>
                    <w:jc w:val="center"/>
                    <w:rPr>
                      <w:color w:val="auto"/>
                      <w:szCs w:val="21"/>
                    </w:rPr>
                  </w:pPr>
                </w:p>
              </w:tc>
              <w:tc>
                <w:tcPr>
                  <w:tcW w:w="3420" w:type="dxa"/>
                </w:tcPr>
                <w:p w14:paraId="772EF356">
                  <w:pPr>
                    <w:spacing w:line="280" w:lineRule="exact"/>
                    <w:rPr>
                      <w:color w:val="auto"/>
                      <w:szCs w:val="21"/>
                    </w:rPr>
                  </w:pPr>
                </w:p>
              </w:tc>
              <w:tc>
                <w:tcPr>
                  <w:tcW w:w="1620" w:type="dxa"/>
                </w:tcPr>
                <w:p w14:paraId="68840F35">
                  <w:pPr>
                    <w:spacing w:line="280" w:lineRule="exact"/>
                    <w:rPr>
                      <w:color w:val="auto"/>
                      <w:szCs w:val="21"/>
                    </w:rPr>
                  </w:pPr>
                </w:p>
              </w:tc>
              <w:tc>
                <w:tcPr>
                  <w:tcW w:w="1620" w:type="dxa"/>
                </w:tcPr>
                <w:p w14:paraId="64BD9579">
                  <w:pPr>
                    <w:spacing w:line="280" w:lineRule="exact"/>
                    <w:rPr>
                      <w:color w:val="auto"/>
                      <w:szCs w:val="21"/>
                    </w:rPr>
                  </w:pPr>
                </w:p>
              </w:tc>
              <w:tc>
                <w:tcPr>
                  <w:tcW w:w="1651" w:type="dxa"/>
                </w:tcPr>
                <w:p w14:paraId="6C9F1380">
                  <w:pPr>
                    <w:spacing w:line="280" w:lineRule="exact"/>
                    <w:rPr>
                      <w:color w:val="auto"/>
                      <w:szCs w:val="21"/>
                    </w:rPr>
                  </w:pPr>
                </w:p>
              </w:tc>
            </w:tr>
            <w:tr w14:paraId="3A5E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2A954F8">
                  <w:pPr>
                    <w:spacing w:line="280" w:lineRule="exact"/>
                    <w:jc w:val="center"/>
                    <w:rPr>
                      <w:color w:val="auto"/>
                      <w:szCs w:val="21"/>
                    </w:rPr>
                  </w:pPr>
                </w:p>
              </w:tc>
              <w:tc>
                <w:tcPr>
                  <w:tcW w:w="3420" w:type="dxa"/>
                </w:tcPr>
                <w:p w14:paraId="169AFA99">
                  <w:pPr>
                    <w:spacing w:line="280" w:lineRule="exact"/>
                    <w:rPr>
                      <w:color w:val="auto"/>
                      <w:szCs w:val="21"/>
                    </w:rPr>
                  </w:pPr>
                </w:p>
              </w:tc>
              <w:tc>
                <w:tcPr>
                  <w:tcW w:w="1620" w:type="dxa"/>
                </w:tcPr>
                <w:p w14:paraId="28ADA6DE">
                  <w:pPr>
                    <w:spacing w:line="280" w:lineRule="exact"/>
                    <w:rPr>
                      <w:color w:val="auto"/>
                      <w:szCs w:val="21"/>
                    </w:rPr>
                  </w:pPr>
                </w:p>
              </w:tc>
              <w:tc>
                <w:tcPr>
                  <w:tcW w:w="1620" w:type="dxa"/>
                </w:tcPr>
                <w:p w14:paraId="1F31222F">
                  <w:pPr>
                    <w:spacing w:line="280" w:lineRule="exact"/>
                    <w:rPr>
                      <w:color w:val="auto"/>
                      <w:szCs w:val="21"/>
                    </w:rPr>
                  </w:pPr>
                </w:p>
              </w:tc>
              <w:tc>
                <w:tcPr>
                  <w:tcW w:w="1651" w:type="dxa"/>
                </w:tcPr>
                <w:p w14:paraId="3770CE27">
                  <w:pPr>
                    <w:spacing w:line="280" w:lineRule="exact"/>
                    <w:rPr>
                      <w:color w:val="auto"/>
                      <w:szCs w:val="21"/>
                    </w:rPr>
                  </w:pPr>
                </w:p>
              </w:tc>
            </w:tr>
            <w:tr w14:paraId="513FF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EDEEF2E">
                  <w:pPr>
                    <w:spacing w:line="280" w:lineRule="exact"/>
                    <w:jc w:val="center"/>
                    <w:rPr>
                      <w:color w:val="auto"/>
                      <w:szCs w:val="21"/>
                    </w:rPr>
                  </w:pPr>
                </w:p>
              </w:tc>
              <w:tc>
                <w:tcPr>
                  <w:tcW w:w="3420" w:type="dxa"/>
                </w:tcPr>
                <w:p w14:paraId="5A839AF6">
                  <w:pPr>
                    <w:spacing w:line="280" w:lineRule="exact"/>
                    <w:rPr>
                      <w:color w:val="auto"/>
                      <w:szCs w:val="21"/>
                    </w:rPr>
                  </w:pPr>
                </w:p>
              </w:tc>
              <w:tc>
                <w:tcPr>
                  <w:tcW w:w="1620" w:type="dxa"/>
                </w:tcPr>
                <w:p w14:paraId="0D839177">
                  <w:pPr>
                    <w:spacing w:line="280" w:lineRule="exact"/>
                    <w:rPr>
                      <w:color w:val="auto"/>
                      <w:szCs w:val="21"/>
                    </w:rPr>
                  </w:pPr>
                </w:p>
              </w:tc>
              <w:tc>
                <w:tcPr>
                  <w:tcW w:w="1620" w:type="dxa"/>
                </w:tcPr>
                <w:p w14:paraId="4110F3AB">
                  <w:pPr>
                    <w:spacing w:line="280" w:lineRule="exact"/>
                    <w:rPr>
                      <w:color w:val="auto"/>
                      <w:szCs w:val="21"/>
                    </w:rPr>
                  </w:pPr>
                </w:p>
              </w:tc>
              <w:tc>
                <w:tcPr>
                  <w:tcW w:w="1651" w:type="dxa"/>
                </w:tcPr>
                <w:p w14:paraId="4B572D11">
                  <w:pPr>
                    <w:spacing w:line="280" w:lineRule="exact"/>
                    <w:rPr>
                      <w:color w:val="auto"/>
                      <w:szCs w:val="21"/>
                    </w:rPr>
                  </w:pPr>
                </w:p>
              </w:tc>
            </w:tr>
            <w:tr w14:paraId="4F73F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08B3F77">
                  <w:pPr>
                    <w:spacing w:line="280" w:lineRule="exact"/>
                    <w:jc w:val="center"/>
                    <w:rPr>
                      <w:color w:val="auto"/>
                      <w:szCs w:val="21"/>
                    </w:rPr>
                  </w:pPr>
                </w:p>
              </w:tc>
              <w:tc>
                <w:tcPr>
                  <w:tcW w:w="3420" w:type="dxa"/>
                </w:tcPr>
                <w:p w14:paraId="4645E376">
                  <w:pPr>
                    <w:spacing w:line="280" w:lineRule="exact"/>
                    <w:rPr>
                      <w:color w:val="auto"/>
                      <w:szCs w:val="21"/>
                    </w:rPr>
                  </w:pPr>
                </w:p>
              </w:tc>
              <w:tc>
                <w:tcPr>
                  <w:tcW w:w="1620" w:type="dxa"/>
                </w:tcPr>
                <w:p w14:paraId="2677B2BE">
                  <w:pPr>
                    <w:spacing w:line="280" w:lineRule="exact"/>
                    <w:rPr>
                      <w:color w:val="auto"/>
                      <w:szCs w:val="21"/>
                    </w:rPr>
                  </w:pPr>
                </w:p>
              </w:tc>
              <w:tc>
                <w:tcPr>
                  <w:tcW w:w="1620" w:type="dxa"/>
                </w:tcPr>
                <w:p w14:paraId="54D3733B">
                  <w:pPr>
                    <w:spacing w:line="280" w:lineRule="exact"/>
                    <w:rPr>
                      <w:color w:val="auto"/>
                      <w:szCs w:val="21"/>
                    </w:rPr>
                  </w:pPr>
                </w:p>
              </w:tc>
              <w:tc>
                <w:tcPr>
                  <w:tcW w:w="1651" w:type="dxa"/>
                </w:tcPr>
                <w:p w14:paraId="1AA0EB74">
                  <w:pPr>
                    <w:spacing w:line="280" w:lineRule="exact"/>
                    <w:rPr>
                      <w:color w:val="auto"/>
                      <w:szCs w:val="21"/>
                    </w:rPr>
                  </w:pPr>
                </w:p>
              </w:tc>
            </w:tr>
          </w:tbl>
          <w:p w14:paraId="7AAB99F3">
            <w:pPr>
              <w:spacing w:line="400" w:lineRule="exact"/>
              <w:ind w:right="420" w:firstLine="435"/>
              <w:jc w:val="center"/>
              <w:rPr>
                <w:color w:val="auto"/>
                <w:szCs w:val="21"/>
              </w:rPr>
            </w:pPr>
          </w:p>
          <w:p w14:paraId="0F071C02">
            <w:pPr>
              <w:spacing w:line="400" w:lineRule="exact"/>
              <w:ind w:right="420" w:firstLine="435"/>
              <w:jc w:val="center"/>
              <w:rPr>
                <w:color w:val="auto"/>
                <w:szCs w:val="21"/>
              </w:rPr>
            </w:pPr>
            <w:r>
              <w:rPr>
                <w:rFonts w:hint="eastAsia"/>
                <w:color w:val="auto"/>
                <w:szCs w:val="21"/>
              </w:rPr>
              <w:t xml:space="preserve">                                            承包人（章）             </w:t>
            </w:r>
          </w:p>
          <w:p w14:paraId="5F4329CC">
            <w:pPr>
              <w:spacing w:line="400" w:lineRule="exact"/>
              <w:ind w:right="420" w:firstLine="435"/>
              <w:rPr>
                <w:color w:val="auto"/>
                <w:szCs w:val="21"/>
              </w:rPr>
            </w:pPr>
            <w:r>
              <w:rPr>
                <w:rFonts w:hint="eastAsia"/>
                <w:color w:val="auto"/>
                <w:szCs w:val="21"/>
              </w:rPr>
              <w:t>造价人员</w:t>
            </w:r>
            <w:r>
              <w:rPr>
                <w:rFonts w:hint="eastAsia"/>
                <w:color w:val="auto"/>
                <w:szCs w:val="21"/>
                <w:u w:val="single"/>
              </w:rPr>
              <w:t xml:space="preserve">               </w:t>
            </w:r>
            <w:r>
              <w:rPr>
                <w:rFonts w:hint="eastAsia"/>
                <w:color w:val="auto"/>
                <w:szCs w:val="21"/>
              </w:rPr>
              <w:t>承包人代表</w:t>
            </w:r>
            <w:r>
              <w:rPr>
                <w:rFonts w:hint="eastAsia"/>
                <w:color w:val="auto"/>
                <w:szCs w:val="21"/>
                <w:u w:val="single"/>
              </w:rPr>
              <w:t xml:space="preserve">               </w:t>
            </w:r>
            <w:r>
              <w:rPr>
                <w:rFonts w:hint="eastAsia"/>
                <w:color w:val="auto"/>
                <w:szCs w:val="21"/>
              </w:rPr>
              <w:t>日      期</w:t>
            </w:r>
            <w:r>
              <w:rPr>
                <w:rFonts w:hint="eastAsia"/>
                <w:color w:val="auto"/>
                <w:szCs w:val="21"/>
                <w:u w:val="single"/>
              </w:rPr>
              <w:t xml:space="preserve">               </w:t>
            </w:r>
          </w:p>
        </w:tc>
      </w:tr>
      <w:tr w14:paraId="4947B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620" w:type="dxa"/>
          </w:tcPr>
          <w:p w14:paraId="069D87D4">
            <w:pPr>
              <w:spacing w:line="360" w:lineRule="exact"/>
              <w:rPr>
                <w:color w:val="auto"/>
                <w:szCs w:val="21"/>
              </w:rPr>
            </w:pPr>
            <w:r>
              <w:rPr>
                <w:rFonts w:hint="eastAsia"/>
                <w:color w:val="auto"/>
                <w:szCs w:val="21"/>
              </w:rPr>
              <w:t>复核意见：</w:t>
            </w:r>
          </w:p>
          <w:p w14:paraId="4BB822AC">
            <w:pPr>
              <w:spacing w:line="360" w:lineRule="exact"/>
              <w:ind w:firstLine="312"/>
              <w:rPr>
                <w:color w:val="auto"/>
                <w:szCs w:val="21"/>
              </w:rPr>
            </w:pPr>
            <w:r>
              <w:rPr>
                <w:rFonts w:hint="eastAsia"/>
                <w:color w:val="auto"/>
                <w:szCs w:val="21"/>
              </w:rPr>
              <w:t>□与实际施工情况不相符，修改意见见附件。</w:t>
            </w:r>
          </w:p>
          <w:p w14:paraId="613D4A84">
            <w:pPr>
              <w:spacing w:line="360" w:lineRule="exact"/>
              <w:ind w:firstLine="312"/>
              <w:rPr>
                <w:color w:val="auto"/>
                <w:szCs w:val="21"/>
              </w:rPr>
            </w:pPr>
            <w:r>
              <w:rPr>
                <w:rFonts w:hint="eastAsia"/>
                <w:color w:val="auto"/>
                <w:szCs w:val="21"/>
              </w:rPr>
              <w:t>□与实际施工情况相符，具体金额由造价工程师复核。</w:t>
            </w:r>
          </w:p>
          <w:p w14:paraId="3B8C87B0">
            <w:pPr>
              <w:spacing w:line="360" w:lineRule="exact"/>
              <w:ind w:firstLine="435"/>
              <w:jc w:val="right"/>
              <w:rPr>
                <w:color w:val="auto"/>
                <w:szCs w:val="21"/>
              </w:rPr>
            </w:pPr>
          </w:p>
          <w:p w14:paraId="67739F9A">
            <w:pPr>
              <w:spacing w:line="360" w:lineRule="exact"/>
              <w:ind w:firstLine="435"/>
              <w:jc w:val="right"/>
              <w:rPr>
                <w:color w:val="auto"/>
                <w:szCs w:val="21"/>
              </w:rPr>
            </w:pPr>
          </w:p>
          <w:p w14:paraId="138273FD">
            <w:pPr>
              <w:spacing w:line="360" w:lineRule="exact"/>
              <w:ind w:firstLine="435"/>
              <w:jc w:val="center"/>
              <w:rPr>
                <w:color w:val="auto"/>
                <w:szCs w:val="21"/>
              </w:rPr>
            </w:pPr>
            <w:r>
              <w:rPr>
                <w:color w:val="auto"/>
                <w:szCs w:val="21"/>
              </w:rPr>
              <w:t xml:space="preserve">    </w:t>
            </w:r>
            <w:r>
              <w:rPr>
                <w:rFonts w:hint="eastAsia"/>
                <w:color w:val="auto"/>
                <w:szCs w:val="21"/>
              </w:rPr>
              <w:t xml:space="preserve">     </w:t>
            </w:r>
          </w:p>
          <w:p w14:paraId="0516682B">
            <w:pPr>
              <w:spacing w:line="360" w:lineRule="exact"/>
              <w:ind w:firstLine="435"/>
              <w:jc w:val="center"/>
              <w:rPr>
                <w:color w:val="auto"/>
                <w:szCs w:val="21"/>
                <w:u w:val="single"/>
              </w:rPr>
            </w:pPr>
            <w:r>
              <w:rPr>
                <w:rFonts w:hint="eastAsia"/>
                <w:color w:val="auto"/>
                <w:szCs w:val="21"/>
              </w:rPr>
              <w:t xml:space="preserve">      监理工程师</w:t>
            </w:r>
            <w:r>
              <w:rPr>
                <w:rFonts w:hint="eastAsia"/>
                <w:color w:val="auto"/>
                <w:szCs w:val="21"/>
                <w:u w:val="single"/>
              </w:rPr>
              <w:t xml:space="preserve">           </w:t>
            </w:r>
          </w:p>
          <w:p w14:paraId="48B2E8E0">
            <w:pPr>
              <w:spacing w:line="360" w:lineRule="exact"/>
              <w:ind w:firstLine="435"/>
              <w:jc w:val="center"/>
              <w:rPr>
                <w:color w:val="auto"/>
                <w:szCs w:val="21"/>
                <w:u w:val="single"/>
              </w:rPr>
            </w:pPr>
            <w:r>
              <w:rPr>
                <w:color w:val="auto"/>
                <w:szCs w:val="21"/>
              </w:rPr>
              <w:t xml:space="preserve">    </w:t>
            </w:r>
            <w:r>
              <w:rPr>
                <w:rFonts w:hint="eastAsia"/>
                <w:color w:val="auto"/>
                <w:szCs w:val="21"/>
              </w:rPr>
              <w:t xml:space="preserve">  日      期</w:t>
            </w:r>
            <w:r>
              <w:rPr>
                <w:rFonts w:hint="eastAsia"/>
                <w:color w:val="auto"/>
                <w:szCs w:val="21"/>
                <w:u w:val="single"/>
              </w:rPr>
              <w:t xml:space="preserve">           </w:t>
            </w:r>
          </w:p>
        </w:tc>
        <w:tc>
          <w:tcPr>
            <w:tcW w:w="4620" w:type="dxa"/>
          </w:tcPr>
          <w:p w14:paraId="0BE959AF">
            <w:pPr>
              <w:spacing w:line="360" w:lineRule="exact"/>
              <w:rPr>
                <w:color w:val="auto"/>
                <w:szCs w:val="21"/>
              </w:rPr>
            </w:pPr>
            <w:r>
              <w:rPr>
                <w:rFonts w:hint="eastAsia"/>
                <w:color w:val="auto"/>
                <w:szCs w:val="21"/>
              </w:rPr>
              <w:t>复核意见：</w:t>
            </w:r>
          </w:p>
          <w:p w14:paraId="23FAB0F3">
            <w:pPr>
              <w:spacing w:line="360" w:lineRule="exact"/>
              <w:ind w:firstLine="435"/>
              <w:rPr>
                <w:color w:val="auto"/>
                <w:szCs w:val="21"/>
                <w:u w:val="single"/>
              </w:rPr>
            </w:pPr>
            <w:r>
              <w:rPr>
                <w:rFonts w:hint="eastAsia"/>
                <w:color w:val="auto"/>
                <w:szCs w:val="21"/>
              </w:rPr>
              <w:t>你方提出的竣工结算支付申请经复核，竣工结算款总额为(大写)</w:t>
            </w:r>
            <w:r>
              <w:rPr>
                <w:rFonts w:hint="eastAsia"/>
                <w:color w:val="auto"/>
                <w:szCs w:val="21"/>
                <w:u w:val="single"/>
              </w:rPr>
              <w:t xml:space="preserve">                </w:t>
            </w:r>
            <w:r>
              <w:rPr>
                <w:rFonts w:hint="eastAsia"/>
                <w:color w:val="auto"/>
                <w:szCs w:val="21"/>
              </w:rPr>
              <w:t>元，（小写）</w:t>
            </w:r>
            <w:r>
              <w:rPr>
                <w:rFonts w:hint="eastAsia"/>
                <w:color w:val="auto"/>
                <w:szCs w:val="21"/>
                <w:u w:val="single"/>
              </w:rPr>
              <w:t xml:space="preserve">          </w:t>
            </w:r>
            <w:r>
              <w:rPr>
                <w:rFonts w:hint="eastAsia"/>
                <w:color w:val="auto"/>
                <w:szCs w:val="21"/>
              </w:rPr>
              <w:t xml:space="preserve"> 元，扣除前期支付以及质量保证金后应支付金额为（大写）</w:t>
            </w:r>
            <w:r>
              <w:rPr>
                <w:rFonts w:hint="eastAsia"/>
                <w:color w:val="auto"/>
                <w:szCs w:val="21"/>
                <w:u w:val="single"/>
              </w:rPr>
              <w:t xml:space="preserve">              </w:t>
            </w:r>
            <w:r>
              <w:rPr>
                <w:rFonts w:hint="eastAsia"/>
                <w:color w:val="auto"/>
                <w:szCs w:val="21"/>
              </w:rPr>
              <w:t>元，（小写）</w:t>
            </w:r>
            <w:r>
              <w:rPr>
                <w:rFonts w:hint="eastAsia"/>
                <w:color w:val="auto"/>
                <w:szCs w:val="21"/>
                <w:u w:val="single"/>
              </w:rPr>
              <w:t xml:space="preserve">         </w:t>
            </w:r>
            <w:r>
              <w:rPr>
                <w:rFonts w:hint="eastAsia"/>
                <w:color w:val="auto"/>
                <w:szCs w:val="21"/>
              </w:rPr>
              <w:t>元。</w:t>
            </w:r>
          </w:p>
          <w:p w14:paraId="749DCF9B">
            <w:pPr>
              <w:spacing w:line="360" w:lineRule="exact"/>
              <w:ind w:firstLine="435"/>
              <w:jc w:val="center"/>
              <w:rPr>
                <w:color w:val="auto"/>
                <w:szCs w:val="21"/>
              </w:rPr>
            </w:pPr>
            <w:r>
              <w:rPr>
                <w:color w:val="auto"/>
                <w:szCs w:val="21"/>
              </w:rPr>
              <w:t xml:space="preserve">    </w:t>
            </w:r>
          </w:p>
          <w:p w14:paraId="3FB0E6EE">
            <w:pPr>
              <w:spacing w:line="360" w:lineRule="exact"/>
              <w:ind w:firstLine="435"/>
              <w:jc w:val="center"/>
              <w:rPr>
                <w:color w:val="auto"/>
                <w:szCs w:val="21"/>
                <w:u w:val="single"/>
              </w:rPr>
            </w:pPr>
            <w:r>
              <w:rPr>
                <w:rFonts w:hint="eastAsia"/>
                <w:color w:val="auto"/>
                <w:szCs w:val="21"/>
              </w:rPr>
              <w:t xml:space="preserve">    造价工程师</w:t>
            </w:r>
            <w:r>
              <w:rPr>
                <w:rFonts w:hint="eastAsia"/>
                <w:color w:val="auto"/>
                <w:szCs w:val="21"/>
                <w:u w:val="single"/>
              </w:rPr>
              <w:t xml:space="preserve">           </w:t>
            </w:r>
          </w:p>
          <w:p w14:paraId="5C0D39D9">
            <w:pPr>
              <w:spacing w:line="360" w:lineRule="exact"/>
              <w:ind w:firstLine="435"/>
              <w:jc w:val="center"/>
              <w:rPr>
                <w:color w:val="auto"/>
                <w:szCs w:val="21"/>
                <w:u w:val="single"/>
              </w:rPr>
            </w:pPr>
            <w:r>
              <w:rPr>
                <w:color w:val="auto"/>
                <w:szCs w:val="21"/>
              </w:rPr>
              <w:t xml:space="preserve">    </w:t>
            </w:r>
            <w:r>
              <w:rPr>
                <w:rFonts w:hint="eastAsia"/>
                <w:color w:val="auto"/>
                <w:szCs w:val="21"/>
              </w:rPr>
              <w:t>日      期</w:t>
            </w:r>
            <w:r>
              <w:rPr>
                <w:rFonts w:hint="eastAsia"/>
                <w:color w:val="auto"/>
                <w:szCs w:val="21"/>
                <w:u w:val="single"/>
              </w:rPr>
              <w:t xml:space="preserve">           </w:t>
            </w:r>
          </w:p>
        </w:tc>
      </w:tr>
      <w:tr w14:paraId="11F4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240" w:type="dxa"/>
            <w:gridSpan w:val="2"/>
          </w:tcPr>
          <w:p w14:paraId="48BCC067">
            <w:pPr>
              <w:spacing w:line="400" w:lineRule="exact"/>
              <w:rPr>
                <w:color w:val="auto"/>
                <w:szCs w:val="21"/>
              </w:rPr>
            </w:pPr>
            <w:r>
              <w:rPr>
                <w:rFonts w:hint="eastAsia"/>
                <w:color w:val="auto"/>
                <w:szCs w:val="21"/>
              </w:rPr>
              <w:t>审核意见：</w:t>
            </w:r>
          </w:p>
          <w:p w14:paraId="6F3EDBC1">
            <w:pPr>
              <w:spacing w:line="400" w:lineRule="exact"/>
              <w:ind w:firstLine="435"/>
              <w:rPr>
                <w:color w:val="auto"/>
                <w:szCs w:val="21"/>
              </w:rPr>
            </w:pPr>
            <w:r>
              <w:rPr>
                <w:rFonts w:hint="eastAsia"/>
                <w:color w:val="auto"/>
                <w:szCs w:val="21"/>
              </w:rPr>
              <w:t>□不同意。</w:t>
            </w:r>
          </w:p>
          <w:p w14:paraId="097947C1">
            <w:pPr>
              <w:spacing w:line="400" w:lineRule="exact"/>
              <w:ind w:firstLine="420" w:firstLineChars="200"/>
              <w:rPr>
                <w:color w:val="auto"/>
                <w:szCs w:val="21"/>
              </w:rPr>
            </w:pPr>
            <w:r>
              <w:rPr>
                <w:rFonts w:hint="eastAsia"/>
                <w:color w:val="auto"/>
                <w:szCs w:val="21"/>
              </w:rPr>
              <w:t>□同意，支付时间为本表签发后的15天内。</w:t>
            </w:r>
          </w:p>
          <w:p w14:paraId="0DF339EA">
            <w:pPr>
              <w:wordWrap w:val="0"/>
              <w:spacing w:line="400" w:lineRule="exact"/>
              <w:ind w:firstLine="420" w:firstLineChars="200"/>
              <w:jc w:val="right"/>
              <w:rPr>
                <w:color w:val="auto"/>
                <w:szCs w:val="21"/>
              </w:rPr>
            </w:pPr>
            <w:r>
              <w:rPr>
                <w:rFonts w:hint="eastAsia"/>
                <w:color w:val="auto"/>
                <w:szCs w:val="21"/>
              </w:rPr>
              <w:t xml:space="preserve">发包人（章）           </w:t>
            </w:r>
          </w:p>
          <w:p w14:paraId="431C6F68">
            <w:pPr>
              <w:wordWrap w:val="0"/>
              <w:spacing w:line="400" w:lineRule="exact"/>
              <w:ind w:firstLine="420" w:firstLineChars="200"/>
              <w:jc w:val="right"/>
              <w:rPr>
                <w:color w:val="auto"/>
                <w:szCs w:val="21"/>
                <w:u w:val="single"/>
              </w:rPr>
            </w:pPr>
            <w:r>
              <w:rPr>
                <w:rFonts w:hint="eastAsia"/>
                <w:color w:val="auto"/>
                <w:szCs w:val="21"/>
              </w:rPr>
              <w:t>发包人代表</w:t>
            </w:r>
            <w:r>
              <w:rPr>
                <w:rFonts w:hint="eastAsia"/>
                <w:color w:val="auto"/>
                <w:szCs w:val="21"/>
                <w:u w:val="single"/>
              </w:rPr>
              <w:t xml:space="preserve">             </w:t>
            </w:r>
          </w:p>
          <w:p w14:paraId="61B03AAD">
            <w:pPr>
              <w:wordWrap w:val="0"/>
              <w:spacing w:line="400" w:lineRule="exact"/>
              <w:ind w:firstLine="420" w:firstLineChars="200"/>
              <w:jc w:val="right"/>
              <w:rPr>
                <w:color w:val="auto"/>
                <w:szCs w:val="21"/>
                <w:u w:val="single"/>
              </w:rPr>
            </w:pPr>
            <w:r>
              <w:rPr>
                <w:rFonts w:hint="eastAsia"/>
                <w:color w:val="auto"/>
                <w:szCs w:val="21"/>
              </w:rPr>
              <w:t>日      期</w:t>
            </w:r>
            <w:r>
              <w:rPr>
                <w:rFonts w:hint="eastAsia"/>
                <w:color w:val="auto"/>
                <w:szCs w:val="21"/>
                <w:u w:val="single"/>
              </w:rPr>
              <w:t xml:space="preserve">             </w:t>
            </w:r>
          </w:p>
        </w:tc>
      </w:tr>
    </w:tbl>
    <w:p w14:paraId="6C62E05B">
      <w:pPr>
        <w:spacing w:beforeLines="50"/>
        <w:ind w:firstLine="360" w:firstLineChars="200"/>
        <w:rPr>
          <w:color w:val="auto"/>
          <w:sz w:val="18"/>
          <w:szCs w:val="18"/>
        </w:rPr>
      </w:pPr>
      <w:r>
        <w:rPr>
          <w:rFonts w:hint="eastAsia"/>
          <w:color w:val="auto"/>
          <w:sz w:val="18"/>
          <w:szCs w:val="18"/>
        </w:rPr>
        <w:t xml:space="preserve">注：1.在选择栏中的“□”内作标识“√”。 </w:t>
      </w:r>
    </w:p>
    <w:p w14:paraId="2E0AD4CA">
      <w:pPr>
        <w:spacing w:beforeLines="50"/>
        <w:ind w:left="720" w:hanging="720" w:hangingChars="400"/>
        <w:rPr>
          <w:color w:val="auto"/>
          <w:sz w:val="18"/>
          <w:szCs w:val="18"/>
        </w:rPr>
      </w:pPr>
      <w:r>
        <w:rPr>
          <w:rFonts w:hint="eastAsia"/>
          <w:color w:val="auto"/>
          <w:sz w:val="18"/>
          <w:szCs w:val="18"/>
        </w:rPr>
        <w:t xml:space="preserve">    </w:t>
      </w:r>
      <w:r>
        <w:rPr>
          <w:color w:val="auto"/>
          <w:sz w:val="18"/>
          <w:szCs w:val="18"/>
        </w:rPr>
        <w:t xml:space="preserve">  </w:t>
      </w:r>
      <w:r>
        <w:rPr>
          <w:rFonts w:hint="eastAsia"/>
          <w:color w:val="auto"/>
          <w:sz w:val="18"/>
          <w:szCs w:val="18"/>
        </w:rPr>
        <w:t xml:space="preserve">  2.本表一式四份，由承包人填报，发包人、监理人、造价咨询人、承包人各存一份。</w:t>
      </w:r>
    </w:p>
    <w:p w14:paraId="2CCAC4AE">
      <w:pPr>
        <w:ind w:right="360" w:rightChars="0"/>
        <w:jc w:val="left"/>
        <w:outlineLvl w:val="0"/>
        <w:rPr>
          <w:b/>
          <w:color w:val="auto"/>
          <w:sz w:val="30"/>
          <w:szCs w:val="30"/>
        </w:rPr>
      </w:pPr>
      <w:bookmarkStart w:id="1625" w:name="_Toc27010"/>
      <w:bookmarkStart w:id="1626" w:name="_Toc26753"/>
      <w:r>
        <w:rPr>
          <w:rFonts w:hint="eastAsia" w:hAnsi="宋体" w:cs="宋体"/>
          <w:color w:val="auto"/>
          <w:sz w:val="30"/>
          <w:szCs w:val="30"/>
        </w:rPr>
        <w:t>附件13：</w:t>
      </w:r>
      <w:bookmarkEnd w:id="1625"/>
      <w:bookmarkEnd w:id="1626"/>
    </w:p>
    <w:p w14:paraId="77A1BF79">
      <w:pPr>
        <w:jc w:val="center"/>
        <w:rPr>
          <w:b/>
          <w:color w:val="auto"/>
          <w:sz w:val="36"/>
          <w:szCs w:val="36"/>
        </w:rPr>
      </w:pPr>
      <w:r>
        <w:rPr>
          <w:rFonts w:hint="eastAsia"/>
          <w:b/>
          <w:color w:val="auto"/>
          <w:sz w:val="36"/>
          <w:szCs w:val="36"/>
        </w:rPr>
        <w:t>最终结算款支付申请（核准）表</w:t>
      </w:r>
    </w:p>
    <w:p w14:paraId="3B75E3A3">
      <w:pPr>
        <w:rPr>
          <w:color w:val="auto"/>
          <w:sz w:val="24"/>
        </w:rPr>
      </w:pPr>
      <w:r>
        <w:rPr>
          <w:rFonts w:hint="eastAsia"/>
          <w:color w:val="auto"/>
          <w:sz w:val="24"/>
        </w:rPr>
        <w:t>工程名称：                                             编号：</w:t>
      </w:r>
    </w:p>
    <w:tbl>
      <w:tblPr>
        <w:tblStyle w:val="4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9"/>
        <w:gridCol w:w="4533"/>
      </w:tblGrid>
      <w:tr w14:paraId="5C39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240" w:type="dxa"/>
            <w:gridSpan w:val="2"/>
          </w:tcPr>
          <w:p w14:paraId="6DC52219">
            <w:pPr>
              <w:spacing w:line="480" w:lineRule="exact"/>
              <w:ind w:left="524" w:leftChars="149" w:hanging="212" w:hangingChars="101"/>
              <w:rPr>
                <w:color w:val="auto"/>
                <w:szCs w:val="21"/>
                <w:u w:val="single"/>
              </w:rPr>
            </w:pPr>
            <w:r>
              <w:rPr>
                <w:rFonts w:hint="eastAsia"/>
                <w:color w:val="auto"/>
                <w:szCs w:val="21"/>
              </w:rPr>
              <w:t>致：</w:t>
            </w:r>
            <w:r>
              <w:rPr>
                <w:rFonts w:hint="eastAsia"/>
                <w:color w:val="auto"/>
                <w:szCs w:val="21"/>
                <w:u w:val="single"/>
              </w:rPr>
              <w:t xml:space="preserve">                                   （发包人全称）</w:t>
            </w:r>
          </w:p>
          <w:p w14:paraId="761AE7DE">
            <w:pPr>
              <w:spacing w:line="400" w:lineRule="exact"/>
              <w:ind w:left="-4" w:leftChars="-2" w:firstLine="315" w:firstLineChars="150"/>
              <w:rPr>
                <w:color w:val="auto"/>
                <w:szCs w:val="21"/>
              </w:rPr>
            </w:pPr>
            <w:r>
              <w:rPr>
                <w:rFonts w:hint="eastAsia"/>
                <w:color w:val="auto"/>
                <w:szCs w:val="21"/>
              </w:rPr>
              <w:t>我方于</w:t>
            </w:r>
            <w:r>
              <w:rPr>
                <w:rFonts w:hint="eastAsia"/>
                <w:color w:val="auto"/>
                <w:szCs w:val="21"/>
                <w:u w:val="single"/>
              </w:rPr>
              <w:t xml:space="preserve">         </w:t>
            </w:r>
            <w:r>
              <w:rPr>
                <w:rFonts w:hint="eastAsia"/>
                <w:color w:val="auto"/>
                <w:szCs w:val="21"/>
              </w:rPr>
              <w:t>至</w:t>
            </w:r>
            <w:r>
              <w:rPr>
                <w:rFonts w:hint="eastAsia"/>
                <w:color w:val="auto"/>
                <w:szCs w:val="21"/>
                <w:u w:val="single"/>
              </w:rPr>
              <w:t xml:space="preserve">          </w:t>
            </w:r>
            <w:r>
              <w:rPr>
                <w:rFonts w:hint="eastAsia"/>
                <w:color w:val="auto"/>
                <w:szCs w:val="21"/>
              </w:rPr>
              <w:t>期间已完成了缺陷修复工作，根据施工合同的约定，现申请支付最终结清合同款额为(大写)</w:t>
            </w:r>
            <w:r>
              <w:rPr>
                <w:rFonts w:hint="eastAsia"/>
                <w:color w:val="auto"/>
                <w:szCs w:val="21"/>
                <w:u w:val="single"/>
              </w:rPr>
              <w:t xml:space="preserve">            </w:t>
            </w:r>
            <w:r>
              <w:rPr>
                <w:rFonts w:hint="eastAsia"/>
                <w:color w:val="auto"/>
                <w:szCs w:val="21"/>
              </w:rPr>
              <w:t>元，(小写)</w:t>
            </w:r>
            <w:r>
              <w:rPr>
                <w:rFonts w:hint="eastAsia"/>
                <w:color w:val="auto"/>
                <w:szCs w:val="21"/>
                <w:u w:val="single"/>
              </w:rPr>
              <w:t xml:space="preserve">         </w:t>
            </w:r>
            <w:r>
              <w:rPr>
                <w:rFonts w:hint="eastAsia"/>
                <w:color w:val="auto"/>
                <w:szCs w:val="21"/>
              </w:rPr>
              <w:t>元，请予核准。</w:t>
            </w:r>
          </w:p>
          <w:tbl>
            <w:tblPr>
              <w:tblStyle w:val="48"/>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420"/>
              <w:gridCol w:w="1620"/>
              <w:gridCol w:w="1620"/>
              <w:gridCol w:w="1651"/>
            </w:tblGrid>
            <w:tr w14:paraId="71FD2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58B3DAC8">
                  <w:pPr>
                    <w:spacing w:line="280" w:lineRule="exact"/>
                    <w:jc w:val="center"/>
                    <w:rPr>
                      <w:color w:val="auto"/>
                      <w:szCs w:val="21"/>
                    </w:rPr>
                  </w:pPr>
                  <w:r>
                    <w:rPr>
                      <w:rFonts w:hint="eastAsia"/>
                      <w:color w:val="auto"/>
                      <w:szCs w:val="21"/>
                    </w:rPr>
                    <w:t>序号</w:t>
                  </w:r>
                </w:p>
              </w:tc>
              <w:tc>
                <w:tcPr>
                  <w:tcW w:w="3420" w:type="dxa"/>
                  <w:vAlign w:val="center"/>
                </w:tcPr>
                <w:p w14:paraId="06129286">
                  <w:pPr>
                    <w:spacing w:line="280" w:lineRule="exact"/>
                    <w:jc w:val="center"/>
                    <w:rPr>
                      <w:color w:val="auto"/>
                      <w:szCs w:val="21"/>
                    </w:rPr>
                  </w:pPr>
                  <w:r>
                    <w:rPr>
                      <w:rFonts w:hint="eastAsia"/>
                      <w:color w:val="auto"/>
                      <w:szCs w:val="21"/>
                    </w:rPr>
                    <w:t>名      称</w:t>
                  </w:r>
                </w:p>
              </w:tc>
              <w:tc>
                <w:tcPr>
                  <w:tcW w:w="1620" w:type="dxa"/>
                  <w:vAlign w:val="center"/>
                </w:tcPr>
                <w:p w14:paraId="4951F143">
                  <w:pPr>
                    <w:spacing w:line="280" w:lineRule="exact"/>
                    <w:jc w:val="center"/>
                    <w:rPr>
                      <w:color w:val="auto"/>
                      <w:szCs w:val="21"/>
                    </w:rPr>
                  </w:pPr>
                  <w:r>
                    <w:rPr>
                      <w:rFonts w:hint="eastAsia"/>
                      <w:color w:val="auto"/>
                      <w:szCs w:val="21"/>
                    </w:rPr>
                    <w:t>申请金额（元）</w:t>
                  </w:r>
                </w:p>
              </w:tc>
              <w:tc>
                <w:tcPr>
                  <w:tcW w:w="1620" w:type="dxa"/>
                  <w:vAlign w:val="center"/>
                </w:tcPr>
                <w:p w14:paraId="76EB8BB2">
                  <w:pPr>
                    <w:spacing w:line="280" w:lineRule="exact"/>
                    <w:jc w:val="center"/>
                    <w:rPr>
                      <w:color w:val="auto"/>
                      <w:szCs w:val="21"/>
                    </w:rPr>
                  </w:pPr>
                  <w:r>
                    <w:rPr>
                      <w:rFonts w:hint="eastAsia"/>
                      <w:color w:val="auto"/>
                      <w:szCs w:val="21"/>
                    </w:rPr>
                    <w:t>复核金额（元）</w:t>
                  </w:r>
                </w:p>
              </w:tc>
              <w:tc>
                <w:tcPr>
                  <w:tcW w:w="1651" w:type="dxa"/>
                  <w:vAlign w:val="center"/>
                </w:tcPr>
                <w:p w14:paraId="145651B7">
                  <w:pPr>
                    <w:spacing w:line="280" w:lineRule="exact"/>
                    <w:jc w:val="center"/>
                    <w:rPr>
                      <w:color w:val="auto"/>
                      <w:szCs w:val="21"/>
                    </w:rPr>
                  </w:pPr>
                  <w:r>
                    <w:rPr>
                      <w:rFonts w:hint="eastAsia"/>
                      <w:color w:val="auto"/>
                      <w:szCs w:val="21"/>
                    </w:rPr>
                    <w:t>备注</w:t>
                  </w:r>
                </w:p>
              </w:tc>
            </w:tr>
            <w:tr w14:paraId="5B1FE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095C016">
                  <w:pPr>
                    <w:spacing w:line="280" w:lineRule="exact"/>
                    <w:jc w:val="center"/>
                    <w:rPr>
                      <w:color w:val="auto"/>
                      <w:szCs w:val="21"/>
                    </w:rPr>
                  </w:pPr>
                  <w:r>
                    <w:rPr>
                      <w:rFonts w:hint="eastAsia"/>
                      <w:color w:val="auto"/>
                      <w:szCs w:val="21"/>
                    </w:rPr>
                    <w:t>1</w:t>
                  </w:r>
                </w:p>
              </w:tc>
              <w:tc>
                <w:tcPr>
                  <w:tcW w:w="3420" w:type="dxa"/>
                </w:tcPr>
                <w:p w14:paraId="4389391D">
                  <w:pPr>
                    <w:spacing w:line="280" w:lineRule="exact"/>
                    <w:rPr>
                      <w:color w:val="auto"/>
                      <w:szCs w:val="21"/>
                    </w:rPr>
                  </w:pPr>
                  <w:r>
                    <w:rPr>
                      <w:rFonts w:hint="eastAsia"/>
                      <w:color w:val="auto"/>
                      <w:szCs w:val="21"/>
                    </w:rPr>
                    <w:t>已预留的质量保证金</w:t>
                  </w:r>
                </w:p>
              </w:tc>
              <w:tc>
                <w:tcPr>
                  <w:tcW w:w="1620" w:type="dxa"/>
                </w:tcPr>
                <w:p w14:paraId="0FDE5441">
                  <w:pPr>
                    <w:spacing w:line="280" w:lineRule="exact"/>
                    <w:rPr>
                      <w:color w:val="auto"/>
                      <w:szCs w:val="21"/>
                    </w:rPr>
                  </w:pPr>
                </w:p>
              </w:tc>
              <w:tc>
                <w:tcPr>
                  <w:tcW w:w="1620" w:type="dxa"/>
                </w:tcPr>
                <w:p w14:paraId="5B25E2E5">
                  <w:pPr>
                    <w:spacing w:line="280" w:lineRule="exact"/>
                    <w:rPr>
                      <w:color w:val="auto"/>
                      <w:szCs w:val="21"/>
                    </w:rPr>
                  </w:pPr>
                </w:p>
              </w:tc>
              <w:tc>
                <w:tcPr>
                  <w:tcW w:w="1651" w:type="dxa"/>
                </w:tcPr>
                <w:p w14:paraId="70E5FCD4">
                  <w:pPr>
                    <w:spacing w:line="280" w:lineRule="exact"/>
                    <w:rPr>
                      <w:color w:val="auto"/>
                      <w:szCs w:val="21"/>
                    </w:rPr>
                  </w:pPr>
                </w:p>
              </w:tc>
            </w:tr>
            <w:tr w14:paraId="075D1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0C70F032">
                  <w:pPr>
                    <w:spacing w:line="280" w:lineRule="exact"/>
                    <w:jc w:val="center"/>
                    <w:rPr>
                      <w:color w:val="auto"/>
                      <w:szCs w:val="21"/>
                    </w:rPr>
                  </w:pPr>
                  <w:r>
                    <w:rPr>
                      <w:rFonts w:hint="eastAsia"/>
                      <w:color w:val="auto"/>
                      <w:szCs w:val="21"/>
                    </w:rPr>
                    <w:t>2</w:t>
                  </w:r>
                </w:p>
              </w:tc>
              <w:tc>
                <w:tcPr>
                  <w:tcW w:w="3420" w:type="dxa"/>
                </w:tcPr>
                <w:p w14:paraId="0271C40E">
                  <w:pPr>
                    <w:spacing w:line="280" w:lineRule="exact"/>
                    <w:rPr>
                      <w:color w:val="auto"/>
                      <w:szCs w:val="21"/>
                    </w:rPr>
                  </w:pPr>
                  <w:r>
                    <w:rPr>
                      <w:rFonts w:hint="eastAsia"/>
                      <w:color w:val="auto"/>
                      <w:szCs w:val="21"/>
                    </w:rPr>
                    <w:t>应增加因发包人原因造成缺陷的修复金额</w:t>
                  </w:r>
                </w:p>
              </w:tc>
              <w:tc>
                <w:tcPr>
                  <w:tcW w:w="1620" w:type="dxa"/>
                </w:tcPr>
                <w:p w14:paraId="549DE836">
                  <w:pPr>
                    <w:spacing w:line="280" w:lineRule="exact"/>
                    <w:rPr>
                      <w:color w:val="auto"/>
                      <w:szCs w:val="21"/>
                    </w:rPr>
                  </w:pPr>
                </w:p>
              </w:tc>
              <w:tc>
                <w:tcPr>
                  <w:tcW w:w="1620" w:type="dxa"/>
                </w:tcPr>
                <w:p w14:paraId="30B11128">
                  <w:pPr>
                    <w:spacing w:line="280" w:lineRule="exact"/>
                    <w:rPr>
                      <w:color w:val="auto"/>
                      <w:szCs w:val="21"/>
                    </w:rPr>
                  </w:pPr>
                </w:p>
              </w:tc>
              <w:tc>
                <w:tcPr>
                  <w:tcW w:w="1651" w:type="dxa"/>
                </w:tcPr>
                <w:p w14:paraId="59313E3C">
                  <w:pPr>
                    <w:spacing w:line="280" w:lineRule="exact"/>
                    <w:rPr>
                      <w:color w:val="auto"/>
                      <w:szCs w:val="21"/>
                    </w:rPr>
                  </w:pPr>
                </w:p>
              </w:tc>
            </w:tr>
            <w:tr w14:paraId="2DCB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00B23B38">
                  <w:pPr>
                    <w:spacing w:line="280" w:lineRule="exact"/>
                    <w:jc w:val="center"/>
                    <w:rPr>
                      <w:color w:val="auto"/>
                      <w:szCs w:val="21"/>
                    </w:rPr>
                  </w:pPr>
                  <w:r>
                    <w:rPr>
                      <w:rFonts w:hint="eastAsia"/>
                      <w:color w:val="auto"/>
                      <w:szCs w:val="21"/>
                    </w:rPr>
                    <w:t>3</w:t>
                  </w:r>
                </w:p>
              </w:tc>
              <w:tc>
                <w:tcPr>
                  <w:tcW w:w="3420" w:type="dxa"/>
                </w:tcPr>
                <w:p w14:paraId="63AD1FAD">
                  <w:pPr>
                    <w:spacing w:line="280" w:lineRule="exact"/>
                    <w:rPr>
                      <w:color w:val="auto"/>
                      <w:szCs w:val="21"/>
                    </w:rPr>
                  </w:pPr>
                  <w:r>
                    <w:rPr>
                      <w:rFonts w:hint="eastAsia"/>
                      <w:color w:val="auto"/>
                      <w:szCs w:val="21"/>
                    </w:rPr>
                    <w:t>应扣减承包人不修复缺陷、发包人组织修复的金额</w:t>
                  </w:r>
                </w:p>
              </w:tc>
              <w:tc>
                <w:tcPr>
                  <w:tcW w:w="1620" w:type="dxa"/>
                </w:tcPr>
                <w:p w14:paraId="2C00521E">
                  <w:pPr>
                    <w:spacing w:line="280" w:lineRule="exact"/>
                    <w:rPr>
                      <w:color w:val="auto"/>
                      <w:szCs w:val="21"/>
                    </w:rPr>
                  </w:pPr>
                </w:p>
              </w:tc>
              <w:tc>
                <w:tcPr>
                  <w:tcW w:w="1620" w:type="dxa"/>
                </w:tcPr>
                <w:p w14:paraId="36D6F681">
                  <w:pPr>
                    <w:spacing w:line="280" w:lineRule="exact"/>
                    <w:rPr>
                      <w:color w:val="auto"/>
                      <w:szCs w:val="21"/>
                    </w:rPr>
                  </w:pPr>
                </w:p>
              </w:tc>
              <w:tc>
                <w:tcPr>
                  <w:tcW w:w="1651" w:type="dxa"/>
                </w:tcPr>
                <w:p w14:paraId="33341E69">
                  <w:pPr>
                    <w:spacing w:line="280" w:lineRule="exact"/>
                    <w:rPr>
                      <w:color w:val="auto"/>
                      <w:szCs w:val="21"/>
                    </w:rPr>
                  </w:pPr>
                </w:p>
              </w:tc>
            </w:tr>
            <w:tr w14:paraId="72D77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83A8C4B">
                  <w:pPr>
                    <w:spacing w:line="280" w:lineRule="exact"/>
                    <w:jc w:val="center"/>
                    <w:rPr>
                      <w:color w:val="auto"/>
                      <w:szCs w:val="21"/>
                    </w:rPr>
                  </w:pPr>
                  <w:r>
                    <w:rPr>
                      <w:rFonts w:hint="eastAsia"/>
                      <w:color w:val="auto"/>
                      <w:szCs w:val="21"/>
                    </w:rPr>
                    <w:t>4</w:t>
                  </w:r>
                </w:p>
              </w:tc>
              <w:tc>
                <w:tcPr>
                  <w:tcW w:w="3420" w:type="dxa"/>
                </w:tcPr>
                <w:p w14:paraId="4714C62B">
                  <w:pPr>
                    <w:spacing w:line="280" w:lineRule="exact"/>
                    <w:rPr>
                      <w:color w:val="auto"/>
                      <w:szCs w:val="21"/>
                    </w:rPr>
                  </w:pPr>
                  <w:r>
                    <w:rPr>
                      <w:rFonts w:hint="eastAsia"/>
                      <w:color w:val="auto"/>
                      <w:szCs w:val="21"/>
                    </w:rPr>
                    <w:t>最终应支付的合同价款</w:t>
                  </w:r>
                </w:p>
              </w:tc>
              <w:tc>
                <w:tcPr>
                  <w:tcW w:w="1620" w:type="dxa"/>
                </w:tcPr>
                <w:p w14:paraId="72430E87">
                  <w:pPr>
                    <w:spacing w:line="280" w:lineRule="exact"/>
                    <w:rPr>
                      <w:color w:val="auto"/>
                      <w:szCs w:val="21"/>
                    </w:rPr>
                  </w:pPr>
                </w:p>
              </w:tc>
              <w:tc>
                <w:tcPr>
                  <w:tcW w:w="1620" w:type="dxa"/>
                </w:tcPr>
                <w:p w14:paraId="4D79C311">
                  <w:pPr>
                    <w:spacing w:line="280" w:lineRule="exact"/>
                    <w:rPr>
                      <w:color w:val="auto"/>
                      <w:szCs w:val="21"/>
                    </w:rPr>
                  </w:pPr>
                </w:p>
              </w:tc>
              <w:tc>
                <w:tcPr>
                  <w:tcW w:w="1651" w:type="dxa"/>
                </w:tcPr>
                <w:p w14:paraId="5ED0E354">
                  <w:pPr>
                    <w:spacing w:line="280" w:lineRule="exact"/>
                    <w:rPr>
                      <w:color w:val="auto"/>
                      <w:szCs w:val="21"/>
                    </w:rPr>
                  </w:pPr>
                </w:p>
              </w:tc>
            </w:tr>
            <w:tr w14:paraId="67E7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BB35288">
                  <w:pPr>
                    <w:spacing w:line="280" w:lineRule="exact"/>
                    <w:jc w:val="center"/>
                    <w:rPr>
                      <w:color w:val="auto"/>
                      <w:szCs w:val="21"/>
                    </w:rPr>
                  </w:pPr>
                </w:p>
              </w:tc>
              <w:tc>
                <w:tcPr>
                  <w:tcW w:w="3420" w:type="dxa"/>
                </w:tcPr>
                <w:p w14:paraId="440C180C">
                  <w:pPr>
                    <w:spacing w:line="280" w:lineRule="exact"/>
                    <w:rPr>
                      <w:color w:val="auto"/>
                      <w:szCs w:val="21"/>
                    </w:rPr>
                  </w:pPr>
                </w:p>
              </w:tc>
              <w:tc>
                <w:tcPr>
                  <w:tcW w:w="1620" w:type="dxa"/>
                </w:tcPr>
                <w:p w14:paraId="5A59E403">
                  <w:pPr>
                    <w:spacing w:line="280" w:lineRule="exact"/>
                    <w:rPr>
                      <w:color w:val="auto"/>
                      <w:szCs w:val="21"/>
                    </w:rPr>
                  </w:pPr>
                </w:p>
              </w:tc>
              <w:tc>
                <w:tcPr>
                  <w:tcW w:w="1620" w:type="dxa"/>
                </w:tcPr>
                <w:p w14:paraId="1F80911C">
                  <w:pPr>
                    <w:spacing w:line="280" w:lineRule="exact"/>
                    <w:rPr>
                      <w:color w:val="auto"/>
                      <w:szCs w:val="21"/>
                    </w:rPr>
                  </w:pPr>
                </w:p>
              </w:tc>
              <w:tc>
                <w:tcPr>
                  <w:tcW w:w="1651" w:type="dxa"/>
                </w:tcPr>
                <w:p w14:paraId="086FF5C0">
                  <w:pPr>
                    <w:spacing w:line="280" w:lineRule="exact"/>
                    <w:rPr>
                      <w:color w:val="auto"/>
                      <w:szCs w:val="21"/>
                    </w:rPr>
                  </w:pPr>
                </w:p>
              </w:tc>
            </w:tr>
            <w:tr w14:paraId="38761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C57D016">
                  <w:pPr>
                    <w:spacing w:line="280" w:lineRule="exact"/>
                    <w:jc w:val="center"/>
                    <w:rPr>
                      <w:color w:val="auto"/>
                      <w:szCs w:val="21"/>
                    </w:rPr>
                  </w:pPr>
                </w:p>
              </w:tc>
              <w:tc>
                <w:tcPr>
                  <w:tcW w:w="3420" w:type="dxa"/>
                </w:tcPr>
                <w:p w14:paraId="3B38233F">
                  <w:pPr>
                    <w:spacing w:line="280" w:lineRule="exact"/>
                    <w:rPr>
                      <w:color w:val="auto"/>
                      <w:szCs w:val="21"/>
                    </w:rPr>
                  </w:pPr>
                </w:p>
              </w:tc>
              <w:tc>
                <w:tcPr>
                  <w:tcW w:w="1620" w:type="dxa"/>
                </w:tcPr>
                <w:p w14:paraId="051FA292">
                  <w:pPr>
                    <w:spacing w:line="280" w:lineRule="exact"/>
                    <w:rPr>
                      <w:color w:val="auto"/>
                      <w:szCs w:val="21"/>
                    </w:rPr>
                  </w:pPr>
                </w:p>
              </w:tc>
              <w:tc>
                <w:tcPr>
                  <w:tcW w:w="1620" w:type="dxa"/>
                </w:tcPr>
                <w:p w14:paraId="074D3FB9">
                  <w:pPr>
                    <w:spacing w:line="280" w:lineRule="exact"/>
                    <w:rPr>
                      <w:color w:val="auto"/>
                      <w:szCs w:val="21"/>
                    </w:rPr>
                  </w:pPr>
                </w:p>
              </w:tc>
              <w:tc>
                <w:tcPr>
                  <w:tcW w:w="1651" w:type="dxa"/>
                </w:tcPr>
                <w:p w14:paraId="57A9915D">
                  <w:pPr>
                    <w:spacing w:line="280" w:lineRule="exact"/>
                    <w:rPr>
                      <w:color w:val="auto"/>
                      <w:szCs w:val="21"/>
                    </w:rPr>
                  </w:pPr>
                </w:p>
              </w:tc>
            </w:tr>
            <w:tr w14:paraId="06E6B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D118BDD">
                  <w:pPr>
                    <w:spacing w:line="280" w:lineRule="exact"/>
                    <w:jc w:val="center"/>
                    <w:rPr>
                      <w:color w:val="auto"/>
                      <w:szCs w:val="21"/>
                    </w:rPr>
                  </w:pPr>
                </w:p>
              </w:tc>
              <w:tc>
                <w:tcPr>
                  <w:tcW w:w="3420" w:type="dxa"/>
                </w:tcPr>
                <w:p w14:paraId="4E6361A1">
                  <w:pPr>
                    <w:spacing w:line="280" w:lineRule="exact"/>
                    <w:rPr>
                      <w:color w:val="auto"/>
                      <w:szCs w:val="21"/>
                    </w:rPr>
                  </w:pPr>
                </w:p>
              </w:tc>
              <w:tc>
                <w:tcPr>
                  <w:tcW w:w="1620" w:type="dxa"/>
                </w:tcPr>
                <w:p w14:paraId="0C5EE53F">
                  <w:pPr>
                    <w:spacing w:line="280" w:lineRule="exact"/>
                    <w:rPr>
                      <w:color w:val="auto"/>
                      <w:szCs w:val="21"/>
                    </w:rPr>
                  </w:pPr>
                </w:p>
              </w:tc>
              <w:tc>
                <w:tcPr>
                  <w:tcW w:w="1620" w:type="dxa"/>
                </w:tcPr>
                <w:p w14:paraId="74324601">
                  <w:pPr>
                    <w:spacing w:line="280" w:lineRule="exact"/>
                    <w:rPr>
                      <w:color w:val="auto"/>
                      <w:szCs w:val="21"/>
                    </w:rPr>
                  </w:pPr>
                </w:p>
              </w:tc>
              <w:tc>
                <w:tcPr>
                  <w:tcW w:w="1651" w:type="dxa"/>
                </w:tcPr>
                <w:p w14:paraId="21A5656E">
                  <w:pPr>
                    <w:spacing w:line="280" w:lineRule="exact"/>
                    <w:rPr>
                      <w:color w:val="auto"/>
                      <w:szCs w:val="21"/>
                    </w:rPr>
                  </w:pPr>
                </w:p>
              </w:tc>
            </w:tr>
            <w:tr w14:paraId="3455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28D6D87">
                  <w:pPr>
                    <w:spacing w:line="280" w:lineRule="exact"/>
                    <w:jc w:val="center"/>
                    <w:rPr>
                      <w:color w:val="auto"/>
                      <w:szCs w:val="21"/>
                    </w:rPr>
                  </w:pPr>
                </w:p>
              </w:tc>
              <w:tc>
                <w:tcPr>
                  <w:tcW w:w="3420" w:type="dxa"/>
                </w:tcPr>
                <w:p w14:paraId="1E89272D">
                  <w:pPr>
                    <w:spacing w:line="280" w:lineRule="exact"/>
                    <w:rPr>
                      <w:color w:val="auto"/>
                      <w:szCs w:val="21"/>
                    </w:rPr>
                  </w:pPr>
                </w:p>
              </w:tc>
              <w:tc>
                <w:tcPr>
                  <w:tcW w:w="1620" w:type="dxa"/>
                </w:tcPr>
                <w:p w14:paraId="4E890BFD">
                  <w:pPr>
                    <w:spacing w:line="280" w:lineRule="exact"/>
                    <w:rPr>
                      <w:color w:val="auto"/>
                      <w:szCs w:val="21"/>
                    </w:rPr>
                  </w:pPr>
                </w:p>
              </w:tc>
              <w:tc>
                <w:tcPr>
                  <w:tcW w:w="1620" w:type="dxa"/>
                </w:tcPr>
                <w:p w14:paraId="4EE66C9F">
                  <w:pPr>
                    <w:spacing w:line="280" w:lineRule="exact"/>
                    <w:rPr>
                      <w:color w:val="auto"/>
                      <w:szCs w:val="21"/>
                    </w:rPr>
                  </w:pPr>
                </w:p>
              </w:tc>
              <w:tc>
                <w:tcPr>
                  <w:tcW w:w="1651" w:type="dxa"/>
                </w:tcPr>
                <w:p w14:paraId="2BEA02FA">
                  <w:pPr>
                    <w:spacing w:line="280" w:lineRule="exact"/>
                    <w:rPr>
                      <w:color w:val="auto"/>
                      <w:szCs w:val="21"/>
                    </w:rPr>
                  </w:pPr>
                </w:p>
              </w:tc>
            </w:tr>
          </w:tbl>
          <w:p w14:paraId="089BEE9E">
            <w:pPr>
              <w:spacing w:line="400" w:lineRule="exact"/>
              <w:ind w:right="420" w:firstLine="435"/>
              <w:jc w:val="center"/>
              <w:rPr>
                <w:color w:val="auto"/>
                <w:szCs w:val="21"/>
              </w:rPr>
            </w:pPr>
            <w:r>
              <w:rPr>
                <w:rFonts w:hint="eastAsia"/>
                <w:color w:val="auto"/>
                <w:szCs w:val="21"/>
              </w:rPr>
              <w:t xml:space="preserve">                                            承包人（章）             </w:t>
            </w:r>
          </w:p>
          <w:p w14:paraId="13197307">
            <w:pPr>
              <w:spacing w:line="400" w:lineRule="exact"/>
              <w:ind w:right="420" w:firstLine="435"/>
              <w:rPr>
                <w:color w:val="auto"/>
                <w:szCs w:val="21"/>
              </w:rPr>
            </w:pPr>
            <w:r>
              <w:rPr>
                <w:rFonts w:hint="eastAsia"/>
                <w:color w:val="auto"/>
                <w:szCs w:val="21"/>
              </w:rPr>
              <w:t>造价人员</w:t>
            </w:r>
            <w:r>
              <w:rPr>
                <w:rFonts w:hint="eastAsia"/>
                <w:color w:val="auto"/>
                <w:szCs w:val="21"/>
                <w:u w:val="single"/>
              </w:rPr>
              <w:t xml:space="preserve">               </w:t>
            </w:r>
            <w:r>
              <w:rPr>
                <w:rFonts w:hint="eastAsia"/>
                <w:color w:val="auto"/>
                <w:szCs w:val="21"/>
              </w:rPr>
              <w:t>承包人代表</w:t>
            </w:r>
            <w:r>
              <w:rPr>
                <w:rFonts w:hint="eastAsia"/>
                <w:color w:val="auto"/>
                <w:szCs w:val="21"/>
                <w:u w:val="single"/>
              </w:rPr>
              <w:t xml:space="preserve">               </w:t>
            </w:r>
            <w:r>
              <w:rPr>
                <w:rFonts w:hint="eastAsia"/>
                <w:color w:val="auto"/>
                <w:szCs w:val="21"/>
              </w:rPr>
              <w:t>日      期</w:t>
            </w:r>
            <w:r>
              <w:rPr>
                <w:rFonts w:hint="eastAsia"/>
                <w:color w:val="auto"/>
                <w:szCs w:val="21"/>
                <w:u w:val="single"/>
              </w:rPr>
              <w:t xml:space="preserve">               </w:t>
            </w:r>
          </w:p>
        </w:tc>
      </w:tr>
      <w:tr w14:paraId="0D6F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620" w:type="dxa"/>
          </w:tcPr>
          <w:p w14:paraId="72B88E6E">
            <w:pPr>
              <w:spacing w:line="360" w:lineRule="exact"/>
              <w:rPr>
                <w:color w:val="auto"/>
                <w:szCs w:val="21"/>
              </w:rPr>
            </w:pPr>
            <w:r>
              <w:rPr>
                <w:rFonts w:hint="eastAsia"/>
                <w:color w:val="auto"/>
                <w:szCs w:val="21"/>
              </w:rPr>
              <w:t>复核意见：</w:t>
            </w:r>
          </w:p>
          <w:p w14:paraId="5F9A2203">
            <w:pPr>
              <w:spacing w:line="360" w:lineRule="exact"/>
              <w:ind w:firstLine="312"/>
              <w:rPr>
                <w:color w:val="auto"/>
                <w:szCs w:val="21"/>
              </w:rPr>
            </w:pPr>
            <w:r>
              <w:rPr>
                <w:rFonts w:hint="eastAsia"/>
                <w:color w:val="auto"/>
                <w:szCs w:val="21"/>
              </w:rPr>
              <w:t>□与实际施工情况不相符，修改意见见附件。</w:t>
            </w:r>
          </w:p>
          <w:p w14:paraId="2BD0F151">
            <w:pPr>
              <w:spacing w:line="360" w:lineRule="exact"/>
              <w:ind w:firstLine="312"/>
              <w:rPr>
                <w:color w:val="auto"/>
                <w:szCs w:val="21"/>
              </w:rPr>
            </w:pPr>
            <w:r>
              <w:rPr>
                <w:rFonts w:hint="eastAsia"/>
                <w:color w:val="auto"/>
                <w:szCs w:val="21"/>
              </w:rPr>
              <w:t>□与实际施工情况相符，具体金额由造价工程师复核。</w:t>
            </w:r>
          </w:p>
          <w:p w14:paraId="2E914519">
            <w:pPr>
              <w:spacing w:line="360" w:lineRule="exact"/>
              <w:ind w:firstLine="435"/>
              <w:jc w:val="right"/>
              <w:rPr>
                <w:color w:val="auto"/>
                <w:szCs w:val="21"/>
              </w:rPr>
            </w:pPr>
          </w:p>
          <w:p w14:paraId="51228766">
            <w:pPr>
              <w:spacing w:line="360" w:lineRule="exact"/>
              <w:ind w:firstLine="435"/>
              <w:jc w:val="right"/>
              <w:rPr>
                <w:color w:val="auto"/>
                <w:szCs w:val="21"/>
              </w:rPr>
            </w:pPr>
          </w:p>
          <w:p w14:paraId="7DC8928A">
            <w:pPr>
              <w:spacing w:line="360" w:lineRule="exact"/>
              <w:ind w:firstLine="435"/>
              <w:jc w:val="center"/>
              <w:rPr>
                <w:color w:val="auto"/>
                <w:szCs w:val="21"/>
              </w:rPr>
            </w:pPr>
            <w:r>
              <w:rPr>
                <w:color w:val="auto"/>
                <w:szCs w:val="21"/>
              </w:rPr>
              <w:t xml:space="preserve">    </w:t>
            </w:r>
            <w:r>
              <w:rPr>
                <w:rFonts w:hint="eastAsia"/>
                <w:color w:val="auto"/>
                <w:szCs w:val="21"/>
              </w:rPr>
              <w:t xml:space="preserve">     </w:t>
            </w:r>
          </w:p>
          <w:p w14:paraId="709C8FB0">
            <w:pPr>
              <w:spacing w:line="360" w:lineRule="exact"/>
              <w:ind w:firstLine="435"/>
              <w:jc w:val="center"/>
              <w:rPr>
                <w:color w:val="auto"/>
                <w:szCs w:val="21"/>
                <w:u w:val="single"/>
              </w:rPr>
            </w:pPr>
            <w:r>
              <w:rPr>
                <w:rFonts w:hint="eastAsia"/>
                <w:color w:val="auto"/>
                <w:szCs w:val="21"/>
              </w:rPr>
              <w:t xml:space="preserve">        监理工程师</w:t>
            </w:r>
            <w:r>
              <w:rPr>
                <w:rFonts w:hint="eastAsia"/>
                <w:color w:val="auto"/>
                <w:szCs w:val="21"/>
                <w:u w:val="single"/>
              </w:rPr>
              <w:t xml:space="preserve">           </w:t>
            </w:r>
          </w:p>
          <w:p w14:paraId="323A0E05">
            <w:pPr>
              <w:spacing w:line="360" w:lineRule="exact"/>
              <w:ind w:firstLine="435"/>
              <w:jc w:val="center"/>
              <w:rPr>
                <w:color w:val="auto"/>
                <w:szCs w:val="21"/>
                <w:u w:val="single"/>
              </w:rPr>
            </w:pPr>
            <w:r>
              <w:rPr>
                <w:color w:val="auto"/>
                <w:szCs w:val="21"/>
              </w:rPr>
              <w:t xml:space="preserve">    </w:t>
            </w:r>
            <w:r>
              <w:rPr>
                <w:rFonts w:hint="eastAsia"/>
                <w:color w:val="auto"/>
                <w:szCs w:val="21"/>
              </w:rPr>
              <w:t xml:space="preserve">    日      期</w:t>
            </w:r>
            <w:r>
              <w:rPr>
                <w:rFonts w:hint="eastAsia"/>
                <w:color w:val="auto"/>
                <w:szCs w:val="21"/>
                <w:u w:val="single"/>
              </w:rPr>
              <w:t xml:space="preserve">           </w:t>
            </w:r>
          </w:p>
        </w:tc>
        <w:tc>
          <w:tcPr>
            <w:tcW w:w="4620" w:type="dxa"/>
          </w:tcPr>
          <w:p w14:paraId="4C30D06B">
            <w:pPr>
              <w:spacing w:line="360" w:lineRule="exact"/>
              <w:rPr>
                <w:color w:val="auto"/>
                <w:szCs w:val="21"/>
              </w:rPr>
            </w:pPr>
            <w:r>
              <w:rPr>
                <w:rFonts w:hint="eastAsia"/>
                <w:color w:val="auto"/>
                <w:szCs w:val="21"/>
              </w:rPr>
              <w:t>复核意见：</w:t>
            </w:r>
          </w:p>
          <w:p w14:paraId="285FAC0C">
            <w:pPr>
              <w:spacing w:line="360" w:lineRule="exact"/>
              <w:ind w:firstLine="435"/>
              <w:rPr>
                <w:color w:val="auto"/>
                <w:szCs w:val="21"/>
                <w:u w:val="single"/>
              </w:rPr>
            </w:pPr>
            <w:r>
              <w:rPr>
                <w:rFonts w:hint="eastAsia"/>
                <w:color w:val="auto"/>
                <w:szCs w:val="21"/>
              </w:rPr>
              <w:t>你方提出的支付申请经复核，最终应支付金额为（大写）</w:t>
            </w:r>
            <w:r>
              <w:rPr>
                <w:rFonts w:hint="eastAsia"/>
                <w:color w:val="auto"/>
                <w:szCs w:val="21"/>
                <w:u w:val="single"/>
              </w:rPr>
              <w:t xml:space="preserve">          </w:t>
            </w:r>
            <w:r>
              <w:rPr>
                <w:rFonts w:hint="eastAsia"/>
                <w:color w:val="auto"/>
                <w:szCs w:val="21"/>
              </w:rPr>
              <w:t xml:space="preserve">元，（小写）  </w:t>
            </w:r>
            <w:r>
              <w:rPr>
                <w:rFonts w:hint="eastAsia"/>
                <w:color w:val="auto"/>
                <w:szCs w:val="21"/>
                <w:u w:val="single"/>
              </w:rPr>
              <w:t xml:space="preserve">       </w:t>
            </w:r>
            <w:r>
              <w:rPr>
                <w:rFonts w:hint="eastAsia"/>
                <w:color w:val="auto"/>
                <w:szCs w:val="21"/>
              </w:rPr>
              <w:t>元。</w:t>
            </w:r>
          </w:p>
          <w:p w14:paraId="04C623E4">
            <w:pPr>
              <w:spacing w:line="360" w:lineRule="exact"/>
              <w:ind w:firstLine="435"/>
              <w:jc w:val="center"/>
              <w:rPr>
                <w:color w:val="auto"/>
                <w:szCs w:val="21"/>
              </w:rPr>
            </w:pPr>
            <w:r>
              <w:rPr>
                <w:color w:val="auto"/>
                <w:szCs w:val="21"/>
              </w:rPr>
              <w:t xml:space="preserve">    </w:t>
            </w:r>
          </w:p>
          <w:p w14:paraId="1CBC0560">
            <w:pPr>
              <w:spacing w:line="360" w:lineRule="exact"/>
              <w:ind w:firstLine="435"/>
              <w:jc w:val="center"/>
              <w:rPr>
                <w:color w:val="auto"/>
                <w:szCs w:val="21"/>
              </w:rPr>
            </w:pPr>
          </w:p>
          <w:p w14:paraId="70D578C8">
            <w:pPr>
              <w:spacing w:line="360" w:lineRule="exact"/>
              <w:ind w:firstLine="435"/>
              <w:jc w:val="center"/>
              <w:rPr>
                <w:color w:val="auto"/>
                <w:szCs w:val="21"/>
              </w:rPr>
            </w:pPr>
          </w:p>
          <w:p w14:paraId="77FDB5AF">
            <w:pPr>
              <w:spacing w:line="360" w:lineRule="exact"/>
              <w:ind w:firstLine="435"/>
              <w:jc w:val="center"/>
              <w:rPr>
                <w:color w:val="auto"/>
                <w:szCs w:val="21"/>
                <w:u w:val="single"/>
              </w:rPr>
            </w:pPr>
            <w:r>
              <w:rPr>
                <w:rFonts w:hint="eastAsia"/>
                <w:color w:val="auto"/>
                <w:szCs w:val="21"/>
              </w:rPr>
              <w:t xml:space="preserve">    造价工程师</w:t>
            </w:r>
            <w:r>
              <w:rPr>
                <w:rFonts w:hint="eastAsia"/>
                <w:color w:val="auto"/>
                <w:szCs w:val="21"/>
                <w:u w:val="single"/>
              </w:rPr>
              <w:t xml:space="preserve">           </w:t>
            </w:r>
          </w:p>
          <w:p w14:paraId="401A67FD">
            <w:pPr>
              <w:spacing w:line="360" w:lineRule="exact"/>
              <w:ind w:firstLine="435"/>
              <w:jc w:val="center"/>
              <w:rPr>
                <w:color w:val="auto"/>
                <w:szCs w:val="21"/>
                <w:u w:val="single"/>
              </w:rPr>
            </w:pPr>
            <w:r>
              <w:rPr>
                <w:color w:val="auto"/>
                <w:szCs w:val="21"/>
              </w:rPr>
              <w:t xml:space="preserve">    </w:t>
            </w:r>
            <w:r>
              <w:rPr>
                <w:rFonts w:hint="eastAsia"/>
                <w:color w:val="auto"/>
                <w:szCs w:val="21"/>
              </w:rPr>
              <w:t>日      期</w:t>
            </w:r>
            <w:r>
              <w:rPr>
                <w:rFonts w:hint="eastAsia"/>
                <w:color w:val="auto"/>
                <w:szCs w:val="21"/>
                <w:u w:val="single"/>
              </w:rPr>
              <w:t xml:space="preserve">           </w:t>
            </w:r>
          </w:p>
        </w:tc>
      </w:tr>
      <w:tr w14:paraId="72E8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240" w:type="dxa"/>
            <w:gridSpan w:val="2"/>
          </w:tcPr>
          <w:p w14:paraId="3FC61FBD">
            <w:pPr>
              <w:spacing w:line="400" w:lineRule="exact"/>
              <w:rPr>
                <w:color w:val="auto"/>
                <w:szCs w:val="21"/>
              </w:rPr>
            </w:pPr>
            <w:r>
              <w:rPr>
                <w:rFonts w:hint="eastAsia"/>
                <w:color w:val="auto"/>
                <w:szCs w:val="21"/>
              </w:rPr>
              <w:t>审核意见：</w:t>
            </w:r>
          </w:p>
          <w:p w14:paraId="0F3FF8C7">
            <w:pPr>
              <w:spacing w:line="400" w:lineRule="exact"/>
              <w:ind w:firstLine="435"/>
              <w:rPr>
                <w:color w:val="auto"/>
                <w:szCs w:val="21"/>
              </w:rPr>
            </w:pPr>
            <w:r>
              <w:rPr>
                <w:rFonts w:hint="eastAsia"/>
                <w:color w:val="auto"/>
                <w:szCs w:val="21"/>
              </w:rPr>
              <w:t>□不同意。</w:t>
            </w:r>
          </w:p>
          <w:p w14:paraId="533B386A">
            <w:pPr>
              <w:spacing w:line="400" w:lineRule="exact"/>
              <w:ind w:firstLine="420" w:firstLineChars="200"/>
              <w:rPr>
                <w:color w:val="auto"/>
                <w:szCs w:val="21"/>
              </w:rPr>
            </w:pPr>
            <w:r>
              <w:rPr>
                <w:rFonts w:hint="eastAsia"/>
                <w:color w:val="auto"/>
                <w:szCs w:val="21"/>
              </w:rPr>
              <w:t>□同意，支付时间为本表签发后的15天内。</w:t>
            </w:r>
          </w:p>
          <w:p w14:paraId="0BEB7880">
            <w:pPr>
              <w:wordWrap w:val="0"/>
              <w:spacing w:line="400" w:lineRule="exact"/>
              <w:ind w:firstLine="420" w:firstLineChars="200"/>
              <w:jc w:val="right"/>
              <w:rPr>
                <w:color w:val="auto"/>
                <w:szCs w:val="21"/>
              </w:rPr>
            </w:pPr>
            <w:r>
              <w:rPr>
                <w:rFonts w:hint="eastAsia"/>
                <w:color w:val="auto"/>
                <w:szCs w:val="21"/>
              </w:rPr>
              <w:t xml:space="preserve">发包人（章）           </w:t>
            </w:r>
          </w:p>
          <w:p w14:paraId="14CCCEB2">
            <w:pPr>
              <w:wordWrap w:val="0"/>
              <w:spacing w:line="400" w:lineRule="exact"/>
              <w:ind w:firstLine="420" w:firstLineChars="200"/>
              <w:jc w:val="right"/>
              <w:rPr>
                <w:color w:val="auto"/>
                <w:szCs w:val="21"/>
                <w:u w:val="single"/>
              </w:rPr>
            </w:pPr>
            <w:r>
              <w:rPr>
                <w:rFonts w:hint="eastAsia"/>
                <w:color w:val="auto"/>
                <w:szCs w:val="21"/>
              </w:rPr>
              <w:t>发包人代表</w:t>
            </w:r>
            <w:r>
              <w:rPr>
                <w:rFonts w:hint="eastAsia"/>
                <w:color w:val="auto"/>
                <w:szCs w:val="21"/>
                <w:u w:val="single"/>
              </w:rPr>
              <w:t xml:space="preserve">             </w:t>
            </w:r>
          </w:p>
          <w:p w14:paraId="40813A1E">
            <w:pPr>
              <w:wordWrap w:val="0"/>
              <w:spacing w:line="400" w:lineRule="exact"/>
              <w:ind w:firstLine="420" w:firstLineChars="200"/>
              <w:jc w:val="right"/>
              <w:rPr>
                <w:color w:val="auto"/>
                <w:szCs w:val="21"/>
                <w:u w:val="single"/>
              </w:rPr>
            </w:pPr>
            <w:r>
              <w:rPr>
                <w:rFonts w:hint="eastAsia"/>
                <w:color w:val="auto"/>
                <w:szCs w:val="21"/>
              </w:rPr>
              <w:t>日      期</w:t>
            </w:r>
            <w:r>
              <w:rPr>
                <w:rFonts w:hint="eastAsia"/>
                <w:color w:val="auto"/>
                <w:szCs w:val="21"/>
                <w:u w:val="single"/>
              </w:rPr>
              <w:t xml:space="preserve">             </w:t>
            </w:r>
          </w:p>
        </w:tc>
      </w:tr>
    </w:tbl>
    <w:p w14:paraId="33F034A6">
      <w:pPr>
        <w:spacing w:beforeLines="50"/>
        <w:ind w:firstLine="360" w:firstLineChars="200"/>
        <w:rPr>
          <w:color w:val="auto"/>
          <w:sz w:val="18"/>
          <w:szCs w:val="18"/>
        </w:rPr>
      </w:pPr>
      <w:r>
        <w:rPr>
          <w:rFonts w:hint="eastAsia"/>
          <w:color w:val="auto"/>
          <w:sz w:val="18"/>
          <w:szCs w:val="18"/>
        </w:rPr>
        <w:t>注：1.在选择栏中的“□”内作标识“√”。 如监理人已退场，监理工程师栏可空缺。</w:t>
      </w:r>
    </w:p>
    <w:p w14:paraId="09A4EB08">
      <w:pPr>
        <w:spacing w:beforeLines="50"/>
        <w:ind w:left="720" w:hanging="720" w:hangingChars="400"/>
        <w:rPr>
          <w:color w:val="auto"/>
          <w:sz w:val="18"/>
          <w:szCs w:val="18"/>
        </w:rPr>
      </w:pPr>
      <w:r>
        <w:rPr>
          <w:rFonts w:hint="eastAsia"/>
          <w:color w:val="auto"/>
          <w:sz w:val="18"/>
          <w:szCs w:val="18"/>
        </w:rPr>
        <w:t xml:space="preserve">    </w:t>
      </w:r>
      <w:r>
        <w:rPr>
          <w:color w:val="auto"/>
          <w:sz w:val="18"/>
          <w:szCs w:val="18"/>
        </w:rPr>
        <w:t xml:space="preserve">  </w:t>
      </w:r>
      <w:r>
        <w:rPr>
          <w:rFonts w:hint="eastAsia"/>
          <w:color w:val="auto"/>
          <w:sz w:val="18"/>
          <w:szCs w:val="18"/>
        </w:rPr>
        <w:t xml:space="preserve">  2.本表一式四份，由承包人填报，发包人、监理人、造价咨询人、承包人各存一份。</w:t>
      </w:r>
    </w:p>
    <w:p w14:paraId="4BA594D5">
      <w:pPr>
        <w:spacing w:line="360" w:lineRule="auto"/>
        <w:jc w:val="left"/>
        <w:outlineLvl w:val="0"/>
        <w:rPr>
          <w:rFonts w:hAnsi="宋体" w:cs="宋体"/>
          <w:color w:val="auto"/>
          <w:sz w:val="30"/>
          <w:szCs w:val="30"/>
        </w:rPr>
      </w:pPr>
      <w:bookmarkStart w:id="1627" w:name="_Toc12536"/>
      <w:bookmarkStart w:id="1628" w:name="_Toc25768"/>
      <w:r>
        <w:rPr>
          <w:rFonts w:hint="eastAsia"/>
          <w:color w:val="auto"/>
          <w:sz w:val="30"/>
          <w:szCs w:val="30"/>
        </w:rPr>
        <w:t>附件14：</w:t>
      </w:r>
      <w:bookmarkEnd w:id="1627"/>
      <w:bookmarkEnd w:id="1628"/>
    </w:p>
    <w:p w14:paraId="63384AA1">
      <w:pPr>
        <w:spacing w:line="360" w:lineRule="auto"/>
        <w:ind w:firstLine="720" w:firstLineChars="200"/>
        <w:jc w:val="center"/>
        <w:rPr>
          <w:rFonts w:ascii="宋体" w:hAnsi="宋体" w:cs="宋体"/>
          <w:color w:val="auto"/>
          <w:kern w:val="0"/>
          <w:sz w:val="36"/>
          <w:szCs w:val="36"/>
        </w:rPr>
      </w:pPr>
      <w:r>
        <w:rPr>
          <w:rFonts w:hint="eastAsia" w:ascii="宋体" w:hAnsi="宋体" w:cs="宋体"/>
          <w:color w:val="auto"/>
          <w:kern w:val="0"/>
          <w:sz w:val="36"/>
          <w:szCs w:val="36"/>
        </w:rPr>
        <w:t>总价合同进度款支付分解表</w:t>
      </w:r>
    </w:p>
    <w:p w14:paraId="3555C304">
      <w:pPr>
        <w:spacing w:line="360" w:lineRule="auto"/>
        <w:rPr>
          <w:rFonts w:ascii="宋体" w:hAnsi="宋体" w:cs="宋体"/>
          <w:color w:val="auto"/>
          <w:kern w:val="0"/>
          <w:szCs w:val="21"/>
        </w:rPr>
      </w:pPr>
      <w:r>
        <w:rPr>
          <w:rFonts w:hint="eastAsia" w:ascii="宋体" w:hAnsi="宋体" w:cs="宋体"/>
          <w:color w:val="auto"/>
          <w:kern w:val="0"/>
          <w:szCs w:val="21"/>
        </w:rPr>
        <w:t>工程名称：</w:t>
      </w:r>
    </w:p>
    <w:tbl>
      <w:tblPr>
        <w:tblStyle w:val="48"/>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3794"/>
        <w:gridCol w:w="2268"/>
        <w:gridCol w:w="2268"/>
      </w:tblGrid>
      <w:tr w14:paraId="29D1C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tcPr>
          <w:p w14:paraId="32B0EBD8">
            <w:pPr>
              <w:spacing w:line="360" w:lineRule="auto"/>
              <w:jc w:val="center"/>
              <w:rPr>
                <w:rFonts w:ascii="宋体" w:hAnsi="宋体" w:cs="宋体"/>
                <w:color w:val="auto"/>
                <w:kern w:val="0"/>
                <w:szCs w:val="21"/>
              </w:rPr>
            </w:pPr>
            <w:r>
              <w:rPr>
                <w:rFonts w:hint="eastAsia" w:ascii="宋体" w:hAnsi="宋体" w:cs="宋体"/>
                <w:color w:val="auto"/>
                <w:kern w:val="0"/>
                <w:szCs w:val="21"/>
              </w:rPr>
              <w:t>进度款期次</w:t>
            </w:r>
          </w:p>
        </w:tc>
        <w:tc>
          <w:tcPr>
            <w:tcW w:w="3794" w:type="dxa"/>
            <w:shd w:val="clear" w:color="auto" w:fill="auto"/>
          </w:tcPr>
          <w:p w14:paraId="126A6325">
            <w:pPr>
              <w:spacing w:line="360" w:lineRule="auto"/>
              <w:jc w:val="center"/>
              <w:rPr>
                <w:rFonts w:ascii="宋体" w:hAnsi="宋体" w:cs="宋体"/>
                <w:color w:val="auto"/>
                <w:kern w:val="0"/>
                <w:szCs w:val="21"/>
              </w:rPr>
            </w:pPr>
            <w:r>
              <w:rPr>
                <w:rFonts w:hint="eastAsia" w:ascii="宋体" w:hAnsi="宋体" w:cs="宋体"/>
                <w:color w:val="auto"/>
                <w:kern w:val="0"/>
                <w:szCs w:val="21"/>
              </w:rPr>
              <w:t>形象进度</w:t>
            </w:r>
          </w:p>
        </w:tc>
        <w:tc>
          <w:tcPr>
            <w:tcW w:w="2268" w:type="dxa"/>
            <w:shd w:val="clear" w:color="auto" w:fill="auto"/>
          </w:tcPr>
          <w:p w14:paraId="08269522">
            <w:pPr>
              <w:spacing w:line="360" w:lineRule="auto"/>
              <w:jc w:val="center"/>
              <w:rPr>
                <w:rFonts w:ascii="宋体" w:hAnsi="宋体" w:cs="宋体"/>
                <w:color w:val="auto"/>
                <w:kern w:val="0"/>
                <w:szCs w:val="21"/>
              </w:rPr>
            </w:pPr>
            <w:r>
              <w:rPr>
                <w:rFonts w:hint="eastAsia" w:ascii="宋体" w:hAnsi="宋体" w:cs="宋体"/>
                <w:color w:val="auto"/>
                <w:kern w:val="0"/>
                <w:szCs w:val="21"/>
              </w:rPr>
              <w:t>进度款付款金额（元）</w:t>
            </w:r>
          </w:p>
        </w:tc>
        <w:tc>
          <w:tcPr>
            <w:tcW w:w="2268" w:type="dxa"/>
            <w:shd w:val="clear" w:color="auto" w:fill="auto"/>
          </w:tcPr>
          <w:p w14:paraId="0FD93111">
            <w:pPr>
              <w:spacing w:line="360" w:lineRule="auto"/>
              <w:jc w:val="center"/>
              <w:rPr>
                <w:rFonts w:ascii="宋体" w:hAnsi="宋体" w:cs="宋体"/>
                <w:color w:val="auto"/>
                <w:kern w:val="0"/>
                <w:szCs w:val="21"/>
              </w:rPr>
            </w:pPr>
            <w:r>
              <w:rPr>
                <w:rFonts w:hint="eastAsia" w:ascii="宋体" w:hAnsi="宋体" w:cs="宋体"/>
                <w:color w:val="auto"/>
                <w:kern w:val="0"/>
                <w:szCs w:val="21"/>
              </w:rPr>
              <w:t>备注</w:t>
            </w:r>
          </w:p>
        </w:tc>
      </w:tr>
      <w:tr w14:paraId="60C63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tcPr>
          <w:p w14:paraId="37C25AD4">
            <w:pPr>
              <w:spacing w:line="360" w:lineRule="auto"/>
              <w:jc w:val="center"/>
              <w:rPr>
                <w:rFonts w:ascii="宋体" w:hAnsi="宋体" w:cs="宋体"/>
                <w:color w:val="auto"/>
                <w:kern w:val="0"/>
                <w:szCs w:val="21"/>
              </w:rPr>
            </w:pPr>
            <w:r>
              <w:rPr>
                <w:rFonts w:hint="eastAsia" w:ascii="宋体" w:hAnsi="宋体" w:cs="宋体"/>
                <w:color w:val="auto"/>
                <w:kern w:val="0"/>
                <w:szCs w:val="21"/>
              </w:rPr>
              <w:t>第一期</w:t>
            </w:r>
          </w:p>
        </w:tc>
        <w:tc>
          <w:tcPr>
            <w:tcW w:w="3794" w:type="dxa"/>
            <w:shd w:val="clear" w:color="auto" w:fill="auto"/>
          </w:tcPr>
          <w:p w14:paraId="692430D1">
            <w:pPr>
              <w:spacing w:line="360" w:lineRule="auto"/>
              <w:jc w:val="center"/>
              <w:rPr>
                <w:rFonts w:ascii="宋体" w:hAnsi="宋体" w:cs="宋体"/>
                <w:color w:val="auto"/>
                <w:kern w:val="0"/>
                <w:szCs w:val="21"/>
              </w:rPr>
            </w:pPr>
          </w:p>
        </w:tc>
        <w:tc>
          <w:tcPr>
            <w:tcW w:w="2268" w:type="dxa"/>
            <w:shd w:val="clear" w:color="auto" w:fill="auto"/>
          </w:tcPr>
          <w:p w14:paraId="15251EF7">
            <w:pPr>
              <w:spacing w:line="360" w:lineRule="auto"/>
              <w:jc w:val="center"/>
              <w:rPr>
                <w:rFonts w:ascii="宋体" w:hAnsi="宋体" w:cs="宋体"/>
                <w:color w:val="auto"/>
                <w:kern w:val="0"/>
                <w:szCs w:val="21"/>
              </w:rPr>
            </w:pPr>
          </w:p>
        </w:tc>
        <w:tc>
          <w:tcPr>
            <w:tcW w:w="2268" w:type="dxa"/>
            <w:shd w:val="clear" w:color="auto" w:fill="auto"/>
          </w:tcPr>
          <w:p w14:paraId="78E7E284">
            <w:pPr>
              <w:spacing w:line="360" w:lineRule="auto"/>
              <w:jc w:val="center"/>
              <w:rPr>
                <w:rFonts w:ascii="宋体" w:hAnsi="宋体" w:cs="宋体"/>
                <w:color w:val="auto"/>
                <w:kern w:val="0"/>
                <w:szCs w:val="21"/>
              </w:rPr>
            </w:pPr>
          </w:p>
        </w:tc>
      </w:tr>
      <w:tr w14:paraId="64138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tcPr>
          <w:p w14:paraId="5E84076C">
            <w:pPr>
              <w:spacing w:line="360" w:lineRule="auto"/>
              <w:jc w:val="center"/>
              <w:rPr>
                <w:rFonts w:ascii="宋体" w:hAnsi="宋体" w:cs="宋体"/>
                <w:color w:val="auto"/>
                <w:kern w:val="0"/>
                <w:szCs w:val="21"/>
              </w:rPr>
            </w:pPr>
            <w:r>
              <w:rPr>
                <w:rFonts w:hint="eastAsia" w:ascii="宋体" w:hAnsi="宋体" w:cs="宋体"/>
                <w:color w:val="auto"/>
                <w:kern w:val="0"/>
                <w:szCs w:val="21"/>
              </w:rPr>
              <w:t>第二期</w:t>
            </w:r>
          </w:p>
        </w:tc>
        <w:tc>
          <w:tcPr>
            <w:tcW w:w="3794" w:type="dxa"/>
            <w:shd w:val="clear" w:color="auto" w:fill="auto"/>
          </w:tcPr>
          <w:p w14:paraId="03AD1556">
            <w:pPr>
              <w:spacing w:line="360" w:lineRule="auto"/>
              <w:jc w:val="center"/>
              <w:rPr>
                <w:rFonts w:ascii="宋体" w:hAnsi="宋体" w:cs="宋体"/>
                <w:color w:val="auto"/>
                <w:kern w:val="0"/>
                <w:szCs w:val="21"/>
              </w:rPr>
            </w:pPr>
          </w:p>
        </w:tc>
        <w:tc>
          <w:tcPr>
            <w:tcW w:w="2268" w:type="dxa"/>
            <w:shd w:val="clear" w:color="auto" w:fill="auto"/>
          </w:tcPr>
          <w:p w14:paraId="12335A53">
            <w:pPr>
              <w:spacing w:line="360" w:lineRule="auto"/>
              <w:jc w:val="center"/>
              <w:rPr>
                <w:rFonts w:ascii="宋体" w:hAnsi="宋体" w:cs="宋体"/>
                <w:color w:val="auto"/>
                <w:kern w:val="0"/>
                <w:szCs w:val="21"/>
              </w:rPr>
            </w:pPr>
          </w:p>
        </w:tc>
        <w:tc>
          <w:tcPr>
            <w:tcW w:w="2268" w:type="dxa"/>
            <w:shd w:val="clear" w:color="auto" w:fill="auto"/>
          </w:tcPr>
          <w:p w14:paraId="4C96C13C">
            <w:pPr>
              <w:spacing w:line="360" w:lineRule="auto"/>
              <w:jc w:val="center"/>
              <w:rPr>
                <w:rFonts w:ascii="宋体" w:hAnsi="宋体" w:cs="宋体"/>
                <w:color w:val="auto"/>
                <w:kern w:val="0"/>
                <w:szCs w:val="21"/>
              </w:rPr>
            </w:pPr>
          </w:p>
        </w:tc>
      </w:tr>
      <w:tr w14:paraId="2EA9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tcPr>
          <w:p w14:paraId="2083F029">
            <w:pPr>
              <w:spacing w:line="360" w:lineRule="auto"/>
              <w:jc w:val="center"/>
              <w:rPr>
                <w:rFonts w:ascii="宋体" w:hAnsi="宋体" w:cs="宋体"/>
                <w:color w:val="auto"/>
                <w:kern w:val="0"/>
                <w:szCs w:val="21"/>
              </w:rPr>
            </w:pPr>
            <w:r>
              <w:rPr>
                <w:rFonts w:hint="eastAsia" w:ascii="宋体" w:hAnsi="宋体" w:cs="宋体"/>
                <w:color w:val="auto"/>
                <w:kern w:val="0"/>
                <w:szCs w:val="21"/>
              </w:rPr>
              <w:t>第三期</w:t>
            </w:r>
          </w:p>
        </w:tc>
        <w:tc>
          <w:tcPr>
            <w:tcW w:w="3794" w:type="dxa"/>
            <w:shd w:val="clear" w:color="auto" w:fill="auto"/>
          </w:tcPr>
          <w:p w14:paraId="0386F499">
            <w:pPr>
              <w:spacing w:line="360" w:lineRule="auto"/>
              <w:jc w:val="center"/>
              <w:rPr>
                <w:rFonts w:ascii="宋体" w:hAnsi="宋体" w:cs="宋体"/>
                <w:color w:val="auto"/>
                <w:kern w:val="0"/>
                <w:szCs w:val="21"/>
              </w:rPr>
            </w:pPr>
          </w:p>
        </w:tc>
        <w:tc>
          <w:tcPr>
            <w:tcW w:w="2268" w:type="dxa"/>
            <w:shd w:val="clear" w:color="auto" w:fill="auto"/>
          </w:tcPr>
          <w:p w14:paraId="1A158E78">
            <w:pPr>
              <w:spacing w:line="360" w:lineRule="auto"/>
              <w:jc w:val="center"/>
              <w:rPr>
                <w:rFonts w:ascii="宋体" w:hAnsi="宋体" w:cs="宋体"/>
                <w:color w:val="auto"/>
                <w:kern w:val="0"/>
                <w:szCs w:val="21"/>
              </w:rPr>
            </w:pPr>
          </w:p>
        </w:tc>
        <w:tc>
          <w:tcPr>
            <w:tcW w:w="2268" w:type="dxa"/>
            <w:shd w:val="clear" w:color="auto" w:fill="auto"/>
          </w:tcPr>
          <w:p w14:paraId="29740BB2">
            <w:pPr>
              <w:spacing w:line="360" w:lineRule="auto"/>
              <w:jc w:val="center"/>
              <w:rPr>
                <w:rFonts w:ascii="宋体" w:hAnsi="宋体" w:cs="宋体"/>
                <w:color w:val="auto"/>
                <w:kern w:val="0"/>
                <w:szCs w:val="21"/>
              </w:rPr>
            </w:pPr>
          </w:p>
        </w:tc>
      </w:tr>
      <w:tr w14:paraId="16BD8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tcPr>
          <w:p w14:paraId="31DF2A60">
            <w:pPr>
              <w:spacing w:line="360" w:lineRule="auto"/>
              <w:jc w:val="center"/>
              <w:rPr>
                <w:rFonts w:ascii="宋体" w:hAnsi="宋体" w:cs="宋体"/>
                <w:color w:val="auto"/>
                <w:kern w:val="0"/>
                <w:szCs w:val="21"/>
              </w:rPr>
            </w:pPr>
            <w:r>
              <w:rPr>
                <w:rFonts w:ascii="宋体" w:hAnsi="宋体" w:cs="宋体"/>
                <w:color w:val="auto"/>
                <w:kern w:val="0"/>
                <w:szCs w:val="21"/>
              </w:rPr>
              <w:t>……</w:t>
            </w:r>
          </w:p>
        </w:tc>
        <w:tc>
          <w:tcPr>
            <w:tcW w:w="3794" w:type="dxa"/>
            <w:shd w:val="clear" w:color="auto" w:fill="auto"/>
          </w:tcPr>
          <w:p w14:paraId="7CB718AA">
            <w:pPr>
              <w:spacing w:line="360" w:lineRule="auto"/>
              <w:jc w:val="center"/>
              <w:rPr>
                <w:rFonts w:ascii="宋体" w:hAnsi="宋体" w:cs="宋体"/>
                <w:color w:val="auto"/>
                <w:kern w:val="0"/>
                <w:szCs w:val="21"/>
              </w:rPr>
            </w:pPr>
          </w:p>
        </w:tc>
        <w:tc>
          <w:tcPr>
            <w:tcW w:w="2268" w:type="dxa"/>
            <w:shd w:val="clear" w:color="auto" w:fill="auto"/>
          </w:tcPr>
          <w:p w14:paraId="5282A36A">
            <w:pPr>
              <w:spacing w:line="360" w:lineRule="auto"/>
              <w:jc w:val="center"/>
              <w:rPr>
                <w:rFonts w:ascii="宋体" w:hAnsi="宋体" w:cs="宋体"/>
                <w:color w:val="auto"/>
                <w:kern w:val="0"/>
                <w:szCs w:val="21"/>
              </w:rPr>
            </w:pPr>
          </w:p>
        </w:tc>
        <w:tc>
          <w:tcPr>
            <w:tcW w:w="2268" w:type="dxa"/>
            <w:shd w:val="clear" w:color="auto" w:fill="auto"/>
          </w:tcPr>
          <w:p w14:paraId="587D014A">
            <w:pPr>
              <w:spacing w:line="360" w:lineRule="auto"/>
              <w:jc w:val="center"/>
              <w:rPr>
                <w:rFonts w:ascii="宋体" w:hAnsi="宋体" w:cs="宋体"/>
                <w:color w:val="auto"/>
                <w:kern w:val="0"/>
                <w:szCs w:val="21"/>
              </w:rPr>
            </w:pPr>
          </w:p>
        </w:tc>
      </w:tr>
      <w:tr w14:paraId="6EF5E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gridSpan w:val="2"/>
            <w:shd w:val="clear" w:color="auto" w:fill="auto"/>
          </w:tcPr>
          <w:p w14:paraId="4880B82C">
            <w:pPr>
              <w:spacing w:line="360" w:lineRule="exact"/>
              <w:ind w:firstLine="435"/>
              <w:jc w:val="center"/>
              <w:rPr>
                <w:color w:val="auto"/>
                <w:szCs w:val="21"/>
              </w:rPr>
            </w:pPr>
            <w:r>
              <w:rPr>
                <w:rFonts w:hint="eastAsia"/>
                <w:color w:val="auto"/>
                <w:szCs w:val="21"/>
              </w:rPr>
              <w:t>发包人代表签字：</w:t>
            </w:r>
          </w:p>
          <w:p w14:paraId="1F2EF93A">
            <w:pPr>
              <w:spacing w:line="360" w:lineRule="exact"/>
              <w:ind w:firstLine="435"/>
              <w:jc w:val="center"/>
              <w:rPr>
                <w:color w:val="auto"/>
                <w:szCs w:val="21"/>
              </w:rPr>
            </w:pPr>
          </w:p>
          <w:p w14:paraId="6A0955A2">
            <w:pPr>
              <w:spacing w:line="360" w:lineRule="exact"/>
              <w:ind w:firstLine="435"/>
              <w:jc w:val="center"/>
              <w:rPr>
                <w:color w:val="auto"/>
                <w:szCs w:val="21"/>
              </w:rPr>
            </w:pPr>
            <w:r>
              <w:rPr>
                <w:rFonts w:hint="eastAsia"/>
                <w:color w:val="auto"/>
                <w:szCs w:val="21"/>
              </w:rPr>
              <w:t>发包人（盖公章）</w:t>
            </w:r>
          </w:p>
          <w:p w14:paraId="687566AC">
            <w:pPr>
              <w:spacing w:line="360" w:lineRule="exact"/>
              <w:ind w:firstLine="435"/>
              <w:jc w:val="center"/>
              <w:rPr>
                <w:color w:val="auto"/>
                <w:szCs w:val="21"/>
              </w:rPr>
            </w:pPr>
          </w:p>
          <w:p w14:paraId="52D640F4">
            <w:pPr>
              <w:spacing w:line="360" w:lineRule="auto"/>
              <w:jc w:val="center"/>
              <w:rPr>
                <w:rFonts w:ascii="宋体" w:hAnsi="宋体" w:cs="宋体"/>
                <w:color w:val="auto"/>
                <w:kern w:val="0"/>
                <w:szCs w:val="21"/>
              </w:rPr>
            </w:pPr>
            <w:r>
              <w:rPr>
                <w:color w:val="auto"/>
                <w:szCs w:val="21"/>
              </w:rPr>
              <w:t xml:space="preserve">    </w:t>
            </w:r>
            <w:r>
              <w:rPr>
                <w:rFonts w:hint="eastAsia"/>
                <w:color w:val="auto"/>
                <w:szCs w:val="21"/>
              </w:rPr>
              <w:t xml:space="preserve">    日期</w:t>
            </w:r>
          </w:p>
        </w:tc>
        <w:tc>
          <w:tcPr>
            <w:tcW w:w="4536" w:type="dxa"/>
            <w:gridSpan w:val="2"/>
            <w:shd w:val="clear" w:color="auto" w:fill="auto"/>
          </w:tcPr>
          <w:p w14:paraId="33013E68">
            <w:pPr>
              <w:spacing w:line="360" w:lineRule="exact"/>
              <w:ind w:firstLine="435"/>
              <w:jc w:val="center"/>
              <w:rPr>
                <w:color w:val="auto"/>
                <w:szCs w:val="21"/>
              </w:rPr>
            </w:pPr>
            <w:r>
              <w:rPr>
                <w:rFonts w:hint="eastAsia"/>
                <w:color w:val="auto"/>
                <w:szCs w:val="21"/>
              </w:rPr>
              <w:t>承包人代表签字：</w:t>
            </w:r>
          </w:p>
          <w:p w14:paraId="6BADD444">
            <w:pPr>
              <w:spacing w:line="360" w:lineRule="exact"/>
              <w:ind w:firstLine="435"/>
              <w:jc w:val="center"/>
              <w:rPr>
                <w:color w:val="auto"/>
                <w:szCs w:val="21"/>
              </w:rPr>
            </w:pPr>
          </w:p>
          <w:p w14:paraId="3B6237EF">
            <w:pPr>
              <w:spacing w:line="360" w:lineRule="exact"/>
              <w:ind w:firstLine="435"/>
              <w:jc w:val="center"/>
              <w:rPr>
                <w:color w:val="auto"/>
                <w:szCs w:val="21"/>
              </w:rPr>
            </w:pPr>
            <w:r>
              <w:rPr>
                <w:rFonts w:hint="eastAsia"/>
                <w:color w:val="auto"/>
                <w:szCs w:val="21"/>
              </w:rPr>
              <w:t>承包人（盖公章）</w:t>
            </w:r>
          </w:p>
          <w:p w14:paraId="70458EAE">
            <w:pPr>
              <w:spacing w:line="360" w:lineRule="exact"/>
              <w:ind w:firstLine="435"/>
              <w:jc w:val="center"/>
              <w:rPr>
                <w:color w:val="auto"/>
                <w:szCs w:val="21"/>
              </w:rPr>
            </w:pPr>
          </w:p>
          <w:p w14:paraId="2C04337B">
            <w:pPr>
              <w:spacing w:line="360" w:lineRule="auto"/>
              <w:jc w:val="center"/>
              <w:rPr>
                <w:rFonts w:ascii="宋体" w:hAnsi="宋体" w:cs="宋体"/>
                <w:color w:val="auto"/>
                <w:kern w:val="0"/>
                <w:szCs w:val="21"/>
              </w:rPr>
            </w:pPr>
            <w:r>
              <w:rPr>
                <w:color w:val="auto"/>
                <w:szCs w:val="21"/>
              </w:rPr>
              <w:t xml:space="preserve">    </w:t>
            </w:r>
            <w:r>
              <w:rPr>
                <w:rFonts w:hint="eastAsia"/>
                <w:color w:val="auto"/>
                <w:szCs w:val="21"/>
              </w:rPr>
              <w:t xml:space="preserve">    日期</w:t>
            </w:r>
          </w:p>
        </w:tc>
      </w:tr>
    </w:tbl>
    <w:p w14:paraId="0889F31E">
      <w:pPr>
        <w:rPr>
          <w:rFonts w:ascii="Calibri" w:hAnsi="Calibri"/>
          <w:color w:val="auto"/>
          <w:sz w:val="20"/>
          <w:szCs w:val="22"/>
          <w:highlight w:val="white"/>
        </w:rPr>
      </w:pPr>
      <w:bookmarkStart w:id="1629" w:name="EBe5284d1842b94f0c98d02c465f9a426c"/>
      <w:r>
        <w:rPr>
          <w:rFonts w:hint="eastAsia" w:ascii="Calibri" w:hAnsi="Calibri"/>
          <w:color w:val="auto"/>
          <w:sz w:val="20"/>
          <w:szCs w:val="22"/>
          <w:highlight w:val="white"/>
        </w:rPr>
        <w:t xml:space="preserve"> </w:t>
      </w:r>
      <w:bookmarkEnd w:id="1629"/>
    </w:p>
    <w:p w14:paraId="197CD645">
      <w:pPr>
        <w:rPr>
          <w:rFonts w:ascii="Calibri" w:hAnsi="Calibri"/>
          <w:color w:val="auto"/>
          <w:szCs w:val="22"/>
          <w:highlight w:val="yellow"/>
        </w:rPr>
      </w:pPr>
      <w:bookmarkStart w:id="1630" w:name="EB65729a57b0ed4032909b38b1b878589c"/>
      <w:r>
        <w:rPr>
          <w:rFonts w:hint="eastAsia" w:ascii="Calibri" w:hAnsi="Calibri"/>
          <w:color w:val="auto"/>
          <w:sz w:val="20"/>
          <w:szCs w:val="22"/>
          <w:highlight w:val="white"/>
        </w:rPr>
        <w:t xml:space="preserve"> </w:t>
      </w:r>
      <w:bookmarkEnd w:id="1630"/>
      <w:bookmarkStart w:id="1631" w:name="EBb706f297d5d04c7ba31d72b62a31bd42"/>
      <w:r>
        <w:rPr>
          <w:rFonts w:hint="eastAsia" w:ascii="Calibri" w:hAnsi="Calibri"/>
          <w:color w:val="auto"/>
          <w:sz w:val="20"/>
          <w:szCs w:val="22"/>
          <w:highlight w:val="white"/>
        </w:rPr>
        <w:t xml:space="preserve"> </w:t>
      </w:r>
      <w:bookmarkEnd w:id="1631"/>
    </w:p>
    <w:p w14:paraId="71600FF6">
      <w:pPr>
        <w:spacing w:line="400" w:lineRule="exact"/>
        <w:rPr>
          <w:color w:val="auto"/>
          <w:sz w:val="24"/>
        </w:rPr>
      </w:pPr>
    </w:p>
    <w:p w14:paraId="5A7A9446">
      <w:pPr>
        <w:spacing w:line="400" w:lineRule="exact"/>
        <w:rPr>
          <w:color w:val="auto"/>
          <w:sz w:val="24"/>
        </w:rPr>
      </w:pPr>
    </w:p>
    <w:bookmarkEnd w:id="170"/>
    <w:p w14:paraId="0B48C32E">
      <w:pPr>
        <w:widowControl/>
        <w:jc w:val="left"/>
        <w:rPr>
          <w:color w:val="auto"/>
        </w:rPr>
      </w:pPr>
      <w:bookmarkStart w:id="1632" w:name="_Toc440877586"/>
      <w:bookmarkStart w:id="1633" w:name="_Toc430095344"/>
      <w:r>
        <w:rPr>
          <w:color w:val="auto"/>
        </w:rPr>
        <w:br w:type="page"/>
      </w:r>
    </w:p>
    <w:p w14:paraId="5DB2B5E1">
      <w:pPr>
        <w:pStyle w:val="296"/>
        <w:widowControl w:val="0"/>
        <w:spacing w:before="0" w:beforeAutospacing="0" w:after="0" w:afterAutospacing="0" w:line="360" w:lineRule="auto"/>
        <w:jc w:val="both"/>
        <w:rPr>
          <w:rStyle w:val="50"/>
          <w:rFonts w:eastAsia="宋体" w:cs="Times New Roman"/>
          <w:color w:val="auto"/>
          <w:sz w:val="30"/>
          <w:szCs w:val="30"/>
        </w:rPr>
      </w:pPr>
      <w:r>
        <w:rPr>
          <w:rStyle w:val="50"/>
          <w:rFonts w:hint="eastAsia" w:ascii="Times New Roman" w:hAnsi="Times New Roman" w:eastAsia="宋体" w:cs="Times New Roman"/>
          <w:color w:val="auto"/>
          <w:kern w:val="2"/>
          <w:sz w:val="30"/>
          <w:szCs w:val="30"/>
        </w:rPr>
        <w:t>附件15：</w:t>
      </w:r>
    </w:p>
    <w:p w14:paraId="1777F79C">
      <w:pPr>
        <w:pStyle w:val="298"/>
        <w:widowControl/>
        <w:spacing w:line="320" w:lineRule="exact"/>
        <w:ind w:firstLine="480" w:firstLineChars="200"/>
        <w:rPr>
          <w:rStyle w:val="50"/>
          <w:rFonts w:hint="eastAsia" w:eastAsia="宋体" w:cs="Times New Roman"/>
          <w:color w:val="auto"/>
          <w:sz w:val="24"/>
          <w:szCs w:val="24"/>
          <w:highlight w:val="cyan"/>
          <w:u w:val="single"/>
        </w:rPr>
      </w:pPr>
    </w:p>
    <w:p w14:paraId="538AA594">
      <w:pPr>
        <w:pStyle w:val="299"/>
        <w:keepLines w:val="0"/>
        <w:widowControl/>
        <w:spacing w:line="400" w:lineRule="exact"/>
        <w:jc w:val="center"/>
        <w:rPr>
          <w:rStyle w:val="50"/>
          <w:rFonts w:eastAsia="宋体" w:cs="Times New Roman"/>
          <w:color w:val="auto"/>
          <w:sz w:val="24"/>
          <w:szCs w:val="24"/>
        </w:rPr>
      </w:pPr>
      <w:r>
        <w:rPr>
          <w:rStyle w:val="50"/>
          <w:rFonts w:hint="eastAsia" w:ascii="Times New Roman" w:hAnsi="Times New Roman" w:eastAsia="宋体" w:cs="Times New Roman"/>
          <w:color w:val="auto"/>
          <w:sz w:val="24"/>
          <w:szCs w:val="24"/>
        </w:rPr>
        <w:t>廉政合同</w:t>
      </w:r>
    </w:p>
    <w:p w14:paraId="60996F81">
      <w:pPr>
        <w:pStyle w:val="298"/>
        <w:widowControl/>
        <w:snapToGrid w:val="0"/>
        <w:spacing w:line="400" w:lineRule="exact"/>
        <w:ind w:firstLine="420" w:firstLineChars="200"/>
        <w:rPr>
          <w:rStyle w:val="50"/>
          <w:rFonts w:hint="eastAsia" w:ascii="宋体" w:hAnsi="宋体" w:eastAsia="宋体" w:cs="Times New Roman"/>
          <w:color w:val="auto"/>
        </w:rPr>
      </w:pPr>
    </w:p>
    <w:p w14:paraId="14B8C9B4">
      <w:pPr>
        <w:pStyle w:val="298"/>
        <w:widowControl/>
        <w:snapToGrid w:val="0"/>
        <w:spacing w:line="400" w:lineRule="exact"/>
        <w:ind w:firstLine="420" w:firstLineChars="200"/>
        <w:rPr>
          <w:rStyle w:val="50"/>
          <w:rFonts w:hint="eastAsia" w:ascii="宋体" w:hAnsi="宋体" w:eastAsia="宋体" w:cs="Times New Roman"/>
          <w:color w:val="auto"/>
          <w:u w:val="single"/>
        </w:rPr>
      </w:pPr>
      <w:r>
        <w:rPr>
          <w:rStyle w:val="50"/>
          <w:rFonts w:hint="eastAsia" w:ascii="宋体" w:hAnsi="宋体" w:eastAsia="宋体" w:cs="Times New Roman"/>
          <w:color w:val="auto"/>
        </w:rPr>
        <w:t>根据国家有关工程建设、廉政建设的规定，为做好工程建设中的党风廉政建设，保证工程建设高效优质，保证建设资金的安全和有效使用以及投资效益，建设工程的项目法人</w:t>
      </w:r>
      <w:r>
        <w:rPr>
          <w:rStyle w:val="50"/>
          <w:rFonts w:hint="eastAsia" w:ascii="宋体" w:hAnsi="宋体" w:eastAsia="宋体" w:cs="Times New Roman"/>
          <w:color w:val="auto"/>
          <w:u w:val="single"/>
        </w:rPr>
        <w:t xml:space="preserve">         （</w:t>
      </w:r>
      <w:r>
        <w:rPr>
          <w:rStyle w:val="50"/>
          <w:rFonts w:hint="eastAsia" w:ascii="宋体" w:hAnsi="宋体" w:eastAsia="宋体" w:cs="Times New Roman"/>
          <w:color w:val="auto"/>
        </w:rPr>
        <w:t>以下简称“甲方”）与总承包单位</w:t>
      </w:r>
      <w:r>
        <w:rPr>
          <w:rStyle w:val="50"/>
          <w:rFonts w:hint="eastAsia" w:ascii="宋体" w:hAnsi="宋体" w:eastAsia="宋体" w:cs="Times New Roman"/>
          <w:color w:val="auto"/>
          <w:u w:val="single"/>
        </w:rPr>
        <w:t xml:space="preserve">       （</w:t>
      </w:r>
      <w:r>
        <w:rPr>
          <w:rStyle w:val="50"/>
          <w:rFonts w:hint="eastAsia" w:ascii="宋体" w:hAnsi="宋体" w:eastAsia="宋体" w:cs="Times New Roman"/>
          <w:color w:val="auto"/>
        </w:rPr>
        <w:t>以下简称“乙方”），特订立如下合同。</w:t>
      </w:r>
    </w:p>
    <w:p w14:paraId="436F0F2E">
      <w:pPr>
        <w:pStyle w:val="298"/>
        <w:widowControl/>
        <w:snapToGrid w:val="0"/>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1.甲乙双方的权利和义务</w:t>
      </w:r>
    </w:p>
    <w:p w14:paraId="551130FA">
      <w:pPr>
        <w:pStyle w:val="298"/>
        <w:widowControl/>
        <w:snapToGrid w:val="0"/>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（1）严格遵守党和国家的有关法律法规及中纪委监察部的有关规定。</w:t>
      </w:r>
    </w:p>
    <w:p w14:paraId="0079DCE7">
      <w:pPr>
        <w:pStyle w:val="298"/>
        <w:widowControl/>
        <w:snapToGrid w:val="0"/>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（2）严格执行工程的合同文件，自觉按合同办事。</w:t>
      </w:r>
    </w:p>
    <w:p w14:paraId="7047BD0E">
      <w:pPr>
        <w:pStyle w:val="298"/>
        <w:widowControl/>
        <w:snapToGrid w:val="0"/>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（3）双方的业务活动坚持公开、公正、诚信、透明的原则（法律认定的商业秘密和合同文件另有规定除外），不得损害国家和集体利益，违反工程建设管理规章制度。</w:t>
      </w:r>
    </w:p>
    <w:p w14:paraId="60A13118">
      <w:pPr>
        <w:pStyle w:val="298"/>
        <w:widowControl/>
        <w:snapToGrid w:val="0"/>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（4）建立健全廉政制度，开展廉政教育，设立廉政告示牌，公布举报电话，监督并认真查处违法违纪行为。</w:t>
      </w:r>
    </w:p>
    <w:p w14:paraId="19C744F7">
      <w:pPr>
        <w:pStyle w:val="298"/>
        <w:widowControl/>
        <w:snapToGrid w:val="0"/>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（5）发现对方在业务活动中有违反廉政规定的行为，有及时提醒对方纠正的权利及义务。</w:t>
      </w:r>
    </w:p>
    <w:p w14:paraId="489382AD">
      <w:pPr>
        <w:pStyle w:val="298"/>
        <w:widowControl/>
        <w:snapToGrid w:val="0"/>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（6）发现对方严重违反本合同义务条款的行为，有向其上级有关部门举报、建议给予处理并要求告知处理结果的权利。</w:t>
      </w:r>
    </w:p>
    <w:p w14:paraId="60919F9A">
      <w:pPr>
        <w:pStyle w:val="298"/>
        <w:widowControl/>
        <w:snapToGrid w:val="0"/>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2.甲方的义务</w:t>
      </w:r>
    </w:p>
    <w:p w14:paraId="1EE4937B">
      <w:pPr>
        <w:pStyle w:val="298"/>
        <w:widowControl/>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（1）甲方及其工作人员不得索要或接受乙方的礼金、有价证券和贵重物品，不得在乙方报销任何应由甲方或甲方工作人员个人支付的费用等。</w:t>
      </w:r>
    </w:p>
    <w:p w14:paraId="67FC2589">
      <w:pPr>
        <w:pStyle w:val="298"/>
        <w:widowControl/>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（2）甲方工作人员不得参加乙方安排的超标准宴请和娱乐活动；不得接受乙方提供的通讯工具、交通工具和高档办公用品等。</w:t>
      </w:r>
    </w:p>
    <w:p w14:paraId="6133A24D">
      <w:pPr>
        <w:pStyle w:val="298"/>
        <w:widowControl/>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（3）甲方及其工作人员不得要求或者接受乙方为其住房装修、婚丧嫁娶活动、配偶子女的工作安排以及出国出境、旅游等提供方便等。</w:t>
      </w:r>
    </w:p>
    <w:p w14:paraId="3BD2AD30">
      <w:pPr>
        <w:pStyle w:val="298"/>
        <w:widowControl/>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（4）甲方工作人及其配偶、子女不得从事与甲方工程有关的材料设备供应、工程分包、劳务等经济活动等。</w:t>
      </w:r>
    </w:p>
    <w:p w14:paraId="630D7EED">
      <w:pPr>
        <w:pStyle w:val="298"/>
        <w:widowControl/>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（5）甲方及其工作人员不得以任何理由向乙方推荐分包单位或推销材料，不得要求乙方购买合同规定外的材料和设备。</w:t>
      </w:r>
    </w:p>
    <w:p w14:paraId="2BBFD735">
      <w:pPr>
        <w:pStyle w:val="298"/>
        <w:widowControl/>
        <w:snapToGrid w:val="0"/>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（6）甲方工作人员要秉公办事，不准营私舞弊，不准利用职权从事各种个人有偿中介活动和安排个人施工队伍。</w:t>
      </w:r>
    </w:p>
    <w:p w14:paraId="7A1E8520">
      <w:pPr>
        <w:pStyle w:val="298"/>
        <w:widowControl/>
        <w:snapToGrid w:val="0"/>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3.乙方义务</w:t>
      </w:r>
    </w:p>
    <w:p w14:paraId="6589A3B7">
      <w:pPr>
        <w:pStyle w:val="298"/>
        <w:widowControl/>
        <w:snapToGrid w:val="0"/>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（1）乙方不得以任何理由向甲方及其工作人员行贿或馈赠礼金、有价证券、贵重礼品。</w:t>
      </w:r>
    </w:p>
    <w:p w14:paraId="354F22E8">
      <w:pPr>
        <w:pStyle w:val="298"/>
        <w:widowControl/>
        <w:snapToGrid w:val="0"/>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（2）乙方不得以任何名义为甲方及其工作人员报销应由甲方单位或个人支付的任何费用。</w:t>
      </w:r>
    </w:p>
    <w:p w14:paraId="2B0BA7D8">
      <w:pPr>
        <w:pStyle w:val="298"/>
        <w:widowControl/>
        <w:snapToGrid w:val="0"/>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（3）乙方不得以任何理由安排甲方工作人员参加超标准宴请及娱乐活动。</w:t>
      </w:r>
    </w:p>
    <w:p w14:paraId="062D8C46">
      <w:pPr>
        <w:pStyle w:val="298"/>
        <w:widowControl/>
        <w:snapToGrid w:val="0"/>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（4）乙方不得为甲方单位和个人购置或提供通讯工具、交通工具和高档办公用品等。</w:t>
      </w:r>
    </w:p>
    <w:p w14:paraId="6790F475">
      <w:pPr>
        <w:pStyle w:val="298"/>
        <w:widowControl/>
        <w:snapToGrid w:val="0"/>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4.违约责任</w:t>
      </w:r>
    </w:p>
    <w:p w14:paraId="52CC85BF">
      <w:pPr>
        <w:pStyle w:val="298"/>
        <w:widowControl/>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（1）甲方及其工作人员违反本合同第一、二条，按管理权限，依据有关规定给予党纪、政纪或组织处理；涉嫌犯罪的，移交司法机关追究刑事责任；给乙方单位造成经济损失的，应予以赔偿。</w:t>
      </w:r>
    </w:p>
    <w:p w14:paraId="3AD1A37B">
      <w:pPr>
        <w:pStyle w:val="298"/>
        <w:widowControl/>
        <w:spacing w:line="400" w:lineRule="exact"/>
        <w:ind w:firstLine="420" w:firstLineChars="200"/>
        <w:rPr>
          <w:rStyle w:val="50"/>
          <w:rFonts w:hint="eastAsia" w:ascii="宋体" w:hAnsi="宋体" w:eastAsia="宋体" w:cs="Times New Roman"/>
          <w:color w:val="auto"/>
        </w:rPr>
      </w:pPr>
      <w:r>
        <w:rPr>
          <w:rStyle w:val="50"/>
          <w:rFonts w:hint="eastAsia" w:ascii="宋体" w:hAnsi="宋体" w:eastAsia="宋体" w:cs="Times New Roman"/>
          <w:color w:val="auto"/>
        </w:rPr>
        <w:t>（2）乙方及其工作人员违反本合同第一、三条，按管理权限，依据有关规定给予党纪、政纪或组织处理；给甲方单位造成经济损失的，应予以赔偿；情节严重的，甲方建议工程建设主管部门给予乙方一至三年内不得进入其主管的工程建设市场的处罚。</w:t>
      </w:r>
    </w:p>
    <w:p w14:paraId="36556C6F">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b/>
          <w:color w:val="auto"/>
        </w:rPr>
        <w:t>5.双方约定</w:t>
      </w:r>
      <w:r>
        <w:rPr>
          <w:rStyle w:val="50"/>
          <w:rFonts w:hint="eastAsia" w:ascii="宋体" w:hAnsi="宋体" w:eastAsia="宋体" w:cs="Times New Roman"/>
          <w:color w:val="auto"/>
        </w:rPr>
        <w:t>：本合同由双方或双方上级单位的纪检监察机关负责监督执行。由甲方或甲方上级单位的纪检监察机关约请乙方或乙方上级单位纪检监察机关对本合同执行情况进行检查，提出在本合同规定范围内的裁定意见。</w:t>
      </w:r>
    </w:p>
    <w:p w14:paraId="6A40F971">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6.本合同有效期为甲乙双签署之日起至该工程项目竣工验收后止。</w:t>
      </w:r>
    </w:p>
    <w:p w14:paraId="09B75ACC">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7.本合同作为工程总承包合同的附件，与工程施工合同具有同等的法律效力。</w:t>
      </w:r>
    </w:p>
    <w:p w14:paraId="5E22117F">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8.本合同作为主合同附件，正本和副本份数与本合同专用条款第19.2条的约定相同。由双方法定代表人签字或盖章并加盖公章或合同专用章之日生效，全部工程竣工验收后失效。</w:t>
      </w:r>
    </w:p>
    <w:p w14:paraId="29460E55">
      <w:pPr>
        <w:pStyle w:val="298"/>
        <w:widowControl/>
        <w:spacing w:line="400" w:lineRule="exact"/>
        <w:rPr>
          <w:rStyle w:val="50"/>
          <w:rFonts w:hint="eastAsia" w:ascii="宋体" w:hAnsi="宋体" w:eastAsia="宋体" w:cs="Times New Roman"/>
          <w:color w:val="auto"/>
        </w:rPr>
      </w:pPr>
    </w:p>
    <w:p w14:paraId="5B2AB50F">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发包人：</w:t>
      </w:r>
      <w:r>
        <w:rPr>
          <w:rStyle w:val="50"/>
          <w:rFonts w:hint="eastAsia" w:ascii="宋体" w:hAnsi="宋体" w:eastAsia="宋体" w:cs="Times New Roman"/>
          <w:color w:val="auto"/>
          <w:u w:val="single"/>
        </w:rPr>
        <w:t xml:space="preserve">          </w:t>
      </w:r>
    </w:p>
    <w:p w14:paraId="3851D459">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（公章或合同专用章）</w:t>
      </w:r>
    </w:p>
    <w:p w14:paraId="5587AF91">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法定代表人：</w:t>
      </w:r>
    </w:p>
    <w:p w14:paraId="035CD0D7">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 xml:space="preserve">（签字或盖章）  </w:t>
      </w:r>
    </w:p>
    <w:p w14:paraId="3B70DC56">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地址：</w:t>
      </w:r>
    </w:p>
    <w:p w14:paraId="1679B9BB">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日期：</w:t>
      </w:r>
    </w:p>
    <w:p w14:paraId="237BF99A">
      <w:pPr>
        <w:pStyle w:val="298"/>
        <w:widowControl/>
        <w:spacing w:line="400" w:lineRule="exact"/>
        <w:rPr>
          <w:rStyle w:val="50"/>
          <w:rFonts w:hint="eastAsia" w:ascii="宋体" w:hAnsi="宋体" w:eastAsia="宋体" w:cs="Times New Roman"/>
          <w:color w:val="auto"/>
        </w:rPr>
      </w:pPr>
    </w:p>
    <w:p w14:paraId="1ED2EBF7">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承包人：</w:t>
      </w:r>
      <w:r>
        <w:rPr>
          <w:rStyle w:val="50"/>
          <w:rFonts w:hint="eastAsia" w:ascii="宋体" w:hAnsi="宋体" w:eastAsia="宋体" w:cs="Times New Roman"/>
          <w:color w:val="auto"/>
          <w:u w:val="single"/>
        </w:rPr>
        <w:t xml:space="preserve">       </w:t>
      </w:r>
    </w:p>
    <w:p w14:paraId="34E9071E">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（公章或合同专用章）</w:t>
      </w:r>
    </w:p>
    <w:p w14:paraId="3D94F188">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法定代表人：</w:t>
      </w:r>
    </w:p>
    <w:p w14:paraId="2DCBBA83">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 xml:space="preserve">（签字或盖章） </w:t>
      </w:r>
    </w:p>
    <w:p w14:paraId="683BCBF9">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地址：</w:t>
      </w:r>
    </w:p>
    <w:p w14:paraId="0D92FCA6">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rPr>
        <w:t>日期：</w:t>
      </w:r>
    </w:p>
    <w:p w14:paraId="1BB0984A">
      <w:pPr>
        <w:pStyle w:val="300"/>
        <w:widowControl w:val="0"/>
        <w:spacing w:before="0" w:beforeAutospacing="0" w:after="0" w:afterAutospacing="0"/>
        <w:jc w:val="both"/>
        <w:rPr>
          <w:rStyle w:val="50"/>
          <w:rFonts w:hint="eastAsia" w:eastAsia="宋体" w:cs="Times New Roman"/>
          <w:color w:val="auto"/>
        </w:rPr>
      </w:pPr>
    </w:p>
    <w:p w14:paraId="7D6FE7F7">
      <w:pPr>
        <w:widowControl/>
        <w:jc w:val="left"/>
        <w:rPr>
          <w:color w:val="auto"/>
        </w:rPr>
      </w:pPr>
    </w:p>
    <w:p w14:paraId="3C795F73">
      <w:pPr>
        <w:widowControl/>
        <w:jc w:val="left"/>
        <w:rPr>
          <w:color w:val="auto"/>
        </w:rPr>
      </w:pPr>
    </w:p>
    <w:p w14:paraId="3902B657">
      <w:pPr>
        <w:widowControl/>
        <w:jc w:val="left"/>
        <w:rPr>
          <w:color w:val="auto"/>
        </w:rPr>
      </w:pPr>
    </w:p>
    <w:p w14:paraId="3BB9F643">
      <w:pPr>
        <w:widowControl/>
        <w:jc w:val="left"/>
        <w:rPr>
          <w:color w:val="auto"/>
        </w:rPr>
      </w:pPr>
    </w:p>
    <w:p w14:paraId="597AC5A2">
      <w:pPr>
        <w:widowControl/>
        <w:jc w:val="left"/>
        <w:rPr>
          <w:color w:val="auto"/>
        </w:rPr>
      </w:pPr>
    </w:p>
    <w:p w14:paraId="19B75224">
      <w:pPr>
        <w:widowControl/>
        <w:jc w:val="left"/>
        <w:rPr>
          <w:color w:val="auto"/>
        </w:rPr>
      </w:pPr>
    </w:p>
    <w:p w14:paraId="1AD565AC">
      <w:pPr>
        <w:widowControl/>
        <w:jc w:val="left"/>
        <w:rPr>
          <w:color w:val="auto"/>
        </w:rPr>
      </w:pPr>
    </w:p>
    <w:p w14:paraId="672EFD1C">
      <w:pPr>
        <w:widowControl/>
        <w:jc w:val="left"/>
        <w:rPr>
          <w:color w:val="auto"/>
        </w:rPr>
      </w:pPr>
    </w:p>
    <w:p w14:paraId="7252A3A5">
      <w:pPr>
        <w:widowControl/>
        <w:jc w:val="left"/>
        <w:rPr>
          <w:color w:val="auto"/>
        </w:rPr>
      </w:pPr>
    </w:p>
    <w:p w14:paraId="4E3A7D6C">
      <w:pPr>
        <w:pStyle w:val="296"/>
        <w:widowControl w:val="0"/>
        <w:spacing w:before="0" w:beforeAutospacing="0" w:after="0" w:afterAutospacing="0" w:line="440" w:lineRule="exact"/>
        <w:jc w:val="both"/>
        <w:rPr>
          <w:rStyle w:val="50"/>
          <w:rFonts w:hint="eastAsia" w:eastAsia="宋体" w:cs="Times New Roman"/>
          <w:color w:val="auto"/>
          <w:sz w:val="24"/>
          <w:szCs w:val="24"/>
        </w:rPr>
      </w:pPr>
      <w:r>
        <w:rPr>
          <w:rStyle w:val="50"/>
          <w:rFonts w:hint="eastAsia" w:ascii="Times New Roman" w:hAnsi="Times New Roman" w:eastAsia="宋体" w:cs="Times New Roman"/>
          <w:color w:val="auto"/>
          <w:kern w:val="2"/>
          <w:sz w:val="30"/>
          <w:szCs w:val="30"/>
        </w:rPr>
        <w:t>附件16：</w:t>
      </w:r>
    </w:p>
    <w:p w14:paraId="5BFD0B55">
      <w:pPr>
        <w:pStyle w:val="298"/>
        <w:widowControl/>
        <w:spacing w:line="400" w:lineRule="exact"/>
        <w:rPr>
          <w:rStyle w:val="50"/>
          <w:rFonts w:hint="eastAsia" w:ascii="宋体" w:hAnsi="宋体" w:eastAsia="宋体" w:cs="Times New Roman"/>
          <w:color w:val="auto"/>
          <w:sz w:val="24"/>
          <w:szCs w:val="24"/>
        </w:rPr>
      </w:pPr>
    </w:p>
    <w:p w14:paraId="12CF6F9F">
      <w:pPr>
        <w:pStyle w:val="299"/>
        <w:keepLines w:val="0"/>
        <w:widowControl/>
        <w:spacing w:line="400" w:lineRule="exact"/>
        <w:jc w:val="center"/>
        <w:rPr>
          <w:rStyle w:val="50"/>
          <w:rFonts w:hint="eastAsia" w:eastAsia="宋体" w:cs="Times New Roman"/>
          <w:color w:val="auto"/>
          <w:sz w:val="24"/>
          <w:szCs w:val="24"/>
        </w:rPr>
      </w:pPr>
      <w:r>
        <w:rPr>
          <w:rStyle w:val="50"/>
          <w:rFonts w:hint="eastAsia" w:ascii="Times New Roman" w:hAnsi="Times New Roman" w:eastAsia="宋体" w:cs="Times New Roman"/>
          <w:color w:val="auto"/>
          <w:kern w:val="2"/>
          <w:sz w:val="24"/>
          <w:szCs w:val="24"/>
        </w:rPr>
        <w:t>安全生产合同</w:t>
      </w:r>
    </w:p>
    <w:p w14:paraId="68A6218F">
      <w:pPr>
        <w:pStyle w:val="298"/>
        <w:widowControl/>
        <w:snapToGrid w:val="0"/>
        <w:spacing w:line="400" w:lineRule="exact"/>
        <w:ind w:firstLine="480"/>
        <w:rPr>
          <w:rStyle w:val="50"/>
          <w:rFonts w:hint="eastAsia" w:ascii="宋体" w:hAnsi="宋体" w:eastAsia="宋体" w:cs="Times New Roman"/>
          <w:color w:val="auto"/>
        </w:rPr>
      </w:pPr>
    </w:p>
    <w:p w14:paraId="0C625554">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为在施工合同的实施过程中创造安全、高效的施工环境，切实搞好本项目的安全管理工作，本项目业主贺州市平桂区住房和城乡建设局（以下简称“甲方”）与承包人</w:t>
      </w:r>
      <w:r>
        <w:rPr>
          <w:rStyle w:val="50"/>
          <w:rFonts w:hint="eastAsia" w:ascii="宋体" w:hAnsi="宋体" w:eastAsia="宋体" w:cs="Times New Roman"/>
          <w:color w:val="auto"/>
          <w:szCs w:val="24"/>
          <w:u w:val="single"/>
        </w:rPr>
        <w:t xml:space="preserve"> （</w:t>
      </w:r>
      <w:r>
        <w:rPr>
          <w:rStyle w:val="50"/>
          <w:rFonts w:hint="eastAsia" w:ascii="宋体" w:hAnsi="宋体" w:eastAsia="宋体" w:cs="Times New Roman"/>
          <w:color w:val="auto"/>
          <w:szCs w:val="24"/>
        </w:rPr>
        <w:t>以下简称“乙方”）特此签订安全生产合同：</w:t>
      </w:r>
    </w:p>
    <w:p w14:paraId="3F303BEF">
      <w:pPr>
        <w:pStyle w:val="298"/>
        <w:widowControl/>
        <w:spacing w:line="400" w:lineRule="exact"/>
        <w:outlineLvl w:val="2"/>
        <w:rPr>
          <w:rStyle w:val="50"/>
          <w:rFonts w:hint="eastAsia" w:ascii="宋体" w:hAnsi="宋体" w:eastAsia="宋体" w:cs="Times New Roman"/>
          <w:b/>
          <w:color w:val="auto"/>
          <w:kern w:val="0"/>
        </w:rPr>
      </w:pPr>
      <w:r>
        <w:rPr>
          <w:rStyle w:val="50"/>
          <w:rFonts w:hint="eastAsia" w:ascii="宋体" w:hAnsi="宋体" w:eastAsia="宋体" w:cs="Times New Roman"/>
          <w:b/>
          <w:color w:val="auto"/>
          <w:kern w:val="0"/>
          <w:szCs w:val="24"/>
        </w:rPr>
        <w:t>一、甲方职责</w:t>
      </w:r>
    </w:p>
    <w:p w14:paraId="44FB533C">
      <w:pPr>
        <w:pStyle w:val="298"/>
        <w:widowControl/>
        <w:snapToGrid w:val="0"/>
        <w:spacing w:line="400" w:lineRule="exact"/>
        <w:ind w:firstLine="480"/>
        <w:rPr>
          <w:rStyle w:val="50"/>
          <w:rFonts w:hint="eastAsia" w:ascii="宋体" w:hAnsi="宋体" w:eastAsia="宋体" w:cs="Times New Roman"/>
          <w:color w:val="auto"/>
          <w:kern w:val="0"/>
        </w:rPr>
      </w:pPr>
      <w:r>
        <w:rPr>
          <w:rStyle w:val="50"/>
          <w:rFonts w:hint="eastAsia" w:ascii="宋体" w:hAnsi="宋体" w:eastAsia="宋体" w:cs="Times New Roman"/>
          <w:color w:val="auto"/>
          <w:kern w:val="0"/>
          <w:szCs w:val="24"/>
        </w:rPr>
        <w:t>1.严格遵守国家有关安全生产的法律法规，认真执行工程承包合同中的有关安全要求。</w:t>
      </w:r>
    </w:p>
    <w:p w14:paraId="4167B0F5">
      <w:pPr>
        <w:pStyle w:val="298"/>
        <w:widowControl/>
        <w:snapToGrid w:val="0"/>
        <w:spacing w:line="400" w:lineRule="exact"/>
        <w:ind w:firstLine="480"/>
        <w:rPr>
          <w:rStyle w:val="50"/>
          <w:rFonts w:hint="eastAsia" w:ascii="宋体" w:hAnsi="宋体" w:eastAsia="宋体" w:cs="Times New Roman"/>
          <w:color w:val="auto"/>
          <w:kern w:val="0"/>
        </w:rPr>
      </w:pPr>
      <w:r>
        <w:rPr>
          <w:rStyle w:val="50"/>
          <w:rFonts w:hint="eastAsia" w:ascii="宋体" w:hAnsi="宋体" w:eastAsia="宋体" w:cs="Times New Roman"/>
          <w:color w:val="auto"/>
          <w:kern w:val="0"/>
          <w:szCs w:val="24"/>
        </w:rPr>
        <w:t>2.按照“安全第一、预防为主”和坚持“管生产必须管安全”的原则进行安全生产管理，做到生产与安全工作同时计划、布置、检查、总结和评比。</w:t>
      </w:r>
    </w:p>
    <w:p w14:paraId="3BCD1FEC">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3.重要的安全设施必须坚持与主体工程“三同时”的原则，即：同时设计、审批，同时施工，同时验收，投入使用。</w:t>
      </w:r>
    </w:p>
    <w:p w14:paraId="7FA08421">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4.定期召开安全生产调度会，及时传达中央及地方有关安全生产的精神。</w:t>
      </w:r>
    </w:p>
    <w:p w14:paraId="5593479D">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5.组织对乙方施工现场安全生产检查，监督乙方及时处理发现的各种安全隐患。</w:t>
      </w:r>
    </w:p>
    <w:p w14:paraId="1059CD13">
      <w:pPr>
        <w:pStyle w:val="298"/>
        <w:widowControl/>
        <w:spacing w:line="400" w:lineRule="exact"/>
        <w:outlineLvl w:val="2"/>
        <w:rPr>
          <w:rStyle w:val="50"/>
          <w:rFonts w:hint="eastAsia" w:ascii="宋体" w:hAnsi="宋体" w:eastAsia="宋体" w:cs="Times New Roman"/>
          <w:b/>
          <w:color w:val="auto"/>
          <w:kern w:val="0"/>
        </w:rPr>
      </w:pPr>
      <w:r>
        <w:rPr>
          <w:rStyle w:val="50"/>
          <w:rFonts w:hint="eastAsia" w:ascii="宋体" w:hAnsi="宋体" w:eastAsia="宋体" w:cs="Times New Roman"/>
          <w:b/>
          <w:color w:val="auto"/>
          <w:kern w:val="0"/>
          <w:szCs w:val="24"/>
        </w:rPr>
        <w:t>二、乙方职责</w:t>
      </w:r>
    </w:p>
    <w:p w14:paraId="5A8FEF4A">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1.严格遵守国家有关安全生产的法律法规及</w:t>
      </w:r>
      <w:r>
        <w:rPr>
          <w:rStyle w:val="50"/>
          <w:rFonts w:hint="eastAsia" w:ascii="宋体" w:hAnsi="宋体" w:cs="Times New Roman"/>
          <w:color w:val="auto"/>
          <w:szCs w:val="24"/>
          <w:lang w:eastAsia="zh-CN"/>
        </w:rPr>
        <w:t>房屋建筑工程</w:t>
      </w:r>
      <w:r>
        <w:rPr>
          <w:rStyle w:val="50"/>
          <w:rFonts w:hint="eastAsia" w:ascii="宋体" w:hAnsi="宋体" w:eastAsia="宋体" w:cs="Times New Roman"/>
          <w:color w:val="auto"/>
          <w:szCs w:val="24"/>
        </w:rPr>
        <w:t>有关安全生产的规定，认真执行工程承包合同中的有关安全要求。</w:t>
      </w:r>
    </w:p>
    <w:p w14:paraId="4CB847B9">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2E2E0B02">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3.建立健全安全生产责任制。从派往项目实施的项目负责人到生产工人（包括临时雇请的民工）的安全生产管理系统必须做到纵向到底，一环不漏；各职能部门、人员的安全生产责任制做到横向到边，人人有责。项目负责人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13998AB5">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4.乙方在任何时候都应采取各种合理的预防措施，防止其员工发生任何违法、违禁、暴力或妨碍治安的行为。</w:t>
      </w:r>
    </w:p>
    <w:p w14:paraId="3D86EBA3">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项目负责人必须承担管理责任。</w:t>
      </w:r>
    </w:p>
    <w:p w14:paraId="36B12301">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14202104">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7.操作人员上岗，必须按规定穿戴防护用品。项目经理和安全检查员应随时检查劳动防护用品的穿戴情况，不按规定穿戴防护用品的人员不得上岗。</w:t>
      </w:r>
    </w:p>
    <w:p w14:paraId="41134A87">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8.所有施工机械设备和高空作业的设备均应定期检查，并有安全员的签字记录，保证其经常处于完好状态；不合格的机具、设备和劳动保护用品严禁使用。</w:t>
      </w:r>
    </w:p>
    <w:p w14:paraId="3C29694F">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9.施工中采用新技术、新工艺、新设备、新材料时，必须制定相应的安全技术措施，施工现场必须具有相关的安全标志牌。</w:t>
      </w:r>
    </w:p>
    <w:p w14:paraId="1A60724B">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10.乙方必须按照本工程项目特点，组织制定本工程实施中的生产安全事故应急救援预案；如果发生安全事故，应按照《国务院关于特大安全事故行政责任追究的规定》以及其它有关规定，及时上报有关部门，并坚持“四不放过”的原则，严肃处理相关责任人。</w:t>
      </w:r>
    </w:p>
    <w:p w14:paraId="512809FC">
      <w:pPr>
        <w:pStyle w:val="298"/>
        <w:widowControl/>
        <w:spacing w:line="400" w:lineRule="exact"/>
        <w:outlineLvl w:val="2"/>
        <w:rPr>
          <w:rStyle w:val="50"/>
          <w:rFonts w:hint="eastAsia" w:ascii="宋体" w:hAnsi="宋体" w:eastAsia="宋体" w:cs="Times New Roman"/>
          <w:b/>
          <w:color w:val="auto"/>
          <w:kern w:val="0"/>
        </w:rPr>
      </w:pPr>
      <w:r>
        <w:rPr>
          <w:rStyle w:val="50"/>
          <w:rFonts w:hint="eastAsia" w:ascii="宋体" w:hAnsi="宋体" w:eastAsia="宋体" w:cs="Times New Roman"/>
          <w:b/>
          <w:color w:val="auto"/>
          <w:kern w:val="0"/>
          <w:szCs w:val="24"/>
        </w:rPr>
        <w:t>三、违约责任</w:t>
      </w:r>
    </w:p>
    <w:p w14:paraId="17E14DF7">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如因甲方或乙方违约造成安全事故，将依法追究责任。</w:t>
      </w:r>
    </w:p>
    <w:p w14:paraId="4081E006">
      <w:pPr>
        <w:pStyle w:val="298"/>
        <w:widowControl/>
        <w:snapToGrid w:val="0"/>
        <w:spacing w:line="400" w:lineRule="exact"/>
        <w:ind w:firstLine="480"/>
        <w:rPr>
          <w:rStyle w:val="50"/>
          <w:rFonts w:hint="eastAsia" w:ascii="宋体" w:hAnsi="宋体" w:eastAsia="宋体" w:cs="Times New Roman"/>
          <w:color w:val="auto"/>
        </w:rPr>
      </w:pPr>
      <w:r>
        <w:rPr>
          <w:rStyle w:val="50"/>
          <w:rFonts w:hint="eastAsia" w:ascii="宋体" w:hAnsi="宋体" w:eastAsia="宋体" w:cs="Times New Roman"/>
          <w:color w:val="auto"/>
          <w:szCs w:val="24"/>
        </w:rPr>
        <w:t>本合同作为主合同附件，正本和副本份数与本合同专用条款第19.2条的约定相同。由双方法定代表人签字或盖章并加盖公章或合同专用章之日生效，全部工程竣工验收后失效。</w:t>
      </w:r>
    </w:p>
    <w:p w14:paraId="0480153E">
      <w:pPr>
        <w:pStyle w:val="298"/>
        <w:widowControl/>
        <w:spacing w:line="400" w:lineRule="exact"/>
        <w:rPr>
          <w:rStyle w:val="50"/>
          <w:rFonts w:hint="eastAsia" w:ascii="宋体" w:hAnsi="宋体" w:eastAsia="宋体" w:cs="Times New Roman"/>
          <w:color w:val="auto"/>
        </w:rPr>
      </w:pPr>
    </w:p>
    <w:p w14:paraId="5FF939AF">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szCs w:val="24"/>
        </w:rPr>
        <w:t xml:space="preserve">发包人： </w:t>
      </w:r>
    </w:p>
    <w:p w14:paraId="593FF74F">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szCs w:val="24"/>
        </w:rPr>
        <w:t>（公章或合同专用章）</w:t>
      </w:r>
    </w:p>
    <w:p w14:paraId="250F7B0B">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szCs w:val="24"/>
        </w:rPr>
        <w:t>法定代表人：</w:t>
      </w:r>
    </w:p>
    <w:p w14:paraId="402D0293">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szCs w:val="24"/>
        </w:rPr>
        <w:t xml:space="preserve">（签字或盖章）  </w:t>
      </w:r>
    </w:p>
    <w:p w14:paraId="6DA7120B">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szCs w:val="24"/>
        </w:rPr>
        <w:t>地址：</w:t>
      </w:r>
    </w:p>
    <w:p w14:paraId="419432CF">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szCs w:val="24"/>
        </w:rPr>
        <w:t>日期：</w:t>
      </w:r>
    </w:p>
    <w:p w14:paraId="2DD4A085">
      <w:pPr>
        <w:pStyle w:val="298"/>
        <w:widowControl/>
        <w:spacing w:line="400" w:lineRule="exact"/>
        <w:rPr>
          <w:rStyle w:val="50"/>
          <w:rFonts w:hint="eastAsia" w:ascii="宋体" w:hAnsi="宋体" w:eastAsia="宋体" w:cs="Times New Roman"/>
          <w:color w:val="auto"/>
        </w:rPr>
      </w:pPr>
    </w:p>
    <w:p w14:paraId="5B19673E">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szCs w:val="24"/>
        </w:rPr>
        <w:t xml:space="preserve">承包人： </w:t>
      </w:r>
    </w:p>
    <w:p w14:paraId="04BE84F7">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szCs w:val="24"/>
        </w:rPr>
        <w:t>（公章或合同专用章）</w:t>
      </w:r>
    </w:p>
    <w:p w14:paraId="2AB50E60">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szCs w:val="24"/>
        </w:rPr>
        <w:t>法定代表人：</w:t>
      </w:r>
    </w:p>
    <w:p w14:paraId="29798ED6">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szCs w:val="24"/>
        </w:rPr>
        <w:t xml:space="preserve">（签字或盖章） </w:t>
      </w:r>
    </w:p>
    <w:p w14:paraId="02313898">
      <w:pPr>
        <w:pStyle w:val="298"/>
        <w:widowControl/>
        <w:spacing w:line="400" w:lineRule="exact"/>
        <w:rPr>
          <w:rStyle w:val="50"/>
          <w:rFonts w:hint="eastAsia" w:ascii="宋体" w:hAnsi="宋体" w:eastAsia="宋体" w:cs="Times New Roman"/>
          <w:color w:val="auto"/>
        </w:rPr>
      </w:pPr>
      <w:r>
        <w:rPr>
          <w:rStyle w:val="50"/>
          <w:rFonts w:hint="eastAsia" w:ascii="宋体" w:hAnsi="宋体" w:eastAsia="宋体" w:cs="Times New Roman"/>
          <w:color w:val="auto"/>
          <w:szCs w:val="24"/>
        </w:rPr>
        <w:t>地址：</w:t>
      </w:r>
    </w:p>
    <w:p w14:paraId="517C21E9">
      <w:pPr>
        <w:pStyle w:val="69"/>
        <w:rPr>
          <w:color w:val="auto"/>
        </w:rPr>
      </w:pPr>
      <w:r>
        <w:rPr>
          <w:rStyle w:val="50"/>
          <w:rFonts w:hint="eastAsia" w:ascii="宋体" w:hAnsi="宋体" w:eastAsia="宋体" w:cs="Times New Roman"/>
          <w:color w:val="auto"/>
          <w:kern w:val="2"/>
          <w:sz w:val="21"/>
          <w:szCs w:val="24"/>
          <w:lang w:val="en-US" w:eastAsia="zh-CN" w:bidi="ar-SA"/>
        </w:rPr>
        <w:t>日期：</w:t>
      </w:r>
      <w:r>
        <w:rPr>
          <w:rFonts w:hint="eastAsia" w:hAnsi="宋体" w:eastAsia="宋体" w:cs="宋体"/>
          <w:b/>
          <w:bCs/>
          <w:color w:val="auto"/>
          <w:kern w:val="0"/>
          <w:highlight w:val="none"/>
        </w:rPr>
        <w:br w:type="column"/>
      </w:r>
    </w:p>
    <w:p w14:paraId="1A487175">
      <w:pPr>
        <w:spacing w:line="390" w:lineRule="exact"/>
        <w:jc w:val="center"/>
        <w:outlineLvl w:val="0"/>
        <w:rPr>
          <w:rFonts w:ascii="宋体" w:hAnsi="宋体"/>
          <w:b/>
          <w:color w:val="auto"/>
          <w:sz w:val="28"/>
          <w:szCs w:val="28"/>
        </w:rPr>
      </w:pPr>
      <w:r>
        <w:rPr>
          <w:rFonts w:hint="eastAsia" w:ascii="宋体" w:hAnsi="宋体"/>
          <w:b/>
          <w:color w:val="auto"/>
          <w:sz w:val="32"/>
          <w:szCs w:val="32"/>
        </w:rPr>
        <w:t xml:space="preserve">  </w:t>
      </w:r>
      <w:bookmarkStart w:id="1634" w:name="_Toc996"/>
      <w:bookmarkStart w:id="1635" w:name="_Toc2689"/>
      <w:r>
        <w:rPr>
          <w:rFonts w:hint="eastAsia" w:hAnsi="宋体"/>
          <w:b/>
          <w:color w:val="auto"/>
          <w:sz w:val="28"/>
          <w:szCs w:val="28"/>
        </w:rPr>
        <w:t>第四章</w:t>
      </w:r>
      <w:r>
        <w:rPr>
          <w:rFonts w:hint="eastAsia" w:ascii="宋体" w:hAnsi="宋体"/>
          <w:b/>
          <w:color w:val="auto"/>
          <w:sz w:val="32"/>
          <w:szCs w:val="32"/>
        </w:rPr>
        <w:t xml:space="preserve"> </w:t>
      </w:r>
      <w:r>
        <w:rPr>
          <w:rFonts w:hint="eastAsia" w:hAnsi="宋体"/>
          <w:b/>
          <w:color w:val="auto"/>
          <w:sz w:val="28"/>
          <w:szCs w:val="28"/>
        </w:rPr>
        <w:t>工程量清单</w:t>
      </w:r>
      <w:bookmarkEnd w:id="1634"/>
      <w:bookmarkEnd w:id="1635"/>
    </w:p>
    <w:p w14:paraId="3A35FCE4">
      <w:pPr>
        <w:spacing w:line="400" w:lineRule="exact"/>
        <w:jc w:val="center"/>
        <w:rPr>
          <w:rFonts w:ascii="黑体" w:eastAsia="黑体"/>
          <w:b/>
          <w:color w:val="auto"/>
          <w:sz w:val="32"/>
          <w:szCs w:val="32"/>
        </w:rPr>
      </w:pPr>
    </w:p>
    <w:p w14:paraId="4BA9C901">
      <w:pPr>
        <w:spacing w:line="400" w:lineRule="exact"/>
        <w:jc w:val="center"/>
        <w:rPr>
          <w:rFonts w:ascii="黑体" w:eastAsia="黑体"/>
          <w:b/>
          <w:color w:val="auto"/>
          <w:sz w:val="32"/>
          <w:szCs w:val="32"/>
        </w:rPr>
      </w:pPr>
      <w:r>
        <w:rPr>
          <w:rFonts w:hint="eastAsia" w:ascii="黑体" w:eastAsia="黑体"/>
          <w:b/>
          <w:color w:val="auto"/>
          <w:sz w:val="32"/>
          <w:szCs w:val="32"/>
        </w:rPr>
        <w:t>工程量清单</w:t>
      </w:r>
    </w:p>
    <w:p w14:paraId="0EAEEEC1">
      <w:pPr>
        <w:spacing w:line="400" w:lineRule="exact"/>
        <w:jc w:val="center"/>
        <w:rPr>
          <w:rFonts w:ascii="黑体" w:eastAsia="黑体"/>
          <w:b/>
          <w:color w:val="auto"/>
          <w:sz w:val="32"/>
          <w:szCs w:val="32"/>
        </w:rPr>
      </w:pPr>
      <w:r>
        <w:rPr>
          <w:rFonts w:hint="eastAsia" w:ascii="黑体" w:eastAsia="黑体"/>
          <w:b/>
          <w:color w:val="auto"/>
          <w:sz w:val="32"/>
          <w:szCs w:val="32"/>
        </w:rPr>
        <w:t>（另附）</w:t>
      </w:r>
    </w:p>
    <w:p w14:paraId="763A2D58">
      <w:pPr>
        <w:pStyle w:val="69"/>
        <w:rPr>
          <w:color w:val="auto"/>
          <w:sz w:val="21"/>
          <w:szCs w:val="21"/>
        </w:rPr>
      </w:pPr>
    </w:p>
    <w:p w14:paraId="11CC8AD7">
      <w:pPr>
        <w:tabs>
          <w:tab w:val="left" w:pos="0"/>
        </w:tabs>
        <w:autoSpaceDE w:val="0"/>
        <w:autoSpaceDN w:val="0"/>
        <w:adjustRightInd w:val="0"/>
        <w:spacing w:line="400" w:lineRule="exact"/>
        <w:ind w:right="84" w:firstLine="420" w:firstLineChars="200"/>
        <w:rPr>
          <w:rFonts w:ascii="宋体" w:hAnsi="宋体" w:cs="宋体"/>
          <w:color w:val="auto"/>
          <w:szCs w:val="21"/>
        </w:rPr>
      </w:pPr>
    </w:p>
    <w:p w14:paraId="118C7C1A">
      <w:pPr>
        <w:tabs>
          <w:tab w:val="left" w:pos="0"/>
        </w:tabs>
        <w:autoSpaceDE w:val="0"/>
        <w:autoSpaceDN w:val="0"/>
        <w:adjustRightInd w:val="0"/>
        <w:spacing w:line="400" w:lineRule="exact"/>
        <w:ind w:right="84"/>
        <w:rPr>
          <w:rFonts w:ascii="宋体" w:hAnsi="宋体" w:cs="宋体"/>
          <w:color w:val="auto"/>
          <w:szCs w:val="21"/>
        </w:rPr>
      </w:pPr>
    </w:p>
    <w:p w14:paraId="726BAD9D">
      <w:pPr>
        <w:tabs>
          <w:tab w:val="left" w:pos="0"/>
        </w:tabs>
        <w:autoSpaceDE w:val="0"/>
        <w:autoSpaceDN w:val="0"/>
        <w:adjustRightInd w:val="0"/>
        <w:spacing w:line="400" w:lineRule="exact"/>
        <w:ind w:right="84" w:firstLine="420" w:firstLineChars="200"/>
        <w:rPr>
          <w:rFonts w:ascii="宋体" w:hAnsi="宋体" w:cs="宋体"/>
          <w:color w:val="auto"/>
          <w:szCs w:val="21"/>
        </w:rPr>
      </w:pPr>
    </w:p>
    <w:p w14:paraId="6910E8D0">
      <w:pPr>
        <w:pStyle w:val="69"/>
        <w:ind w:firstLine="480" w:firstLineChars="200"/>
        <w:rPr>
          <w:rFonts w:hAnsi="宋体"/>
          <w:color w:val="auto"/>
          <w:szCs w:val="21"/>
        </w:rPr>
      </w:pPr>
    </w:p>
    <w:p w14:paraId="6123BD32">
      <w:pPr>
        <w:spacing w:line="400" w:lineRule="exact"/>
        <w:rPr>
          <w:rFonts w:ascii="宋体" w:hAnsi="宋体"/>
          <w:bCs/>
          <w:color w:val="auto"/>
        </w:rPr>
      </w:pPr>
    </w:p>
    <w:p w14:paraId="50651600">
      <w:pPr>
        <w:spacing w:line="400" w:lineRule="exact"/>
        <w:rPr>
          <w:color w:val="auto"/>
        </w:rPr>
      </w:pPr>
    </w:p>
    <w:p w14:paraId="344B1FB5">
      <w:pPr>
        <w:spacing w:line="400" w:lineRule="exact"/>
        <w:rPr>
          <w:color w:val="auto"/>
        </w:rPr>
      </w:pPr>
    </w:p>
    <w:p w14:paraId="711AF599">
      <w:pPr>
        <w:spacing w:line="400" w:lineRule="exact"/>
        <w:ind w:left="-4" w:leftChars="-2" w:right="-153" w:rightChars="-73" w:firstLine="2" w:firstLineChars="1"/>
        <w:rPr>
          <w:rFonts w:ascii="宋体" w:hAnsi="宋体"/>
          <w:b/>
          <w:color w:val="auto"/>
          <w:szCs w:val="21"/>
        </w:rPr>
      </w:pPr>
    </w:p>
    <w:p w14:paraId="7CB28EC6">
      <w:pPr>
        <w:spacing w:beforeLines="50" w:afterLines="50" w:line="440" w:lineRule="exact"/>
        <w:rPr>
          <w:rFonts w:ascii="宋体" w:hAnsi="宋体"/>
          <w:color w:val="auto"/>
          <w:sz w:val="32"/>
          <w:szCs w:val="32"/>
        </w:rPr>
      </w:pPr>
    </w:p>
    <w:p w14:paraId="7246DB19">
      <w:pPr>
        <w:spacing w:beforeLines="50" w:afterLines="50" w:line="440" w:lineRule="exact"/>
        <w:jc w:val="center"/>
        <w:rPr>
          <w:rFonts w:ascii="宋体" w:hAnsi="宋体"/>
          <w:color w:val="auto"/>
          <w:sz w:val="32"/>
          <w:szCs w:val="32"/>
        </w:rPr>
      </w:pPr>
    </w:p>
    <w:p w14:paraId="6E15ECAD">
      <w:pPr>
        <w:pStyle w:val="30"/>
        <w:rPr>
          <w:rFonts w:ascii="宋体" w:hAnsi="宋体"/>
          <w:color w:val="auto"/>
          <w:sz w:val="32"/>
          <w:szCs w:val="32"/>
        </w:rPr>
      </w:pPr>
    </w:p>
    <w:p w14:paraId="7EB62469">
      <w:pPr>
        <w:pStyle w:val="30"/>
        <w:rPr>
          <w:rFonts w:ascii="宋体" w:hAnsi="宋体"/>
          <w:color w:val="auto"/>
          <w:sz w:val="32"/>
          <w:szCs w:val="32"/>
        </w:rPr>
      </w:pPr>
    </w:p>
    <w:bookmarkEnd w:id="1632"/>
    <w:bookmarkEnd w:id="1633"/>
    <w:p w14:paraId="0B4F9F9F">
      <w:pPr>
        <w:rPr>
          <w:rFonts w:ascii="宋体" w:hAnsi="宋体"/>
          <w:b/>
          <w:color w:val="auto"/>
          <w:sz w:val="32"/>
          <w:szCs w:val="32"/>
        </w:rPr>
      </w:pPr>
      <w:r>
        <w:rPr>
          <w:rFonts w:hint="eastAsia" w:ascii="宋体" w:hAnsi="宋体"/>
          <w:b/>
          <w:color w:val="auto"/>
          <w:sz w:val="32"/>
          <w:szCs w:val="32"/>
        </w:rPr>
        <w:br w:type="page"/>
      </w:r>
    </w:p>
    <w:p w14:paraId="41C52286">
      <w:pPr>
        <w:spacing w:line="390" w:lineRule="exact"/>
        <w:jc w:val="center"/>
        <w:outlineLvl w:val="0"/>
        <w:rPr>
          <w:rFonts w:hAnsi="宋体"/>
          <w:b/>
          <w:color w:val="auto"/>
          <w:sz w:val="28"/>
          <w:szCs w:val="28"/>
        </w:rPr>
      </w:pPr>
      <w:bookmarkStart w:id="1636" w:name="_Toc6150"/>
      <w:r>
        <w:rPr>
          <w:rFonts w:hint="eastAsia" w:hAnsi="宋体"/>
          <w:b/>
          <w:color w:val="auto"/>
          <w:sz w:val="28"/>
          <w:szCs w:val="28"/>
        </w:rPr>
        <w:t>第五章  图纸</w:t>
      </w:r>
      <w:bookmarkEnd w:id="1636"/>
    </w:p>
    <w:p w14:paraId="69BF1B4C">
      <w:pPr>
        <w:spacing w:line="400" w:lineRule="exact"/>
        <w:rPr>
          <w:rFonts w:ascii="黑体" w:eastAsia="黑体"/>
          <w:b/>
          <w:color w:val="auto"/>
          <w:sz w:val="32"/>
          <w:szCs w:val="32"/>
        </w:rPr>
      </w:pPr>
    </w:p>
    <w:p w14:paraId="07905FAF">
      <w:pPr>
        <w:spacing w:line="400" w:lineRule="exact"/>
        <w:jc w:val="center"/>
        <w:rPr>
          <w:rFonts w:ascii="黑体" w:eastAsia="黑体"/>
          <w:b/>
          <w:color w:val="auto"/>
          <w:sz w:val="32"/>
          <w:szCs w:val="32"/>
        </w:rPr>
      </w:pPr>
      <w:r>
        <w:rPr>
          <w:rFonts w:hint="eastAsia" w:ascii="黑体" w:eastAsia="黑体"/>
          <w:b/>
          <w:color w:val="auto"/>
          <w:sz w:val="32"/>
          <w:szCs w:val="32"/>
        </w:rPr>
        <w:t>（另附）</w:t>
      </w:r>
    </w:p>
    <w:p w14:paraId="2F78EEB2">
      <w:pPr>
        <w:spacing w:line="390" w:lineRule="exact"/>
        <w:jc w:val="center"/>
        <w:outlineLvl w:val="0"/>
        <w:rPr>
          <w:rFonts w:ascii="黑体" w:hAnsi="宋体" w:eastAsia="黑体"/>
          <w:b/>
          <w:color w:val="auto"/>
          <w:sz w:val="32"/>
          <w:szCs w:val="32"/>
        </w:rPr>
      </w:pPr>
      <w:r>
        <w:rPr>
          <w:rFonts w:ascii="宋体" w:hAnsi="宋体"/>
          <w:color w:val="auto"/>
          <w:szCs w:val="21"/>
        </w:rPr>
        <w:br w:type="page"/>
      </w:r>
      <w:bookmarkStart w:id="1637" w:name="_Toc18503"/>
      <w:bookmarkStart w:id="1638" w:name="_Toc440877587"/>
      <w:bookmarkStart w:id="1639" w:name="_Toc430095345"/>
      <w:r>
        <w:rPr>
          <w:rFonts w:hint="eastAsia" w:hAnsi="宋体"/>
          <w:b/>
          <w:color w:val="auto"/>
          <w:sz w:val="28"/>
          <w:szCs w:val="28"/>
        </w:rPr>
        <w:t>第六章  技术标准和要求</w:t>
      </w:r>
      <w:bookmarkEnd w:id="1637"/>
    </w:p>
    <w:p w14:paraId="1142A5A0">
      <w:pPr>
        <w:pStyle w:val="24"/>
        <w:spacing w:line="400" w:lineRule="exact"/>
        <w:rPr>
          <w:rFonts w:hAnsi="宋体"/>
          <w:b/>
          <w:color w:val="auto"/>
          <w:szCs w:val="21"/>
        </w:rPr>
      </w:pPr>
    </w:p>
    <w:p w14:paraId="2DF03D37">
      <w:pPr>
        <w:pStyle w:val="24"/>
        <w:spacing w:line="400" w:lineRule="exact"/>
        <w:outlineLvl w:val="0"/>
        <w:rPr>
          <w:rFonts w:hAnsi="宋体"/>
          <w:b/>
          <w:color w:val="auto"/>
          <w:szCs w:val="21"/>
        </w:rPr>
      </w:pPr>
      <w:bookmarkStart w:id="1640" w:name="_Toc26407"/>
      <w:bookmarkStart w:id="1641" w:name="_Toc30596"/>
      <w:r>
        <w:rPr>
          <w:rFonts w:hint="eastAsia" w:hAnsi="宋体"/>
          <w:b/>
          <w:color w:val="auto"/>
          <w:szCs w:val="21"/>
        </w:rPr>
        <w:t>一．工程建设地点的现场条件</w:t>
      </w:r>
      <w:bookmarkEnd w:id="1640"/>
      <w:bookmarkEnd w:id="1641"/>
    </w:p>
    <w:p w14:paraId="50F6A192">
      <w:pPr>
        <w:pStyle w:val="24"/>
        <w:spacing w:line="400" w:lineRule="exact"/>
        <w:outlineLvl w:val="1"/>
        <w:rPr>
          <w:rFonts w:hAnsi="宋体"/>
          <w:color w:val="auto"/>
          <w:szCs w:val="21"/>
        </w:rPr>
      </w:pPr>
      <w:bookmarkStart w:id="1642" w:name="_Toc18862"/>
      <w:bookmarkStart w:id="1643" w:name="_Toc2685"/>
      <w:r>
        <w:rPr>
          <w:rFonts w:hint="eastAsia" w:hAnsi="宋体"/>
          <w:color w:val="auto"/>
          <w:szCs w:val="21"/>
        </w:rPr>
        <w:t>（一）现场自然条件</w:t>
      </w:r>
      <w:bookmarkEnd w:id="1642"/>
      <w:bookmarkEnd w:id="1643"/>
    </w:p>
    <w:p w14:paraId="56EC06A5">
      <w:pPr>
        <w:pStyle w:val="24"/>
        <w:spacing w:line="400" w:lineRule="exact"/>
        <w:rPr>
          <w:rFonts w:hAnsi="宋体"/>
          <w:color w:val="auto"/>
          <w:szCs w:val="21"/>
        </w:rPr>
      </w:pPr>
      <w:r>
        <w:rPr>
          <w:rFonts w:hint="eastAsia" w:hAnsi="宋体"/>
          <w:color w:val="auto"/>
          <w:szCs w:val="21"/>
        </w:rPr>
        <w:t>满足施工要求。</w:t>
      </w:r>
    </w:p>
    <w:p w14:paraId="4CB17A30">
      <w:pPr>
        <w:pStyle w:val="24"/>
        <w:spacing w:line="400" w:lineRule="exact"/>
        <w:outlineLvl w:val="1"/>
        <w:rPr>
          <w:rFonts w:hAnsi="宋体"/>
          <w:color w:val="auto"/>
          <w:szCs w:val="21"/>
        </w:rPr>
      </w:pPr>
      <w:bookmarkStart w:id="1644" w:name="_Toc9194"/>
      <w:bookmarkStart w:id="1645" w:name="_Toc3445"/>
      <w:r>
        <w:rPr>
          <w:rFonts w:hint="eastAsia" w:hAnsi="宋体"/>
          <w:color w:val="auto"/>
          <w:szCs w:val="21"/>
        </w:rPr>
        <w:t>（二）现场施工条件</w:t>
      </w:r>
      <w:bookmarkEnd w:id="1644"/>
      <w:bookmarkEnd w:id="1645"/>
    </w:p>
    <w:p w14:paraId="682384AF">
      <w:pPr>
        <w:pStyle w:val="24"/>
        <w:spacing w:line="400" w:lineRule="exact"/>
        <w:rPr>
          <w:rFonts w:hAnsi="宋体"/>
          <w:color w:val="auto"/>
          <w:szCs w:val="21"/>
        </w:rPr>
      </w:pPr>
      <w:r>
        <w:rPr>
          <w:rFonts w:hint="eastAsia" w:hAnsi="宋体"/>
          <w:color w:val="auto"/>
          <w:szCs w:val="21"/>
        </w:rPr>
        <w:t>符合施工要求。</w:t>
      </w:r>
    </w:p>
    <w:p w14:paraId="6278B6EA">
      <w:pPr>
        <w:pStyle w:val="24"/>
        <w:spacing w:line="400" w:lineRule="exact"/>
        <w:rPr>
          <w:rFonts w:hAnsi="宋体"/>
          <w:b/>
          <w:color w:val="auto"/>
          <w:szCs w:val="21"/>
        </w:rPr>
      </w:pPr>
    </w:p>
    <w:p w14:paraId="08D1AD78">
      <w:pPr>
        <w:pStyle w:val="24"/>
        <w:spacing w:line="400" w:lineRule="exact"/>
        <w:outlineLvl w:val="0"/>
        <w:rPr>
          <w:rFonts w:hAnsi="宋体"/>
          <w:b/>
          <w:color w:val="auto"/>
          <w:szCs w:val="21"/>
        </w:rPr>
      </w:pPr>
      <w:bookmarkStart w:id="1646" w:name="_Toc18972"/>
      <w:bookmarkStart w:id="1647" w:name="_Toc14097"/>
      <w:r>
        <w:rPr>
          <w:rFonts w:hint="eastAsia" w:hAnsi="宋体"/>
          <w:b/>
          <w:color w:val="auto"/>
          <w:szCs w:val="21"/>
        </w:rPr>
        <w:t>二．技术规范</w:t>
      </w:r>
      <w:bookmarkEnd w:id="1646"/>
      <w:bookmarkEnd w:id="1647"/>
    </w:p>
    <w:p w14:paraId="4463F08F">
      <w:pPr>
        <w:spacing w:line="360" w:lineRule="auto"/>
        <w:ind w:firstLine="420" w:firstLineChars="200"/>
        <w:rPr>
          <w:rFonts w:ascii="宋体" w:hAnsi="宋体"/>
          <w:b/>
          <w:color w:val="auto"/>
          <w:sz w:val="32"/>
          <w:szCs w:val="32"/>
        </w:rPr>
      </w:pPr>
      <w:r>
        <w:rPr>
          <w:rFonts w:hint="eastAsia" w:ascii="宋体" w:hAnsi="宋体" w:cs="宋体"/>
          <w:color w:val="auto"/>
          <w:kern w:val="0"/>
          <w:szCs w:val="21"/>
        </w:rPr>
        <w:t>本工程执行国家现行的</w:t>
      </w:r>
      <w:r>
        <w:rPr>
          <w:rFonts w:hint="eastAsia" w:ascii="宋体" w:hAnsi="宋体" w:cs="宋体"/>
          <w:color w:val="auto"/>
          <w:szCs w:val="21"/>
        </w:rPr>
        <w:t>有关的工程建设标准、技术规范及强制性标准条文、以及施工图纸载明的其他有关规范标</w:t>
      </w:r>
      <w:r>
        <w:rPr>
          <w:rFonts w:hint="eastAsia" w:ascii="宋体" w:hAnsi="宋体" w:cs="宋体"/>
          <w:color w:val="auto"/>
          <w:kern w:val="0"/>
          <w:szCs w:val="21"/>
        </w:rPr>
        <w:t>准。</w:t>
      </w:r>
    </w:p>
    <w:p w14:paraId="24DD3EDD">
      <w:pPr>
        <w:spacing w:line="390" w:lineRule="exact"/>
        <w:jc w:val="center"/>
        <w:outlineLvl w:val="0"/>
        <w:rPr>
          <w:rFonts w:ascii="宋体" w:hAnsi="宋体"/>
          <w:b/>
          <w:color w:val="auto"/>
          <w:kern w:val="44"/>
          <w:sz w:val="28"/>
          <w:szCs w:val="28"/>
        </w:rPr>
      </w:pPr>
      <w:r>
        <w:rPr>
          <w:rFonts w:hint="eastAsia" w:ascii="宋体" w:hAnsi="宋体"/>
          <w:b/>
          <w:color w:val="auto"/>
          <w:sz w:val="32"/>
          <w:szCs w:val="32"/>
        </w:rPr>
        <w:br w:type="page"/>
      </w:r>
      <w:bookmarkStart w:id="1648" w:name="_Toc86935944"/>
      <w:bookmarkStart w:id="1649" w:name="_Toc12320"/>
      <w:r>
        <w:rPr>
          <w:rFonts w:hint="eastAsia" w:hAnsi="宋体"/>
          <w:b/>
          <w:color w:val="auto"/>
          <w:sz w:val="28"/>
          <w:szCs w:val="28"/>
        </w:rPr>
        <w:t>第七章  《响应文件》（格式）</w:t>
      </w:r>
      <w:bookmarkEnd w:id="1638"/>
      <w:bookmarkEnd w:id="1639"/>
      <w:bookmarkEnd w:id="1648"/>
      <w:bookmarkEnd w:id="1649"/>
    </w:p>
    <w:p w14:paraId="44ED5B59">
      <w:pPr>
        <w:jc w:val="center"/>
        <w:rPr>
          <w:rFonts w:ascii="宋体" w:hAnsi="宋体"/>
          <w:b/>
          <w:color w:val="auto"/>
          <w:kern w:val="44"/>
          <w:sz w:val="28"/>
          <w:szCs w:val="28"/>
        </w:rPr>
      </w:pPr>
    </w:p>
    <w:p w14:paraId="525326CB">
      <w:pPr>
        <w:jc w:val="center"/>
        <w:outlineLvl w:val="0"/>
        <w:rPr>
          <w:rFonts w:ascii="宋体" w:hAnsi="宋体"/>
          <w:b/>
          <w:color w:val="auto"/>
          <w:kern w:val="44"/>
          <w:sz w:val="28"/>
          <w:szCs w:val="28"/>
        </w:rPr>
      </w:pPr>
      <w:bookmarkStart w:id="1650" w:name="_Toc23551"/>
      <w:bookmarkStart w:id="1651" w:name="_Toc22618"/>
      <w:bookmarkStart w:id="1652" w:name="_Toc11659"/>
      <w:bookmarkStart w:id="1653" w:name="_Toc31485"/>
      <w:r>
        <w:rPr>
          <w:rFonts w:hint="eastAsia" w:ascii="宋体" w:hAnsi="宋体"/>
          <w:b/>
          <w:color w:val="auto"/>
          <w:kern w:val="44"/>
          <w:sz w:val="28"/>
          <w:szCs w:val="28"/>
        </w:rPr>
        <w:t>第一节  资格证明文件格式</w:t>
      </w:r>
      <w:bookmarkEnd w:id="1650"/>
      <w:bookmarkEnd w:id="1651"/>
      <w:bookmarkEnd w:id="1652"/>
      <w:bookmarkEnd w:id="1653"/>
    </w:p>
    <w:p w14:paraId="5C3000CA">
      <w:pPr>
        <w:widowControl/>
        <w:kinsoku w:val="0"/>
        <w:autoSpaceDE w:val="0"/>
        <w:autoSpaceDN w:val="0"/>
        <w:adjustRightInd w:val="0"/>
        <w:snapToGrid w:val="0"/>
        <w:spacing w:before="69"/>
        <w:ind w:firstLine="6250"/>
        <w:jc w:val="left"/>
        <w:textAlignment w:val="baseline"/>
        <w:rPr>
          <w:rFonts w:ascii="宋体" w:hAnsi="宋体" w:cs="宋体"/>
          <w:snapToGrid w:val="0"/>
          <w:color w:val="auto"/>
          <w:spacing w:val="-2"/>
          <w:kern w:val="0"/>
          <w:sz w:val="24"/>
        </w:rPr>
      </w:pPr>
    </w:p>
    <w:p w14:paraId="1B005AC8">
      <w:pPr>
        <w:pStyle w:val="69"/>
        <w:rPr>
          <w:color w:val="auto"/>
        </w:rPr>
      </w:pPr>
    </w:p>
    <w:p w14:paraId="1053B34F">
      <w:pPr>
        <w:widowControl/>
        <w:kinsoku w:val="0"/>
        <w:autoSpaceDE w:val="0"/>
        <w:autoSpaceDN w:val="0"/>
        <w:adjustRightInd w:val="0"/>
        <w:snapToGrid w:val="0"/>
        <w:spacing w:before="69"/>
        <w:ind w:firstLine="6250"/>
        <w:jc w:val="left"/>
        <w:textAlignment w:val="baseline"/>
        <w:rPr>
          <w:rFonts w:ascii="宋体" w:hAnsi="宋体" w:cs="宋体"/>
          <w:snapToGrid w:val="0"/>
          <w:color w:val="auto"/>
          <w:kern w:val="0"/>
          <w:sz w:val="24"/>
        </w:rPr>
      </w:pPr>
      <w:r>
        <w:rPr>
          <w:rFonts w:hint="eastAsia" w:ascii="宋体" w:hAnsi="宋体" w:cs="宋体"/>
          <w:snapToGrid w:val="0"/>
          <w:color w:val="auto"/>
          <w:spacing w:val="-2"/>
          <w:kern w:val="0"/>
          <w:sz w:val="24"/>
        </w:rPr>
        <w:t>全流程电子文件</w:t>
      </w:r>
    </w:p>
    <w:p w14:paraId="3D2D52FA">
      <w:pPr>
        <w:rPr>
          <w:color w:val="auto"/>
          <w:sz w:val="28"/>
          <w:szCs w:val="28"/>
          <w:u w:val="single"/>
        </w:rPr>
      </w:pPr>
    </w:p>
    <w:p w14:paraId="63435117">
      <w:pPr>
        <w:jc w:val="center"/>
        <w:rPr>
          <w:b/>
          <w:bCs/>
          <w:color w:val="auto"/>
          <w:sz w:val="28"/>
          <w:szCs w:val="28"/>
        </w:rPr>
      </w:pPr>
      <w:r>
        <w:rPr>
          <w:rFonts w:hint="eastAsia"/>
          <w:b/>
          <w:bCs/>
          <w:color w:val="auto"/>
          <w:sz w:val="28"/>
          <w:szCs w:val="28"/>
        </w:rPr>
        <w:t>资  格  证  明  文  件（封面）</w:t>
      </w:r>
    </w:p>
    <w:p w14:paraId="26200FC2">
      <w:pPr>
        <w:jc w:val="center"/>
        <w:rPr>
          <w:b/>
          <w:bCs/>
          <w:color w:val="auto"/>
          <w:sz w:val="28"/>
          <w:szCs w:val="28"/>
        </w:rPr>
      </w:pPr>
    </w:p>
    <w:p w14:paraId="5BD9AAF7">
      <w:pPr>
        <w:jc w:val="center"/>
        <w:rPr>
          <w:b/>
          <w:bCs/>
          <w:color w:val="auto"/>
          <w:sz w:val="28"/>
          <w:szCs w:val="28"/>
        </w:rPr>
      </w:pPr>
    </w:p>
    <w:p w14:paraId="4134296F">
      <w:pPr>
        <w:spacing w:beforeLines="100"/>
        <w:jc w:val="center"/>
        <w:rPr>
          <w:b/>
          <w:bCs/>
          <w:color w:val="auto"/>
          <w:sz w:val="52"/>
          <w:szCs w:val="52"/>
        </w:rPr>
      </w:pPr>
      <w:r>
        <w:rPr>
          <w:rFonts w:hint="eastAsia"/>
          <w:b/>
          <w:bCs/>
          <w:color w:val="auto"/>
          <w:sz w:val="52"/>
          <w:szCs w:val="52"/>
        </w:rPr>
        <w:t xml:space="preserve">响 应 </w:t>
      </w:r>
      <w:r>
        <w:rPr>
          <w:b/>
          <w:bCs/>
          <w:color w:val="auto"/>
          <w:sz w:val="52"/>
          <w:szCs w:val="52"/>
        </w:rPr>
        <w:t>文</w:t>
      </w:r>
      <w:r>
        <w:rPr>
          <w:rFonts w:hint="eastAsia"/>
          <w:b/>
          <w:bCs/>
          <w:color w:val="auto"/>
          <w:sz w:val="52"/>
          <w:szCs w:val="52"/>
        </w:rPr>
        <w:t xml:space="preserve"> </w:t>
      </w:r>
      <w:r>
        <w:rPr>
          <w:b/>
          <w:bCs/>
          <w:color w:val="auto"/>
          <w:sz w:val="52"/>
          <w:szCs w:val="52"/>
        </w:rPr>
        <w:t>件</w:t>
      </w:r>
    </w:p>
    <w:p w14:paraId="01F41E3F">
      <w:pPr>
        <w:spacing w:line="360" w:lineRule="auto"/>
        <w:ind w:firstLine="2380" w:firstLineChars="850"/>
        <w:rPr>
          <w:b/>
          <w:bCs/>
          <w:color w:val="auto"/>
          <w:sz w:val="28"/>
          <w:szCs w:val="28"/>
        </w:rPr>
      </w:pPr>
      <w:r>
        <w:rPr>
          <w:rFonts w:hint="eastAsia"/>
          <w:b/>
          <w:bCs/>
          <w:color w:val="auto"/>
          <w:sz w:val="28"/>
          <w:szCs w:val="28"/>
        </w:rPr>
        <w:t>项目名称：</w:t>
      </w:r>
    </w:p>
    <w:p w14:paraId="5B057FA4">
      <w:pPr>
        <w:spacing w:line="360" w:lineRule="auto"/>
        <w:ind w:firstLine="2380" w:firstLineChars="850"/>
        <w:rPr>
          <w:b/>
          <w:bCs/>
          <w:color w:val="auto"/>
          <w:sz w:val="28"/>
          <w:szCs w:val="28"/>
        </w:rPr>
      </w:pPr>
      <w:r>
        <w:rPr>
          <w:b/>
          <w:bCs/>
          <w:color w:val="auto"/>
          <w:sz w:val="28"/>
          <w:szCs w:val="28"/>
        </w:rPr>
        <w:t>项目编号：</w:t>
      </w:r>
    </w:p>
    <w:p w14:paraId="004F8119">
      <w:pPr>
        <w:pStyle w:val="69"/>
        <w:rPr>
          <w:color w:val="auto"/>
        </w:rPr>
      </w:pPr>
    </w:p>
    <w:p w14:paraId="1411D542">
      <w:pPr>
        <w:jc w:val="center"/>
        <w:rPr>
          <w:b/>
          <w:bCs/>
          <w:color w:val="auto"/>
          <w:sz w:val="28"/>
          <w:szCs w:val="28"/>
        </w:rPr>
      </w:pPr>
    </w:p>
    <w:p w14:paraId="38D8E4FF">
      <w:pPr>
        <w:rPr>
          <w:b/>
          <w:bCs/>
          <w:color w:val="auto"/>
          <w:sz w:val="28"/>
          <w:szCs w:val="28"/>
        </w:rPr>
      </w:pPr>
    </w:p>
    <w:p w14:paraId="3FCD16E2">
      <w:pPr>
        <w:rPr>
          <w:b/>
          <w:bCs/>
          <w:color w:val="auto"/>
          <w:sz w:val="28"/>
          <w:szCs w:val="28"/>
        </w:rPr>
      </w:pPr>
    </w:p>
    <w:p w14:paraId="3BE78974">
      <w:pPr>
        <w:jc w:val="center"/>
        <w:rPr>
          <w:b/>
          <w:bCs/>
          <w:color w:val="auto"/>
          <w:sz w:val="28"/>
          <w:szCs w:val="28"/>
        </w:rPr>
      </w:pPr>
    </w:p>
    <w:p w14:paraId="0A673573">
      <w:pPr>
        <w:jc w:val="center"/>
        <w:rPr>
          <w:b/>
          <w:bCs/>
          <w:color w:val="auto"/>
          <w:sz w:val="28"/>
          <w:szCs w:val="28"/>
        </w:rPr>
      </w:pPr>
    </w:p>
    <w:p w14:paraId="7FFE6F8E">
      <w:pPr>
        <w:spacing w:line="360" w:lineRule="auto"/>
        <w:ind w:firstLine="1400" w:firstLineChars="500"/>
        <w:rPr>
          <w:b/>
          <w:bCs/>
          <w:color w:val="auto"/>
          <w:sz w:val="28"/>
          <w:szCs w:val="28"/>
        </w:rPr>
      </w:pPr>
      <w:r>
        <w:rPr>
          <w:rFonts w:hint="eastAsia"/>
          <w:b/>
          <w:bCs/>
          <w:color w:val="auto"/>
          <w:sz w:val="28"/>
          <w:szCs w:val="28"/>
        </w:rPr>
        <w:t>磋商供应商</w:t>
      </w:r>
      <w:r>
        <w:rPr>
          <w:b/>
          <w:bCs/>
          <w:color w:val="auto"/>
          <w:sz w:val="28"/>
          <w:szCs w:val="28"/>
        </w:rPr>
        <w:t>：</w:t>
      </w:r>
      <w:r>
        <w:rPr>
          <w:rFonts w:hint="eastAsia"/>
          <w:b/>
          <w:bCs/>
          <w:color w:val="auto"/>
          <w:sz w:val="28"/>
          <w:szCs w:val="28"/>
          <w:u w:val="single"/>
        </w:rPr>
        <w:t xml:space="preserve">                 </w:t>
      </w:r>
      <w:r>
        <w:rPr>
          <w:b/>
          <w:bCs/>
          <w:color w:val="auto"/>
          <w:sz w:val="28"/>
          <w:szCs w:val="28"/>
        </w:rPr>
        <w:t>（</w:t>
      </w:r>
      <w:r>
        <w:rPr>
          <w:rFonts w:hint="eastAsia"/>
          <w:b/>
          <w:bCs/>
          <w:color w:val="auto"/>
          <w:sz w:val="28"/>
          <w:szCs w:val="28"/>
        </w:rPr>
        <w:t>公章或电子签章</w:t>
      </w:r>
      <w:r>
        <w:rPr>
          <w:b/>
          <w:bCs/>
          <w:color w:val="auto"/>
          <w:sz w:val="28"/>
          <w:szCs w:val="28"/>
        </w:rPr>
        <w:t>）</w:t>
      </w:r>
    </w:p>
    <w:p w14:paraId="41644C8E">
      <w:pPr>
        <w:spacing w:line="360" w:lineRule="auto"/>
        <w:ind w:firstLine="1400" w:firstLineChars="500"/>
        <w:rPr>
          <w:b/>
          <w:bCs/>
          <w:color w:val="auto"/>
          <w:sz w:val="28"/>
          <w:szCs w:val="28"/>
        </w:rPr>
      </w:pPr>
      <w:r>
        <w:rPr>
          <w:b/>
          <w:bCs/>
          <w:color w:val="auto"/>
          <w:sz w:val="28"/>
          <w:szCs w:val="28"/>
        </w:rPr>
        <w:t>法定代表人或其委托代理人：</w:t>
      </w:r>
      <w:r>
        <w:rPr>
          <w:rFonts w:hint="eastAsia"/>
          <w:b/>
          <w:bCs/>
          <w:color w:val="auto"/>
          <w:sz w:val="28"/>
          <w:szCs w:val="28"/>
          <w:u w:val="single"/>
        </w:rPr>
        <w:t xml:space="preserve">         </w:t>
      </w:r>
      <w:r>
        <w:rPr>
          <w:b/>
          <w:bCs/>
          <w:color w:val="auto"/>
          <w:sz w:val="28"/>
          <w:szCs w:val="28"/>
        </w:rPr>
        <w:t>（</w:t>
      </w:r>
      <w:r>
        <w:rPr>
          <w:rFonts w:hint="eastAsia"/>
          <w:b/>
          <w:bCs/>
          <w:color w:val="auto"/>
          <w:sz w:val="28"/>
          <w:szCs w:val="28"/>
        </w:rPr>
        <w:t>手写签名或电子签名</w:t>
      </w:r>
      <w:r>
        <w:rPr>
          <w:b/>
          <w:bCs/>
          <w:color w:val="auto"/>
          <w:sz w:val="28"/>
          <w:szCs w:val="28"/>
        </w:rPr>
        <w:t>）</w:t>
      </w:r>
    </w:p>
    <w:p w14:paraId="33DAC828">
      <w:pPr>
        <w:jc w:val="center"/>
        <w:rPr>
          <w:b/>
          <w:bCs/>
          <w:color w:val="auto"/>
          <w:sz w:val="28"/>
          <w:szCs w:val="28"/>
        </w:rPr>
      </w:pPr>
      <w:r>
        <w:rPr>
          <w:b/>
          <w:bCs/>
          <w:color w:val="auto"/>
          <w:sz w:val="28"/>
          <w:szCs w:val="28"/>
        </w:rPr>
        <w:t xml:space="preserve">  年  月  日</w:t>
      </w:r>
    </w:p>
    <w:p w14:paraId="54EA95BD">
      <w:pPr>
        <w:spacing w:line="336" w:lineRule="auto"/>
        <w:ind w:right="-153" w:rightChars="-73"/>
        <w:jc w:val="center"/>
        <w:rPr>
          <w:rFonts w:ascii="宋体" w:hAnsi="宋体"/>
          <w:b/>
          <w:color w:val="auto"/>
          <w:szCs w:val="21"/>
        </w:rPr>
      </w:pPr>
      <w:r>
        <w:rPr>
          <w:rFonts w:ascii="宋体" w:hAnsi="宋体"/>
          <w:b/>
          <w:color w:val="auto"/>
          <w:szCs w:val="21"/>
        </w:rPr>
        <w:br w:type="page"/>
      </w:r>
    </w:p>
    <w:p w14:paraId="41DA43BF">
      <w:pPr>
        <w:spacing w:line="336" w:lineRule="auto"/>
        <w:ind w:right="-153" w:rightChars="-73"/>
        <w:jc w:val="center"/>
        <w:rPr>
          <w:rFonts w:ascii="黑体" w:eastAsia="黑体"/>
          <w:b/>
          <w:color w:val="auto"/>
          <w:sz w:val="28"/>
          <w:szCs w:val="28"/>
        </w:rPr>
      </w:pPr>
      <w:r>
        <w:rPr>
          <w:rFonts w:hint="eastAsia" w:ascii="黑体" w:eastAsia="黑体"/>
          <w:b/>
          <w:color w:val="auto"/>
          <w:sz w:val="28"/>
          <w:szCs w:val="28"/>
        </w:rPr>
        <w:t>目录</w:t>
      </w:r>
    </w:p>
    <w:p w14:paraId="403D38AF">
      <w:pPr>
        <w:spacing w:line="336" w:lineRule="auto"/>
        <w:ind w:right="-153" w:rightChars="-73"/>
        <w:jc w:val="center"/>
        <w:rPr>
          <w:rFonts w:ascii="宋体" w:hAnsi="宋体" w:cs="宋体"/>
          <w:bCs/>
          <w:color w:val="auto"/>
          <w:sz w:val="18"/>
          <w:szCs w:val="18"/>
        </w:rPr>
      </w:pPr>
      <w:r>
        <w:rPr>
          <w:rFonts w:hint="eastAsia" w:ascii="宋体" w:hAnsi="宋体" w:cs="宋体"/>
          <w:bCs/>
          <w:color w:val="auto"/>
          <w:sz w:val="18"/>
          <w:szCs w:val="18"/>
        </w:rPr>
        <w:t>（自行编页码）</w:t>
      </w:r>
    </w:p>
    <w:p w14:paraId="4BB8E21C">
      <w:pPr>
        <w:spacing w:line="336" w:lineRule="auto"/>
        <w:ind w:right="-153" w:rightChars="-73"/>
        <w:rPr>
          <w:rFonts w:ascii="宋体" w:hAnsi="宋体"/>
          <w:b/>
          <w:color w:val="auto"/>
          <w:szCs w:val="21"/>
        </w:rPr>
      </w:pPr>
    </w:p>
    <w:p w14:paraId="177E8A6B">
      <w:pPr>
        <w:pStyle w:val="24"/>
        <w:spacing w:line="390" w:lineRule="exact"/>
        <w:rPr>
          <w:rFonts w:hint="eastAsia" w:hAnsi="宋体" w:cs="宋体"/>
          <w:bCs/>
          <w:color w:val="auto"/>
          <w:szCs w:val="21"/>
        </w:rPr>
      </w:pPr>
      <w:r>
        <w:rPr>
          <w:rFonts w:hint="eastAsia" w:hAnsi="宋体" w:cs="宋体"/>
          <w:bCs/>
          <w:color w:val="auto"/>
          <w:szCs w:val="21"/>
        </w:rPr>
        <w:t>（1）</w:t>
      </w:r>
      <w:r>
        <w:rPr>
          <w:rFonts w:hint="eastAsia" w:hAnsi="宋体" w:cs="宋体"/>
          <w:bCs/>
          <w:color w:val="auto"/>
          <w:szCs w:val="21"/>
          <w:lang w:eastAsia="zh-CN"/>
        </w:rPr>
        <w:t>贺州市平桂区政府采购供应商信用承诺函</w:t>
      </w:r>
      <w:r>
        <w:rPr>
          <w:rFonts w:hint="eastAsia" w:hAnsi="宋体" w:cs="宋体"/>
          <w:bCs/>
          <w:color w:val="auto"/>
          <w:szCs w:val="21"/>
        </w:rPr>
        <w:t xml:space="preserve">； </w:t>
      </w:r>
    </w:p>
    <w:p w14:paraId="49C6CCE2">
      <w:pPr>
        <w:pStyle w:val="24"/>
        <w:spacing w:line="390" w:lineRule="exact"/>
        <w:rPr>
          <w:rFonts w:hint="eastAsia" w:hAnsi="宋体" w:cs="宋体"/>
          <w:bCs/>
          <w:color w:val="auto"/>
          <w:szCs w:val="21"/>
        </w:rPr>
      </w:pPr>
      <w:r>
        <w:rPr>
          <w:rFonts w:hint="eastAsia" w:hAnsi="宋体" w:cs="宋体"/>
          <w:bCs/>
          <w:color w:val="auto"/>
          <w:szCs w:val="21"/>
        </w:rPr>
        <w:t>（2）法定代表人（负责人）身份证明书原件和第二代身份证正反面复印件；</w:t>
      </w:r>
    </w:p>
    <w:p w14:paraId="1BE54CEB">
      <w:pPr>
        <w:pStyle w:val="24"/>
        <w:spacing w:line="390" w:lineRule="exact"/>
        <w:rPr>
          <w:rFonts w:hint="eastAsia" w:hAnsi="宋体" w:cs="宋体"/>
          <w:bCs/>
          <w:color w:val="auto"/>
          <w:szCs w:val="21"/>
        </w:rPr>
      </w:pPr>
      <w:r>
        <w:rPr>
          <w:rFonts w:hint="eastAsia" w:hAnsi="宋体" w:cs="宋体"/>
          <w:bCs/>
          <w:color w:val="auto"/>
          <w:szCs w:val="21"/>
        </w:rPr>
        <w:t>（3）法定代表人（负责人）授权委托书原件和委托代理人第二代身份证正反面复印件；</w:t>
      </w:r>
    </w:p>
    <w:p w14:paraId="34E54444">
      <w:pPr>
        <w:pStyle w:val="24"/>
        <w:spacing w:line="390" w:lineRule="exact"/>
        <w:rPr>
          <w:rFonts w:hint="eastAsia" w:hAnsi="宋体" w:cs="宋体"/>
          <w:bCs/>
          <w:color w:val="auto"/>
          <w:szCs w:val="21"/>
        </w:rPr>
      </w:pPr>
      <w:r>
        <w:rPr>
          <w:rFonts w:hint="eastAsia" w:hAnsi="宋体" w:cs="宋体"/>
          <w:bCs/>
          <w:color w:val="auto"/>
          <w:szCs w:val="21"/>
        </w:rPr>
        <w:t>（4）具备</w:t>
      </w:r>
      <w:r>
        <w:rPr>
          <w:rFonts w:hint="eastAsia" w:hAnsi="宋体" w:cs="宋体"/>
          <w:bCs/>
          <w:color w:val="auto"/>
          <w:szCs w:val="21"/>
          <w:lang w:eastAsia="zh-CN"/>
        </w:rPr>
        <w:t>建筑工程</w:t>
      </w:r>
      <w:r>
        <w:rPr>
          <w:rFonts w:hint="eastAsia" w:hAnsi="宋体" w:cs="宋体"/>
          <w:bCs/>
          <w:color w:val="auto"/>
          <w:szCs w:val="21"/>
        </w:rPr>
        <w:t>施工总承包叁级及以上资质及有效的安全生产许可证。</w:t>
      </w:r>
    </w:p>
    <w:p w14:paraId="18DE7126">
      <w:pPr>
        <w:pStyle w:val="24"/>
        <w:spacing w:line="390" w:lineRule="exact"/>
        <w:rPr>
          <w:rFonts w:hint="eastAsia" w:hAnsi="宋体" w:cs="宋体"/>
          <w:bCs/>
          <w:color w:val="auto"/>
          <w:szCs w:val="21"/>
        </w:rPr>
      </w:pPr>
      <w:r>
        <w:rPr>
          <w:rFonts w:hint="eastAsia" w:hAnsi="宋体" w:cs="宋体"/>
          <w:bCs/>
          <w:color w:val="auto"/>
          <w:szCs w:val="21"/>
        </w:rPr>
        <w:t>（5）拟派项目经理</w:t>
      </w:r>
      <w:r>
        <w:rPr>
          <w:rFonts w:hint="eastAsia" w:hAnsi="宋体" w:cs="宋体"/>
          <w:bCs/>
          <w:color w:val="auto"/>
          <w:szCs w:val="21"/>
          <w:lang w:eastAsia="zh-CN"/>
        </w:rPr>
        <w:t>建筑工程</w:t>
      </w:r>
      <w:r>
        <w:rPr>
          <w:rFonts w:hint="eastAsia" w:hAnsi="宋体" w:cs="宋体"/>
          <w:bCs/>
          <w:color w:val="auto"/>
          <w:szCs w:val="21"/>
        </w:rPr>
        <w:t>专业注册建造师二级及以上执业资格证书及有效的省级或省级以上建设行政主管部门颁发的安全生产考核合格证书（B类）的扫描件；</w:t>
      </w:r>
    </w:p>
    <w:p w14:paraId="0FF8C452">
      <w:pPr>
        <w:pStyle w:val="24"/>
        <w:spacing w:line="390" w:lineRule="exact"/>
        <w:rPr>
          <w:rFonts w:hint="eastAsia" w:hAnsi="宋体" w:cs="宋体"/>
          <w:bCs/>
          <w:color w:val="auto"/>
          <w:szCs w:val="21"/>
        </w:rPr>
      </w:pPr>
      <w:r>
        <w:rPr>
          <w:rFonts w:hint="eastAsia" w:hAnsi="宋体" w:cs="宋体"/>
          <w:bCs/>
          <w:color w:val="auto"/>
          <w:szCs w:val="21"/>
        </w:rPr>
        <w:t>（6）拟派往本项目专职安全员岗位证书扫描件及有效的省级或省级以上建设行政主管部门颁发的安全生产考核合格证书（C类）的扫描件；</w:t>
      </w:r>
    </w:p>
    <w:p w14:paraId="1A2FFFF9">
      <w:pPr>
        <w:pStyle w:val="24"/>
        <w:spacing w:line="390" w:lineRule="exact"/>
        <w:rPr>
          <w:rFonts w:hAnsi="宋体" w:cs="宋体"/>
          <w:bCs/>
          <w:color w:val="auto"/>
          <w:szCs w:val="21"/>
        </w:rPr>
      </w:pPr>
      <w:r>
        <w:rPr>
          <w:rFonts w:hint="eastAsia" w:hAnsi="宋体" w:cs="宋体"/>
          <w:bCs/>
          <w:color w:val="auto"/>
          <w:szCs w:val="21"/>
        </w:rPr>
        <w:t>（7）磋商供应商认为必要提供的声明及文件资料。</w:t>
      </w:r>
    </w:p>
    <w:p w14:paraId="67569352">
      <w:pPr>
        <w:rPr>
          <w:rFonts w:ascii="宋体" w:hAnsi="宋体"/>
          <w:b/>
          <w:bCs/>
          <w:color w:val="auto"/>
          <w:sz w:val="24"/>
        </w:rPr>
      </w:pPr>
    </w:p>
    <w:p w14:paraId="791B3F37">
      <w:pPr>
        <w:rPr>
          <w:rFonts w:ascii="宋体" w:hAnsi="宋体"/>
          <w:b/>
          <w:color w:val="auto"/>
          <w:sz w:val="28"/>
          <w:szCs w:val="28"/>
        </w:rPr>
      </w:pPr>
    </w:p>
    <w:p w14:paraId="0A4C2EFF">
      <w:pPr>
        <w:pStyle w:val="70"/>
        <w:jc w:val="center"/>
        <w:rPr>
          <w:color w:val="auto"/>
        </w:rPr>
      </w:pPr>
      <w:r>
        <w:rPr>
          <w:rFonts w:hint="eastAsia" w:hAnsi="宋体"/>
          <w:color w:val="auto"/>
          <w:sz w:val="24"/>
        </w:rPr>
        <w:t>正文格式自拟</w:t>
      </w:r>
    </w:p>
    <w:p w14:paraId="10B39FCA">
      <w:pPr>
        <w:spacing w:line="480" w:lineRule="auto"/>
        <w:rPr>
          <w:rFonts w:ascii="宋体" w:hAnsi="宋体"/>
          <w:b/>
          <w:color w:val="auto"/>
          <w:sz w:val="24"/>
        </w:rPr>
      </w:pPr>
      <w:r>
        <w:rPr>
          <w:rFonts w:hint="eastAsia" w:ascii="宋体" w:hAnsi="宋体"/>
          <w:b/>
          <w:bCs/>
          <w:color w:val="auto"/>
          <w:sz w:val="24"/>
        </w:rPr>
        <w:t>注：1.</w:t>
      </w:r>
      <w:r>
        <w:rPr>
          <w:rFonts w:hint="eastAsia" w:ascii="宋体" w:hAnsi="宋体"/>
          <w:b/>
          <w:color w:val="auto"/>
          <w:sz w:val="24"/>
          <w:u w:val="single"/>
        </w:rPr>
        <w:t>上述材料缺少任何一项或任何一项无效均会被视为资格审查不合格，作无效磋商处理</w:t>
      </w:r>
      <w:r>
        <w:rPr>
          <w:rFonts w:hint="eastAsia" w:ascii="宋体" w:hAnsi="宋体"/>
          <w:b/>
          <w:color w:val="auto"/>
          <w:sz w:val="24"/>
        </w:rPr>
        <w:t>。</w:t>
      </w:r>
    </w:p>
    <w:p w14:paraId="4B5AF49F">
      <w:pPr>
        <w:numPr>
          <w:ilvl w:val="0"/>
          <w:numId w:val="12"/>
        </w:numPr>
        <w:spacing w:line="480" w:lineRule="auto"/>
        <w:ind w:firstLine="480" w:firstLineChars="200"/>
        <w:rPr>
          <w:rFonts w:ascii="宋体" w:hAnsi="宋体"/>
          <w:b/>
          <w:color w:val="auto"/>
          <w:sz w:val="24"/>
          <w:u w:val="single"/>
        </w:rPr>
      </w:pPr>
      <w:r>
        <w:rPr>
          <w:rFonts w:hint="eastAsia" w:ascii="宋体" w:hAnsi="宋体"/>
          <w:b/>
          <w:color w:val="auto"/>
          <w:sz w:val="24"/>
          <w:u w:val="single"/>
        </w:rPr>
        <w:t>以上材料属于复印件的扫描件的，必须加盖供应商电子公章，否则响应文件按无效响应处理。</w:t>
      </w:r>
    </w:p>
    <w:p w14:paraId="4FD31F90">
      <w:pPr>
        <w:pStyle w:val="69"/>
        <w:rPr>
          <w:color w:val="auto"/>
        </w:rPr>
      </w:pPr>
    </w:p>
    <w:p w14:paraId="00519474">
      <w:pPr>
        <w:pStyle w:val="70"/>
        <w:rPr>
          <w:color w:val="auto"/>
        </w:rPr>
      </w:pPr>
    </w:p>
    <w:p w14:paraId="584E396E">
      <w:pPr>
        <w:widowControl/>
        <w:jc w:val="left"/>
        <w:rPr>
          <w:rFonts w:ascii="宋体" w:hAnsi="宋体"/>
          <w:b/>
          <w:color w:val="auto"/>
          <w:sz w:val="28"/>
          <w:szCs w:val="28"/>
        </w:rPr>
      </w:pPr>
      <w:r>
        <w:rPr>
          <w:rFonts w:ascii="宋体" w:hAnsi="宋体"/>
          <w:b/>
          <w:color w:val="auto"/>
          <w:sz w:val="28"/>
          <w:szCs w:val="28"/>
        </w:rPr>
        <w:br w:type="page"/>
      </w:r>
    </w:p>
    <w:p w14:paraId="6C51A640">
      <w:pPr>
        <w:jc w:val="center"/>
        <w:outlineLvl w:val="0"/>
        <w:rPr>
          <w:rFonts w:hint="eastAsia" w:ascii="仿宋" w:hAnsi="仿宋" w:eastAsia="仿宋" w:cs="仿宋"/>
          <w:b/>
          <w:bCs/>
          <w:color w:val="auto"/>
          <w:sz w:val="30"/>
          <w:szCs w:val="30"/>
        </w:rPr>
      </w:pPr>
      <w:bookmarkStart w:id="1654" w:name="_Toc2993"/>
      <w:bookmarkStart w:id="1655" w:name="_Toc29474"/>
      <w:bookmarkStart w:id="1656" w:name="_Toc24878"/>
      <w:bookmarkStart w:id="1657" w:name="_Toc28984"/>
      <w:r>
        <w:rPr>
          <w:rFonts w:hint="eastAsia" w:ascii="宋体" w:hAnsi="宋体"/>
          <w:b/>
          <w:color w:val="auto"/>
          <w:sz w:val="28"/>
          <w:szCs w:val="28"/>
        </w:rPr>
        <w:t>附1、</w:t>
      </w:r>
      <w:r>
        <w:rPr>
          <w:rFonts w:hint="eastAsia" w:ascii="仿宋" w:hAnsi="仿宋" w:eastAsia="仿宋" w:cs="仿宋"/>
          <w:b/>
          <w:bCs/>
          <w:color w:val="auto"/>
          <w:sz w:val="30"/>
          <w:szCs w:val="30"/>
        </w:rPr>
        <w:t>贺州市</w:t>
      </w:r>
      <w:r>
        <w:rPr>
          <w:rFonts w:hint="eastAsia" w:ascii="仿宋" w:hAnsi="仿宋" w:eastAsia="仿宋" w:cs="仿宋"/>
          <w:b/>
          <w:bCs/>
          <w:color w:val="auto"/>
          <w:sz w:val="30"/>
          <w:szCs w:val="30"/>
          <w:lang w:eastAsia="zh-CN"/>
        </w:rPr>
        <w:t>平桂区</w:t>
      </w:r>
      <w:r>
        <w:rPr>
          <w:rFonts w:hint="eastAsia" w:ascii="仿宋" w:hAnsi="仿宋" w:eastAsia="仿宋" w:cs="仿宋"/>
          <w:b/>
          <w:bCs/>
          <w:color w:val="auto"/>
          <w:sz w:val="30"/>
          <w:szCs w:val="30"/>
        </w:rPr>
        <w:t>政府采购供应商信用承诺函(格式)</w:t>
      </w:r>
      <w:bookmarkEnd w:id="1654"/>
      <w:bookmarkEnd w:id="1655"/>
      <w:bookmarkEnd w:id="1656"/>
      <w:bookmarkEnd w:id="1657"/>
    </w:p>
    <w:p w14:paraId="296060F2">
      <w:pPr>
        <w:spacing w:line="580" w:lineRule="exact"/>
        <w:rPr>
          <w:rFonts w:hint="eastAsia"/>
          <w:color w:val="auto"/>
          <w:sz w:val="32"/>
          <w:szCs w:val="32"/>
        </w:rPr>
      </w:pPr>
    </w:p>
    <w:p w14:paraId="3E969134">
      <w:pPr>
        <w:spacing w:line="360" w:lineRule="exact"/>
        <w:rPr>
          <w:rFonts w:hint="eastAsia" w:ascii="仿宋" w:hAnsi="仿宋" w:eastAsia="仿宋" w:cs="仿宋"/>
          <w:color w:val="auto"/>
          <w:szCs w:val="21"/>
        </w:rPr>
      </w:pPr>
      <w:r>
        <w:rPr>
          <w:rFonts w:hint="eastAsia" w:ascii="仿宋" w:hAnsi="仿宋" w:eastAsia="仿宋" w:cs="仿宋"/>
          <w:color w:val="auto"/>
          <w:szCs w:val="21"/>
        </w:rPr>
        <w:t>致(采购人或采购代理机构):</w:t>
      </w:r>
    </w:p>
    <w:p w14:paraId="2A646877">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供应商名称:</w:t>
      </w:r>
    </w:p>
    <w:p w14:paraId="7B559538">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统一社会信用代码:</w:t>
      </w:r>
    </w:p>
    <w:p w14:paraId="7BC0CA04">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供应商地址:</w:t>
      </w:r>
    </w:p>
    <w:p w14:paraId="6F660C6B">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43407557">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1.我单位具有符合采购文件资格要求独立承担民事责任的能力。</w:t>
      </w:r>
    </w:p>
    <w:p w14:paraId="110E2C45">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2.我单位具有符合采购文件资格要求的财务状况报告。</w:t>
      </w:r>
    </w:p>
    <w:p w14:paraId="1E8FCF15">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3.我单位具有符合采购文件资格要求的依法缴纳税收和社会保障记录的良好记录。</w:t>
      </w:r>
    </w:p>
    <w:p w14:paraId="53FA1FDF">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4.我单位具有符合采购文件资格要求履行合同所必需的设备和专业技术能力。</w:t>
      </w:r>
    </w:p>
    <w:p w14:paraId="24978FEE">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5.参加政府采购活动前三年内，在经营活动中没有重大违法记录。</w:t>
      </w:r>
    </w:p>
    <w:p w14:paraId="436E71B0">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若我单位承诺不实，自愿承担提供虚假材料谋取中标、成交的法律责任。</w:t>
      </w:r>
    </w:p>
    <w:p w14:paraId="6F457F00">
      <w:pPr>
        <w:spacing w:line="360" w:lineRule="exact"/>
        <w:rPr>
          <w:rFonts w:hint="eastAsia" w:ascii="仿宋" w:hAnsi="仿宋" w:eastAsia="仿宋" w:cs="仿宋"/>
          <w:color w:val="auto"/>
          <w:szCs w:val="21"/>
        </w:rPr>
      </w:pPr>
    </w:p>
    <w:p w14:paraId="619B295A">
      <w:pPr>
        <w:spacing w:line="360" w:lineRule="exact"/>
        <w:ind w:firstLine="3150" w:firstLineChars="1500"/>
        <w:rPr>
          <w:rFonts w:hint="eastAsia" w:ascii="仿宋" w:hAnsi="仿宋" w:eastAsia="仿宋" w:cs="仿宋"/>
          <w:color w:val="auto"/>
          <w:szCs w:val="21"/>
        </w:rPr>
      </w:pPr>
      <w:r>
        <w:rPr>
          <w:rFonts w:hint="eastAsia" w:ascii="仿宋" w:hAnsi="仿宋" w:eastAsia="仿宋" w:cs="仿宋"/>
          <w:color w:val="auto"/>
          <w:szCs w:val="21"/>
        </w:rPr>
        <w:t>供应商名称(公章):</w:t>
      </w:r>
      <w:r>
        <w:rPr>
          <w:rFonts w:hint="eastAsia" w:ascii="仿宋" w:hAnsi="仿宋" w:eastAsia="仿宋" w:cs="仿宋"/>
          <w:color w:val="auto"/>
          <w:szCs w:val="21"/>
          <w:u w:val="single"/>
        </w:rPr>
        <w:t>　　　　　　　　　　　</w:t>
      </w:r>
    </w:p>
    <w:p w14:paraId="4834F9CA">
      <w:pPr>
        <w:spacing w:line="360" w:lineRule="exact"/>
        <w:ind w:firstLine="2100" w:firstLineChars="1000"/>
        <w:rPr>
          <w:rFonts w:hint="eastAsia" w:ascii="仿宋" w:hAnsi="仿宋" w:eastAsia="仿宋" w:cs="仿宋"/>
          <w:color w:val="auto"/>
          <w:szCs w:val="21"/>
          <w:u w:val="single"/>
        </w:rPr>
      </w:pPr>
      <w:r>
        <w:rPr>
          <w:rFonts w:hint="eastAsia" w:ascii="仿宋" w:hAnsi="仿宋" w:eastAsia="仿宋" w:cs="仿宋"/>
          <w:color w:val="auto"/>
          <w:szCs w:val="21"/>
        </w:rPr>
        <w:t>法定代表人或授权代表(签名):</w:t>
      </w:r>
      <w:r>
        <w:rPr>
          <w:rFonts w:hint="eastAsia" w:ascii="仿宋" w:hAnsi="仿宋" w:eastAsia="仿宋" w:cs="仿宋"/>
          <w:color w:val="auto"/>
          <w:szCs w:val="21"/>
          <w:u w:val="single"/>
        </w:rPr>
        <w:t>　　　　　　　　　　　</w:t>
      </w:r>
    </w:p>
    <w:p w14:paraId="371DC08E">
      <w:pPr>
        <w:spacing w:line="360" w:lineRule="exact"/>
        <w:rPr>
          <w:rFonts w:hint="eastAsia" w:ascii="仿宋" w:hAnsi="仿宋" w:eastAsia="仿宋" w:cs="仿宋"/>
          <w:color w:val="auto"/>
          <w:szCs w:val="21"/>
        </w:rPr>
      </w:pPr>
    </w:p>
    <w:p w14:paraId="3960A054">
      <w:pPr>
        <w:spacing w:line="360" w:lineRule="exact"/>
        <w:ind w:firstLine="3360" w:firstLineChars="1600"/>
        <w:jc w:val="right"/>
        <w:rPr>
          <w:rFonts w:hint="eastAsia" w:ascii="仿宋" w:hAnsi="仿宋" w:eastAsia="仿宋" w:cs="仿宋"/>
          <w:color w:val="auto"/>
          <w:szCs w:val="21"/>
        </w:rPr>
      </w:pPr>
      <w:r>
        <w:rPr>
          <w:rFonts w:hint="eastAsia" w:ascii="仿宋" w:hAnsi="仿宋" w:eastAsia="仿宋" w:cs="仿宋"/>
          <w:color w:val="auto"/>
          <w:szCs w:val="21"/>
        </w:rPr>
        <w:t>日期:  年  月   日</w:t>
      </w:r>
    </w:p>
    <w:p w14:paraId="187951D7">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注: 1.供应商须在投标(响应)文件中按此模板提供承诺函，未提供视为未实质性响应招标(采购)文件要求，按无效投标(响应)处理。</w:t>
      </w:r>
    </w:p>
    <w:p w14:paraId="4CBF0589">
      <w:pPr>
        <w:spacing w:line="360" w:lineRule="exact"/>
        <w:ind w:firstLine="420" w:firstLineChars="200"/>
        <w:rPr>
          <w:rFonts w:hint="eastAsia" w:ascii="仿宋" w:hAnsi="仿宋" w:eastAsia="仿宋" w:cs="仿宋"/>
          <w:color w:val="auto"/>
          <w:szCs w:val="21"/>
        </w:rPr>
      </w:pPr>
      <w:r>
        <w:rPr>
          <w:rFonts w:hint="eastAsia" w:ascii="仿宋" w:hAnsi="仿宋" w:eastAsia="仿宋" w:cs="仿宋"/>
          <w:color w:val="auto"/>
          <w:szCs w:val="21"/>
        </w:rPr>
        <w:t>2.供应商的法定代表人(其他组织的为负责人)或者授权代表的签名或盖章应真实、有效，如由授权代表签名或盖章的，应提供“法定代表人授权书”。</w:t>
      </w:r>
    </w:p>
    <w:p w14:paraId="40A51263">
      <w:pPr>
        <w:pStyle w:val="86"/>
        <w:spacing w:line="400" w:lineRule="exact"/>
        <w:rPr>
          <w:rFonts w:ascii="Times New Roman" w:hAnsi="Times New Roman" w:eastAsia="仿宋"/>
          <w:b/>
          <w:color w:val="auto"/>
        </w:rPr>
      </w:pPr>
    </w:p>
    <w:p w14:paraId="4D7F0681">
      <w:pPr>
        <w:pStyle w:val="86"/>
        <w:spacing w:line="400" w:lineRule="exact"/>
        <w:ind w:firstLine="402"/>
        <w:rPr>
          <w:rFonts w:hint="eastAsia" w:ascii="Times New Roman" w:hAnsi="Times New Roman" w:eastAsia="仿宋"/>
          <w:b/>
          <w:color w:val="auto"/>
        </w:rPr>
      </w:pPr>
      <w:r>
        <w:rPr>
          <w:rFonts w:hint="eastAsia" w:ascii="Times New Roman" w:hAnsi="Times New Roman" w:eastAsia="仿宋"/>
          <w:b/>
          <w:color w:val="auto"/>
        </w:rPr>
        <w:t>备注：根据贺州市财政局贺财采</w:t>
      </w:r>
      <w:r>
        <w:rPr>
          <w:rFonts w:hint="eastAsia" w:ascii="仿宋_GB2312" w:hAnsi="仿宋_GB2312" w:eastAsia="仿宋_GB2312" w:cs="仿宋_GB2312"/>
          <w:b/>
          <w:color w:val="auto"/>
        </w:rPr>
        <w:t>〔2023〕15号文件规定“</w:t>
      </w:r>
      <w:r>
        <w:rPr>
          <w:rFonts w:hint="eastAsia" w:ascii="仿宋_GB2312" w:hAnsi="仿宋_GB2312" w:eastAsia="仿宋_GB2312" w:cs="仿宋_GB2312"/>
          <w:b/>
          <w:color w:val="auto"/>
          <w:lang w:eastAsia="zh-CN"/>
        </w:rPr>
        <w:t>贺州市平桂区政府采购供应商信用承诺函</w:t>
      </w:r>
      <w:r>
        <w:rPr>
          <w:rFonts w:hint="eastAsia" w:ascii="仿宋_GB2312" w:hAnsi="仿宋_GB2312" w:eastAsia="仿宋_GB2312" w:cs="仿宋_GB2312"/>
          <w:b/>
          <w:color w:val="auto"/>
        </w:rPr>
        <w:t>”必须提供。</w:t>
      </w:r>
    </w:p>
    <w:p w14:paraId="60324C74">
      <w:pPr>
        <w:rPr>
          <w:rFonts w:hint="eastAsia" w:ascii="宋体" w:hAnsi="宋体"/>
          <w:b/>
          <w:color w:val="auto"/>
          <w:sz w:val="28"/>
          <w:szCs w:val="28"/>
        </w:rPr>
      </w:pPr>
    </w:p>
    <w:p w14:paraId="6B484FD9">
      <w:pPr>
        <w:rPr>
          <w:rFonts w:hint="eastAsia" w:ascii="宋体" w:hAnsi="宋体"/>
          <w:b/>
          <w:color w:val="auto"/>
          <w:sz w:val="28"/>
          <w:szCs w:val="28"/>
        </w:rPr>
      </w:pPr>
      <w:r>
        <w:rPr>
          <w:rFonts w:hint="eastAsia" w:ascii="宋体" w:hAnsi="宋体"/>
          <w:b/>
          <w:color w:val="auto"/>
          <w:sz w:val="28"/>
          <w:szCs w:val="28"/>
        </w:rPr>
        <w:br w:type="page"/>
      </w:r>
    </w:p>
    <w:p w14:paraId="477E2449">
      <w:pPr>
        <w:jc w:val="center"/>
        <w:outlineLvl w:val="0"/>
        <w:rPr>
          <w:rFonts w:ascii="宋体" w:hAnsi="宋体"/>
          <w:b/>
          <w:color w:val="auto"/>
          <w:szCs w:val="21"/>
        </w:rPr>
      </w:pPr>
      <w:bookmarkStart w:id="1658" w:name="_Toc22971"/>
      <w:bookmarkStart w:id="1659" w:name="_Toc4273"/>
      <w:bookmarkStart w:id="1660" w:name="_Toc21441"/>
      <w:bookmarkStart w:id="1661" w:name="_Toc24382"/>
      <w:r>
        <w:rPr>
          <w:rFonts w:hint="eastAsia" w:ascii="宋体" w:hAnsi="宋体"/>
          <w:b/>
          <w:color w:val="auto"/>
          <w:sz w:val="28"/>
          <w:szCs w:val="28"/>
        </w:rPr>
        <w:t>附</w:t>
      </w:r>
      <w:r>
        <w:rPr>
          <w:rFonts w:hint="eastAsia" w:ascii="宋体" w:hAnsi="宋体"/>
          <w:b/>
          <w:color w:val="auto"/>
          <w:sz w:val="28"/>
          <w:szCs w:val="28"/>
          <w:lang w:val="en-US" w:eastAsia="zh-CN"/>
        </w:rPr>
        <w:t>2</w:t>
      </w:r>
      <w:r>
        <w:rPr>
          <w:rFonts w:hint="eastAsia" w:ascii="宋体" w:hAnsi="宋体"/>
          <w:b/>
          <w:color w:val="auto"/>
          <w:sz w:val="28"/>
          <w:szCs w:val="28"/>
        </w:rPr>
        <w:t>、</w:t>
      </w:r>
      <w:r>
        <w:rPr>
          <w:rFonts w:hint="eastAsia" w:ascii="宋体" w:hAnsi="宋体" w:cs="黑体"/>
          <w:b/>
          <w:color w:val="auto"/>
          <w:kern w:val="0"/>
          <w:sz w:val="28"/>
          <w:szCs w:val="28"/>
        </w:rPr>
        <w:t>法定代表人身份证明书</w:t>
      </w:r>
      <w:r>
        <w:rPr>
          <w:rFonts w:hint="eastAsia" w:ascii="宋体" w:hAnsi="宋体"/>
          <w:b/>
          <w:color w:val="auto"/>
          <w:sz w:val="28"/>
          <w:szCs w:val="28"/>
        </w:rPr>
        <w:t>（格式）</w:t>
      </w:r>
      <w:bookmarkEnd w:id="1658"/>
      <w:bookmarkEnd w:id="1659"/>
      <w:bookmarkEnd w:id="1660"/>
      <w:bookmarkEnd w:id="1661"/>
    </w:p>
    <w:p w14:paraId="413E3B7D">
      <w:pPr>
        <w:autoSpaceDE w:val="0"/>
        <w:autoSpaceDN w:val="0"/>
        <w:adjustRightInd w:val="0"/>
        <w:rPr>
          <w:rFonts w:ascii="宋体" w:hAnsi="宋体" w:cs="黑体"/>
          <w:b/>
          <w:color w:val="auto"/>
          <w:kern w:val="0"/>
          <w:szCs w:val="21"/>
        </w:rPr>
      </w:pPr>
    </w:p>
    <w:p w14:paraId="71938733">
      <w:pPr>
        <w:autoSpaceDE w:val="0"/>
        <w:autoSpaceDN w:val="0"/>
        <w:adjustRightInd w:val="0"/>
        <w:spacing w:line="360" w:lineRule="auto"/>
        <w:ind w:firstLine="315" w:firstLineChars="150"/>
        <w:jc w:val="left"/>
        <w:rPr>
          <w:rFonts w:ascii="宋体" w:hAnsi="宋体" w:cs="仿宋_GB2312"/>
          <w:color w:val="auto"/>
          <w:kern w:val="0"/>
          <w:szCs w:val="21"/>
        </w:rPr>
      </w:pPr>
    </w:p>
    <w:p w14:paraId="78778549">
      <w:pPr>
        <w:autoSpaceDE w:val="0"/>
        <w:autoSpaceDN w:val="0"/>
        <w:adjustRightInd w:val="0"/>
        <w:spacing w:line="360" w:lineRule="auto"/>
        <w:ind w:firstLine="315" w:firstLineChars="150"/>
        <w:jc w:val="left"/>
        <w:rPr>
          <w:rFonts w:ascii="宋体" w:hAnsi="宋体" w:cs="仿宋_GB2312"/>
          <w:color w:val="auto"/>
          <w:kern w:val="0"/>
          <w:szCs w:val="21"/>
        </w:rPr>
      </w:pPr>
      <w:r>
        <w:rPr>
          <w:rFonts w:hint="eastAsia" w:ascii="宋体" w:hAnsi="宋体" w:cs="仿宋_GB2312"/>
          <w:color w:val="auto"/>
          <w:kern w:val="0"/>
          <w:szCs w:val="21"/>
        </w:rPr>
        <w:t>磋商供应商名称：</w:t>
      </w:r>
    </w:p>
    <w:p w14:paraId="00B43182">
      <w:pPr>
        <w:autoSpaceDE w:val="0"/>
        <w:autoSpaceDN w:val="0"/>
        <w:adjustRightInd w:val="0"/>
        <w:spacing w:line="360" w:lineRule="auto"/>
        <w:ind w:firstLine="315" w:firstLineChars="150"/>
        <w:jc w:val="left"/>
        <w:rPr>
          <w:rFonts w:ascii="宋体" w:hAnsi="宋体" w:cs="仿宋_GB2312"/>
          <w:color w:val="auto"/>
          <w:kern w:val="0"/>
          <w:szCs w:val="21"/>
          <w:u w:val="single"/>
        </w:rPr>
      </w:pPr>
      <w:r>
        <w:rPr>
          <w:rFonts w:hint="eastAsia" w:ascii="宋体" w:hAnsi="宋体" w:cs="仿宋_GB2312"/>
          <w:color w:val="auto"/>
          <w:kern w:val="0"/>
          <w:szCs w:val="21"/>
        </w:rPr>
        <w:t>单位性质：</w:t>
      </w:r>
    </w:p>
    <w:p w14:paraId="729AE5C2">
      <w:pPr>
        <w:autoSpaceDE w:val="0"/>
        <w:autoSpaceDN w:val="0"/>
        <w:adjustRightInd w:val="0"/>
        <w:spacing w:line="360" w:lineRule="auto"/>
        <w:ind w:firstLine="315" w:firstLineChars="150"/>
        <w:jc w:val="left"/>
        <w:rPr>
          <w:rFonts w:ascii="宋体" w:hAnsi="宋体" w:cs="仿宋_GB2312"/>
          <w:color w:val="auto"/>
          <w:kern w:val="0"/>
          <w:szCs w:val="21"/>
          <w:u w:val="single"/>
        </w:rPr>
      </w:pPr>
      <w:r>
        <w:rPr>
          <w:rFonts w:hint="eastAsia" w:ascii="宋体" w:hAnsi="宋体" w:cs="仿宋_GB2312"/>
          <w:color w:val="auto"/>
          <w:kern w:val="0"/>
          <w:szCs w:val="21"/>
        </w:rPr>
        <w:t>地址：</w:t>
      </w:r>
    </w:p>
    <w:p w14:paraId="64060703">
      <w:pPr>
        <w:autoSpaceDE w:val="0"/>
        <w:autoSpaceDN w:val="0"/>
        <w:adjustRightInd w:val="0"/>
        <w:spacing w:line="360" w:lineRule="auto"/>
        <w:ind w:firstLine="315" w:firstLineChars="150"/>
        <w:jc w:val="left"/>
        <w:rPr>
          <w:rFonts w:ascii="宋体" w:hAnsi="宋体" w:cs="仿宋_GB2312"/>
          <w:color w:val="auto"/>
          <w:kern w:val="0"/>
          <w:szCs w:val="21"/>
        </w:rPr>
      </w:pPr>
      <w:r>
        <w:rPr>
          <w:rFonts w:hint="eastAsia" w:ascii="宋体" w:hAnsi="宋体" w:cs="仿宋_GB2312"/>
          <w:color w:val="auto"/>
          <w:kern w:val="0"/>
          <w:szCs w:val="21"/>
        </w:rPr>
        <w:t>成立时间：   年  月  日</w:t>
      </w:r>
    </w:p>
    <w:p w14:paraId="78C68B6D">
      <w:pPr>
        <w:autoSpaceDE w:val="0"/>
        <w:autoSpaceDN w:val="0"/>
        <w:adjustRightInd w:val="0"/>
        <w:spacing w:line="360" w:lineRule="auto"/>
        <w:ind w:firstLine="315" w:firstLineChars="150"/>
        <w:jc w:val="left"/>
        <w:rPr>
          <w:rFonts w:ascii="宋体" w:hAnsi="宋体" w:cs="仿宋_GB2312"/>
          <w:color w:val="auto"/>
          <w:kern w:val="0"/>
          <w:szCs w:val="21"/>
          <w:u w:val="single"/>
        </w:rPr>
      </w:pPr>
      <w:r>
        <w:rPr>
          <w:rFonts w:hint="eastAsia" w:ascii="宋体" w:hAnsi="宋体" w:cs="仿宋_GB2312"/>
          <w:color w:val="auto"/>
          <w:kern w:val="0"/>
          <w:szCs w:val="21"/>
        </w:rPr>
        <w:t>经营期限：</w:t>
      </w:r>
    </w:p>
    <w:p w14:paraId="508B4BF2">
      <w:pPr>
        <w:autoSpaceDE w:val="0"/>
        <w:autoSpaceDN w:val="0"/>
        <w:adjustRightInd w:val="0"/>
        <w:spacing w:line="360" w:lineRule="auto"/>
        <w:ind w:firstLine="315" w:firstLineChars="150"/>
        <w:jc w:val="left"/>
        <w:rPr>
          <w:rFonts w:ascii="宋体" w:hAnsi="宋体" w:cs="仿宋_GB2312"/>
          <w:color w:val="auto"/>
          <w:kern w:val="0"/>
          <w:szCs w:val="21"/>
          <w:u w:val="single"/>
        </w:rPr>
      </w:pPr>
      <w:r>
        <w:rPr>
          <w:rFonts w:hint="eastAsia" w:ascii="宋体" w:hAnsi="宋体" w:cs="仿宋_GB2312"/>
          <w:color w:val="auto"/>
          <w:kern w:val="0"/>
          <w:szCs w:val="21"/>
        </w:rPr>
        <w:t>姓名：</w:t>
      </w:r>
      <w:r>
        <w:rPr>
          <w:rFonts w:hint="eastAsia" w:ascii="宋体" w:hAnsi="宋体" w:cs="仿宋_GB2312"/>
          <w:color w:val="auto"/>
          <w:kern w:val="0"/>
          <w:szCs w:val="21"/>
          <w:u w:val="single"/>
          <w:lang w:val="en-US" w:eastAsia="zh-CN"/>
        </w:rPr>
        <w:t xml:space="preserve">        </w:t>
      </w:r>
      <w:r>
        <w:rPr>
          <w:rFonts w:hint="eastAsia" w:ascii="宋体" w:hAnsi="宋体" w:cs="仿宋_GB2312"/>
          <w:color w:val="auto"/>
          <w:kern w:val="0"/>
          <w:szCs w:val="21"/>
          <w:lang w:val="en-US" w:eastAsia="zh-CN"/>
        </w:rPr>
        <w:t xml:space="preserve"> </w:t>
      </w:r>
      <w:r>
        <w:rPr>
          <w:rFonts w:hint="eastAsia" w:ascii="宋体" w:hAnsi="宋体" w:cs="仿宋_GB2312"/>
          <w:color w:val="auto"/>
          <w:kern w:val="0"/>
          <w:szCs w:val="21"/>
        </w:rPr>
        <w:t>性别：</w:t>
      </w:r>
      <w:r>
        <w:rPr>
          <w:rFonts w:hint="eastAsia" w:ascii="宋体" w:hAnsi="宋体" w:cs="仿宋_GB2312"/>
          <w:color w:val="auto"/>
          <w:kern w:val="0"/>
          <w:szCs w:val="21"/>
          <w:u w:val="single"/>
          <w:lang w:val="en-US" w:eastAsia="zh-CN"/>
        </w:rPr>
        <w:t xml:space="preserve">        </w:t>
      </w:r>
      <w:r>
        <w:rPr>
          <w:rFonts w:hint="eastAsia" w:ascii="宋体" w:hAnsi="宋体" w:cs="仿宋_GB2312"/>
          <w:color w:val="auto"/>
          <w:kern w:val="0"/>
          <w:szCs w:val="21"/>
        </w:rPr>
        <w:t xml:space="preserve"> 年龄：</w:t>
      </w:r>
      <w:r>
        <w:rPr>
          <w:rFonts w:hint="eastAsia" w:ascii="宋体" w:hAnsi="宋体" w:cs="仿宋_GB2312"/>
          <w:color w:val="auto"/>
          <w:kern w:val="0"/>
          <w:szCs w:val="21"/>
          <w:u w:val="single"/>
          <w:lang w:val="en-US" w:eastAsia="zh-CN"/>
        </w:rPr>
        <w:t xml:space="preserve">        </w:t>
      </w:r>
      <w:r>
        <w:rPr>
          <w:rFonts w:hint="eastAsia" w:ascii="宋体" w:hAnsi="宋体" w:cs="仿宋_GB2312"/>
          <w:color w:val="auto"/>
          <w:kern w:val="0"/>
          <w:szCs w:val="21"/>
        </w:rPr>
        <w:t xml:space="preserve"> 职务：</w:t>
      </w:r>
      <w:r>
        <w:rPr>
          <w:rFonts w:hint="eastAsia" w:ascii="宋体" w:hAnsi="宋体" w:cs="仿宋_GB2312"/>
          <w:color w:val="auto"/>
          <w:kern w:val="0"/>
          <w:szCs w:val="21"/>
          <w:u w:val="single"/>
          <w:lang w:val="en-US" w:eastAsia="zh-CN"/>
        </w:rPr>
        <w:t xml:space="preserve">        </w:t>
      </w:r>
    </w:p>
    <w:p w14:paraId="2A8CBCE3">
      <w:pPr>
        <w:autoSpaceDE w:val="0"/>
        <w:autoSpaceDN w:val="0"/>
        <w:adjustRightInd w:val="0"/>
        <w:spacing w:line="360" w:lineRule="auto"/>
        <w:ind w:firstLine="315" w:firstLineChars="150"/>
        <w:jc w:val="left"/>
        <w:rPr>
          <w:rFonts w:ascii="宋体" w:hAnsi="宋体" w:cs="仿宋_GB2312"/>
          <w:color w:val="auto"/>
          <w:kern w:val="0"/>
          <w:szCs w:val="21"/>
          <w:u w:val="single"/>
        </w:rPr>
      </w:pPr>
      <w:r>
        <w:rPr>
          <w:rFonts w:hint="eastAsia" w:ascii="宋体" w:hAnsi="宋体" w:cs="仿宋_GB2312"/>
          <w:color w:val="auto"/>
          <w:kern w:val="0"/>
          <w:szCs w:val="21"/>
        </w:rPr>
        <w:t>身份证号：</w:t>
      </w:r>
    </w:p>
    <w:p w14:paraId="16B869C1">
      <w:pPr>
        <w:autoSpaceDE w:val="0"/>
        <w:autoSpaceDN w:val="0"/>
        <w:adjustRightInd w:val="0"/>
        <w:spacing w:line="360" w:lineRule="auto"/>
        <w:ind w:firstLine="315" w:firstLineChars="150"/>
        <w:jc w:val="left"/>
        <w:rPr>
          <w:rFonts w:ascii="宋体" w:hAnsi="宋体" w:cs="仿宋_GB2312"/>
          <w:color w:val="auto"/>
          <w:kern w:val="0"/>
          <w:szCs w:val="21"/>
        </w:rPr>
      </w:pPr>
      <w:r>
        <w:rPr>
          <w:rFonts w:hint="eastAsia" w:ascii="宋体" w:hAnsi="宋体" w:cs="仿宋_GB2312"/>
          <w:color w:val="auto"/>
          <w:kern w:val="0"/>
          <w:szCs w:val="21"/>
        </w:rPr>
        <w:t xml:space="preserve">系 </w:t>
      </w:r>
      <w:r>
        <w:rPr>
          <w:rFonts w:hint="eastAsia" w:ascii="宋体" w:hAnsi="宋体" w:cs="仿宋_GB2312"/>
          <w:color w:val="auto"/>
          <w:kern w:val="0"/>
          <w:szCs w:val="21"/>
          <w:u w:val="single"/>
          <w:lang w:val="en-US" w:eastAsia="zh-CN"/>
        </w:rPr>
        <w:t xml:space="preserve">            </w:t>
      </w:r>
      <w:r>
        <w:rPr>
          <w:rFonts w:hint="eastAsia" w:ascii="宋体" w:hAnsi="宋体" w:cs="仿宋_GB2312"/>
          <w:color w:val="auto"/>
          <w:kern w:val="0"/>
          <w:szCs w:val="21"/>
        </w:rPr>
        <w:t>（磋商供应商名称）的法定代表人。</w:t>
      </w:r>
    </w:p>
    <w:p w14:paraId="626245A8">
      <w:pPr>
        <w:autoSpaceDE w:val="0"/>
        <w:autoSpaceDN w:val="0"/>
        <w:adjustRightInd w:val="0"/>
        <w:spacing w:line="360" w:lineRule="auto"/>
        <w:ind w:firstLine="315" w:firstLineChars="150"/>
        <w:jc w:val="left"/>
        <w:rPr>
          <w:rFonts w:ascii="宋体" w:hAnsi="宋体" w:cs="仿宋_GB2312"/>
          <w:color w:val="auto"/>
          <w:kern w:val="0"/>
          <w:szCs w:val="21"/>
        </w:rPr>
      </w:pPr>
      <w:r>
        <w:rPr>
          <w:rFonts w:hint="eastAsia" w:ascii="宋体" w:hAnsi="宋体" w:cs="仿宋_GB2312"/>
          <w:color w:val="auto"/>
          <w:kern w:val="0"/>
          <w:szCs w:val="21"/>
        </w:rPr>
        <w:t>特此证明。</w:t>
      </w:r>
    </w:p>
    <w:p w14:paraId="05354D2A">
      <w:pPr>
        <w:autoSpaceDE w:val="0"/>
        <w:autoSpaceDN w:val="0"/>
        <w:adjustRightInd w:val="0"/>
        <w:spacing w:line="360" w:lineRule="auto"/>
        <w:ind w:firstLine="3150" w:firstLineChars="1500"/>
        <w:jc w:val="left"/>
        <w:rPr>
          <w:rFonts w:ascii="宋体" w:hAnsi="宋体" w:cs="仿宋_GB2312"/>
          <w:color w:val="auto"/>
          <w:kern w:val="0"/>
          <w:szCs w:val="21"/>
        </w:rPr>
      </w:pPr>
    </w:p>
    <w:p w14:paraId="227BDDE2">
      <w:pPr>
        <w:autoSpaceDE w:val="0"/>
        <w:autoSpaceDN w:val="0"/>
        <w:adjustRightInd w:val="0"/>
        <w:spacing w:line="360" w:lineRule="auto"/>
        <w:ind w:firstLine="3150" w:firstLineChars="1500"/>
        <w:jc w:val="left"/>
        <w:rPr>
          <w:rFonts w:ascii="宋体" w:hAnsi="宋体" w:cs="仿宋_GB2312"/>
          <w:color w:val="auto"/>
          <w:kern w:val="0"/>
          <w:szCs w:val="21"/>
        </w:rPr>
      </w:pPr>
    </w:p>
    <w:p w14:paraId="548E8E65">
      <w:pPr>
        <w:autoSpaceDE w:val="0"/>
        <w:autoSpaceDN w:val="0"/>
        <w:adjustRightInd w:val="0"/>
        <w:spacing w:line="360" w:lineRule="auto"/>
        <w:ind w:firstLine="3150" w:firstLineChars="1500"/>
        <w:jc w:val="right"/>
        <w:rPr>
          <w:rFonts w:ascii="宋体" w:hAnsi="宋体" w:cs="仿宋_GB2312"/>
          <w:color w:val="auto"/>
          <w:kern w:val="0"/>
          <w:szCs w:val="21"/>
        </w:rPr>
      </w:pPr>
      <w:r>
        <w:rPr>
          <w:rFonts w:hint="eastAsia" w:ascii="宋体" w:hAnsi="宋体" w:cs="仿宋_GB2312"/>
          <w:color w:val="auto"/>
          <w:kern w:val="0"/>
          <w:szCs w:val="21"/>
        </w:rPr>
        <w:t>磋商供应商：</w:t>
      </w:r>
      <w:r>
        <w:rPr>
          <w:rFonts w:hint="eastAsia" w:ascii="宋体" w:hAnsi="宋体" w:cs="仿宋_GB2312"/>
          <w:color w:val="auto"/>
          <w:kern w:val="0"/>
          <w:szCs w:val="21"/>
          <w:u w:val="single"/>
        </w:rPr>
        <w:t xml:space="preserve">          </w:t>
      </w:r>
      <w:r>
        <w:rPr>
          <w:rFonts w:hint="eastAsia" w:ascii="宋体" w:hAnsi="宋体" w:cs="仿宋_GB2312"/>
          <w:color w:val="auto"/>
          <w:kern w:val="0"/>
          <w:szCs w:val="21"/>
        </w:rPr>
        <w:t>（</w:t>
      </w:r>
      <w:r>
        <w:rPr>
          <w:rFonts w:hint="eastAsia" w:ascii="宋体" w:cs="宋体"/>
          <w:color w:val="auto"/>
          <w:kern w:val="0"/>
          <w:szCs w:val="21"/>
        </w:rPr>
        <w:t>公章或电子签章</w:t>
      </w:r>
      <w:r>
        <w:rPr>
          <w:rFonts w:hint="eastAsia" w:ascii="宋体" w:hAnsi="宋体" w:cs="仿宋_GB2312"/>
          <w:color w:val="auto"/>
          <w:kern w:val="0"/>
          <w:szCs w:val="21"/>
        </w:rPr>
        <w:t>）</w:t>
      </w:r>
    </w:p>
    <w:p w14:paraId="2EEE3CC9">
      <w:pPr>
        <w:autoSpaceDE w:val="0"/>
        <w:autoSpaceDN w:val="0"/>
        <w:adjustRightInd w:val="0"/>
        <w:spacing w:line="360" w:lineRule="auto"/>
        <w:ind w:firstLine="3780" w:firstLineChars="1800"/>
        <w:jc w:val="center"/>
        <w:rPr>
          <w:rFonts w:ascii="宋体" w:hAnsi="宋体" w:cs="仿宋_GB2312"/>
          <w:color w:val="auto"/>
          <w:kern w:val="0"/>
          <w:szCs w:val="21"/>
        </w:rPr>
      </w:pPr>
      <w:r>
        <w:rPr>
          <w:rFonts w:hint="eastAsia" w:ascii="宋体" w:hAnsi="宋体" w:cs="仿宋_GB2312"/>
          <w:color w:val="auto"/>
          <w:kern w:val="0"/>
          <w:szCs w:val="21"/>
        </w:rPr>
        <w:t>年  月  日</w:t>
      </w:r>
    </w:p>
    <w:p w14:paraId="2AC411B4">
      <w:pPr>
        <w:autoSpaceDE w:val="0"/>
        <w:autoSpaceDN w:val="0"/>
        <w:adjustRightInd w:val="0"/>
        <w:spacing w:line="240" w:lineRule="exact"/>
        <w:ind w:firstLine="308" w:firstLineChars="147"/>
        <w:jc w:val="left"/>
        <w:rPr>
          <w:rFonts w:ascii="宋体" w:hAnsi="宋体"/>
          <w:b/>
          <w:color w:val="auto"/>
          <w:szCs w:val="21"/>
        </w:rPr>
      </w:pPr>
    </w:p>
    <w:p w14:paraId="6F77A285">
      <w:pPr>
        <w:autoSpaceDE w:val="0"/>
        <w:autoSpaceDN w:val="0"/>
        <w:adjustRightInd w:val="0"/>
        <w:spacing w:line="360" w:lineRule="auto"/>
        <w:ind w:firstLine="308" w:firstLineChars="147"/>
        <w:jc w:val="left"/>
        <w:rPr>
          <w:rFonts w:ascii="宋体" w:hAnsi="宋体"/>
          <w:b/>
          <w:color w:val="auto"/>
          <w:szCs w:val="21"/>
        </w:rPr>
      </w:pPr>
    </w:p>
    <w:p w14:paraId="5A082019">
      <w:pPr>
        <w:autoSpaceDE w:val="0"/>
        <w:autoSpaceDN w:val="0"/>
        <w:adjustRightInd w:val="0"/>
        <w:spacing w:line="360" w:lineRule="auto"/>
        <w:ind w:firstLine="308" w:firstLineChars="147"/>
        <w:jc w:val="left"/>
        <w:rPr>
          <w:rFonts w:ascii="宋体" w:hAnsi="宋体"/>
          <w:b/>
          <w:color w:val="auto"/>
          <w:szCs w:val="21"/>
        </w:rPr>
      </w:pPr>
    </w:p>
    <w:p w14:paraId="125512E8">
      <w:pPr>
        <w:autoSpaceDE w:val="0"/>
        <w:autoSpaceDN w:val="0"/>
        <w:adjustRightInd w:val="0"/>
        <w:spacing w:line="360" w:lineRule="auto"/>
        <w:ind w:firstLine="308" w:firstLineChars="147"/>
        <w:jc w:val="left"/>
        <w:rPr>
          <w:rFonts w:ascii="宋体" w:hAnsi="宋体" w:cs="仿宋_GB2312"/>
          <w:color w:val="auto"/>
          <w:kern w:val="0"/>
          <w:szCs w:val="21"/>
        </w:rPr>
      </w:pPr>
      <w:r>
        <w:rPr>
          <w:rFonts w:hint="eastAsia" w:ascii="宋体" w:hAnsi="宋体"/>
          <w:b/>
          <w:color w:val="auto"/>
          <w:szCs w:val="21"/>
        </w:rPr>
        <w:t>附：法定代表人二代居民身份证正、反两面扫描件</w:t>
      </w:r>
    </w:p>
    <w:p w14:paraId="1FAE3C6F">
      <w:pPr>
        <w:autoSpaceDE w:val="0"/>
        <w:autoSpaceDN w:val="0"/>
        <w:adjustRightInd w:val="0"/>
        <w:spacing w:line="240" w:lineRule="exact"/>
        <w:ind w:firstLine="4620" w:firstLineChars="2200"/>
        <w:jc w:val="left"/>
        <w:rPr>
          <w:rFonts w:ascii="宋体" w:hAnsi="宋体" w:cs="仿宋_GB2312"/>
          <w:color w:val="auto"/>
          <w:kern w:val="0"/>
          <w:szCs w:val="21"/>
        </w:rPr>
      </w:pPr>
    </w:p>
    <w:p w14:paraId="0E7CA1E9">
      <w:pPr>
        <w:autoSpaceDE w:val="0"/>
        <w:autoSpaceDN w:val="0"/>
        <w:adjustRightInd w:val="0"/>
        <w:jc w:val="center"/>
        <w:rPr>
          <w:rFonts w:ascii="宋体" w:hAnsi="宋体"/>
          <w:b/>
          <w:color w:val="auto"/>
          <w:szCs w:val="21"/>
        </w:rPr>
      </w:pPr>
    </w:p>
    <w:p w14:paraId="0E20705A">
      <w:pPr>
        <w:autoSpaceDE w:val="0"/>
        <w:autoSpaceDN w:val="0"/>
        <w:adjustRightInd w:val="0"/>
        <w:jc w:val="center"/>
        <w:outlineLvl w:val="0"/>
        <w:rPr>
          <w:rFonts w:ascii="宋体" w:hAnsi="宋体" w:cs="黑体"/>
          <w:b/>
          <w:color w:val="auto"/>
          <w:kern w:val="0"/>
          <w:szCs w:val="21"/>
        </w:rPr>
      </w:pPr>
      <w:r>
        <w:rPr>
          <w:rFonts w:ascii="宋体" w:hAnsi="宋体"/>
          <w:b/>
          <w:color w:val="auto"/>
          <w:szCs w:val="21"/>
        </w:rPr>
        <w:br w:type="page"/>
      </w:r>
      <w:bookmarkStart w:id="1662" w:name="_Toc3883"/>
      <w:bookmarkStart w:id="1663" w:name="_Toc23039"/>
      <w:bookmarkStart w:id="1664" w:name="_Toc9982"/>
      <w:bookmarkStart w:id="1665" w:name="_Toc25469"/>
      <w:r>
        <w:rPr>
          <w:rFonts w:hint="eastAsia" w:ascii="宋体" w:hAnsi="宋体"/>
          <w:b/>
          <w:color w:val="auto"/>
          <w:sz w:val="28"/>
          <w:szCs w:val="28"/>
        </w:rPr>
        <w:t>附</w:t>
      </w:r>
      <w:r>
        <w:rPr>
          <w:rFonts w:hint="eastAsia" w:ascii="宋体" w:hAnsi="宋体"/>
          <w:b/>
          <w:color w:val="auto"/>
          <w:sz w:val="28"/>
          <w:szCs w:val="28"/>
          <w:lang w:val="en-US" w:eastAsia="zh-CN"/>
        </w:rPr>
        <w:t>3</w:t>
      </w:r>
      <w:r>
        <w:rPr>
          <w:rFonts w:hint="eastAsia" w:ascii="宋体" w:hAnsi="宋体"/>
          <w:b/>
          <w:color w:val="auto"/>
          <w:sz w:val="28"/>
          <w:szCs w:val="28"/>
        </w:rPr>
        <w:t>、</w:t>
      </w:r>
      <w:r>
        <w:rPr>
          <w:rFonts w:hint="eastAsia" w:ascii="宋体" w:hAnsi="宋体" w:cs="黑体"/>
          <w:b/>
          <w:color w:val="auto"/>
          <w:kern w:val="0"/>
          <w:sz w:val="28"/>
          <w:szCs w:val="28"/>
        </w:rPr>
        <w:t>授权委托书</w:t>
      </w:r>
      <w:r>
        <w:rPr>
          <w:rFonts w:hint="eastAsia" w:ascii="宋体" w:hAnsi="宋体"/>
          <w:b/>
          <w:color w:val="auto"/>
          <w:sz w:val="28"/>
          <w:szCs w:val="28"/>
        </w:rPr>
        <w:t>（格式）</w:t>
      </w:r>
      <w:bookmarkEnd w:id="1662"/>
      <w:bookmarkEnd w:id="1663"/>
      <w:bookmarkEnd w:id="1664"/>
      <w:bookmarkEnd w:id="1665"/>
    </w:p>
    <w:p w14:paraId="1D6F5166">
      <w:pPr>
        <w:autoSpaceDE w:val="0"/>
        <w:autoSpaceDN w:val="0"/>
        <w:adjustRightInd w:val="0"/>
        <w:ind w:firstLine="3045" w:firstLineChars="1450"/>
        <w:rPr>
          <w:rFonts w:ascii="宋体" w:hAnsi="宋体" w:cs="黑体"/>
          <w:b/>
          <w:color w:val="auto"/>
          <w:kern w:val="0"/>
          <w:szCs w:val="21"/>
        </w:rPr>
      </w:pPr>
    </w:p>
    <w:p w14:paraId="21C99CD0">
      <w:pPr>
        <w:autoSpaceDE w:val="0"/>
        <w:autoSpaceDN w:val="0"/>
        <w:adjustRightInd w:val="0"/>
        <w:spacing w:line="360" w:lineRule="auto"/>
        <w:ind w:firstLine="525" w:firstLineChars="250"/>
        <w:jc w:val="left"/>
        <w:rPr>
          <w:rFonts w:ascii="宋体" w:hAnsi="宋体" w:cs="仿宋_GB2312"/>
          <w:color w:val="auto"/>
          <w:kern w:val="0"/>
          <w:szCs w:val="21"/>
        </w:rPr>
      </w:pPr>
    </w:p>
    <w:p w14:paraId="62555AE2">
      <w:pPr>
        <w:spacing w:line="360" w:lineRule="auto"/>
        <w:ind w:firstLine="411" w:firstLineChars="196"/>
        <w:jc w:val="left"/>
        <w:rPr>
          <w:rFonts w:ascii="宋体" w:hAnsi="宋体"/>
          <w:color w:val="auto"/>
          <w:szCs w:val="21"/>
        </w:rPr>
      </w:pPr>
      <w:r>
        <w:rPr>
          <w:rFonts w:ascii="宋体" w:hAnsi="宋体"/>
          <w:color w:val="auto"/>
          <w:szCs w:val="21"/>
        </w:rPr>
        <w:t>本授权委托书声明：我</w:t>
      </w:r>
      <w:r>
        <w:rPr>
          <w:rFonts w:ascii="宋体" w:hAnsi="宋体"/>
          <w:color w:val="auto"/>
          <w:szCs w:val="21"/>
          <w:u w:val="single"/>
        </w:rPr>
        <w:t xml:space="preserve">       （姓名）</w:t>
      </w:r>
      <w:r>
        <w:rPr>
          <w:rFonts w:ascii="宋体" w:hAnsi="宋体"/>
          <w:color w:val="auto"/>
          <w:szCs w:val="21"/>
        </w:rPr>
        <w:t>系</w:t>
      </w:r>
      <w:r>
        <w:rPr>
          <w:rFonts w:ascii="宋体" w:hAnsi="宋体"/>
          <w:color w:val="auto"/>
          <w:szCs w:val="21"/>
          <w:u w:val="single"/>
        </w:rPr>
        <w:t xml:space="preserve">        （</w:t>
      </w:r>
      <w:r>
        <w:rPr>
          <w:rFonts w:hint="eastAsia" w:ascii="宋体" w:hAnsi="宋体"/>
          <w:color w:val="auto"/>
          <w:szCs w:val="21"/>
          <w:u w:val="single"/>
        </w:rPr>
        <w:t>磋商供应商</w:t>
      </w:r>
      <w:r>
        <w:rPr>
          <w:rFonts w:ascii="宋体" w:hAnsi="宋体"/>
          <w:color w:val="auto"/>
          <w:szCs w:val="21"/>
          <w:u w:val="single"/>
        </w:rPr>
        <w:t>名称）</w:t>
      </w:r>
      <w:r>
        <w:rPr>
          <w:rFonts w:ascii="宋体" w:hAnsi="宋体"/>
          <w:color w:val="auto"/>
          <w:szCs w:val="21"/>
        </w:rPr>
        <w:t>的法定代表人，现授权委托</w:t>
      </w:r>
      <w:r>
        <w:rPr>
          <w:rFonts w:ascii="宋体" w:hAnsi="宋体"/>
          <w:color w:val="auto"/>
          <w:szCs w:val="21"/>
          <w:u w:val="single"/>
        </w:rPr>
        <w:t xml:space="preserve">      （单位名称）     </w:t>
      </w:r>
      <w:r>
        <w:rPr>
          <w:rFonts w:ascii="宋体" w:hAnsi="宋体"/>
          <w:color w:val="auto"/>
          <w:szCs w:val="21"/>
        </w:rPr>
        <w:t>的</w:t>
      </w:r>
      <w:r>
        <w:rPr>
          <w:rFonts w:ascii="宋体" w:hAnsi="宋体"/>
          <w:color w:val="auto"/>
          <w:szCs w:val="21"/>
          <w:u w:val="single"/>
        </w:rPr>
        <w:t xml:space="preserve">    （姓名）</w:t>
      </w:r>
      <w:r>
        <w:rPr>
          <w:rFonts w:ascii="宋体" w:hAnsi="宋体"/>
          <w:color w:val="auto"/>
          <w:szCs w:val="21"/>
        </w:rPr>
        <w:t>为我公司签署</w:t>
      </w:r>
      <w:r>
        <w:rPr>
          <w:rFonts w:hint="eastAsia" w:ascii="宋体" w:hAnsi="宋体"/>
          <w:color w:val="auto"/>
          <w:szCs w:val="21"/>
          <w:u w:val="single"/>
        </w:rPr>
        <w:t xml:space="preserve">                    （项目名称及项目编号）</w:t>
      </w:r>
      <w:r>
        <w:rPr>
          <w:rFonts w:ascii="宋体" w:hAnsi="宋体"/>
          <w:color w:val="auto"/>
          <w:szCs w:val="21"/>
        </w:rPr>
        <w:t>的</w:t>
      </w:r>
      <w:r>
        <w:rPr>
          <w:rFonts w:hint="eastAsia" w:ascii="宋体" w:hAnsi="宋体"/>
          <w:color w:val="auto"/>
          <w:szCs w:val="21"/>
        </w:rPr>
        <w:t>《响应文件》</w:t>
      </w:r>
      <w:r>
        <w:rPr>
          <w:rFonts w:ascii="宋体" w:hAnsi="宋体"/>
          <w:color w:val="auto"/>
          <w:szCs w:val="21"/>
        </w:rPr>
        <w:t>的法定代表人授权委托代理人，我承认代理人全权代表我所签署的本工程的</w:t>
      </w:r>
      <w:r>
        <w:rPr>
          <w:rFonts w:hint="eastAsia" w:ascii="宋体" w:hAnsi="宋体"/>
          <w:color w:val="auto"/>
          <w:szCs w:val="21"/>
        </w:rPr>
        <w:t>《响应文件》</w:t>
      </w:r>
      <w:r>
        <w:rPr>
          <w:rFonts w:ascii="宋体" w:hAnsi="宋体"/>
          <w:color w:val="auto"/>
          <w:szCs w:val="21"/>
        </w:rPr>
        <w:t>的内容。</w:t>
      </w:r>
    </w:p>
    <w:p w14:paraId="7C4B3E4F">
      <w:pPr>
        <w:spacing w:line="400" w:lineRule="exact"/>
        <w:ind w:firstLine="420" w:firstLineChars="200"/>
        <w:rPr>
          <w:rFonts w:ascii="宋体" w:hAnsi="宋体"/>
          <w:color w:val="auto"/>
          <w:szCs w:val="21"/>
        </w:rPr>
      </w:pPr>
      <w:r>
        <w:rPr>
          <w:rFonts w:ascii="宋体" w:hAnsi="宋体"/>
          <w:color w:val="auto"/>
          <w:szCs w:val="21"/>
        </w:rPr>
        <w:t>代理人无转委托权，特此委托。</w:t>
      </w:r>
    </w:p>
    <w:p w14:paraId="4639EAE2">
      <w:pPr>
        <w:spacing w:line="400" w:lineRule="exact"/>
        <w:rPr>
          <w:rFonts w:ascii="宋体" w:hAnsi="宋体"/>
          <w:color w:val="auto"/>
          <w:szCs w:val="21"/>
        </w:rPr>
      </w:pPr>
    </w:p>
    <w:p w14:paraId="4B82DE60">
      <w:pPr>
        <w:spacing w:line="400" w:lineRule="exact"/>
        <w:rPr>
          <w:rFonts w:ascii="宋体" w:hAnsi="宋体"/>
          <w:color w:val="auto"/>
          <w:szCs w:val="21"/>
        </w:rPr>
      </w:pPr>
    </w:p>
    <w:p w14:paraId="34A4C895">
      <w:pPr>
        <w:spacing w:line="400" w:lineRule="exact"/>
        <w:rPr>
          <w:rFonts w:ascii="宋体" w:hAnsi="宋体"/>
          <w:color w:val="auto"/>
          <w:szCs w:val="21"/>
        </w:rPr>
      </w:pPr>
    </w:p>
    <w:p w14:paraId="7D0110EA">
      <w:pPr>
        <w:spacing w:line="400" w:lineRule="exact"/>
        <w:rPr>
          <w:rFonts w:ascii="宋体" w:hAnsi="宋体"/>
          <w:color w:val="auto"/>
          <w:szCs w:val="21"/>
        </w:rPr>
      </w:pPr>
    </w:p>
    <w:p w14:paraId="0F31C3C2">
      <w:pPr>
        <w:wordWrap w:val="0"/>
        <w:spacing w:line="360" w:lineRule="auto"/>
        <w:ind w:left="2699"/>
        <w:jc w:val="center"/>
        <w:rPr>
          <w:rFonts w:ascii="宋体" w:hAnsi="宋体"/>
          <w:color w:val="auto"/>
          <w:szCs w:val="21"/>
          <w:u w:val="single"/>
        </w:rPr>
      </w:pPr>
      <w:r>
        <w:rPr>
          <w:rFonts w:ascii="宋体" w:hAnsi="宋体"/>
          <w:color w:val="auto"/>
          <w:szCs w:val="21"/>
        </w:rPr>
        <w:t>代理人：</w:t>
      </w:r>
      <w:r>
        <w:rPr>
          <w:rFonts w:hint="eastAsia" w:ascii="宋体" w:hAnsi="宋体"/>
          <w:color w:val="auto"/>
          <w:szCs w:val="21"/>
          <w:u w:val="single"/>
        </w:rPr>
        <w:t xml:space="preserve">         </w:t>
      </w:r>
      <w:r>
        <w:rPr>
          <w:rFonts w:ascii="宋体" w:hAnsi="宋体"/>
          <w:color w:val="auto"/>
          <w:szCs w:val="21"/>
        </w:rPr>
        <w:t>性别：</w:t>
      </w:r>
      <w:r>
        <w:rPr>
          <w:rFonts w:hint="eastAsia" w:ascii="宋体" w:hAnsi="宋体"/>
          <w:color w:val="auto"/>
          <w:szCs w:val="21"/>
          <w:u w:val="single"/>
        </w:rPr>
        <w:t xml:space="preserve">       </w:t>
      </w:r>
      <w:r>
        <w:rPr>
          <w:rFonts w:ascii="宋体" w:hAnsi="宋体"/>
          <w:color w:val="auto"/>
          <w:szCs w:val="21"/>
        </w:rPr>
        <w:t>年龄：</w:t>
      </w:r>
      <w:r>
        <w:rPr>
          <w:rFonts w:hint="eastAsia" w:ascii="宋体" w:hAnsi="宋体"/>
          <w:color w:val="auto"/>
          <w:szCs w:val="21"/>
          <w:u w:val="single"/>
        </w:rPr>
        <w:t xml:space="preserve">       </w:t>
      </w:r>
    </w:p>
    <w:p w14:paraId="4073A8A6">
      <w:pPr>
        <w:spacing w:line="360" w:lineRule="auto"/>
        <w:ind w:right="124" w:firstLine="3990" w:firstLineChars="1900"/>
        <w:rPr>
          <w:rFonts w:ascii="宋体" w:hAnsi="宋体"/>
          <w:color w:val="auto"/>
          <w:szCs w:val="21"/>
          <w:u w:val="single"/>
        </w:rPr>
      </w:pPr>
      <w:r>
        <w:rPr>
          <w:rFonts w:ascii="宋体" w:hAnsi="宋体"/>
          <w:color w:val="auto"/>
          <w:szCs w:val="21"/>
        </w:rPr>
        <w:t>身份证号码：</w:t>
      </w:r>
      <w:r>
        <w:rPr>
          <w:rFonts w:hint="eastAsia" w:ascii="宋体" w:hAnsi="宋体"/>
          <w:color w:val="auto"/>
          <w:szCs w:val="21"/>
          <w:u w:val="single"/>
        </w:rPr>
        <w:t xml:space="preserve">                 </w:t>
      </w:r>
      <w:r>
        <w:rPr>
          <w:rFonts w:ascii="宋体" w:hAnsi="宋体"/>
          <w:color w:val="auto"/>
          <w:szCs w:val="21"/>
        </w:rPr>
        <w:t>职务：</w:t>
      </w:r>
      <w:r>
        <w:rPr>
          <w:rFonts w:hint="eastAsia" w:ascii="宋体" w:hAnsi="宋体"/>
          <w:color w:val="auto"/>
          <w:szCs w:val="21"/>
          <w:u w:val="single"/>
        </w:rPr>
        <w:t xml:space="preserve">            </w:t>
      </w:r>
    </w:p>
    <w:p w14:paraId="58152527">
      <w:pPr>
        <w:spacing w:line="360" w:lineRule="auto"/>
        <w:ind w:left="2699"/>
        <w:jc w:val="right"/>
        <w:rPr>
          <w:rFonts w:ascii="宋体" w:hAnsi="宋体"/>
          <w:color w:val="auto"/>
          <w:szCs w:val="21"/>
        </w:rPr>
      </w:pPr>
      <w:r>
        <w:rPr>
          <w:rFonts w:hint="eastAsia" w:ascii="宋体" w:hAnsi="宋体"/>
          <w:color w:val="auto"/>
          <w:szCs w:val="21"/>
        </w:rPr>
        <w:t>磋商供应商</w:t>
      </w:r>
      <w:r>
        <w:rPr>
          <w:rFonts w:ascii="宋体" w:hAnsi="宋体"/>
          <w:color w:val="auto"/>
          <w:szCs w:val="21"/>
        </w:rPr>
        <w:t>：</w:t>
      </w:r>
      <w:r>
        <w:rPr>
          <w:rFonts w:ascii="宋体" w:hAnsi="宋体"/>
          <w:color w:val="auto"/>
          <w:szCs w:val="21"/>
          <w:u w:val="single"/>
        </w:rPr>
        <w:t xml:space="preserve">                           （</w:t>
      </w:r>
      <w:r>
        <w:rPr>
          <w:rFonts w:hint="eastAsia" w:ascii="宋体" w:hAnsi="宋体"/>
          <w:color w:val="auto"/>
          <w:szCs w:val="21"/>
          <w:u w:val="single"/>
        </w:rPr>
        <w:t>公章或电子签章</w:t>
      </w:r>
      <w:r>
        <w:rPr>
          <w:rFonts w:ascii="宋体" w:hAnsi="宋体"/>
          <w:color w:val="auto"/>
          <w:szCs w:val="21"/>
          <w:u w:val="single"/>
        </w:rPr>
        <w:t>）</w:t>
      </w:r>
    </w:p>
    <w:p w14:paraId="26657F80">
      <w:pPr>
        <w:spacing w:line="360" w:lineRule="auto"/>
        <w:ind w:left="2699"/>
        <w:jc w:val="right"/>
        <w:rPr>
          <w:rFonts w:ascii="宋体" w:hAnsi="宋体"/>
          <w:color w:val="auto"/>
          <w:szCs w:val="21"/>
        </w:rPr>
      </w:pPr>
      <w:r>
        <w:rPr>
          <w:rFonts w:ascii="宋体" w:hAnsi="宋体"/>
          <w:color w:val="auto"/>
          <w:szCs w:val="21"/>
        </w:rPr>
        <w:t>法定代表人：</w:t>
      </w:r>
      <w:r>
        <w:rPr>
          <w:rFonts w:ascii="宋体" w:hAnsi="宋体"/>
          <w:color w:val="auto"/>
          <w:szCs w:val="21"/>
          <w:u w:val="single"/>
        </w:rPr>
        <w:t xml:space="preserve">                       （</w:t>
      </w:r>
      <w:r>
        <w:rPr>
          <w:rFonts w:hint="eastAsia" w:ascii="宋体" w:hAnsi="宋体"/>
          <w:color w:val="auto"/>
          <w:szCs w:val="21"/>
          <w:u w:val="single"/>
        </w:rPr>
        <w:t>手写签名或电子签名</w:t>
      </w:r>
      <w:r>
        <w:rPr>
          <w:rFonts w:ascii="宋体" w:hAnsi="宋体"/>
          <w:color w:val="auto"/>
          <w:szCs w:val="21"/>
          <w:u w:val="single"/>
        </w:rPr>
        <w:t>）</w:t>
      </w:r>
    </w:p>
    <w:p w14:paraId="57998C82">
      <w:pPr>
        <w:spacing w:line="360" w:lineRule="auto"/>
        <w:ind w:left="2699" w:firstLine="1260" w:firstLineChars="600"/>
        <w:rPr>
          <w:rFonts w:ascii="宋体" w:hAnsi="宋体"/>
          <w:color w:val="auto"/>
          <w:szCs w:val="21"/>
        </w:rPr>
      </w:pPr>
      <w:r>
        <w:rPr>
          <w:rFonts w:ascii="宋体" w:hAnsi="宋体"/>
          <w:color w:val="auto"/>
          <w:szCs w:val="21"/>
        </w:rPr>
        <w:t xml:space="preserve">授权委托日期：  年  月  日 </w:t>
      </w:r>
    </w:p>
    <w:p w14:paraId="38E73110">
      <w:pPr>
        <w:spacing w:line="400" w:lineRule="exact"/>
        <w:rPr>
          <w:color w:val="auto"/>
        </w:rPr>
      </w:pPr>
    </w:p>
    <w:p w14:paraId="40B9E675">
      <w:pPr>
        <w:spacing w:line="400" w:lineRule="exact"/>
        <w:rPr>
          <w:color w:val="auto"/>
        </w:rPr>
      </w:pPr>
    </w:p>
    <w:p w14:paraId="642BDBBB">
      <w:pPr>
        <w:spacing w:line="400" w:lineRule="exact"/>
        <w:rPr>
          <w:color w:val="auto"/>
        </w:rPr>
      </w:pPr>
    </w:p>
    <w:p w14:paraId="23DFD72F">
      <w:pPr>
        <w:spacing w:line="400" w:lineRule="exact"/>
        <w:rPr>
          <w:color w:val="auto"/>
        </w:rPr>
      </w:pPr>
    </w:p>
    <w:p w14:paraId="38A92F13">
      <w:pPr>
        <w:spacing w:line="400" w:lineRule="exact"/>
        <w:rPr>
          <w:color w:val="auto"/>
        </w:rPr>
      </w:pPr>
    </w:p>
    <w:p w14:paraId="4F5CCA5E">
      <w:pPr>
        <w:spacing w:line="400" w:lineRule="exact"/>
        <w:rPr>
          <w:color w:val="auto"/>
        </w:rPr>
      </w:pPr>
    </w:p>
    <w:p w14:paraId="06A3D2EF">
      <w:pPr>
        <w:spacing w:line="400" w:lineRule="exact"/>
        <w:rPr>
          <w:b/>
          <w:bCs/>
          <w:color w:val="auto"/>
        </w:rPr>
      </w:pPr>
      <w:r>
        <w:rPr>
          <w:b/>
          <w:bCs/>
          <w:color w:val="auto"/>
        </w:rPr>
        <w:t>附</w:t>
      </w:r>
      <w:r>
        <w:rPr>
          <w:rFonts w:hint="eastAsia"/>
          <w:b/>
          <w:bCs/>
          <w:color w:val="auto"/>
        </w:rPr>
        <w:t>：委托代理人</w:t>
      </w:r>
      <w:r>
        <w:rPr>
          <w:rFonts w:hint="eastAsia" w:ascii="宋体" w:hAnsi="宋体"/>
          <w:b/>
          <w:bCs/>
          <w:color w:val="auto"/>
          <w:szCs w:val="21"/>
        </w:rPr>
        <w:t>二代居民身份证</w:t>
      </w:r>
      <w:r>
        <w:rPr>
          <w:rFonts w:hint="eastAsia" w:ascii="宋体" w:hAnsi="宋体"/>
          <w:b/>
          <w:color w:val="auto"/>
          <w:szCs w:val="21"/>
        </w:rPr>
        <w:t>正、反两面</w:t>
      </w:r>
      <w:r>
        <w:rPr>
          <w:rFonts w:hint="eastAsia" w:ascii="宋体" w:hAnsi="宋体"/>
          <w:b/>
          <w:bCs/>
          <w:color w:val="auto"/>
          <w:szCs w:val="21"/>
        </w:rPr>
        <w:t>扫描件。</w:t>
      </w:r>
    </w:p>
    <w:p w14:paraId="6857F068">
      <w:pPr>
        <w:ind w:firstLine="420" w:firstLineChars="200"/>
        <w:rPr>
          <w:rFonts w:ascii="宋体" w:hAnsi="宋体"/>
          <w:color w:val="auto"/>
          <w:szCs w:val="21"/>
        </w:rPr>
      </w:pPr>
    </w:p>
    <w:p w14:paraId="6C7B9FCF">
      <w:pPr>
        <w:rPr>
          <w:rFonts w:ascii="宋体" w:hAnsi="宋体"/>
          <w:b/>
          <w:color w:val="auto"/>
          <w:szCs w:val="21"/>
        </w:rPr>
      </w:pPr>
    </w:p>
    <w:p w14:paraId="376BB11F">
      <w:pPr>
        <w:rPr>
          <w:rFonts w:ascii="宋体" w:hAnsi="宋体"/>
          <w:b/>
          <w:bCs/>
          <w:color w:val="auto"/>
          <w:sz w:val="24"/>
        </w:rPr>
      </w:pPr>
    </w:p>
    <w:p w14:paraId="29A3E24D">
      <w:pPr>
        <w:pStyle w:val="69"/>
        <w:rPr>
          <w:rFonts w:hAnsi="宋体" w:cs="Times New Roman"/>
          <w:b/>
          <w:bCs/>
          <w:color w:val="auto"/>
        </w:rPr>
      </w:pPr>
    </w:p>
    <w:p w14:paraId="50CBF531">
      <w:pPr>
        <w:ind w:firstLine="315" w:firstLineChars="150"/>
        <w:rPr>
          <w:rFonts w:ascii="宋体" w:hAnsi="宋体"/>
          <w:bCs/>
          <w:color w:val="auto"/>
          <w:szCs w:val="21"/>
        </w:rPr>
      </w:pPr>
    </w:p>
    <w:p w14:paraId="3A4302C8">
      <w:pPr>
        <w:rPr>
          <w:rFonts w:ascii="宋体" w:hAnsi="宋体"/>
          <w:bCs/>
          <w:color w:val="auto"/>
          <w:szCs w:val="21"/>
        </w:rPr>
      </w:pPr>
    </w:p>
    <w:p w14:paraId="622345C5">
      <w:pPr>
        <w:rPr>
          <w:rFonts w:hAnsi="宋体" w:cs="宋体"/>
          <w:bCs/>
          <w:color w:val="auto"/>
          <w:szCs w:val="21"/>
        </w:rPr>
      </w:pPr>
      <w:r>
        <w:rPr>
          <w:rFonts w:ascii="宋体" w:hAnsi="宋体"/>
          <w:color w:val="auto"/>
          <w:szCs w:val="21"/>
        </w:rPr>
        <w:br w:type="page"/>
      </w:r>
    </w:p>
    <w:p w14:paraId="25B73F42">
      <w:pPr>
        <w:spacing w:line="336" w:lineRule="auto"/>
        <w:ind w:right="-153" w:rightChars="-73"/>
        <w:jc w:val="center"/>
        <w:rPr>
          <w:rFonts w:ascii="宋体" w:hAnsi="宋体"/>
          <w:b/>
          <w:color w:val="auto"/>
          <w:szCs w:val="21"/>
        </w:rPr>
      </w:pPr>
    </w:p>
    <w:p w14:paraId="3C6ACDFB">
      <w:pPr>
        <w:spacing w:line="336" w:lineRule="auto"/>
        <w:ind w:right="-153" w:rightChars="-73"/>
        <w:jc w:val="center"/>
        <w:rPr>
          <w:rFonts w:ascii="宋体" w:hAnsi="宋体"/>
          <w:b/>
          <w:color w:val="auto"/>
          <w:szCs w:val="21"/>
        </w:rPr>
      </w:pPr>
    </w:p>
    <w:p w14:paraId="1D5AE08C">
      <w:pPr>
        <w:jc w:val="center"/>
        <w:outlineLvl w:val="0"/>
        <w:rPr>
          <w:rFonts w:ascii="宋体" w:hAnsi="宋体"/>
          <w:b/>
          <w:color w:val="auto"/>
          <w:kern w:val="44"/>
          <w:sz w:val="28"/>
          <w:szCs w:val="28"/>
        </w:rPr>
      </w:pPr>
      <w:bookmarkStart w:id="1666" w:name="_Toc11107"/>
      <w:bookmarkStart w:id="1667" w:name="_Toc5398"/>
      <w:bookmarkStart w:id="1668" w:name="_Toc29207"/>
      <w:bookmarkStart w:id="1669" w:name="_Toc27264"/>
      <w:r>
        <w:rPr>
          <w:rFonts w:hint="eastAsia" w:ascii="宋体" w:hAnsi="宋体"/>
          <w:b/>
          <w:color w:val="auto"/>
          <w:kern w:val="44"/>
          <w:sz w:val="28"/>
          <w:szCs w:val="28"/>
        </w:rPr>
        <w:t>第二节  报价文件格式</w:t>
      </w:r>
      <w:bookmarkEnd w:id="1666"/>
      <w:bookmarkEnd w:id="1667"/>
      <w:bookmarkEnd w:id="1668"/>
      <w:bookmarkEnd w:id="1669"/>
    </w:p>
    <w:p w14:paraId="7AEF8834">
      <w:pPr>
        <w:widowControl/>
        <w:kinsoku w:val="0"/>
        <w:autoSpaceDE w:val="0"/>
        <w:autoSpaceDN w:val="0"/>
        <w:adjustRightInd w:val="0"/>
        <w:snapToGrid w:val="0"/>
        <w:spacing w:before="69"/>
        <w:ind w:firstLine="6250"/>
        <w:jc w:val="left"/>
        <w:textAlignment w:val="baseline"/>
        <w:rPr>
          <w:rFonts w:ascii="宋体" w:hAnsi="宋体" w:cs="宋体"/>
          <w:snapToGrid w:val="0"/>
          <w:color w:val="auto"/>
          <w:spacing w:val="-2"/>
          <w:kern w:val="0"/>
          <w:sz w:val="24"/>
        </w:rPr>
      </w:pPr>
    </w:p>
    <w:p w14:paraId="3DC1054D">
      <w:pPr>
        <w:widowControl/>
        <w:kinsoku w:val="0"/>
        <w:autoSpaceDE w:val="0"/>
        <w:autoSpaceDN w:val="0"/>
        <w:adjustRightInd w:val="0"/>
        <w:snapToGrid w:val="0"/>
        <w:spacing w:before="69"/>
        <w:ind w:firstLine="6250"/>
        <w:jc w:val="left"/>
        <w:textAlignment w:val="baseline"/>
        <w:rPr>
          <w:rFonts w:ascii="宋体" w:hAnsi="宋体" w:cs="宋体"/>
          <w:snapToGrid w:val="0"/>
          <w:color w:val="auto"/>
          <w:spacing w:val="-2"/>
          <w:kern w:val="0"/>
          <w:sz w:val="24"/>
        </w:rPr>
      </w:pPr>
    </w:p>
    <w:p w14:paraId="4D242739">
      <w:pPr>
        <w:widowControl/>
        <w:kinsoku w:val="0"/>
        <w:autoSpaceDE w:val="0"/>
        <w:autoSpaceDN w:val="0"/>
        <w:adjustRightInd w:val="0"/>
        <w:snapToGrid w:val="0"/>
        <w:spacing w:before="69"/>
        <w:ind w:firstLine="6250"/>
        <w:jc w:val="left"/>
        <w:textAlignment w:val="baseline"/>
        <w:rPr>
          <w:rFonts w:ascii="宋体" w:hAnsi="宋体" w:cs="宋体"/>
          <w:snapToGrid w:val="0"/>
          <w:color w:val="auto"/>
          <w:spacing w:val="-2"/>
          <w:kern w:val="0"/>
          <w:sz w:val="24"/>
        </w:rPr>
      </w:pPr>
    </w:p>
    <w:p w14:paraId="44E38DDC">
      <w:pPr>
        <w:pStyle w:val="69"/>
        <w:rPr>
          <w:color w:val="auto"/>
        </w:rPr>
      </w:pPr>
    </w:p>
    <w:p w14:paraId="28C38572">
      <w:pPr>
        <w:widowControl/>
        <w:kinsoku w:val="0"/>
        <w:autoSpaceDE w:val="0"/>
        <w:autoSpaceDN w:val="0"/>
        <w:adjustRightInd w:val="0"/>
        <w:snapToGrid w:val="0"/>
        <w:spacing w:before="69"/>
        <w:ind w:firstLine="6250"/>
        <w:jc w:val="left"/>
        <w:textAlignment w:val="baseline"/>
        <w:rPr>
          <w:rFonts w:ascii="宋体" w:hAnsi="宋体" w:cs="宋体"/>
          <w:snapToGrid w:val="0"/>
          <w:color w:val="auto"/>
          <w:kern w:val="0"/>
          <w:sz w:val="24"/>
        </w:rPr>
      </w:pPr>
      <w:r>
        <w:rPr>
          <w:rFonts w:hint="eastAsia" w:ascii="宋体" w:hAnsi="宋体" w:cs="宋体"/>
          <w:snapToGrid w:val="0"/>
          <w:color w:val="auto"/>
          <w:spacing w:val="-2"/>
          <w:kern w:val="0"/>
          <w:sz w:val="24"/>
        </w:rPr>
        <w:t>全流程电子文件</w:t>
      </w:r>
    </w:p>
    <w:p w14:paraId="74195D4A">
      <w:pPr>
        <w:rPr>
          <w:color w:val="auto"/>
          <w:sz w:val="28"/>
          <w:szCs w:val="28"/>
          <w:u w:val="single"/>
        </w:rPr>
      </w:pPr>
    </w:p>
    <w:p w14:paraId="5446B3FE">
      <w:pPr>
        <w:jc w:val="center"/>
        <w:rPr>
          <w:b/>
          <w:bCs/>
          <w:color w:val="auto"/>
          <w:sz w:val="28"/>
          <w:szCs w:val="28"/>
        </w:rPr>
      </w:pPr>
      <w:r>
        <w:rPr>
          <w:rFonts w:hint="eastAsia"/>
          <w:b/>
          <w:bCs/>
          <w:color w:val="auto"/>
          <w:sz w:val="28"/>
          <w:szCs w:val="28"/>
        </w:rPr>
        <w:t>报  价  文  件（封面）</w:t>
      </w:r>
    </w:p>
    <w:p w14:paraId="0A8B2679">
      <w:pPr>
        <w:jc w:val="center"/>
        <w:rPr>
          <w:b/>
          <w:bCs/>
          <w:color w:val="auto"/>
          <w:sz w:val="28"/>
          <w:szCs w:val="28"/>
        </w:rPr>
      </w:pPr>
    </w:p>
    <w:p w14:paraId="7E200A1A">
      <w:pPr>
        <w:jc w:val="center"/>
        <w:rPr>
          <w:b/>
          <w:bCs/>
          <w:color w:val="auto"/>
          <w:sz w:val="28"/>
          <w:szCs w:val="28"/>
        </w:rPr>
      </w:pPr>
    </w:p>
    <w:p w14:paraId="23518E0B">
      <w:pPr>
        <w:spacing w:beforeLines="100"/>
        <w:jc w:val="center"/>
        <w:rPr>
          <w:b/>
          <w:bCs/>
          <w:color w:val="auto"/>
          <w:sz w:val="52"/>
          <w:szCs w:val="52"/>
        </w:rPr>
      </w:pPr>
      <w:r>
        <w:rPr>
          <w:rFonts w:hint="eastAsia"/>
          <w:b/>
          <w:bCs/>
          <w:color w:val="auto"/>
          <w:sz w:val="52"/>
          <w:szCs w:val="52"/>
        </w:rPr>
        <w:t xml:space="preserve">响 应 </w:t>
      </w:r>
      <w:r>
        <w:rPr>
          <w:b/>
          <w:bCs/>
          <w:color w:val="auto"/>
          <w:sz w:val="52"/>
          <w:szCs w:val="52"/>
        </w:rPr>
        <w:t>文件</w:t>
      </w:r>
    </w:p>
    <w:p w14:paraId="2BB50C87">
      <w:pPr>
        <w:spacing w:line="360" w:lineRule="auto"/>
        <w:ind w:firstLine="2380" w:firstLineChars="850"/>
        <w:rPr>
          <w:b/>
          <w:bCs/>
          <w:color w:val="auto"/>
          <w:sz w:val="28"/>
          <w:szCs w:val="28"/>
        </w:rPr>
      </w:pPr>
      <w:r>
        <w:rPr>
          <w:rFonts w:hint="eastAsia"/>
          <w:b/>
          <w:bCs/>
          <w:color w:val="auto"/>
          <w:sz w:val="28"/>
          <w:szCs w:val="28"/>
        </w:rPr>
        <w:t>项目名称：</w:t>
      </w:r>
    </w:p>
    <w:p w14:paraId="282C40C7">
      <w:pPr>
        <w:spacing w:line="360" w:lineRule="auto"/>
        <w:ind w:firstLine="2380" w:firstLineChars="850"/>
        <w:rPr>
          <w:b/>
          <w:bCs/>
          <w:color w:val="auto"/>
          <w:sz w:val="28"/>
          <w:szCs w:val="28"/>
        </w:rPr>
      </w:pPr>
      <w:r>
        <w:rPr>
          <w:b/>
          <w:bCs/>
          <w:color w:val="auto"/>
          <w:sz w:val="28"/>
          <w:szCs w:val="28"/>
        </w:rPr>
        <w:t>项目编号：</w:t>
      </w:r>
    </w:p>
    <w:p w14:paraId="59120118">
      <w:pPr>
        <w:pStyle w:val="69"/>
        <w:rPr>
          <w:color w:val="auto"/>
        </w:rPr>
      </w:pPr>
    </w:p>
    <w:p w14:paraId="26E95C66">
      <w:pPr>
        <w:jc w:val="center"/>
        <w:rPr>
          <w:b/>
          <w:bCs/>
          <w:color w:val="auto"/>
          <w:sz w:val="28"/>
          <w:szCs w:val="28"/>
        </w:rPr>
      </w:pPr>
    </w:p>
    <w:p w14:paraId="0A537A22">
      <w:pPr>
        <w:rPr>
          <w:b/>
          <w:bCs/>
          <w:color w:val="auto"/>
          <w:sz w:val="28"/>
          <w:szCs w:val="28"/>
        </w:rPr>
      </w:pPr>
    </w:p>
    <w:p w14:paraId="3B69B5DB">
      <w:pPr>
        <w:rPr>
          <w:b/>
          <w:bCs/>
          <w:color w:val="auto"/>
          <w:sz w:val="28"/>
          <w:szCs w:val="28"/>
        </w:rPr>
      </w:pPr>
    </w:p>
    <w:p w14:paraId="60F46DB0">
      <w:pPr>
        <w:jc w:val="center"/>
        <w:rPr>
          <w:b/>
          <w:bCs/>
          <w:color w:val="auto"/>
          <w:sz w:val="28"/>
          <w:szCs w:val="28"/>
        </w:rPr>
      </w:pPr>
    </w:p>
    <w:p w14:paraId="3A2CFCF0">
      <w:pPr>
        <w:jc w:val="center"/>
        <w:rPr>
          <w:b/>
          <w:bCs/>
          <w:color w:val="auto"/>
          <w:sz w:val="28"/>
          <w:szCs w:val="28"/>
        </w:rPr>
      </w:pPr>
    </w:p>
    <w:p w14:paraId="32080B04">
      <w:pPr>
        <w:spacing w:line="360" w:lineRule="auto"/>
        <w:ind w:firstLine="1400" w:firstLineChars="500"/>
        <w:rPr>
          <w:b/>
          <w:bCs/>
          <w:color w:val="auto"/>
          <w:sz w:val="28"/>
          <w:szCs w:val="28"/>
        </w:rPr>
      </w:pPr>
      <w:r>
        <w:rPr>
          <w:rFonts w:hint="eastAsia"/>
          <w:b/>
          <w:bCs/>
          <w:color w:val="auto"/>
          <w:sz w:val="28"/>
          <w:szCs w:val="28"/>
        </w:rPr>
        <w:t>磋商供应商</w:t>
      </w:r>
      <w:r>
        <w:rPr>
          <w:b/>
          <w:bCs/>
          <w:color w:val="auto"/>
          <w:sz w:val="28"/>
          <w:szCs w:val="28"/>
        </w:rPr>
        <w:t>：</w:t>
      </w:r>
      <w:r>
        <w:rPr>
          <w:rFonts w:hint="eastAsia"/>
          <w:b/>
          <w:bCs/>
          <w:color w:val="auto"/>
          <w:sz w:val="28"/>
          <w:szCs w:val="28"/>
          <w:u w:val="single"/>
          <w:lang w:val="en-US" w:eastAsia="zh-CN"/>
        </w:rPr>
        <w:t xml:space="preserve">              </w:t>
      </w:r>
      <w:r>
        <w:rPr>
          <w:b/>
          <w:bCs/>
          <w:color w:val="auto"/>
          <w:sz w:val="28"/>
          <w:szCs w:val="28"/>
        </w:rPr>
        <w:t>（</w:t>
      </w:r>
      <w:r>
        <w:rPr>
          <w:rFonts w:hint="eastAsia"/>
          <w:b/>
          <w:bCs/>
          <w:color w:val="auto"/>
          <w:sz w:val="28"/>
          <w:szCs w:val="28"/>
        </w:rPr>
        <w:t>公章或电子签章</w:t>
      </w:r>
      <w:r>
        <w:rPr>
          <w:b/>
          <w:bCs/>
          <w:color w:val="auto"/>
          <w:sz w:val="28"/>
          <w:szCs w:val="28"/>
        </w:rPr>
        <w:t>）</w:t>
      </w:r>
    </w:p>
    <w:p w14:paraId="616C0F7E">
      <w:pPr>
        <w:spacing w:line="360" w:lineRule="auto"/>
        <w:ind w:firstLine="1400" w:firstLineChars="500"/>
        <w:rPr>
          <w:b/>
          <w:bCs/>
          <w:color w:val="auto"/>
          <w:sz w:val="28"/>
          <w:szCs w:val="28"/>
        </w:rPr>
      </w:pPr>
      <w:r>
        <w:rPr>
          <w:b/>
          <w:bCs/>
          <w:color w:val="auto"/>
          <w:sz w:val="28"/>
          <w:szCs w:val="28"/>
        </w:rPr>
        <w:t>法定代表人或其委托代理人：</w:t>
      </w:r>
      <w:r>
        <w:rPr>
          <w:rFonts w:hint="eastAsia"/>
          <w:b/>
          <w:bCs/>
          <w:color w:val="auto"/>
          <w:sz w:val="28"/>
          <w:szCs w:val="28"/>
          <w:u w:val="single"/>
          <w:lang w:val="en-US" w:eastAsia="zh-CN"/>
        </w:rPr>
        <w:t xml:space="preserve">          </w:t>
      </w:r>
      <w:r>
        <w:rPr>
          <w:b/>
          <w:bCs/>
          <w:color w:val="auto"/>
          <w:sz w:val="28"/>
          <w:szCs w:val="28"/>
        </w:rPr>
        <w:t>（</w:t>
      </w:r>
      <w:r>
        <w:rPr>
          <w:rFonts w:hint="eastAsia"/>
          <w:b/>
          <w:bCs/>
          <w:color w:val="auto"/>
          <w:sz w:val="28"/>
          <w:szCs w:val="28"/>
        </w:rPr>
        <w:t>手写签名或电子签名</w:t>
      </w:r>
      <w:r>
        <w:rPr>
          <w:b/>
          <w:bCs/>
          <w:color w:val="auto"/>
          <w:sz w:val="28"/>
          <w:szCs w:val="28"/>
        </w:rPr>
        <w:t>）</w:t>
      </w:r>
    </w:p>
    <w:p w14:paraId="13755A5E">
      <w:pPr>
        <w:jc w:val="center"/>
        <w:rPr>
          <w:b/>
          <w:bCs/>
          <w:color w:val="auto"/>
          <w:sz w:val="28"/>
          <w:szCs w:val="28"/>
        </w:rPr>
      </w:pPr>
      <w:r>
        <w:rPr>
          <w:b/>
          <w:bCs/>
          <w:color w:val="auto"/>
          <w:sz w:val="28"/>
          <w:szCs w:val="28"/>
        </w:rPr>
        <w:t xml:space="preserve">  年  月  日</w:t>
      </w:r>
    </w:p>
    <w:p w14:paraId="6BD0702C">
      <w:pPr>
        <w:spacing w:line="336" w:lineRule="auto"/>
        <w:ind w:right="-153" w:rightChars="-73"/>
        <w:jc w:val="center"/>
        <w:rPr>
          <w:rFonts w:ascii="宋体" w:hAnsi="宋体"/>
          <w:b/>
          <w:color w:val="auto"/>
          <w:szCs w:val="21"/>
        </w:rPr>
      </w:pPr>
    </w:p>
    <w:p w14:paraId="797A306D">
      <w:pPr>
        <w:spacing w:line="336" w:lineRule="auto"/>
        <w:ind w:right="-153" w:rightChars="-73"/>
        <w:jc w:val="center"/>
        <w:rPr>
          <w:rFonts w:ascii="黑体" w:eastAsia="黑体"/>
          <w:b/>
          <w:color w:val="auto"/>
          <w:sz w:val="28"/>
          <w:szCs w:val="28"/>
        </w:rPr>
      </w:pPr>
      <w:r>
        <w:rPr>
          <w:rFonts w:hint="eastAsia" w:ascii="黑体" w:eastAsia="黑体"/>
          <w:b/>
          <w:color w:val="auto"/>
          <w:sz w:val="28"/>
          <w:szCs w:val="28"/>
        </w:rPr>
        <w:t>目录</w:t>
      </w:r>
    </w:p>
    <w:p w14:paraId="4513F820">
      <w:pPr>
        <w:spacing w:line="336" w:lineRule="auto"/>
        <w:ind w:right="-153" w:rightChars="-73"/>
        <w:jc w:val="center"/>
        <w:rPr>
          <w:rFonts w:ascii="宋体" w:hAnsi="宋体" w:cs="宋体"/>
          <w:bCs/>
          <w:color w:val="auto"/>
          <w:sz w:val="18"/>
          <w:szCs w:val="18"/>
        </w:rPr>
      </w:pPr>
      <w:r>
        <w:rPr>
          <w:rFonts w:hint="eastAsia" w:ascii="宋体" w:hAnsi="宋体" w:cs="宋体"/>
          <w:bCs/>
          <w:color w:val="auto"/>
          <w:sz w:val="18"/>
          <w:szCs w:val="18"/>
        </w:rPr>
        <w:t>（自行编页码）</w:t>
      </w:r>
    </w:p>
    <w:p w14:paraId="61C2B8D6">
      <w:pPr>
        <w:pStyle w:val="24"/>
        <w:spacing w:line="390" w:lineRule="exact"/>
        <w:rPr>
          <w:rFonts w:hAnsi="宋体" w:cs="宋体"/>
          <w:bCs/>
          <w:color w:val="auto"/>
          <w:szCs w:val="21"/>
        </w:rPr>
      </w:pPr>
      <w:r>
        <w:rPr>
          <w:rFonts w:hint="eastAsia" w:hAnsi="宋体" w:cs="宋体"/>
          <w:bCs/>
          <w:color w:val="auto"/>
          <w:szCs w:val="21"/>
        </w:rPr>
        <w:t>（1）磋商函及磋商函附录</w:t>
      </w:r>
    </w:p>
    <w:p w14:paraId="46D20BD2">
      <w:pPr>
        <w:pStyle w:val="24"/>
        <w:spacing w:line="390" w:lineRule="exact"/>
        <w:rPr>
          <w:rFonts w:hAnsi="宋体" w:cs="宋体"/>
          <w:bCs/>
          <w:color w:val="auto"/>
          <w:szCs w:val="21"/>
        </w:rPr>
      </w:pPr>
      <w:r>
        <w:rPr>
          <w:rFonts w:hint="eastAsia" w:hAnsi="宋体" w:cs="宋体"/>
          <w:bCs/>
          <w:color w:val="auto"/>
          <w:szCs w:val="21"/>
        </w:rPr>
        <w:t>（2）竞标人基本情况表</w:t>
      </w:r>
    </w:p>
    <w:p w14:paraId="55AE2279">
      <w:pPr>
        <w:pStyle w:val="24"/>
        <w:spacing w:line="390" w:lineRule="exact"/>
        <w:rPr>
          <w:rFonts w:hAnsi="宋体" w:cs="宋体"/>
          <w:bCs/>
          <w:color w:val="auto"/>
          <w:szCs w:val="21"/>
        </w:rPr>
      </w:pPr>
      <w:r>
        <w:rPr>
          <w:rFonts w:hint="eastAsia" w:hAnsi="宋体" w:cs="宋体"/>
          <w:bCs/>
          <w:color w:val="auto"/>
          <w:szCs w:val="21"/>
        </w:rPr>
        <w:t>（3）已标价工程量清单</w:t>
      </w:r>
    </w:p>
    <w:p w14:paraId="27E901B1">
      <w:pPr>
        <w:spacing w:line="336" w:lineRule="auto"/>
        <w:ind w:right="-153" w:rightChars="-73"/>
        <w:jc w:val="center"/>
        <w:rPr>
          <w:rFonts w:ascii="宋体" w:hAnsi="宋体"/>
          <w:b/>
          <w:color w:val="auto"/>
          <w:szCs w:val="21"/>
        </w:rPr>
      </w:pPr>
    </w:p>
    <w:p w14:paraId="7B60EB9B">
      <w:pPr>
        <w:spacing w:line="336" w:lineRule="auto"/>
        <w:ind w:right="-153" w:rightChars="-73"/>
        <w:jc w:val="center"/>
        <w:rPr>
          <w:rFonts w:ascii="宋体" w:hAnsi="宋体"/>
          <w:b/>
          <w:color w:val="auto"/>
          <w:szCs w:val="21"/>
        </w:rPr>
      </w:pPr>
    </w:p>
    <w:p w14:paraId="2DBD5718">
      <w:pPr>
        <w:spacing w:line="336" w:lineRule="auto"/>
        <w:ind w:right="-153" w:rightChars="-73"/>
        <w:jc w:val="center"/>
        <w:rPr>
          <w:rFonts w:ascii="宋体" w:hAnsi="宋体"/>
          <w:b/>
          <w:color w:val="auto"/>
          <w:szCs w:val="21"/>
        </w:rPr>
      </w:pPr>
    </w:p>
    <w:p w14:paraId="47A9FB41">
      <w:pPr>
        <w:rPr>
          <w:rFonts w:ascii="宋体" w:hAnsi="宋体"/>
          <w:b/>
          <w:color w:val="auto"/>
          <w:sz w:val="28"/>
          <w:szCs w:val="28"/>
        </w:rPr>
      </w:pPr>
      <w:r>
        <w:rPr>
          <w:rFonts w:hint="eastAsia" w:ascii="宋体" w:hAnsi="宋体"/>
          <w:b/>
          <w:color w:val="auto"/>
          <w:sz w:val="28"/>
          <w:szCs w:val="28"/>
        </w:rPr>
        <w:br w:type="page"/>
      </w:r>
    </w:p>
    <w:p w14:paraId="4FB032E9">
      <w:pPr>
        <w:spacing w:line="336" w:lineRule="auto"/>
        <w:ind w:right="-153" w:rightChars="-73"/>
        <w:jc w:val="center"/>
        <w:outlineLvl w:val="0"/>
        <w:rPr>
          <w:rFonts w:ascii="宋体" w:hAnsi="宋体"/>
          <w:b/>
          <w:color w:val="auto"/>
          <w:sz w:val="24"/>
        </w:rPr>
      </w:pPr>
      <w:bookmarkStart w:id="1670" w:name="_Toc3986"/>
      <w:bookmarkStart w:id="1671" w:name="_Toc26623"/>
      <w:bookmarkStart w:id="1672" w:name="_Toc12622"/>
      <w:bookmarkStart w:id="1673" w:name="_Toc24102"/>
      <w:r>
        <w:rPr>
          <w:rFonts w:hint="eastAsia" w:ascii="宋体" w:hAnsi="宋体"/>
          <w:b/>
          <w:color w:val="auto"/>
          <w:sz w:val="28"/>
          <w:szCs w:val="28"/>
        </w:rPr>
        <w:t>一、磋商函及磋商函附录</w:t>
      </w:r>
      <w:bookmarkEnd w:id="1670"/>
      <w:bookmarkEnd w:id="1671"/>
      <w:bookmarkEnd w:id="1672"/>
      <w:bookmarkEnd w:id="1673"/>
    </w:p>
    <w:p w14:paraId="642126A8">
      <w:pPr>
        <w:ind w:firstLine="2040" w:firstLineChars="850"/>
        <w:jc w:val="center"/>
        <w:rPr>
          <w:rFonts w:ascii="宋体" w:hAnsi="宋体"/>
          <w:b/>
          <w:color w:val="auto"/>
          <w:sz w:val="24"/>
        </w:rPr>
      </w:pPr>
    </w:p>
    <w:p w14:paraId="1788993C">
      <w:pPr>
        <w:jc w:val="center"/>
        <w:outlineLvl w:val="1"/>
        <w:rPr>
          <w:rFonts w:ascii="宋体" w:hAnsi="宋体"/>
          <w:b/>
          <w:color w:val="auto"/>
          <w:sz w:val="24"/>
        </w:rPr>
      </w:pPr>
      <w:bookmarkStart w:id="1674" w:name="_Toc1360"/>
      <w:bookmarkStart w:id="1675" w:name="_Toc23893"/>
      <w:r>
        <w:rPr>
          <w:rFonts w:hint="eastAsia" w:ascii="宋体" w:hAnsi="宋体"/>
          <w:b/>
          <w:color w:val="auto"/>
          <w:sz w:val="24"/>
        </w:rPr>
        <w:t>（一）磋商函</w:t>
      </w:r>
      <w:bookmarkEnd w:id="1674"/>
      <w:bookmarkEnd w:id="1675"/>
    </w:p>
    <w:p w14:paraId="0E0D6CC0">
      <w:pPr>
        <w:ind w:left="5250"/>
        <w:jc w:val="center"/>
        <w:rPr>
          <w:rFonts w:ascii="宋体" w:hAnsi="宋体"/>
          <w:b/>
          <w:bCs/>
          <w:color w:val="auto"/>
          <w:szCs w:val="21"/>
        </w:rPr>
      </w:pPr>
    </w:p>
    <w:p w14:paraId="2C04AC8C">
      <w:pPr>
        <w:spacing w:line="400" w:lineRule="exact"/>
        <w:rPr>
          <w:rFonts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（采购人名称）：</w:t>
      </w:r>
    </w:p>
    <w:p w14:paraId="5CA20079">
      <w:pPr>
        <w:spacing w:line="400" w:lineRule="exact"/>
        <w:ind w:firstLine="420" w:firstLineChars="200"/>
        <w:rPr>
          <w:rFonts w:ascii="宋体" w:hAnsi="宋体" w:cs="宋体"/>
          <w:color w:val="auto"/>
          <w:szCs w:val="21"/>
          <w:u w:val="single"/>
        </w:rPr>
      </w:pPr>
      <w:r>
        <w:rPr>
          <w:rFonts w:hint="eastAsia" w:ascii="宋体" w:hAnsi="宋体" w:cs="宋体"/>
          <w:color w:val="auto"/>
          <w:szCs w:val="21"/>
        </w:rPr>
        <w:t>1、我方已仔细研究了</w:t>
      </w:r>
      <w:r>
        <w:rPr>
          <w:rFonts w:hint="eastAsia" w:ascii="宋体" w:hAnsi="宋体" w:cs="宋体"/>
          <w:color w:val="auto"/>
          <w:szCs w:val="21"/>
          <w:u w:val="single"/>
        </w:rPr>
        <w:t xml:space="preserve">            </w:t>
      </w:r>
      <w:r>
        <w:rPr>
          <w:rFonts w:hint="eastAsia" w:ascii="宋体" w:hAnsi="宋体" w:cs="宋体"/>
          <w:color w:val="auto"/>
          <w:szCs w:val="21"/>
        </w:rPr>
        <w:t>（项目名称及项目编号）《竞争性磋商文件》的全部内容，愿意以人民币（大写）</w:t>
      </w:r>
      <w:r>
        <w:rPr>
          <w:rFonts w:hint="eastAsia" w:ascii="宋体" w:hAnsi="宋体" w:cs="宋体"/>
          <w:color w:val="auto"/>
          <w:szCs w:val="21"/>
          <w:u w:val="single"/>
        </w:rPr>
        <w:t xml:space="preserve">         </w:t>
      </w:r>
      <w:r>
        <w:rPr>
          <w:rFonts w:hint="eastAsia" w:ascii="宋体" w:hAnsi="宋体" w:cs="宋体"/>
          <w:color w:val="auto"/>
          <w:szCs w:val="21"/>
        </w:rPr>
        <w:t>元（¥</w:t>
      </w:r>
      <w:r>
        <w:rPr>
          <w:rFonts w:hint="eastAsia" w:ascii="宋体" w:hAnsi="宋体" w:cs="宋体"/>
          <w:color w:val="auto"/>
          <w:szCs w:val="21"/>
          <w:u w:val="single"/>
        </w:rPr>
        <w:t xml:space="preserve">         </w:t>
      </w:r>
      <w:r>
        <w:rPr>
          <w:rFonts w:hint="eastAsia" w:ascii="宋体" w:hAnsi="宋体" w:cs="宋体"/>
          <w:color w:val="auto"/>
          <w:szCs w:val="21"/>
        </w:rPr>
        <w:t>）的磋商总报价，工期</w:t>
      </w:r>
      <w:r>
        <w:rPr>
          <w:rFonts w:hint="eastAsia" w:ascii="宋体" w:hAnsi="宋体" w:cs="宋体"/>
          <w:color w:val="auto"/>
          <w:szCs w:val="21"/>
          <w:u w:val="single"/>
        </w:rPr>
        <w:t xml:space="preserve">      </w:t>
      </w:r>
      <w:r>
        <w:rPr>
          <w:rFonts w:hint="eastAsia" w:ascii="宋体" w:hAnsi="宋体" w:cs="宋体"/>
          <w:color w:val="auto"/>
          <w:szCs w:val="21"/>
        </w:rPr>
        <w:t>日历天，按合同约定实施和完成承包工程，修补工程中的任何缺陷，工程质量等级达到</w:t>
      </w:r>
      <w:r>
        <w:rPr>
          <w:rFonts w:hint="eastAsia" w:ascii="宋体" w:hAnsi="宋体" w:cs="宋体"/>
          <w:color w:val="auto"/>
          <w:szCs w:val="21"/>
          <w:u w:val="single"/>
        </w:rPr>
        <w:t xml:space="preserve">            。</w:t>
      </w:r>
    </w:p>
    <w:p w14:paraId="062A8B0D">
      <w:pPr>
        <w:spacing w:line="400" w:lineRule="exact"/>
        <w:ind w:firstLine="420" w:firstLineChars="200"/>
        <w:rPr>
          <w:rFonts w:ascii="宋体" w:hAnsi="宋体" w:cs="宋体"/>
          <w:color w:val="auto"/>
          <w:szCs w:val="21"/>
        </w:rPr>
      </w:pPr>
      <w:r>
        <w:rPr>
          <w:rFonts w:hint="eastAsia" w:ascii="宋体" w:hAnsi="宋体" w:cs="宋体"/>
          <w:color w:val="auto"/>
          <w:szCs w:val="21"/>
        </w:rPr>
        <w:t>2、我方同意所递交的《响应文件》在“磋商供应商须知前附表”第8条规定的磋商有效期内有效，在此期间内我方的磋商有可能成交，我方将受此约束。　</w:t>
      </w:r>
    </w:p>
    <w:p w14:paraId="37C42343">
      <w:pPr>
        <w:spacing w:line="400" w:lineRule="exact"/>
        <w:ind w:firstLine="420" w:firstLineChars="200"/>
        <w:rPr>
          <w:rFonts w:ascii="宋体" w:hAnsi="宋体" w:cs="宋体"/>
          <w:color w:val="auto"/>
          <w:szCs w:val="21"/>
        </w:rPr>
      </w:pPr>
      <w:r>
        <w:rPr>
          <w:rFonts w:hint="eastAsia" w:ascii="宋体" w:hAnsi="宋体" w:cs="宋体"/>
          <w:color w:val="auto"/>
          <w:szCs w:val="21"/>
        </w:rPr>
        <w:t>3、我方承诺已经具备《中华人民共和国政府采购法》第二十二条中规定的参加政府采购活动的供应商应当具备的条件。</w:t>
      </w:r>
    </w:p>
    <w:p w14:paraId="40479D94">
      <w:pPr>
        <w:spacing w:line="400" w:lineRule="exact"/>
        <w:ind w:firstLine="420" w:firstLineChars="200"/>
        <w:rPr>
          <w:rFonts w:ascii="宋体" w:hAnsi="宋体" w:cs="宋体"/>
          <w:color w:val="auto"/>
          <w:szCs w:val="21"/>
        </w:rPr>
      </w:pPr>
      <w:r>
        <w:rPr>
          <w:rFonts w:hint="eastAsia" w:ascii="宋体" w:hAnsi="宋体" w:cs="宋体"/>
          <w:color w:val="auto"/>
          <w:szCs w:val="21"/>
        </w:rPr>
        <w:t>4、我方根据《竞争性磋商文件》的规定，承担完成合同的责任和义务。</w:t>
      </w:r>
    </w:p>
    <w:p w14:paraId="0368F3CA">
      <w:pPr>
        <w:pStyle w:val="24"/>
        <w:spacing w:line="400" w:lineRule="exact"/>
        <w:ind w:firstLine="420" w:firstLineChars="200"/>
        <w:rPr>
          <w:rFonts w:hAnsi="宋体" w:cs="宋体"/>
          <w:color w:val="auto"/>
          <w:szCs w:val="21"/>
        </w:rPr>
      </w:pPr>
      <w:r>
        <w:rPr>
          <w:rFonts w:hint="eastAsia" w:hAnsi="宋体" w:cs="宋体"/>
          <w:color w:val="auto"/>
          <w:szCs w:val="21"/>
        </w:rPr>
        <w:t>5、我方已详细审核《竞争性磋商文件》，我方知道必须放弃提出含糊不清或误解问题的权利。</w:t>
      </w:r>
    </w:p>
    <w:p w14:paraId="4A8F9278">
      <w:pPr>
        <w:pStyle w:val="24"/>
        <w:spacing w:line="400" w:lineRule="exact"/>
        <w:ind w:firstLine="420" w:firstLineChars="200"/>
        <w:rPr>
          <w:rFonts w:hAnsi="宋体" w:cs="宋体"/>
          <w:color w:val="auto"/>
          <w:szCs w:val="21"/>
        </w:rPr>
      </w:pPr>
      <w:r>
        <w:rPr>
          <w:rFonts w:hint="eastAsia" w:hAnsi="宋体" w:cs="宋体"/>
          <w:color w:val="auto"/>
          <w:szCs w:val="21"/>
        </w:rPr>
        <w:t>6、如果在磋商截止时间后的磋商有效期内撤回磋商或者有其他违约行为，贵方可不退还我方的磋商保证金。</w:t>
      </w:r>
    </w:p>
    <w:p w14:paraId="01D7A610">
      <w:pPr>
        <w:spacing w:line="400" w:lineRule="exact"/>
        <w:ind w:firstLine="420" w:firstLineChars="200"/>
        <w:rPr>
          <w:rFonts w:ascii="宋体" w:hAnsi="宋体" w:cs="宋体"/>
          <w:color w:val="auto"/>
          <w:szCs w:val="21"/>
        </w:rPr>
      </w:pPr>
      <w:r>
        <w:rPr>
          <w:rFonts w:hint="eastAsia" w:ascii="宋体" w:hAnsi="宋体" w:cs="宋体"/>
          <w:color w:val="auto"/>
          <w:szCs w:val="21"/>
        </w:rPr>
        <w:t>7、同意向贵方提供贵方可能要求的与本磋商有关的任何数据或资料。</w:t>
      </w:r>
    </w:p>
    <w:p w14:paraId="549DFE05">
      <w:pPr>
        <w:spacing w:line="400" w:lineRule="exact"/>
        <w:ind w:firstLine="420" w:firstLineChars="200"/>
        <w:rPr>
          <w:rFonts w:ascii="宋体" w:hAnsi="宋体" w:cs="宋体"/>
          <w:color w:val="auto"/>
          <w:szCs w:val="21"/>
        </w:rPr>
      </w:pPr>
      <w:r>
        <w:rPr>
          <w:rFonts w:hint="eastAsia" w:ascii="宋体" w:hAnsi="宋体" w:cs="宋体"/>
          <w:color w:val="auto"/>
          <w:szCs w:val="21"/>
        </w:rPr>
        <w:t>8、我方完全理解贵方不一定要接受最低报价的磋商供应商为成交供应商。</w:t>
      </w:r>
    </w:p>
    <w:p w14:paraId="3ABA573E">
      <w:pPr>
        <w:pStyle w:val="24"/>
        <w:spacing w:line="400" w:lineRule="exact"/>
        <w:ind w:firstLine="420" w:firstLineChars="200"/>
        <w:rPr>
          <w:rFonts w:hAnsi="宋体" w:cs="宋体"/>
          <w:color w:val="auto"/>
          <w:szCs w:val="21"/>
        </w:rPr>
      </w:pPr>
      <w:r>
        <w:rPr>
          <w:rFonts w:hint="eastAsia" w:hAnsi="宋体" w:cs="宋体"/>
          <w:color w:val="auto"/>
          <w:szCs w:val="21"/>
        </w:rPr>
        <w:t>9.若贵方需要，我方愿意提供我方作出的一切承诺的证明材料。</w:t>
      </w:r>
    </w:p>
    <w:p w14:paraId="3E5E4F67">
      <w:pPr>
        <w:pStyle w:val="24"/>
        <w:spacing w:line="400" w:lineRule="exact"/>
        <w:ind w:firstLine="420" w:firstLineChars="200"/>
        <w:rPr>
          <w:rFonts w:hAnsi="宋体" w:cs="宋体"/>
          <w:color w:val="auto"/>
          <w:szCs w:val="21"/>
        </w:rPr>
      </w:pPr>
      <w:r>
        <w:rPr>
          <w:rFonts w:hint="eastAsia" w:hAnsi="宋体" w:cs="宋体"/>
          <w:color w:val="auto"/>
          <w:szCs w:val="21"/>
        </w:rPr>
        <w:t>10.</w:t>
      </w:r>
      <w:r>
        <w:rPr>
          <w:rFonts w:hint="eastAsia" w:hAnsi="宋体" w:cs="宋体"/>
          <w:color w:val="auto"/>
          <w:spacing w:val="-2"/>
          <w:szCs w:val="21"/>
        </w:rPr>
        <w:t>我方将严格遵守《中华人民共和国政府采购法》的规定，知悉作为政府采购供应商应负的法律责任。</w:t>
      </w:r>
    </w:p>
    <w:p w14:paraId="3B56309A">
      <w:pPr>
        <w:spacing w:line="400" w:lineRule="exact"/>
        <w:ind w:firstLine="420" w:firstLineChars="200"/>
        <w:rPr>
          <w:rFonts w:ascii="宋体" w:hAnsi="宋体" w:cs="宋体"/>
          <w:color w:val="auto"/>
          <w:szCs w:val="21"/>
        </w:rPr>
      </w:pPr>
      <w:r>
        <w:rPr>
          <w:rFonts w:hint="eastAsia" w:ascii="宋体" w:hAnsi="宋体" w:cs="宋体"/>
          <w:color w:val="auto"/>
          <w:szCs w:val="21"/>
        </w:rPr>
        <w:t>11、</w:t>
      </w:r>
      <w:r>
        <w:rPr>
          <w:rFonts w:ascii="宋体" w:hAnsi="宋体"/>
          <w:color w:val="auto"/>
        </w:rPr>
        <w:t>我方将与本</w:t>
      </w:r>
      <w:r>
        <w:rPr>
          <w:rFonts w:hint="eastAsia" w:ascii="宋体" w:hAnsi="宋体"/>
          <w:color w:val="auto"/>
        </w:rPr>
        <w:t>磋商</w:t>
      </w:r>
      <w:r>
        <w:rPr>
          <w:rFonts w:ascii="宋体" w:hAnsi="宋体"/>
          <w:color w:val="auto"/>
        </w:rPr>
        <w:t>函一起，</w:t>
      </w:r>
      <w:r>
        <w:rPr>
          <w:rFonts w:hint="eastAsia" w:ascii="宋体" w:hAnsi="宋体" w:cs="宋体"/>
          <w:color w:val="auto"/>
        </w:rPr>
        <w:t>提交无条件保函（保证额度</w:t>
      </w:r>
      <w:r>
        <w:rPr>
          <w:rFonts w:hint="eastAsia" w:ascii="宋体" w:hAnsi="宋体" w:cs="宋体"/>
          <w:color w:val="auto"/>
          <w:u w:val="single"/>
        </w:rPr>
        <w:t xml:space="preserve">     元</w:t>
      </w:r>
      <w:r>
        <w:rPr>
          <w:rFonts w:hint="eastAsia" w:ascii="宋体" w:hAnsi="宋体" w:cs="宋体"/>
          <w:color w:val="auto"/>
        </w:rPr>
        <w:t>）或人民币</w:t>
      </w:r>
      <w:r>
        <w:rPr>
          <w:rFonts w:hint="eastAsia" w:ascii="宋体" w:hAnsi="宋体" w:cs="宋体"/>
          <w:color w:val="auto"/>
          <w:szCs w:val="21"/>
          <w:u w:val="single"/>
        </w:rPr>
        <w:t xml:space="preserve">      </w:t>
      </w:r>
      <w:r>
        <w:rPr>
          <w:rFonts w:hint="eastAsia" w:ascii="宋体" w:hAnsi="宋体" w:cs="宋体"/>
          <w:color w:val="auto"/>
        </w:rPr>
        <w:t>元作为磋商保证金</w:t>
      </w:r>
      <w:r>
        <w:rPr>
          <w:rFonts w:hint="eastAsia" w:ascii="宋体" w:hAnsi="宋体" w:cs="宋体"/>
          <w:color w:val="auto"/>
          <w:szCs w:val="21"/>
        </w:rPr>
        <w:t>。</w:t>
      </w:r>
    </w:p>
    <w:p w14:paraId="4D642B83">
      <w:pPr>
        <w:spacing w:line="400" w:lineRule="exact"/>
        <w:ind w:firstLine="420" w:firstLineChars="200"/>
        <w:rPr>
          <w:rFonts w:ascii="宋体" w:hAnsi="宋体" w:cs="宋体"/>
          <w:color w:val="auto"/>
          <w:szCs w:val="21"/>
          <w:u w:val="single"/>
        </w:rPr>
      </w:pPr>
      <w:r>
        <w:rPr>
          <w:rFonts w:hint="eastAsia" w:ascii="宋体" w:hAnsi="宋体" w:cs="宋体"/>
          <w:color w:val="auto"/>
          <w:szCs w:val="21"/>
        </w:rPr>
        <w:t>12、</w:t>
      </w:r>
      <w:r>
        <w:rPr>
          <w:rFonts w:hint="eastAsia" w:ascii="宋体" w:hAnsi="宋体" w:cs="宋体"/>
          <w:color w:val="auto"/>
          <w:szCs w:val="21"/>
          <w:u w:val="single"/>
        </w:rPr>
        <w:t xml:space="preserve">       （其他）        </w:t>
      </w:r>
      <w:r>
        <w:rPr>
          <w:rFonts w:hint="eastAsia" w:ascii="宋体" w:hAnsi="宋体" w:cs="宋体"/>
          <w:color w:val="auto"/>
          <w:szCs w:val="21"/>
        </w:rPr>
        <w:t>。</w:t>
      </w:r>
    </w:p>
    <w:p w14:paraId="13B33673">
      <w:pPr>
        <w:spacing w:line="360" w:lineRule="auto"/>
        <w:rPr>
          <w:rFonts w:ascii="宋体" w:hAnsi="宋体" w:cs="宋体"/>
          <w:color w:val="auto"/>
          <w:szCs w:val="21"/>
        </w:rPr>
      </w:pPr>
    </w:p>
    <w:p w14:paraId="319C3004">
      <w:pPr>
        <w:pStyle w:val="24"/>
        <w:spacing w:line="400" w:lineRule="exact"/>
        <w:ind w:firstLine="420"/>
        <w:rPr>
          <w:rFonts w:hAnsi="宋体" w:cs="宋体"/>
          <w:color w:val="auto"/>
          <w:szCs w:val="21"/>
        </w:rPr>
      </w:pPr>
      <w:r>
        <w:rPr>
          <w:rFonts w:hint="eastAsia" w:hAnsi="宋体" w:cs="宋体"/>
          <w:color w:val="auto"/>
          <w:szCs w:val="21"/>
        </w:rPr>
        <w:t>与本项目磋商有关的正式通讯地址为：</w:t>
      </w:r>
    </w:p>
    <w:p w14:paraId="7BD33960">
      <w:pPr>
        <w:pStyle w:val="24"/>
        <w:spacing w:line="400" w:lineRule="exact"/>
        <w:ind w:firstLine="420"/>
        <w:rPr>
          <w:rFonts w:hAnsi="宋体" w:cs="宋体"/>
          <w:color w:val="auto"/>
          <w:szCs w:val="21"/>
        </w:rPr>
      </w:pPr>
      <w:r>
        <w:rPr>
          <w:rFonts w:hint="eastAsia" w:hAnsi="宋体" w:cs="宋体"/>
          <w:color w:val="auto"/>
          <w:szCs w:val="21"/>
        </w:rPr>
        <w:t>磋商供应商名称：</w:t>
      </w:r>
    </w:p>
    <w:p w14:paraId="62507FD0">
      <w:pPr>
        <w:pStyle w:val="24"/>
        <w:spacing w:line="400" w:lineRule="exact"/>
        <w:ind w:firstLine="420"/>
        <w:rPr>
          <w:rFonts w:hAnsi="宋体" w:cs="宋体"/>
          <w:color w:val="auto"/>
          <w:szCs w:val="21"/>
        </w:rPr>
      </w:pPr>
      <w:r>
        <w:rPr>
          <w:rFonts w:hint="eastAsia" w:hAnsi="宋体" w:cs="宋体"/>
          <w:color w:val="auto"/>
          <w:szCs w:val="21"/>
        </w:rPr>
        <w:t xml:space="preserve">地址：              </w:t>
      </w:r>
    </w:p>
    <w:p w14:paraId="3355CCE3">
      <w:pPr>
        <w:pStyle w:val="24"/>
        <w:spacing w:line="400" w:lineRule="exact"/>
        <w:ind w:firstLine="420"/>
        <w:rPr>
          <w:rFonts w:hAnsi="宋体" w:cs="宋体"/>
          <w:color w:val="auto"/>
          <w:szCs w:val="21"/>
        </w:rPr>
      </w:pPr>
      <w:r>
        <w:rPr>
          <w:rFonts w:hint="eastAsia" w:hAnsi="宋体" w:cs="宋体"/>
          <w:color w:val="auto"/>
          <w:szCs w:val="21"/>
        </w:rPr>
        <w:t>邮政编码：</w:t>
      </w:r>
    </w:p>
    <w:p w14:paraId="56DE3E74">
      <w:pPr>
        <w:pStyle w:val="24"/>
        <w:spacing w:line="400" w:lineRule="exact"/>
        <w:ind w:firstLine="420"/>
        <w:rPr>
          <w:rFonts w:hAnsi="宋体" w:cs="宋体"/>
          <w:color w:val="auto"/>
          <w:szCs w:val="21"/>
          <w:u w:val="single"/>
        </w:rPr>
      </w:pPr>
      <w:r>
        <w:rPr>
          <w:rFonts w:hint="eastAsia" w:hAnsi="宋体" w:cs="宋体"/>
          <w:color w:val="auto"/>
          <w:szCs w:val="21"/>
        </w:rPr>
        <w:t>电话、电报、传真或电传：</w:t>
      </w:r>
    </w:p>
    <w:p w14:paraId="09961BAE">
      <w:pPr>
        <w:pStyle w:val="24"/>
        <w:spacing w:line="400" w:lineRule="exact"/>
        <w:ind w:firstLine="420"/>
        <w:rPr>
          <w:rFonts w:hAnsi="宋体" w:cs="宋体"/>
          <w:color w:val="auto"/>
          <w:szCs w:val="21"/>
        </w:rPr>
      </w:pPr>
      <w:r>
        <w:rPr>
          <w:rFonts w:hint="eastAsia" w:hAnsi="宋体" w:cs="宋体"/>
          <w:color w:val="auto"/>
          <w:szCs w:val="21"/>
        </w:rPr>
        <w:t>开户名称：</w:t>
      </w:r>
    </w:p>
    <w:p w14:paraId="75395CC0">
      <w:pPr>
        <w:pStyle w:val="24"/>
        <w:spacing w:line="400" w:lineRule="exact"/>
        <w:ind w:firstLine="420"/>
        <w:rPr>
          <w:rFonts w:hAnsi="宋体" w:cs="宋体"/>
          <w:color w:val="auto"/>
          <w:szCs w:val="21"/>
        </w:rPr>
      </w:pPr>
      <w:r>
        <w:rPr>
          <w:rFonts w:hint="eastAsia" w:hAnsi="宋体" w:cs="宋体"/>
          <w:color w:val="auto"/>
          <w:szCs w:val="21"/>
        </w:rPr>
        <w:t>开户银行：</w:t>
      </w:r>
    </w:p>
    <w:p w14:paraId="63AF23A5">
      <w:pPr>
        <w:pStyle w:val="24"/>
        <w:spacing w:line="400" w:lineRule="exact"/>
        <w:ind w:firstLine="420"/>
        <w:rPr>
          <w:rFonts w:hAnsi="宋体" w:cs="宋体"/>
          <w:color w:val="auto"/>
          <w:szCs w:val="21"/>
        </w:rPr>
      </w:pPr>
      <w:r>
        <w:rPr>
          <w:rFonts w:hint="eastAsia" w:hAnsi="宋体" w:cs="宋体"/>
          <w:color w:val="auto"/>
          <w:szCs w:val="21"/>
        </w:rPr>
        <w:t>银行帐号：</w:t>
      </w:r>
    </w:p>
    <w:p w14:paraId="7CE500B3">
      <w:pPr>
        <w:pStyle w:val="24"/>
        <w:spacing w:line="400" w:lineRule="exact"/>
        <w:ind w:firstLine="420"/>
        <w:rPr>
          <w:rFonts w:hAnsi="宋体" w:cs="宋体"/>
          <w:color w:val="auto"/>
          <w:szCs w:val="21"/>
        </w:rPr>
      </w:pPr>
      <w:r>
        <w:rPr>
          <w:rFonts w:hint="eastAsia" w:hAnsi="宋体" w:cs="宋体"/>
          <w:color w:val="auto"/>
          <w:szCs w:val="21"/>
        </w:rPr>
        <w:t>法定代表人或委托代理人</w:t>
      </w:r>
      <w:r>
        <w:rPr>
          <w:rFonts w:hint="eastAsia" w:cs="宋体"/>
          <w:color w:val="auto"/>
          <w:kern w:val="0"/>
          <w:szCs w:val="21"/>
        </w:rPr>
        <w:t>手写签名或电子签名</w:t>
      </w:r>
      <w:r>
        <w:rPr>
          <w:rFonts w:hint="eastAsia" w:hAnsi="宋体" w:cs="宋体"/>
          <w:color w:val="auto"/>
          <w:szCs w:val="21"/>
        </w:rPr>
        <w:t>：</w:t>
      </w:r>
    </w:p>
    <w:p w14:paraId="4C6D8E5F">
      <w:pPr>
        <w:pStyle w:val="24"/>
        <w:spacing w:line="400" w:lineRule="exact"/>
        <w:ind w:firstLine="420"/>
        <w:rPr>
          <w:rFonts w:hAnsi="宋体" w:cs="宋体"/>
          <w:color w:val="auto"/>
          <w:szCs w:val="21"/>
        </w:rPr>
      </w:pPr>
      <w:r>
        <w:rPr>
          <w:rFonts w:hint="eastAsia" w:hAnsi="宋体" w:cs="宋体"/>
          <w:color w:val="auto"/>
          <w:szCs w:val="21"/>
        </w:rPr>
        <w:t>磋商供应商盖公章或电子签章：</w:t>
      </w:r>
    </w:p>
    <w:p w14:paraId="7B7F7DF1">
      <w:pPr>
        <w:pStyle w:val="24"/>
        <w:spacing w:line="400" w:lineRule="exact"/>
        <w:ind w:firstLine="420" w:firstLineChars="200"/>
        <w:rPr>
          <w:rFonts w:hAnsi="宋体" w:cs="宋体"/>
          <w:color w:val="auto"/>
          <w:szCs w:val="21"/>
          <w:u w:val="single"/>
        </w:rPr>
      </w:pPr>
      <w:r>
        <w:rPr>
          <w:rFonts w:hint="eastAsia" w:hAnsi="宋体" w:cs="宋体"/>
          <w:color w:val="auto"/>
          <w:szCs w:val="21"/>
        </w:rPr>
        <w:t>磋商日期：</w:t>
      </w:r>
    </w:p>
    <w:p w14:paraId="393969EC">
      <w:pPr>
        <w:spacing w:line="480" w:lineRule="auto"/>
        <w:jc w:val="center"/>
        <w:outlineLvl w:val="1"/>
        <w:rPr>
          <w:rFonts w:ascii="宋体" w:hAnsi="宋体"/>
          <w:b/>
          <w:color w:val="auto"/>
          <w:szCs w:val="21"/>
          <w:highlight w:val="yellow"/>
        </w:rPr>
      </w:pPr>
      <w:r>
        <w:rPr>
          <w:rFonts w:ascii="宋体" w:hAnsi="宋体"/>
          <w:b/>
          <w:color w:val="auto"/>
          <w:szCs w:val="21"/>
        </w:rPr>
        <w:br w:type="page"/>
      </w:r>
      <w:bookmarkStart w:id="1676" w:name="_Toc15047"/>
      <w:bookmarkStart w:id="1677" w:name="_Toc13523"/>
      <w:r>
        <w:rPr>
          <w:rFonts w:hint="eastAsia" w:ascii="宋体" w:hAnsi="宋体"/>
          <w:b/>
          <w:color w:val="auto"/>
          <w:sz w:val="24"/>
        </w:rPr>
        <w:t>（二） 磋商函附录</w:t>
      </w:r>
      <w:bookmarkEnd w:id="1676"/>
      <w:bookmarkEnd w:id="1677"/>
    </w:p>
    <w:p w14:paraId="31F1A7DD">
      <w:pPr>
        <w:spacing w:line="336" w:lineRule="auto"/>
        <w:ind w:left="-4" w:leftChars="-2" w:right="-153" w:rightChars="-73" w:firstLine="2627" w:firstLineChars="1251"/>
        <w:rPr>
          <w:rFonts w:ascii="宋体" w:hAnsi="宋体"/>
          <w:b/>
          <w:color w:val="auto"/>
          <w:szCs w:val="21"/>
          <w:highlight w:val="yellow"/>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2706"/>
        <w:gridCol w:w="2017"/>
        <w:gridCol w:w="1984"/>
        <w:gridCol w:w="2107"/>
      </w:tblGrid>
      <w:tr w14:paraId="36BF3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2F50582D">
            <w:pPr>
              <w:spacing w:line="300" w:lineRule="exact"/>
              <w:jc w:val="center"/>
              <w:rPr>
                <w:rFonts w:ascii="宋体" w:hAnsi="宋体" w:cs="宋体"/>
                <w:color w:val="auto"/>
                <w:szCs w:val="21"/>
              </w:rPr>
            </w:pPr>
            <w:r>
              <w:rPr>
                <w:rFonts w:hint="eastAsia" w:ascii="宋体" w:hAnsi="宋体" w:cs="宋体"/>
                <w:color w:val="auto"/>
                <w:szCs w:val="21"/>
              </w:rPr>
              <w:t>序 号</w:t>
            </w:r>
          </w:p>
        </w:tc>
        <w:tc>
          <w:tcPr>
            <w:tcW w:w="2706" w:type="dxa"/>
            <w:noWrap/>
            <w:vAlign w:val="center"/>
          </w:tcPr>
          <w:p w14:paraId="3FEA91A5">
            <w:pPr>
              <w:spacing w:line="300" w:lineRule="exact"/>
              <w:jc w:val="center"/>
              <w:rPr>
                <w:rFonts w:ascii="宋体" w:hAnsi="宋体" w:cs="宋体"/>
                <w:color w:val="auto"/>
                <w:szCs w:val="21"/>
              </w:rPr>
            </w:pPr>
            <w:r>
              <w:rPr>
                <w:rFonts w:hint="eastAsia" w:ascii="宋体" w:hAnsi="宋体" w:cs="宋体"/>
                <w:color w:val="auto"/>
                <w:szCs w:val="21"/>
              </w:rPr>
              <w:t>条款内容</w:t>
            </w:r>
          </w:p>
        </w:tc>
        <w:tc>
          <w:tcPr>
            <w:tcW w:w="2017" w:type="dxa"/>
            <w:noWrap/>
            <w:vAlign w:val="center"/>
          </w:tcPr>
          <w:p w14:paraId="08298968">
            <w:pPr>
              <w:spacing w:line="300" w:lineRule="exact"/>
              <w:jc w:val="center"/>
              <w:rPr>
                <w:rFonts w:ascii="宋体" w:hAnsi="宋体" w:cs="宋体"/>
                <w:color w:val="auto"/>
                <w:szCs w:val="21"/>
              </w:rPr>
            </w:pPr>
            <w:r>
              <w:rPr>
                <w:rFonts w:hint="eastAsia" w:ascii="宋体" w:hAnsi="宋体" w:cs="宋体"/>
                <w:color w:val="auto"/>
                <w:szCs w:val="21"/>
              </w:rPr>
              <w:t>合同条款号</w:t>
            </w:r>
          </w:p>
        </w:tc>
        <w:tc>
          <w:tcPr>
            <w:tcW w:w="1984" w:type="dxa"/>
            <w:noWrap/>
            <w:vAlign w:val="center"/>
          </w:tcPr>
          <w:p w14:paraId="39A35F98">
            <w:pPr>
              <w:spacing w:line="300" w:lineRule="exact"/>
              <w:jc w:val="center"/>
              <w:rPr>
                <w:rFonts w:ascii="宋体" w:hAnsi="宋体" w:cs="宋体"/>
                <w:color w:val="auto"/>
                <w:szCs w:val="21"/>
              </w:rPr>
            </w:pPr>
            <w:r>
              <w:rPr>
                <w:rFonts w:hint="eastAsia" w:ascii="宋体" w:hAnsi="宋体" w:cs="宋体"/>
                <w:color w:val="auto"/>
                <w:szCs w:val="21"/>
              </w:rPr>
              <w:t>约定内容</w:t>
            </w:r>
          </w:p>
        </w:tc>
        <w:tc>
          <w:tcPr>
            <w:tcW w:w="2107" w:type="dxa"/>
            <w:noWrap/>
            <w:vAlign w:val="center"/>
          </w:tcPr>
          <w:p w14:paraId="59CAD81E">
            <w:pPr>
              <w:spacing w:line="300" w:lineRule="exact"/>
              <w:jc w:val="center"/>
              <w:rPr>
                <w:rFonts w:ascii="宋体" w:hAnsi="宋体" w:cs="宋体"/>
                <w:color w:val="auto"/>
                <w:szCs w:val="21"/>
              </w:rPr>
            </w:pPr>
            <w:r>
              <w:rPr>
                <w:rFonts w:hint="eastAsia" w:ascii="宋体" w:hAnsi="宋体" w:cs="宋体"/>
                <w:color w:val="auto"/>
                <w:szCs w:val="21"/>
              </w:rPr>
              <w:t>备注</w:t>
            </w:r>
          </w:p>
        </w:tc>
      </w:tr>
      <w:tr w14:paraId="3769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0B5A1C3C">
            <w:pPr>
              <w:spacing w:line="300" w:lineRule="exact"/>
              <w:jc w:val="center"/>
              <w:rPr>
                <w:rFonts w:ascii="宋体" w:hAnsi="宋体" w:cs="宋体"/>
                <w:color w:val="auto"/>
                <w:szCs w:val="21"/>
              </w:rPr>
            </w:pPr>
            <w:r>
              <w:rPr>
                <w:rFonts w:hint="eastAsia" w:ascii="宋体" w:hAnsi="宋体" w:cs="宋体"/>
                <w:color w:val="auto"/>
                <w:szCs w:val="21"/>
              </w:rPr>
              <w:t>1</w:t>
            </w:r>
          </w:p>
        </w:tc>
        <w:tc>
          <w:tcPr>
            <w:tcW w:w="2706" w:type="dxa"/>
            <w:noWrap/>
            <w:vAlign w:val="center"/>
          </w:tcPr>
          <w:p w14:paraId="4ADAC884">
            <w:pPr>
              <w:spacing w:line="300" w:lineRule="exact"/>
              <w:rPr>
                <w:rFonts w:ascii="宋体" w:hAnsi="宋体" w:cs="宋体"/>
                <w:color w:val="auto"/>
                <w:szCs w:val="21"/>
              </w:rPr>
            </w:pPr>
            <w:r>
              <w:rPr>
                <w:rFonts w:hint="eastAsia" w:ascii="宋体" w:hAnsi="宋体" w:cs="宋体"/>
                <w:color w:val="auto"/>
                <w:szCs w:val="21"/>
              </w:rPr>
              <w:t>项目经理</w:t>
            </w:r>
          </w:p>
        </w:tc>
        <w:tc>
          <w:tcPr>
            <w:tcW w:w="2017" w:type="dxa"/>
            <w:noWrap/>
            <w:tcMar>
              <w:left w:w="170" w:type="dxa"/>
            </w:tcMar>
            <w:vAlign w:val="center"/>
          </w:tcPr>
          <w:p w14:paraId="37285B5B">
            <w:pPr>
              <w:spacing w:line="300" w:lineRule="exact"/>
              <w:jc w:val="center"/>
              <w:rPr>
                <w:rFonts w:ascii="宋体" w:hAnsi="宋体" w:cs="宋体"/>
                <w:color w:val="auto"/>
                <w:szCs w:val="21"/>
              </w:rPr>
            </w:pPr>
            <w:r>
              <w:rPr>
                <w:rFonts w:hint="eastAsia" w:ascii="宋体" w:hAnsi="宋体" w:cs="宋体"/>
                <w:color w:val="auto"/>
                <w:szCs w:val="21"/>
              </w:rPr>
              <w:t>专用条款</w:t>
            </w:r>
          </w:p>
        </w:tc>
        <w:tc>
          <w:tcPr>
            <w:tcW w:w="1984" w:type="dxa"/>
            <w:noWrap/>
            <w:vAlign w:val="center"/>
          </w:tcPr>
          <w:p w14:paraId="7CCFEFEF">
            <w:pPr>
              <w:spacing w:line="300" w:lineRule="exact"/>
              <w:rPr>
                <w:rFonts w:ascii="宋体" w:hAnsi="宋体" w:cs="宋体"/>
                <w:color w:val="auto"/>
                <w:szCs w:val="21"/>
              </w:rPr>
            </w:pPr>
            <w:r>
              <w:rPr>
                <w:rFonts w:hint="eastAsia" w:ascii="宋体" w:hAnsi="宋体" w:cs="宋体"/>
                <w:color w:val="auto"/>
                <w:szCs w:val="21"/>
              </w:rPr>
              <w:t>姓名：</w:t>
            </w:r>
          </w:p>
        </w:tc>
        <w:tc>
          <w:tcPr>
            <w:tcW w:w="2107" w:type="dxa"/>
            <w:noWrap/>
            <w:vAlign w:val="center"/>
          </w:tcPr>
          <w:p w14:paraId="487BB52A">
            <w:pPr>
              <w:spacing w:line="300" w:lineRule="exact"/>
              <w:jc w:val="center"/>
              <w:rPr>
                <w:rFonts w:ascii="宋体" w:hAnsi="宋体" w:cs="宋体"/>
                <w:color w:val="auto"/>
                <w:szCs w:val="21"/>
              </w:rPr>
            </w:pPr>
          </w:p>
        </w:tc>
      </w:tr>
      <w:tr w14:paraId="6946D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59938A6A">
            <w:pPr>
              <w:spacing w:line="300" w:lineRule="exact"/>
              <w:jc w:val="center"/>
              <w:rPr>
                <w:rFonts w:ascii="宋体" w:hAnsi="宋体" w:cs="宋体"/>
                <w:color w:val="auto"/>
                <w:szCs w:val="21"/>
              </w:rPr>
            </w:pPr>
            <w:r>
              <w:rPr>
                <w:rFonts w:hint="eastAsia" w:ascii="宋体" w:hAnsi="宋体" w:cs="宋体"/>
                <w:color w:val="auto"/>
                <w:szCs w:val="21"/>
              </w:rPr>
              <w:t>2</w:t>
            </w:r>
          </w:p>
        </w:tc>
        <w:tc>
          <w:tcPr>
            <w:tcW w:w="2706" w:type="dxa"/>
            <w:noWrap/>
            <w:vAlign w:val="center"/>
          </w:tcPr>
          <w:p w14:paraId="0464E877">
            <w:pPr>
              <w:spacing w:line="300" w:lineRule="exact"/>
              <w:rPr>
                <w:rFonts w:ascii="宋体" w:hAnsi="宋体" w:cs="宋体"/>
                <w:color w:val="auto"/>
                <w:szCs w:val="21"/>
              </w:rPr>
            </w:pPr>
            <w:r>
              <w:rPr>
                <w:rFonts w:hint="eastAsia" w:ascii="宋体" w:hAnsi="宋体" w:cs="宋体"/>
                <w:color w:val="auto"/>
                <w:szCs w:val="21"/>
              </w:rPr>
              <w:t>磋商有效期</w:t>
            </w:r>
          </w:p>
        </w:tc>
        <w:tc>
          <w:tcPr>
            <w:tcW w:w="2017" w:type="dxa"/>
            <w:noWrap/>
            <w:tcMar>
              <w:left w:w="170" w:type="dxa"/>
            </w:tcMar>
            <w:vAlign w:val="center"/>
          </w:tcPr>
          <w:p w14:paraId="317DD2AD">
            <w:pPr>
              <w:spacing w:line="300" w:lineRule="exact"/>
              <w:rPr>
                <w:rFonts w:ascii="宋体" w:hAnsi="宋体" w:cs="宋体"/>
                <w:color w:val="auto"/>
                <w:szCs w:val="21"/>
              </w:rPr>
            </w:pPr>
          </w:p>
        </w:tc>
        <w:tc>
          <w:tcPr>
            <w:tcW w:w="1984" w:type="dxa"/>
            <w:noWrap/>
            <w:vAlign w:val="center"/>
          </w:tcPr>
          <w:p w14:paraId="45D92A13">
            <w:pPr>
              <w:spacing w:line="300" w:lineRule="exact"/>
              <w:jc w:val="center"/>
              <w:rPr>
                <w:rFonts w:ascii="宋体" w:hAnsi="宋体" w:cs="宋体"/>
                <w:color w:val="auto"/>
                <w:szCs w:val="21"/>
                <w:u w:val="single"/>
              </w:rPr>
            </w:pPr>
            <w:r>
              <w:rPr>
                <w:rFonts w:hint="eastAsia" w:ascii="宋体" w:hAnsi="宋体" w:cs="宋体"/>
                <w:color w:val="auto"/>
                <w:szCs w:val="21"/>
                <w:u w:val="single"/>
              </w:rPr>
              <w:t xml:space="preserve">     </w:t>
            </w:r>
            <w:r>
              <w:rPr>
                <w:rFonts w:hint="eastAsia" w:ascii="宋体" w:hAnsi="宋体" w:cs="宋体"/>
                <w:color w:val="auto"/>
                <w:szCs w:val="21"/>
              </w:rPr>
              <w:t>日历天</w:t>
            </w:r>
          </w:p>
        </w:tc>
        <w:tc>
          <w:tcPr>
            <w:tcW w:w="2107" w:type="dxa"/>
            <w:noWrap/>
            <w:vAlign w:val="center"/>
          </w:tcPr>
          <w:p w14:paraId="6BBE6494">
            <w:pPr>
              <w:spacing w:line="300" w:lineRule="exact"/>
              <w:jc w:val="center"/>
              <w:rPr>
                <w:rFonts w:ascii="宋体" w:hAnsi="宋体" w:cs="宋体"/>
                <w:color w:val="auto"/>
                <w:szCs w:val="21"/>
              </w:rPr>
            </w:pPr>
          </w:p>
        </w:tc>
      </w:tr>
      <w:tr w14:paraId="610B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7E604BA6">
            <w:pPr>
              <w:spacing w:line="300" w:lineRule="exact"/>
              <w:jc w:val="center"/>
              <w:rPr>
                <w:rFonts w:ascii="宋体" w:hAnsi="宋体" w:cs="宋体"/>
                <w:color w:val="auto"/>
                <w:szCs w:val="21"/>
              </w:rPr>
            </w:pPr>
            <w:r>
              <w:rPr>
                <w:rFonts w:hint="eastAsia" w:ascii="宋体" w:hAnsi="宋体" w:cs="宋体"/>
                <w:color w:val="auto"/>
                <w:szCs w:val="21"/>
              </w:rPr>
              <w:t>3</w:t>
            </w:r>
          </w:p>
        </w:tc>
        <w:tc>
          <w:tcPr>
            <w:tcW w:w="2706" w:type="dxa"/>
            <w:noWrap/>
            <w:vAlign w:val="center"/>
          </w:tcPr>
          <w:p w14:paraId="2FE8A89D">
            <w:pPr>
              <w:spacing w:line="300" w:lineRule="exact"/>
              <w:rPr>
                <w:rFonts w:ascii="宋体" w:hAnsi="宋体" w:cs="宋体"/>
                <w:color w:val="auto"/>
                <w:szCs w:val="21"/>
              </w:rPr>
            </w:pPr>
            <w:r>
              <w:rPr>
                <w:rFonts w:hint="eastAsia" w:ascii="宋体" w:hAnsi="宋体" w:cs="宋体"/>
                <w:color w:val="auto"/>
                <w:szCs w:val="21"/>
              </w:rPr>
              <w:t>工期</w:t>
            </w:r>
          </w:p>
        </w:tc>
        <w:tc>
          <w:tcPr>
            <w:tcW w:w="2017" w:type="dxa"/>
            <w:noWrap/>
            <w:tcMar>
              <w:left w:w="170" w:type="dxa"/>
            </w:tcMar>
            <w:vAlign w:val="center"/>
          </w:tcPr>
          <w:p w14:paraId="032E8C4F">
            <w:pPr>
              <w:spacing w:line="300" w:lineRule="exact"/>
              <w:jc w:val="center"/>
              <w:rPr>
                <w:rFonts w:ascii="宋体" w:hAnsi="宋体" w:cs="宋体"/>
                <w:color w:val="auto"/>
                <w:szCs w:val="21"/>
              </w:rPr>
            </w:pPr>
            <w:r>
              <w:rPr>
                <w:rFonts w:hint="eastAsia" w:ascii="宋体" w:hAnsi="宋体" w:cs="宋体"/>
                <w:color w:val="auto"/>
                <w:szCs w:val="21"/>
              </w:rPr>
              <w:t>专用条款</w:t>
            </w:r>
          </w:p>
        </w:tc>
        <w:tc>
          <w:tcPr>
            <w:tcW w:w="1984" w:type="dxa"/>
            <w:noWrap/>
            <w:vAlign w:val="center"/>
          </w:tcPr>
          <w:p w14:paraId="648543F9">
            <w:pPr>
              <w:spacing w:line="300" w:lineRule="exact"/>
              <w:jc w:val="center"/>
              <w:rPr>
                <w:rFonts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日历天</w:t>
            </w:r>
          </w:p>
        </w:tc>
        <w:tc>
          <w:tcPr>
            <w:tcW w:w="2107" w:type="dxa"/>
            <w:noWrap/>
            <w:vAlign w:val="center"/>
          </w:tcPr>
          <w:p w14:paraId="2F7379D0">
            <w:pPr>
              <w:spacing w:line="300" w:lineRule="exact"/>
              <w:jc w:val="center"/>
              <w:rPr>
                <w:rFonts w:ascii="宋体" w:hAnsi="宋体" w:cs="宋体"/>
                <w:color w:val="auto"/>
                <w:szCs w:val="21"/>
              </w:rPr>
            </w:pPr>
          </w:p>
        </w:tc>
      </w:tr>
      <w:tr w14:paraId="42B1D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3B9E1C04">
            <w:pPr>
              <w:spacing w:line="300" w:lineRule="exact"/>
              <w:jc w:val="center"/>
              <w:rPr>
                <w:rFonts w:ascii="宋体" w:hAnsi="宋体" w:cs="宋体"/>
                <w:color w:val="auto"/>
                <w:szCs w:val="21"/>
              </w:rPr>
            </w:pPr>
            <w:r>
              <w:rPr>
                <w:rFonts w:hint="eastAsia" w:ascii="宋体" w:hAnsi="宋体" w:cs="宋体"/>
                <w:color w:val="auto"/>
                <w:szCs w:val="21"/>
              </w:rPr>
              <w:t>4</w:t>
            </w:r>
          </w:p>
        </w:tc>
        <w:tc>
          <w:tcPr>
            <w:tcW w:w="2706" w:type="dxa"/>
            <w:noWrap/>
            <w:vAlign w:val="center"/>
          </w:tcPr>
          <w:p w14:paraId="045F528F">
            <w:pPr>
              <w:spacing w:line="300" w:lineRule="exact"/>
              <w:rPr>
                <w:rFonts w:ascii="宋体" w:hAnsi="宋体" w:cs="宋体"/>
                <w:color w:val="auto"/>
                <w:szCs w:val="21"/>
              </w:rPr>
            </w:pPr>
            <w:r>
              <w:rPr>
                <w:rFonts w:hint="eastAsia" w:ascii="宋体" w:hAnsi="宋体" w:cs="宋体"/>
                <w:color w:val="auto"/>
                <w:szCs w:val="21"/>
              </w:rPr>
              <w:t>缺陷责任期</w:t>
            </w:r>
          </w:p>
        </w:tc>
        <w:tc>
          <w:tcPr>
            <w:tcW w:w="2017" w:type="dxa"/>
            <w:noWrap/>
            <w:tcMar>
              <w:left w:w="170" w:type="dxa"/>
            </w:tcMar>
            <w:vAlign w:val="center"/>
          </w:tcPr>
          <w:p w14:paraId="0AE643A7">
            <w:pPr>
              <w:spacing w:line="300" w:lineRule="exact"/>
              <w:jc w:val="center"/>
              <w:rPr>
                <w:rFonts w:ascii="宋体" w:hAnsi="宋体" w:cs="宋体"/>
                <w:color w:val="auto"/>
                <w:szCs w:val="21"/>
              </w:rPr>
            </w:pPr>
            <w:r>
              <w:rPr>
                <w:rFonts w:hint="eastAsia" w:ascii="宋体" w:hAnsi="宋体" w:cs="宋体"/>
                <w:color w:val="auto"/>
                <w:szCs w:val="21"/>
              </w:rPr>
              <w:t>专用条款</w:t>
            </w:r>
          </w:p>
        </w:tc>
        <w:tc>
          <w:tcPr>
            <w:tcW w:w="1984" w:type="dxa"/>
            <w:noWrap/>
            <w:vAlign w:val="center"/>
          </w:tcPr>
          <w:p w14:paraId="24595970">
            <w:pPr>
              <w:spacing w:line="300" w:lineRule="exact"/>
              <w:jc w:val="center"/>
              <w:rPr>
                <w:rFonts w:ascii="宋体" w:hAnsi="宋体" w:cs="宋体"/>
                <w:color w:val="auto"/>
                <w:szCs w:val="21"/>
              </w:rPr>
            </w:pPr>
          </w:p>
        </w:tc>
        <w:tc>
          <w:tcPr>
            <w:tcW w:w="2107" w:type="dxa"/>
            <w:noWrap/>
            <w:vAlign w:val="center"/>
          </w:tcPr>
          <w:p w14:paraId="3FFB2A4E">
            <w:pPr>
              <w:spacing w:line="300" w:lineRule="exact"/>
              <w:jc w:val="center"/>
              <w:rPr>
                <w:rFonts w:ascii="宋体" w:hAnsi="宋体" w:cs="宋体"/>
                <w:color w:val="auto"/>
                <w:szCs w:val="21"/>
              </w:rPr>
            </w:pPr>
          </w:p>
        </w:tc>
      </w:tr>
      <w:tr w14:paraId="6943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2BEDF055">
            <w:pPr>
              <w:spacing w:line="300" w:lineRule="exact"/>
              <w:jc w:val="center"/>
              <w:rPr>
                <w:rFonts w:ascii="宋体" w:hAnsi="宋体" w:cs="宋体"/>
                <w:color w:val="auto"/>
                <w:szCs w:val="21"/>
              </w:rPr>
            </w:pPr>
            <w:r>
              <w:rPr>
                <w:rFonts w:hint="eastAsia" w:ascii="宋体" w:hAnsi="宋体" w:cs="宋体"/>
                <w:color w:val="auto"/>
                <w:szCs w:val="21"/>
              </w:rPr>
              <w:t>5</w:t>
            </w:r>
          </w:p>
        </w:tc>
        <w:tc>
          <w:tcPr>
            <w:tcW w:w="2706" w:type="dxa"/>
            <w:noWrap/>
            <w:vAlign w:val="center"/>
          </w:tcPr>
          <w:p w14:paraId="5A692CCC">
            <w:pPr>
              <w:spacing w:line="300" w:lineRule="exact"/>
              <w:rPr>
                <w:rFonts w:ascii="宋体" w:hAnsi="宋体" w:cs="宋体"/>
                <w:color w:val="auto"/>
                <w:szCs w:val="21"/>
              </w:rPr>
            </w:pPr>
            <w:r>
              <w:rPr>
                <w:rFonts w:hint="eastAsia" w:ascii="宋体" w:hAnsi="宋体" w:cs="宋体"/>
                <w:color w:val="auto"/>
                <w:szCs w:val="21"/>
              </w:rPr>
              <w:t>分包</w:t>
            </w:r>
          </w:p>
        </w:tc>
        <w:tc>
          <w:tcPr>
            <w:tcW w:w="2017" w:type="dxa"/>
            <w:noWrap/>
            <w:tcMar>
              <w:left w:w="170" w:type="dxa"/>
            </w:tcMar>
            <w:vAlign w:val="center"/>
          </w:tcPr>
          <w:p w14:paraId="55754B42">
            <w:pPr>
              <w:spacing w:line="300" w:lineRule="exact"/>
              <w:jc w:val="center"/>
              <w:rPr>
                <w:rFonts w:ascii="宋体" w:hAnsi="宋体" w:cs="宋体"/>
                <w:color w:val="auto"/>
                <w:szCs w:val="21"/>
              </w:rPr>
            </w:pPr>
            <w:r>
              <w:rPr>
                <w:rFonts w:hint="eastAsia" w:ascii="宋体" w:hAnsi="宋体" w:cs="宋体"/>
                <w:color w:val="auto"/>
                <w:szCs w:val="21"/>
              </w:rPr>
              <w:t>专用条款</w:t>
            </w:r>
          </w:p>
        </w:tc>
        <w:tc>
          <w:tcPr>
            <w:tcW w:w="1984" w:type="dxa"/>
            <w:noWrap/>
            <w:vAlign w:val="center"/>
          </w:tcPr>
          <w:p w14:paraId="7F040D8D">
            <w:pPr>
              <w:spacing w:line="300" w:lineRule="exact"/>
              <w:jc w:val="center"/>
              <w:rPr>
                <w:rFonts w:ascii="宋体" w:hAnsi="宋体" w:cs="宋体"/>
                <w:color w:val="auto"/>
                <w:szCs w:val="21"/>
              </w:rPr>
            </w:pPr>
          </w:p>
        </w:tc>
        <w:tc>
          <w:tcPr>
            <w:tcW w:w="2107" w:type="dxa"/>
            <w:noWrap/>
            <w:vAlign w:val="center"/>
          </w:tcPr>
          <w:p w14:paraId="727659A1">
            <w:pPr>
              <w:spacing w:line="300" w:lineRule="exact"/>
              <w:jc w:val="center"/>
              <w:rPr>
                <w:rFonts w:ascii="宋体" w:hAnsi="宋体" w:cs="宋体"/>
                <w:color w:val="auto"/>
                <w:szCs w:val="21"/>
              </w:rPr>
            </w:pPr>
          </w:p>
        </w:tc>
      </w:tr>
      <w:tr w14:paraId="3AB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423EE803">
            <w:pPr>
              <w:spacing w:line="300" w:lineRule="exact"/>
              <w:jc w:val="center"/>
              <w:rPr>
                <w:rFonts w:ascii="宋体" w:hAnsi="宋体" w:cs="宋体"/>
                <w:color w:val="auto"/>
                <w:szCs w:val="21"/>
              </w:rPr>
            </w:pPr>
            <w:r>
              <w:rPr>
                <w:rFonts w:hint="eastAsia" w:ascii="宋体" w:hAnsi="宋体" w:cs="宋体"/>
                <w:color w:val="auto"/>
                <w:szCs w:val="21"/>
              </w:rPr>
              <w:t>6</w:t>
            </w:r>
          </w:p>
        </w:tc>
        <w:tc>
          <w:tcPr>
            <w:tcW w:w="2706" w:type="dxa"/>
            <w:noWrap/>
            <w:vAlign w:val="center"/>
          </w:tcPr>
          <w:p w14:paraId="0257703A">
            <w:pPr>
              <w:spacing w:line="300" w:lineRule="exact"/>
              <w:rPr>
                <w:rFonts w:ascii="宋体" w:hAnsi="宋体" w:cs="宋体"/>
                <w:color w:val="auto"/>
                <w:szCs w:val="21"/>
              </w:rPr>
            </w:pPr>
            <w:r>
              <w:rPr>
                <w:rFonts w:hint="eastAsia" w:ascii="宋体" w:hAnsi="宋体" w:cs="宋体"/>
                <w:color w:val="auto"/>
                <w:szCs w:val="21"/>
              </w:rPr>
              <w:t>逾期交工违约金</w:t>
            </w:r>
          </w:p>
        </w:tc>
        <w:tc>
          <w:tcPr>
            <w:tcW w:w="2017" w:type="dxa"/>
            <w:noWrap/>
            <w:tcMar>
              <w:left w:w="170" w:type="dxa"/>
            </w:tcMar>
            <w:vAlign w:val="center"/>
          </w:tcPr>
          <w:p w14:paraId="2C8A9D9F">
            <w:pPr>
              <w:spacing w:line="300" w:lineRule="exact"/>
              <w:jc w:val="center"/>
              <w:rPr>
                <w:rFonts w:ascii="宋体" w:hAnsi="宋体" w:cs="宋体"/>
                <w:color w:val="auto"/>
                <w:szCs w:val="21"/>
              </w:rPr>
            </w:pPr>
            <w:r>
              <w:rPr>
                <w:rFonts w:hint="eastAsia" w:ascii="宋体" w:hAnsi="宋体" w:cs="宋体"/>
                <w:color w:val="auto"/>
                <w:szCs w:val="21"/>
              </w:rPr>
              <w:t>专用条款</w:t>
            </w:r>
          </w:p>
        </w:tc>
        <w:tc>
          <w:tcPr>
            <w:tcW w:w="1984" w:type="dxa"/>
            <w:noWrap/>
            <w:vAlign w:val="center"/>
          </w:tcPr>
          <w:p w14:paraId="19DB047E">
            <w:pPr>
              <w:spacing w:line="300" w:lineRule="exact"/>
              <w:rPr>
                <w:rFonts w:ascii="宋体" w:hAnsi="宋体" w:cs="宋体"/>
                <w:color w:val="auto"/>
                <w:szCs w:val="21"/>
              </w:rPr>
            </w:pPr>
            <w:r>
              <w:rPr>
                <w:rFonts w:hint="eastAsia" w:ascii="宋体" w:hAnsi="宋体" w:cs="宋体"/>
                <w:color w:val="auto"/>
                <w:szCs w:val="21"/>
              </w:rPr>
              <w:t>合同价款/天</w:t>
            </w:r>
          </w:p>
        </w:tc>
        <w:tc>
          <w:tcPr>
            <w:tcW w:w="2107" w:type="dxa"/>
            <w:noWrap/>
            <w:vAlign w:val="center"/>
          </w:tcPr>
          <w:p w14:paraId="2F603C1D">
            <w:pPr>
              <w:spacing w:line="300" w:lineRule="exact"/>
              <w:jc w:val="center"/>
              <w:rPr>
                <w:rFonts w:ascii="宋体" w:hAnsi="宋体" w:cs="宋体"/>
                <w:color w:val="auto"/>
                <w:szCs w:val="21"/>
              </w:rPr>
            </w:pPr>
          </w:p>
        </w:tc>
      </w:tr>
      <w:tr w14:paraId="7FC9A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3454FC26">
            <w:pPr>
              <w:spacing w:line="300" w:lineRule="exact"/>
              <w:jc w:val="center"/>
              <w:rPr>
                <w:rFonts w:ascii="宋体" w:hAnsi="宋体" w:cs="宋体"/>
                <w:color w:val="auto"/>
                <w:szCs w:val="21"/>
              </w:rPr>
            </w:pPr>
            <w:r>
              <w:rPr>
                <w:rFonts w:hint="eastAsia" w:ascii="宋体" w:hAnsi="宋体" w:cs="宋体"/>
                <w:color w:val="auto"/>
                <w:szCs w:val="21"/>
              </w:rPr>
              <w:t>7</w:t>
            </w:r>
          </w:p>
        </w:tc>
        <w:tc>
          <w:tcPr>
            <w:tcW w:w="2706" w:type="dxa"/>
            <w:noWrap/>
            <w:vAlign w:val="center"/>
          </w:tcPr>
          <w:p w14:paraId="5AEBDFE6">
            <w:pPr>
              <w:spacing w:line="300" w:lineRule="exact"/>
              <w:rPr>
                <w:rFonts w:ascii="宋体" w:hAnsi="宋体" w:cs="宋体"/>
                <w:color w:val="auto"/>
                <w:szCs w:val="21"/>
              </w:rPr>
            </w:pPr>
            <w:r>
              <w:rPr>
                <w:rFonts w:hint="eastAsia" w:ascii="宋体" w:hAnsi="宋体" w:cs="宋体"/>
                <w:color w:val="auto"/>
                <w:szCs w:val="21"/>
              </w:rPr>
              <w:t>逾期交工违约金最高限额</w:t>
            </w:r>
          </w:p>
        </w:tc>
        <w:tc>
          <w:tcPr>
            <w:tcW w:w="2017" w:type="dxa"/>
            <w:noWrap/>
            <w:tcMar>
              <w:left w:w="170" w:type="dxa"/>
            </w:tcMar>
            <w:vAlign w:val="center"/>
          </w:tcPr>
          <w:p w14:paraId="3F7D5F8D">
            <w:pPr>
              <w:spacing w:line="300" w:lineRule="exact"/>
              <w:jc w:val="center"/>
              <w:rPr>
                <w:rFonts w:ascii="宋体" w:hAnsi="宋体" w:cs="宋体"/>
                <w:color w:val="auto"/>
                <w:szCs w:val="21"/>
              </w:rPr>
            </w:pPr>
            <w:r>
              <w:rPr>
                <w:rFonts w:hint="eastAsia" w:ascii="宋体" w:hAnsi="宋体" w:cs="宋体"/>
                <w:color w:val="auto"/>
                <w:szCs w:val="21"/>
              </w:rPr>
              <w:t>专用条款</w:t>
            </w:r>
          </w:p>
        </w:tc>
        <w:tc>
          <w:tcPr>
            <w:tcW w:w="1984" w:type="dxa"/>
            <w:noWrap/>
            <w:vAlign w:val="center"/>
          </w:tcPr>
          <w:p w14:paraId="73471E65">
            <w:pPr>
              <w:spacing w:line="300" w:lineRule="exact"/>
              <w:rPr>
                <w:rFonts w:ascii="宋体" w:hAnsi="宋体" w:cs="宋体"/>
                <w:color w:val="auto"/>
                <w:szCs w:val="21"/>
              </w:rPr>
            </w:pPr>
            <w:r>
              <w:rPr>
                <w:rFonts w:hint="eastAsia" w:ascii="宋体" w:hAnsi="宋体" w:cs="宋体"/>
                <w:color w:val="auto"/>
                <w:szCs w:val="21"/>
              </w:rPr>
              <w:t>合同价款</w:t>
            </w:r>
            <w:r>
              <w:rPr>
                <w:rFonts w:hint="eastAsia" w:ascii="宋体" w:hAnsi="宋体" w:cs="宋体"/>
                <w:color w:val="auto"/>
                <w:szCs w:val="21"/>
                <w:u w:val="single"/>
              </w:rPr>
              <w:t xml:space="preserve">    %</w:t>
            </w:r>
          </w:p>
        </w:tc>
        <w:tc>
          <w:tcPr>
            <w:tcW w:w="2107" w:type="dxa"/>
            <w:noWrap/>
            <w:vAlign w:val="center"/>
          </w:tcPr>
          <w:p w14:paraId="587AF44F">
            <w:pPr>
              <w:spacing w:line="300" w:lineRule="exact"/>
              <w:jc w:val="center"/>
              <w:rPr>
                <w:rFonts w:ascii="宋体" w:hAnsi="宋体" w:cs="宋体"/>
                <w:color w:val="auto"/>
                <w:szCs w:val="21"/>
              </w:rPr>
            </w:pPr>
          </w:p>
        </w:tc>
      </w:tr>
      <w:tr w14:paraId="452DC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33B94F22">
            <w:pPr>
              <w:spacing w:line="300" w:lineRule="exact"/>
              <w:jc w:val="center"/>
              <w:rPr>
                <w:rFonts w:ascii="宋体" w:hAnsi="宋体" w:cs="宋体"/>
                <w:color w:val="auto"/>
                <w:szCs w:val="21"/>
              </w:rPr>
            </w:pPr>
            <w:r>
              <w:rPr>
                <w:rFonts w:hint="eastAsia" w:ascii="宋体" w:hAnsi="宋体" w:cs="宋体"/>
                <w:color w:val="auto"/>
                <w:szCs w:val="21"/>
              </w:rPr>
              <w:t>8</w:t>
            </w:r>
          </w:p>
        </w:tc>
        <w:tc>
          <w:tcPr>
            <w:tcW w:w="2706" w:type="dxa"/>
            <w:noWrap/>
            <w:vAlign w:val="center"/>
          </w:tcPr>
          <w:p w14:paraId="55834FAF">
            <w:pPr>
              <w:spacing w:line="300" w:lineRule="exact"/>
              <w:rPr>
                <w:rFonts w:ascii="宋体" w:hAnsi="宋体" w:cs="宋体"/>
                <w:color w:val="auto"/>
                <w:szCs w:val="21"/>
              </w:rPr>
            </w:pPr>
            <w:r>
              <w:rPr>
                <w:rFonts w:hint="eastAsia" w:ascii="宋体" w:hAnsi="宋体" w:cs="宋体"/>
                <w:color w:val="auto"/>
                <w:szCs w:val="21"/>
              </w:rPr>
              <w:t>质量标准</w:t>
            </w:r>
          </w:p>
        </w:tc>
        <w:tc>
          <w:tcPr>
            <w:tcW w:w="2017" w:type="dxa"/>
            <w:noWrap/>
            <w:tcMar>
              <w:left w:w="170" w:type="dxa"/>
            </w:tcMar>
            <w:vAlign w:val="center"/>
          </w:tcPr>
          <w:p w14:paraId="0F5B5479">
            <w:pPr>
              <w:spacing w:line="300" w:lineRule="exact"/>
              <w:jc w:val="center"/>
              <w:rPr>
                <w:rFonts w:ascii="宋体" w:hAnsi="宋体" w:cs="宋体"/>
                <w:color w:val="auto"/>
                <w:szCs w:val="21"/>
              </w:rPr>
            </w:pPr>
            <w:r>
              <w:rPr>
                <w:rFonts w:hint="eastAsia" w:ascii="宋体" w:hAnsi="宋体" w:cs="宋体"/>
                <w:color w:val="auto"/>
                <w:szCs w:val="21"/>
              </w:rPr>
              <w:t>专用条款</w:t>
            </w:r>
          </w:p>
        </w:tc>
        <w:tc>
          <w:tcPr>
            <w:tcW w:w="1984" w:type="dxa"/>
            <w:noWrap/>
            <w:vAlign w:val="center"/>
          </w:tcPr>
          <w:p w14:paraId="645CC013">
            <w:pPr>
              <w:spacing w:line="300" w:lineRule="exact"/>
              <w:jc w:val="center"/>
              <w:rPr>
                <w:rFonts w:ascii="宋体" w:hAnsi="宋体" w:cs="宋体"/>
                <w:color w:val="auto"/>
                <w:szCs w:val="21"/>
              </w:rPr>
            </w:pPr>
          </w:p>
        </w:tc>
        <w:tc>
          <w:tcPr>
            <w:tcW w:w="2107" w:type="dxa"/>
            <w:noWrap/>
            <w:vAlign w:val="center"/>
          </w:tcPr>
          <w:p w14:paraId="2EAC8C8B">
            <w:pPr>
              <w:spacing w:line="300" w:lineRule="exact"/>
              <w:jc w:val="center"/>
              <w:rPr>
                <w:rFonts w:ascii="宋体" w:hAnsi="宋体" w:cs="宋体"/>
                <w:color w:val="auto"/>
                <w:szCs w:val="21"/>
              </w:rPr>
            </w:pPr>
          </w:p>
        </w:tc>
      </w:tr>
      <w:tr w14:paraId="1C04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4E8A9665">
            <w:pPr>
              <w:spacing w:line="300" w:lineRule="exact"/>
              <w:jc w:val="center"/>
              <w:rPr>
                <w:rFonts w:ascii="宋体" w:hAnsi="宋体" w:cs="宋体"/>
                <w:color w:val="auto"/>
                <w:szCs w:val="21"/>
              </w:rPr>
            </w:pPr>
            <w:r>
              <w:rPr>
                <w:rFonts w:hint="eastAsia" w:ascii="宋体" w:hAnsi="宋体" w:cs="宋体"/>
                <w:color w:val="auto"/>
                <w:szCs w:val="21"/>
              </w:rPr>
              <w:t>9</w:t>
            </w:r>
          </w:p>
        </w:tc>
        <w:tc>
          <w:tcPr>
            <w:tcW w:w="2706" w:type="dxa"/>
            <w:noWrap/>
            <w:vAlign w:val="center"/>
          </w:tcPr>
          <w:p w14:paraId="2919D7D3">
            <w:pPr>
              <w:spacing w:line="300" w:lineRule="exact"/>
              <w:rPr>
                <w:rFonts w:ascii="宋体" w:hAnsi="宋体" w:cs="宋体"/>
                <w:color w:val="auto"/>
                <w:szCs w:val="21"/>
              </w:rPr>
            </w:pPr>
            <w:r>
              <w:rPr>
                <w:rFonts w:hint="eastAsia" w:ascii="宋体" w:hAnsi="宋体" w:cs="宋体"/>
                <w:color w:val="auto"/>
                <w:szCs w:val="21"/>
              </w:rPr>
              <w:t>预付款额度</w:t>
            </w:r>
          </w:p>
        </w:tc>
        <w:tc>
          <w:tcPr>
            <w:tcW w:w="2017" w:type="dxa"/>
            <w:noWrap/>
            <w:tcMar>
              <w:left w:w="170" w:type="dxa"/>
            </w:tcMar>
            <w:vAlign w:val="center"/>
          </w:tcPr>
          <w:p w14:paraId="64064A6B">
            <w:pPr>
              <w:spacing w:line="300" w:lineRule="exact"/>
              <w:jc w:val="center"/>
              <w:rPr>
                <w:rFonts w:ascii="宋体" w:hAnsi="宋体" w:cs="宋体"/>
                <w:color w:val="auto"/>
                <w:szCs w:val="21"/>
              </w:rPr>
            </w:pPr>
            <w:r>
              <w:rPr>
                <w:rFonts w:hint="eastAsia" w:ascii="宋体" w:hAnsi="宋体" w:cs="宋体"/>
                <w:color w:val="auto"/>
                <w:szCs w:val="21"/>
              </w:rPr>
              <w:t>专用条款</w:t>
            </w:r>
          </w:p>
        </w:tc>
        <w:tc>
          <w:tcPr>
            <w:tcW w:w="1984" w:type="dxa"/>
            <w:noWrap/>
            <w:vAlign w:val="center"/>
          </w:tcPr>
          <w:p w14:paraId="63B3829D">
            <w:pPr>
              <w:spacing w:line="300" w:lineRule="exact"/>
              <w:jc w:val="center"/>
              <w:rPr>
                <w:rFonts w:ascii="宋体" w:hAnsi="宋体" w:cs="宋体"/>
                <w:color w:val="auto"/>
                <w:szCs w:val="21"/>
              </w:rPr>
            </w:pPr>
          </w:p>
        </w:tc>
        <w:tc>
          <w:tcPr>
            <w:tcW w:w="2107" w:type="dxa"/>
            <w:noWrap/>
            <w:vAlign w:val="center"/>
          </w:tcPr>
          <w:p w14:paraId="0B970623">
            <w:pPr>
              <w:spacing w:line="300" w:lineRule="exact"/>
              <w:jc w:val="center"/>
              <w:rPr>
                <w:rFonts w:ascii="宋体" w:hAnsi="宋体" w:cs="宋体"/>
                <w:color w:val="auto"/>
                <w:szCs w:val="21"/>
              </w:rPr>
            </w:pPr>
          </w:p>
        </w:tc>
      </w:tr>
      <w:tr w14:paraId="6F9C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4D79D5D6">
            <w:pPr>
              <w:spacing w:line="300" w:lineRule="exact"/>
              <w:jc w:val="center"/>
              <w:rPr>
                <w:rFonts w:ascii="宋体" w:hAnsi="宋体" w:cs="宋体"/>
                <w:color w:val="auto"/>
                <w:szCs w:val="21"/>
              </w:rPr>
            </w:pPr>
            <w:r>
              <w:rPr>
                <w:rFonts w:hint="eastAsia" w:ascii="宋体" w:hAnsi="宋体" w:cs="宋体"/>
                <w:color w:val="auto"/>
                <w:szCs w:val="21"/>
              </w:rPr>
              <w:t>10</w:t>
            </w:r>
          </w:p>
        </w:tc>
        <w:tc>
          <w:tcPr>
            <w:tcW w:w="2706" w:type="dxa"/>
            <w:noWrap/>
            <w:vAlign w:val="center"/>
          </w:tcPr>
          <w:p w14:paraId="5B76B9A6">
            <w:pPr>
              <w:spacing w:line="300" w:lineRule="exact"/>
              <w:rPr>
                <w:rFonts w:ascii="宋体" w:hAnsi="宋体" w:cs="宋体"/>
                <w:color w:val="auto"/>
                <w:szCs w:val="21"/>
              </w:rPr>
            </w:pPr>
            <w:r>
              <w:rPr>
                <w:rFonts w:hint="eastAsia" w:ascii="宋体" w:hAnsi="宋体" w:cs="宋体"/>
                <w:color w:val="auto"/>
                <w:szCs w:val="21"/>
              </w:rPr>
              <w:t>质量保证金额度</w:t>
            </w:r>
          </w:p>
        </w:tc>
        <w:tc>
          <w:tcPr>
            <w:tcW w:w="2017" w:type="dxa"/>
            <w:noWrap/>
            <w:tcMar>
              <w:left w:w="170" w:type="dxa"/>
            </w:tcMar>
            <w:vAlign w:val="center"/>
          </w:tcPr>
          <w:p w14:paraId="17694680">
            <w:pPr>
              <w:spacing w:line="300" w:lineRule="exact"/>
              <w:jc w:val="center"/>
              <w:rPr>
                <w:rFonts w:ascii="宋体" w:hAnsi="宋体" w:cs="宋体"/>
                <w:color w:val="auto"/>
                <w:szCs w:val="21"/>
              </w:rPr>
            </w:pPr>
            <w:r>
              <w:rPr>
                <w:rFonts w:hint="eastAsia" w:ascii="宋体" w:hAnsi="宋体" w:cs="宋体"/>
                <w:color w:val="auto"/>
                <w:szCs w:val="21"/>
              </w:rPr>
              <w:t>专用条款</w:t>
            </w:r>
          </w:p>
        </w:tc>
        <w:tc>
          <w:tcPr>
            <w:tcW w:w="1984" w:type="dxa"/>
            <w:noWrap/>
            <w:vAlign w:val="center"/>
          </w:tcPr>
          <w:p w14:paraId="237C0071">
            <w:pPr>
              <w:spacing w:line="300" w:lineRule="exact"/>
              <w:jc w:val="center"/>
              <w:rPr>
                <w:rFonts w:ascii="宋体" w:hAnsi="宋体" w:cs="宋体"/>
                <w:color w:val="auto"/>
                <w:szCs w:val="21"/>
              </w:rPr>
            </w:pPr>
            <w:r>
              <w:rPr>
                <w:rFonts w:hint="eastAsia" w:ascii="宋体" w:hAnsi="宋体" w:cs="宋体"/>
                <w:color w:val="auto"/>
                <w:szCs w:val="21"/>
                <w:u w:val="single"/>
              </w:rPr>
              <w:t xml:space="preserve">计量额的    % </w:t>
            </w:r>
          </w:p>
        </w:tc>
        <w:tc>
          <w:tcPr>
            <w:tcW w:w="2107" w:type="dxa"/>
            <w:noWrap/>
            <w:vAlign w:val="center"/>
          </w:tcPr>
          <w:p w14:paraId="69CE12C5">
            <w:pPr>
              <w:spacing w:line="300" w:lineRule="exact"/>
              <w:jc w:val="center"/>
              <w:rPr>
                <w:rFonts w:ascii="宋体" w:hAnsi="宋体" w:cs="宋体"/>
                <w:color w:val="auto"/>
                <w:szCs w:val="21"/>
              </w:rPr>
            </w:pPr>
          </w:p>
        </w:tc>
      </w:tr>
      <w:tr w14:paraId="0AB5D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2" w:type="dxa"/>
            <w:noWrap/>
            <w:vAlign w:val="center"/>
          </w:tcPr>
          <w:p w14:paraId="403D2484">
            <w:pPr>
              <w:spacing w:line="300" w:lineRule="exact"/>
              <w:jc w:val="center"/>
              <w:rPr>
                <w:rFonts w:ascii="宋体" w:hAnsi="宋体" w:cs="宋体"/>
                <w:color w:val="auto"/>
                <w:szCs w:val="21"/>
              </w:rPr>
            </w:pPr>
            <w:r>
              <w:rPr>
                <w:rFonts w:hint="eastAsia" w:ascii="宋体" w:hAnsi="宋体" w:cs="宋体"/>
                <w:color w:val="auto"/>
                <w:szCs w:val="21"/>
              </w:rPr>
              <w:t>……</w:t>
            </w:r>
          </w:p>
        </w:tc>
        <w:tc>
          <w:tcPr>
            <w:tcW w:w="2706" w:type="dxa"/>
            <w:noWrap/>
            <w:vAlign w:val="center"/>
          </w:tcPr>
          <w:p w14:paraId="62BD381E">
            <w:pPr>
              <w:spacing w:line="300" w:lineRule="exact"/>
              <w:jc w:val="center"/>
              <w:rPr>
                <w:rFonts w:ascii="宋体" w:hAnsi="宋体" w:cs="宋体"/>
                <w:color w:val="auto"/>
                <w:szCs w:val="21"/>
              </w:rPr>
            </w:pPr>
            <w:r>
              <w:rPr>
                <w:rFonts w:hint="eastAsia" w:ascii="宋体" w:hAnsi="宋体" w:cs="宋体"/>
                <w:color w:val="auto"/>
                <w:szCs w:val="21"/>
              </w:rPr>
              <w:t>……</w:t>
            </w:r>
          </w:p>
        </w:tc>
        <w:tc>
          <w:tcPr>
            <w:tcW w:w="2017" w:type="dxa"/>
            <w:noWrap/>
            <w:tcMar>
              <w:left w:w="170" w:type="dxa"/>
            </w:tcMar>
            <w:vAlign w:val="center"/>
          </w:tcPr>
          <w:p w14:paraId="72099E28">
            <w:pPr>
              <w:spacing w:line="300" w:lineRule="exact"/>
              <w:rPr>
                <w:rFonts w:ascii="宋体" w:hAnsi="宋体" w:cs="宋体"/>
                <w:color w:val="auto"/>
                <w:szCs w:val="21"/>
              </w:rPr>
            </w:pPr>
          </w:p>
        </w:tc>
        <w:tc>
          <w:tcPr>
            <w:tcW w:w="1984" w:type="dxa"/>
            <w:noWrap/>
            <w:vAlign w:val="center"/>
          </w:tcPr>
          <w:p w14:paraId="54A01604">
            <w:pPr>
              <w:spacing w:line="300" w:lineRule="exact"/>
              <w:jc w:val="center"/>
              <w:rPr>
                <w:rFonts w:ascii="宋体" w:hAnsi="宋体" w:cs="宋体"/>
                <w:color w:val="auto"/>
                <w:szCs w:val="21"/>
              </w:rPr>
            </w:pPr>
          </w:p>
        </w:tc>
        <w:tc>
          <w:tcPr>
            <w:tcW w:w="2107" w:type="dxa"/>
            <w:noWrap/>
            <w:vAlign w:val="center"/>
          </w:tcPr>
          <w:p w14:paraId="31937D71">
            <w:pPr>
              <w:spacing w:line="300" w:lineRule="exact"/>
              <w:jc w:val="center"/>
              <w:rPr>
                <w:rFonts w:ascii="宋体" w:hAnsi="宋体" w:cs="宋体"/>
                <w:color w:val="auto"/>
                <w:szCs w:val="21"/>
              </w:rPr>
            </w:pPr>
          </w:p>
        </w:tc>
      </w:tr>
    </w:tbl>
    <w:p w14:paraId="0A7B43C3">
      <w:pPr>
        <w:spacing w:line="336" w:lineRule="auto"/>
        <w:ind w:left="-4" w:leftChars="-2" w:right="-153" w:rightChars="-73" w:firstLine="363" w:firstLineChars="173"/>
        <w:jc w:val="center"/>
        <w:rPr>
          <w:rFonts w:ascii="宋体" w:hAnsi="宋体"/>
          <w:b/>
          <w:color w:val="auto"/>
          <w:szCs w:val="21"/>
        </w:rPr>
      </w:pPr>
    </w:p>
    <w:p w14:paraId="59205507">
      <w:pPr>
        <w:spacing w:line="336" w:lineRule="auto"/>
        <w:ind w:left="-4" w:leftChars="-2" w:right="-153" w:rightChars="-73" w:firstLine="363" w:firstLineChars="173"/>
        <w:jc w:val="center"/>
        <w:rPr>
          <w:rFonts w:ascii="宋体" w:hAnsi="宋体"/>
          <w:b/>
          <w:color w:val="auto"/>
          <w:szCs w:val="21"/>
        </w:rPr>
      </w:pPr>
    </w:p>
    <w:p w14:paraId="00D435E1">
      <w:pPr>
        <w:spacing w:line="336" w:lineRule="auto"/>
        <w:ind w:left="-4" w:leftChars="-2" w:right="-153" w:rightChars="-73" w:firstLine="363" w:firstLineChars="173"/>
        <w:jc w:val="center"/>
        <w:rPr>
          <w:rFonts w:ascii="宋体" w:hAnsi="宋体"/>
          <w:b/>
          <w:color w:val="auto"/>
          <w:szCs w:val="21"/>
        </w:rPr>
      </w:pPr>
    </w:p>
    <w:p w14:paraId="4AE97EB0">
      <w:pPr>
        <w:spacing w:line="480" w:lineRule="auto"/>
        <w:rPr>
          <w:rFonts w:ascii="宋体" w:hAnsi="宋体"/>
          <w:color w:val="auto"/>
          <w:szCs w:val="21"/>
        </w:rPr>
      </w:pPr>
      <w:r>
        <w:rPr>
          <w:rFonts w:hint="eastAsia" w:ascii="宋体" w:hAnsi="宋体"/>
          <w:color w:val="auto"/>
          <w:szCs w:val="21"/>
        </w:rPr>
        <w:t>磋商供应商：（公章或电子签章）</w:t>
      </w:r>
    </w:p>
    <w:p w14:paraId="5C6B8AC4">
      <w:pPr>
        <w:spacing w:line="480" w:lineRule="auto"/>
        <w:rPr>
          <w:rFonts w:ascii="宋体" w:hAnsi="宋体"/>
          <w:color w:val="auto"/>
          <w:szCs w:val="21"/>
          <w:u w:val="single"/>
        </w:rPr>
      </w:pPr>
      <w:r>
        <w:rPr>
          <w:rFonts w:hint="eastAsia" w:ascii="宋体" w:hAnsi="宋体"/>
          <w:color w:val="auto"/>
          <w:szCs w:val="21"/>
        </w:rPr>
        <w:t xml:space="preserve">法定代表人（或授权委托代理人）：（手写签名或电子签名） </w:t>
      </w:r>
    </w:p>
    <w:p w14:paraId="48B95022">
      <w:pPr>
        <w:spacing w:line="480" w:lineRule="auto"/>
        <w:rPr>
          <w:rFonts w:ascii="宋体" w:hAnsi="宋体"/>
          <w:color w:val="auto"/>
          <w:szCs w:val="21"/>
        </w:rPr>
      </w:pPr>
      <w:r>
        <w:rPr>
          <w:rFonts w:hint="eastAsia" w:ascii="宋体" w:hAnsi="宋体"/>
          <w:color w:val="auto"/>
          <w:szCs w:val="21"/>
        </w:rPr>
        <w:t>日期：  年  月  日</w:t>
      </w:r>
    </w:p>
    <w:p w14:paraId="2D5BD8DC">
      <w:pPr>
        <w:jc w:val="center"/>
        <w:outlineLvl w:val="0"/>
        <w:rPr>
          <w:rFonts w:ascii="宋体" w:hAnsi="宋体"/>
          <w:b/>
          <w:color w:val="auto"/>
          <w:sz w:val="24"/>
        </w:rPr>
      </w:pPr>
      <w:r>
        <w:rPr>
          <w:rFonts w:ascii="宋体" w:hAnsi="宋体"/>
          <w:color w:val="auto"/>
          <w:szCs w:val="21"/>
        </w:rPr>
        <w:br w:type="page"/>
      </w:r>
      <w:bookmarkStart w:id="1678" w:name="_Toc11573"/>
      <w:bookmarkStart w:id="1679" w:name="_Toc17643"/>
      <w:bookmarkStart w:id="1680" w:name="_Toc4767"/>
      <w:bookmarkStart w:id="1681" w:name="_Toc18217"/>
      <w:r>
        <w:rPr>
          <w:rFonts w:hint="eastAsia" w:ascii="宋体" w:hAnsi="宋体" w:cs="黑体"/>
          <w:b/>
          <w:color w:val="auto"/>
          <w:kern w:val="0"/>
          <w:sz w:val="28"/>
          <w:szCs w:val="28"/>
        </w:rPr>
        <w:t>二、竞标人基本情况表</w:t>
      </w:r>
      <w:bookmarkEnd w:id="1678"/>
      <w:bookmarkEnd w:id="1679"/>
      <w:bookmarkEnd w:id="1680"/>
      <w:bookmarkEnd w:id="1681"/>
    </w:p>
    <w:p w14:paraId="7B093AB0">
      <w:pPr>
        <w:pStyle w:val="87"/>
        <w:ind w:firstLine="0"/>
        <w:rPr>
          <w:color w:val="auto"/>
        </w:rPr>
      </w:pPr>
    </w:p>
    <w:tbl>
      <w:tblPr>
        <w:tblStyle w:val="48"/>
        <w:tblW w:w="104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3"/>
        <w:gridCol w:w="917"/>
        <w:gridCol w:w="1377"/>
        <w:gridCol w:w="1172"/>
        <w:gridCol w:w="1540"/>
        <w:gridCol w:w="1016"/>
        <w:gridCol w:w="2735"/>
      </w:tblGrid>
      <w:tr w14:paraId="35205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4135A7C1">
            <w:pPr>
              <w:spacing w:line="300" w:lineRule="exact"/>
              <w:jc w:val="center"/>
              <w:rPr>
                <w:color w:val="auto"/>
                <w:szCs w:val="21"/>
              </w:rPr>
            </w:pPr>
            <w:r>
              <w:rPr>
                <w:rFonts w:hint="eastAsia"/>
                <w:color w:val="auto"/>
                <w:szCs w:val="21"/>
              </w:rPr>
              <w:t>竞标人</w:t>
            </w:r>
            <w:r>
              <w:rPr>
                <w:color w:val="auto"/>
                <w:szCs w:val="21"/>
              </w:rPr>
              <w:t>名称</w:t>
            </w:r>
          </w:p>
        </w:tc>
        <w:tc>
          <w:tcPr>
            <w:tcW w:w="8757" w:type="dxa"/>
            <w:gridSpan w:val="6"/>
            <w:noWrap/>
            <w:vAlign w:val="center"/>
          </w:tcPr>
          <w:p w14:paraId="745D190B">
            <w:pPr>
              <w:spacing w:line="300" w:lineRule="exact"/>
              <w:jc w:val="center"/>
              <w:rPr>
                <w:color w:val="auto"/>
                <w:szCs w:val="21"/>
              </w:rPr>
            </w:pPr>
          </w:p>
        </w:tc>
      </w:tr>
      <w:tr w14:paraId="35FE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629C52CF">
            <w:pPr>
              <w:spacing w:line="300" w:lineRule="exact"/>
              <w:jc w:val="center"/>
              <w:rPr>
                <w:color w:val="auto"/>
                <w:szCs w:val="21"/>
              </w:rPr>
            </w:pPr>
            <w:r>
              <w:rPr>
                <w:color w:val="auto"/>
                <w:szCs w:val="21"/>
              </w:rPr>
              <w:t>注册地址</w:t>
            </w:r>
          </w:p>
        </w:tc>
        <w:tc>
          <w:tcPr>
            <w:tcW w:w="3466" w:type="dxa"/>
            <w:gridSpan w:val="3"/>
            <w:noWrap/>
            <w:vAlign w:val="center"/>
          </w:tcPr>
          <w:p w14:paraId="46A055A1">
            <w:pPr>
              <w:spacing w:line="300" w:lineRule="exact"/>
              <w:jc w:val="center"/>
              <w:rPr>
                <w:color w:val="auto"/>
                <w:szCs w:val="21"/>
              </w:rPr>
            </w:pPr>
          </w:p>
        </w:tc>
        <w:tc>
          <w:tcPr>
            <w:tcW w:w="1540" w:type="dxa"/>
            <w:noWrap/>
            <w:vAlign w:val="center"/>
          </w:tcPr>
          <w:p w14:paraId="6F38DCBF">
            <w:pPr>
              <w:spacing w:line="300" w:lineRule="exact"/>
              <w:jc w:val="center"/>
              <w:rPr>
                <w:color w:val="auto"/>
                <w:szCs w:val="21"/>
              </w:rPr>
            </w:pPr>
            <w:r>
              <w:rPr>
                <w:color w:val="auto"/>
                <w:szCs w:val="21"/>
              </w:rPr>
              <w:t>邮政编码</w:t>
            </w:r>
          </w:p>
        </w:tc>
        <w:tc>
          <w:tcPr>
            <w:tcW w:w="3751" w:type="dxa"/>
            <w:gridSpan w:val="2"/>
            <w:noWrap/>
            <w:vAlign w:val="center"/>
          </w:tcPr>
          <w:p w14:paraId="2DFA9141">
            <w:pPr>
              <w:spacing w:line="300" w:lineRule="exact"/>
              <w:jc w:val="center"/>
              <w:rPr>
                <w:color w:val="auto"/>
                <w:szCs w:val="21"/>
              </w:rPr>
            </w:pPr>
          </w:p>
        </w:tc>
      </w:tr>
      <w:tr w14:paraId="1A87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vMerge w:val="restart"/>
            <w:noWrap/>
            <w:vAlign w:val="center"/>
          </w:tcPr>
          <w:p w14:paraId="21443242">
            <w:pPr>
              <w:spacing w:line="300" w:lineRule="exact"/>
              <w:jc w:val="center"/>
              <w:rPr>
                <w:color w:val="auto"/>
                <w:szCs w:val="21"/>
              </w:rPr>
            </w:pPr>
            <w:r>
              <w:rPr>
                <w:color w:val="auto"/>
                <w:szCs w:val="21"/>
              </w:rPr>
              <w:t>联系方式</w:t>
            </w:r>
          </w:p>
        </w:tc>
        <w:tc>
          <w:tcPr>
            <w:tcW w:w="917" w:type="dxa"/>
            <w:noWrap/>
            <w:vAlign w:val="center"/>
          </w:tcPr>
          <w:p w14:paraId="313A9430">
            <w:pPr>
              <w:spacing w:line="300" w:lineRule="exact"/>
              <w:jc w:val="center"/>
              <w:rPr>
                <w:color w:val="auto"/>
                <w:szCs w:val="21"/>
              </w:rPr>
            </w:pPr>
            <w:r>
              <w:rPr>
                <w:color w:val="auto"/>
                <w:szCs w:val="21"/>
              </w:rPr>
              <w:t>联系人</w:t>
            </w:r>
          </w:p>
        </w:tc>
        <w:tc>
          <w:tcPr>
            <w:tcW w:w="2549" w:type="dxa"/>
            <w:gridSpan w:val="2"/>
            <w:noWrap/>
            <w:vAlign w:val="center"/>
          </w:tcPr>
          <w:p w14:paraId="64622568">
            <w:pPr>
              <w:spacing w:line="300" w:lineRule="exact"/>
              <w:jc w:val="center"/>
              <w:rPr>
                <w:color w:val="auto"/>
                <w:szCs w:val="21"/>
              </w:rPr>
            </w:pPr>
          </w:p>
        </w:tc>
        <w:tc>
          <w:tcPr>
            <w:tcW w:w="1540" w:type="dxa"/>
            <w:noWrap/>
            <w:vAlign w:val="center"/>
          </w:tcPr>
          <w:p w14:paraId="0BA1AC88">
            <w:pPr>
              <w:spacing w:line="300" w:lineRule="exact"/>
              <w:jc w:val="center"/>
              <w:rPr>
                <w:color w:val="auto"/>
                <w:szCs w:val="21"/>
              </w:rPr>
            </w:pPr>
            <w:r>
              <w:rPr>
                <w:color w:val="auto"/>
                <w:szCs w:val="21"/>
              </w:rPr>
              <w:t>电话</w:t>
            </w:r>
          </w:p>
        </w:tc>
        <w:tc>
          <w:tcPr>
            <w:tcW w:w="3751" w:type="dxa"/>
            <w:gridSpan w:val="2"/>
            <w:noWrap/>
            <w:vAlign w:val="center"/>
          </w:tcPr>
          <w:p w14:paraId="65E51AD1">
            <w:pPr>
              <w:spacing w:line="300" w:lineRule="exact"/>
              <w:jc w:val="center"/>
              <w:rPr>
                <w:color w:val="auto"/>
                <w:szCs w:val="21"/>
              </w:rPr>
            </w:pPr>
          </w:p>
        </w:tc>
      </w:tr>
      <w:tr w14:paraId="58207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vMerge w:val="continue"/>
            <w:noWrap/>
            <w:vAlign w:val="center"/>
          </w:tcPr>
          <w:p w14:paraId="30A346B5">
            <w:pPr>
              <w:spacing w:line="300" w:lineRule="exact"/>
              <w:jc w:val="center"/>
              <w:rPr>
                <w:color w:val="auto"/>
                <w:szCs w:val="21"/>
              </w:rPr>
            </w:pPr>
          </w:p>
        </w:tc>
        <w:tc>
          <w:tcPr>
            <w:tcW w:w="917" w:type="dxa"/>
            <w:noWrap/>
            <w:vAlign w:val="center"/>
          </w:tcPr>
          <w:p w14:paraId="4CAC4918">
            <w:pPr>
              <w:spacing w:line="300" w:lineRule="exact"/>
              <w:jc w:val="center"/>
              <w:rPr>
                <w:color w:val="auto"/>
                <w:szCs w:val="21"/>
              </w:rPr>
            </w:pPr>
            <w:r>
              <w:rPr>
                <w:color w:val="auto"/>
                <w:szCs w:val="21"/>
              </w:rPr>
              <w:t>传真</w:t>
            </w:r>
          </w:p>
        </w:tc>
        <w:tc>
          <w:tcPr>
            <w:tcW w:w="2549" w:type="dxa"/>
            <w:gridSpan w:val="2"/>
            <w:noWrap/>
            <w:vAlign w:val="center"/>
          </w:tcPr>
          <w:p w14:paraId="0E70BD8A">
            <w:pPr>
              <w:spacing w:line="300" w:lineRule="exact"/>
              <w:jc w:val="center"/>
              <w:rPr>
                <w:color w:val="auto"/>
                <w:szCs w:val="21"/>
              </w:rPr>
            </w:pPr>
          </w:p>
        </w:tc>
        <w:tc>
          <w:tcPr>
            <w:tcW w:w="1540" w:type="dxa"/>
            <w:noWrap/>
            <w:vAlign w:val="center"/>
          </w:tcPr>
          <w:p w14:paraId="0B0B3DB9">
            <w:pPr>
              <w:spacing w:line="300" w:lineRule="exact"/>
              <w:jc w:val="center"/>
              <w:rPr>
                <w:color w:val="auto"/>
                <w:szCs w:val="21"/>
              </w:rPr>
            </w:pPr>
            <w:r>
              <w:rPr>
                <w:color w:val="auto"/>
                <w:szCs w:val="21"/>
              </w:rPr>
              <w:t>网址</w:t>
            </w:r>
          </w:p>
        </w:tc>
        <w:tc>
          <w:tcPr>
            <w:tcW w:w="3751" w:type="dxa"/>
            <w:gridSpan w:val="2"/>
            <w:noWrap/>
            <w:vAlign w:val="center"/>
          </w:tcPr>
          <w:p w14:paraId="3FE6F47B">
            <w:pPr>
              <w:spacing w:line="300" w:lineRule="exact"/>
              <w:jc w:val="center"/>
              <w:rPr>
                <w:color w:val="auto"/>
                <w:szCs w:val="21"/>
              </w:rPr>
            </w:pPr>
          </w:p>
        </w:tc>
      </w:tr>
      <w:tr w14:paraId="19500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7CC7B6EC">
            <w:pPr>
              <w:spacing w:line="300" w:lineRule="exact"/>
              <w:jc w:val="center"/>
              <w:rPr>
                <w:color w:val="auto"/>
                <w:szCs w:val="21"/>
              </w:rPr>
            </w:pPr>
            <w:r>
              <w:rPr>
                <w:color w:val="auto"/>
                <w:szCs w:val="21"/>
              </w:rPr>
              <w:t>组织</w:t>
            </w:r>
            <w:r>
              <w:rPr>
                <w:rFonts w:hint="eastAsia"/>
                <w:color w:val="auto"/>
                <w:szCs w:val="21"/>
              </w:rPr>
              <w:t>机构</w:t>
            </w:r>
          </w:p>
        </w:tc>
        <w:tc>
          <w:tcPr>
            <w:tcW w:w="8757" w:type="dxa"/>
            <w:gridSpan w:val="6"/>
            <w:noWrap/>
            <w:vAlign w:val="center"/>
          </w:tcPr>
          <w:p w14:paraId="17F5E348">
            <w:pPr>
              <w:spacing w:line="300" w:lineRule="exact"/>
              <w:jc w:val="center"/>
              <w:rPr>
                <w:color w:val="auto"/>
                <w:szCs w:val="21"/>
              </w:rPr>
            </w:pPr>
          </w:p>
        </w:tc>
      </w:tr>
      <w:tr w14:paraId="75E0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4B9B10BC">
            <w:pPr>
              <w:spacing w:line="300" w:lineRule="exact"/>
              <w:jc w:val="center"/>
              <w:rPr>
                <w:color w:val="auto"/>
                <w:szCs w:val="21"/>
              </w:rPr>
            </w:pPr>
            <w:r>
              <w:rPr>
                <w:color w:val="auto"/>
                <w:szCs w:val="21"/>
              </w:rPr>
              <w:t>法定代表人</w:t>
            </w:r>
          </w:p>
        </w:tc>
        <w:tc>
          <w:tcPr>
            <w:tcW w:w="917" w:type="dxa"/>
            <w:noWrap/>
            <w:vAlign w:val="center"/>
          </w:tcPr>
          <w:p w14:paraId="2BE0D93A">
            <w:pPr>
              <w:spacing w:line="300" w:lineRule="exact"/>
              <w:jc w:val="center"/>
              <w:rPr>
                <w:color w:val="auto"/>
                <w:szCs w:val="21"/>
              </w:rPr>
            </w:pPr>
            <w:r>
              <w:rPr>
                <w:color w:val="auto"/>
                <w:szCs w:val="21"/>
              </w:rPr>
              <w:t>姓名</w:t>
            </w:r>
          </w:p>
        </w:tc>
        <w:tc>
          <w:tcPr>
            <w:tcW w:w="1377" w:type="dxa"/>
            <w:noWrap/>
            <w:vAlign w:val="center"/>
          </w:tcPr>
          <w:p w14:paraId="3AEB2E97">
            <w:pPr>
              <w:spacing w:line="300" w:lineRule="exact"/>
              <w:jc w:val="center"/>
              <w:rPr>
                <w:color w:val="auto"/>
                <w:szCs w:val="21"/>
              </w:rPr>
            </w:pPr>
          </w:p>
        </w:tc>
        <w:tc>
          <w:tcPr>
            <w:tcW w:w="1172" w:type="dxa"/>
            <w:noWrap/>
            <w:vAlign w:val="center"/>
          </w:tcPr>
          <w:p w14:paraId="76190DC8">
            <w:pPr>
              <w:spacing w:line="300" w:lineRule="exact"/>
              <w:jc w:val="center"/>
              <w:rPr>
                <w:color w:val="auto"/>
                <w:szCs w:val="21"/>
              </w:rPr>
            </w:pPr>
            <w:r>
              <w:rPr>
                <w:color w:val="auto"/>
                <w:szCs w:val="21"/>
              </w:rPr>
              <w:t>技术职称</w:t>
            </w:r>
          </w:p>
        </w:tc>
        <w:tc>
          <w:tcPr>
            <w:tcW w:w="1540" w:type="dxa"/>
            <w:noWrap/>
            <w:vAlign w:val="center"/>
          </w:tcPr>
          <w:p w14:paraId="354591DC">
            <w:pPr>
              <w:spacing w:line="300" w:lineRule="exact"/>
              <w:jc w:val="center"/>
              <w:rPr>
                <w:color w:val="auto"/>
                <w:szCs w:val="21"/>
              </w:rPr>
            </w:pPr>
          </w:p>
        </w:tc>
        <w:tc>
          <w:tcPr>
            <w:tcW w:w="1016" w:type="dxa"/>
            <w:noWrap/>
            <w:vAlign w:val="center"/>
          </w:tcPr>
          <w:p w14:paraId="0A43DF6D">
            <w:pPr>
              <w:spacing w:line="300" w:lineRule="exact"/>
              <w:jc w:val="center"/>
              <w:rPr>
                <w:color w:val="auto"/>
                <w:szCs w:val="21"/>
              </w:rPr>
            </w:pPr>
            <w:r>
              <w:rPr>
                <w:color w:val="auto"/>
                <w:szCs w:val="21"/>
              </w:rPr>
              <w:t>电话</w:t>
            </w:r>
          </w:p>
        </w:tc>
        <w:tc>
          <w:tcPr>
            <w:tcW w:w="2735" w:type="dxa"/>
            <w:noWrap/>
            <w:vAlign w:val="center"/>
          </w:tcPr>
          <w:p w14:paraId="2FC797B4">
            <w:pPr>
              <w:spacing w:line="300" w:lineRule="exact"/>
              <w:jc w:val="center"/>
              <w:rPr>
                <w:color w:val="auto"/>
                <w:szCs w:val="21"/>
              </w:rPr>
            </w:pPr>
          </w:p>
        </w:tc>
      </w:tr>
      <w:tr w14:paraId="0BEA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13A8712A">
            <w:pPr>
              <w:spacing w:line="300" w:lineRule="exact"/>
              <w:jc w:val="center"/>
              <w:rPr>
                <w:color w:val="auto"/>
                <w:szCs w:val="21"/>
              </w:rPr>
            </w:pPr>
            <w:r>
              <w:rPr>
                <w:color w:val="auto"/>
                <w:szCs w:val="21"/>
              </w:rPr>
              <w:t>技术负责人</w:t>
            </w:r>
          </w:p>
        </w:tc>
        <w:tc>
          <w:tcPr>
            <w:tcW w:w="917" w:type="dxa"/>
            <w:noWrap/>
            <w:vAlign w:val="center"/>
          </w:tcPr>
          <w:p w14:paraId="43B8BD0E">
            <w:pPr>
              <w:spacing w:line="300" w:lineRule="exact"/>
              <w:jc w:val="center"/>
              <w:rPr>
                <w:color w:val="auto"/>
                <w:szCs w:val="21"/>
              </w:rPr>
            </w:pPr>
            <w:r>
              <w:rPr>
                <w:color w:val="auto"/>
                <w:szCs w:val="21"/>
              </w:rPr>
              <w:t>姓名</w:t>
            </w:r>
          </w:p>
        </w:tc>
        <w:tc>
          <w:tcPr>
            <w:tcW w:w="1377" w:type="dxa"/>
            <w:noWrap/>
            <w:vAlign w:val="center"/>
          </w:tcPr>
          <w:p w14:paraId="48602074">
            <w:pPr>
              <w:spacing w:line="300" w:lineRule="exact"/>
              <w:jc w:val="center"/>
              <w:rPr>
                <w:color w:val="auto"/>
                <w:szCs w:val="21"/>
              </w:rPr>
            </w:pPr>
          </w:p>
        </w:tc>
        <w:tc>
          <w:tcPr>
            <w:tcW w:w="1172" w:type="dxa"/>
            <w:noWrap/>
            <w:vAlign w:val="center"/>
          </w:tcPr>
          <w:p w14:paraId="1BAAE666">
            <w:pPr>
              <w:spacing w:line="300" w:lineRule="exact"/>
              <w:jc w:val="center"/>
              <w:rPr>
                <w:color w:val="auto"/>
                <w:szCs w:val="21"/>
              </w:rPr>
            </w:pPr>
            <w:r>
              <w:rPr>
                <w:color w:val="auto"/>
                <w:szCs w:val="21"/>
              </w:rPr>
              <w:t>技术职称</w:t>
            </w:r>
          </w:p>
        </w:tc>
        <w:tc>
          <w:tcPr>
            <w:tcW w:w="1540" w:type="dxa"/>
            <w:noWrap/>
            <w:vAlign w:val="center"/>
          </w:tcPr>
          <w:p w14:paraId="7FB75788">
            <w:pPr>
              <w:spacing w:line="300" w:lineRule="exact"/>
              <w:jc w:val="center"/>
              <w:rPr>
                <w:color w:val="auto"/>
                <w:szCs w:val="21"/>
              </w:rPr>
            </w:pPr>
          </w:p>
        </w:tc>
        <w:tc>
          <w:tcPr>
            <w:tcW w:w="1016" w:type="dxa"/>
            <w:noWrap/>
            <w:vAlign w:val="center"/>
          </w:tcPr>
          <w:p w14:paraId="49BB7467">
            <w:pPr>
              <w:spacing w:line="300" w:lineRule="exact"/>
              <w:jc w:val="center"/>
              <w:rPr>
                <w:color w:val="auto"/>
                <w:szCs w:val="21"/>
              </w:rPr>
            </w:pPr>
            <w:r>
              <w:rPr>
                <w:color w:val="auto"/>
                <w:szCs w:val="21"/>
              </w:rPr>
              <w:t>电话</w:t>
            </w:r>
          </w:p>
        </w:tc>
        <w:tc>
          <w:tcPr>
            <w:tcW w:w="2735" w:type="dxa"/>
            <w:noWrap/>
            <w:vAlign w:val="center"/>
          </w:tcPr>
          <w:p w14:paraId="41846A70">
            <w:pPr>
              <w:spacing w:line="300" w:lineRule="exact"/>
              <w:jc w:val="center"/>
              <w:rPr>
                <w:color w:val="auto"/>
                <w:szCs w:val="21"/>
              </w:rPr>
            </w:pPr>
          </w:p>
        </w:tc>
      </w:tr>
      <w:tr w14:paraId="71C9A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1B8B0531">
            <w:pPr>
              <w:spacing w:line="300" w:lineRule="exact"/>
              <w:jc w:val="center"/>
              <w:rPr>
                <w:color w:val="auto"/>
                <w:szCs w:val="21"/>
              </w:rPr>
            </w:pPr>
            <w:r>
              <w:rPr>
                <w:color w:val="auto"/>
                <w:szCs w:val="21"/>
              </w:rPr>
              <w:t>成立时间</w:t>
            </w:r>
          </w:p>
        </w:tc>
        <w:tc>
          <w:tcPr>
            <w:tcW w:w="2294" w:type="dxa"/>
            <w:gridSpan w:val="2"/>
            <w:noWrap/>
            <w:vAlign w:val="center"/>
          </w:tcPr>
          <w:p w14:paraId="08746735">
            <w:pPr>
              <w:spacing w:line="300" w:lineRule="exact"/>
              <w:jc w:val="center"/>
              <w:rPr>
                <w:color w:val="auto"/>
                <w:szCs w:val="21"/>
              </w:rPr>
            </w:pPr>
          </w:p>
        </w:tc>
        <w:tc>
          <w:tcPr>
            <w:tcW w:w="6463" w:type="dxa"/>
            <w:gridSpan w:val="4"/>
            <w:noWrap/>
            <w:vAlign w:val="center"/>
          </w:tcPr>
          <w:p w14:paraId="0B288CC5">
            <w:pPr>
              <w:spacing w:line="300" w:lineRule="exact"/>
              <w:jc w:val="center"/>
              <w:rPr>
                <w:color w:val="auto"/>
                <w:szCs w:val="21"/>
              </w:rPr>
            </w:pPr>
            <w:r>
              <w:rPr>
                <w:color w:val="auto"/>
                <w:szCs w:val="21"/>
              </w:rPr>
              <w:t>员工总人数：</w:t>
            </w:r>
          </w:p>
        </w:tc>
      </w:tr>
      <w:tr w14:paraId="474F9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0839FF00">
            <w:pPr>
              <w:spacing w:line="300" w:lineRule="exact"/>
              <w:jc w:val="center"/>
              <w:rPr>
                <w:color w:val="auto"/>
                <w:szCs w:val="21"/>
              </w:rPr>
            </w:pPr>
            <w:r>
              <w:rPr>
                <w:color w:val="auto"/>
                <w:szCs w:val="21"/>
              </w:rPr>
              <w:t>企业资质等级</w:t>
            </w:r>
          </w:p>
        </w:tc>
        <w:tc>
          <w:tcPr>
            <w:tcW w:w="2294" w:type="dxa"/>
            <w:gridSpan w:val="2"/>
            <w:noWrap/>
            <w:vAlign w:val="center"/>
          </w:tcPr>
          <w:p w14:paraId="53BC5966">
            <w:pPr>
              <w:spacing w:line="300" w:lineRule="exact"/>
              <w:jc w:val="center"/>
              <w:rPr>
                <w:color w:val="auto"/>
                <w:szCs w:val="21"/>
              </w:rPr>
            </w:pPr>
          </w:p>
        </w:tc>
        <w:tc>
          <w:tcPr>
            <w:tcW w:w="1172" w:type="dxa"/>
            <w:vMerge w:val="restart"/>
            <w:noWrap/>
            <w:vAlign w:val="center"/>
          </w:tcPr>
          <w:p w14:paraId="709572E8">
            <w:pPr>
              <w:spacing w:line="300" w:lineRule="exact"/>
              <w:jc w:val="center"/>
              <w:rPr>
                <w:color w:val="auto"/>
                <w:szCs w:val="21"/>
              </w:rPr>
            </w:pPr>
            <w:r>
              <w:rPr>
                <w:color w:val="auto"/>
                <w:szCs w:val="21"/>
              </w:rPr>
              <w:t>其中</w:t>
            </w:r>
          </w:p>
        </w:tc>
        <w:tc>
          <w:tcPr>
            <w:tcW w:w="1540" w:type="dxa"/>
            <w:noWrap/>
            <w:vAlign w:val="center"/>
          </w:tcPr>
          <w:p w14:paraId="04CF7702">
            <w:pPr>
              <w:spacing w:line="300" w:lineRule="exact"/>
              <w:jc w:val="center"/>
              <w:rPr>
                <w:color w:val="auto"/>
                <w:szCs w:val="21"/>
              </w:rPr>
            </w:pPr>
            <w:r>
              <w:rPr>
                <w:color w:val="auto"/>
                <w:szCs w:val="21"/>
              </w:rPr>
              <w:t>项目经理</w:t>
            </w:r>
          </w:p>
        </w:tc>
        <w:tc>
          <w:tcPr>
            <w:tcW w:w="3751" w:type="dxa"/>
            <w:gridSpan w:val="2"/>
            <w:noWrap/>
            <w:vAlign w:val="center"/>
          </w:tcPr>
          <w:p w14:paraId="4967FC7F">
            <w:pPr>
              <w:spacing w:line="300" w:lineRule="exact"/>
              <w:jc w:val="center"/>
              <w:rPr>
                <w:color w:val="auto"/>
                <w:szCs w:val="21"/>
              </w:rPr>
            </w:pPr>
          </w:p>
        </w:tc>
      </w:tr>
      <w:tr w14:paraId="2DB75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3EBE8FDC">
            <w:pPr>
              <w:spacing w:line="300" w:lineRule="exact"/>
              <w:jc w:val="center"/>
              <w:rPr>
                <w:color w:val="auto"/>
                <w:szCs w:val="21"/>
              </w:rPr>
            </w:pPr>
            <w:r>
              <w:rPr>
                <w:color w:val="auto"/>
                <w:szCs w:val="21"/>
              </w:rPr>
              <w:t>营业执照号</w:t>
            </w:r>
          </w:p>
        </w:tc>
        <w:tc>
          <w:tcPr>
            <w:tcW w:w="2294" w:type="dxa"/>
            <w:gridSpan w:val="2"/>
            <w:noWrap/>
            <w:vAlign w:val="center"/>
          </w:tcPr>
          <w:p w14:paraId="44B52D22">
            <w:pPr>
              <w:spacing w:line="300" w:lineRule="exact"/>
              <w:jc w:val="center"/>
              <w:rPr>
                <w:color w:val="auto"/>
                <w:szCs w:val="21"/>
              </w:rPr>
            </w:pPr>
          </w:p>
        </w:tc>
        <w:tc>
          <w:tcPr>
            <w:tcW w:w="1172" w:type="dxa"/>
            <w:vMerge w:val="continue"/>
            <w:noWrap/>
            <w:vAlign w:val="center"/>
          </w:tcPr>
          <w:p w14:paraId="059E9EBF">
            <w:pPr>
              <w:spacing w:line="300" w:lineRule="exact"/>
              <w:jc w:val="center"/>
              <w:rPr>
                <w:color w:val="auto"/>
                <w:szCs w:val="21"/>
              </w:rPr>
            </w:pPr>
          </w:p>
        </w:tc>
        <w:tc>
          <w:tcPr>
            <w:tcW w:w="1540" w:type="dxa"/>
            <w:noWrap/>
            <w:vAlign w:val="center"/>
          </w:tcPr>
          <w:p w14:paraId="7811E545">
            <w:pPr>
              <w:spacing w:line="300" w:lineRule="exact"/>
              <w:jc w:val="center"/>
              <w:rPr>
                <w:color w:val="auto"/>
                <w:szCs w:val="21"/>
              </w:rPr>
            </w:pPr>
            <w:r>
              <w:rPr>
                <w:color w:val="auto"/>
                <w:szCs w:val="21"/>
              </w:rPr>
              <w:t>高级职称人员</w:t>
            </w:r>
          </w:p>
        </w:tc>
        <w:tc>
          <w:tcPr>
            <w:tcW w:w="3751" w:type="dxa"/>
            <w:gridSpan w:val="2"/>
            <w:noWrap/>
            <w:vAlign w:val="center"/>
          </w:tcPr>
          <w:p w14:paraId="68C965D1">
            <w:pPr>
              <w:spacing w:line="300" w:lineRule="exact"/>
              <w:jc w:val="center"/>
              <w:rPr>
                <w:color w:val="auto"/>
                <w:szCs w:val="21"/>
              </w:rPr>
            </w:pPr>
          </w:p>
        </w:tc>
      </w:tr>
      <w:tr w14:paraId="17CCF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48AF7C6F">
            <w:pPr>
              <w:spacing w:line="300" w:lineRule="exact"/>
              <w:jc w:val="center"/>
              <w:rPr>
                <w:color w:val="auto"/>
                <w:szCs w:val="21"/>
              </w:rPr>
            </w:pPr>
            <w:r>
              <w:rPr>
                <w:color w:val="auto"/>
                <w:szCs w:val="21"/>
              </w:rPr>
              <w:t>注册资金</w:t>
            </w:r>
          </w:p>
        </w:tc>
        <w:tc>
          <w:tcPr>
            <w:tcW w:w="2294" w:type="dxa"/>
            <w:gridSpan w:val="2"/>
            <w:noWrap/>
            <w:vAlign w:val="center"/>
          </w:tcPr>
          <w:p w14:paraId="3783771A">
            <w:pPr>
              <w:spacing w:line="300" w:lineRule="exact"/>
              <w:jc w:val="center"/>
              <w:rPr>
                <w:color w:val="auto"/>
                <w:szCs w:val="21"/>
              </w:rPr>
            </w:pPr>
          </w:p>
        </w:tc>
        <w:tc>
          <w:tcPr>
            <w:tcW w:w="1172" w:type="dxa"/>
            <w:vMerge w:val="continue"/>
            <w:noWrap/>
            <w:vAlign w:val="center"/>
          </w:tcPr>
          <w:p w14:paraId="5F4A684D">
            <w:pPr>
              <w:spacing w:line="300" w:lineRule="exact"/>
              <w:jc w:val="center"/>
              <w:rPr>
                <w:color w:val="auto"/>
                <w:szCs w:val="21"/>
              </w:rPr>
            </w:pPr>
          </w:p>
        </w:tc>
        <w:tc>
          <w:tcPr>
            <w:tcW w:w="1540" w:type="dxa"/>
            <w:noWrap/>
            <w:vAlign w:val="center"/>
          </w:tcPr>
          <w:p w14:paraId="444C76A4">
            <w:pPr>
              <w:spacing w:line="300" w:lineRule="exact"/>
              <w:jc w:val="center"/>
              <w:rPr>
                <w:color w:val="auto"/>
                <w:szCs w:val="21"/>
              </w:rPr>
            </w:pPr>
            <w:r>
              <w:rPr>
                <w:color w:val="auto"/>
                <w:szCs w:val="21"/>
              </w:rPr>
              <w:t>中级职称人员</w:t>
            </w:r>
          </w:p>
        </w:tc>
        <w:tc>
          <w:tcPr>
            <w:tcW w:w="3751" w:type="dxa"/>
            <w:gridSpan w:val="2"/>
            <w:noWrap/>
            <w:vAlign w:val="center"/>
          </w:tcPr>
          <w:p w14:paraId="4FC7C38F">
            <w:pPr>
              <w:spacing w:line="300" w:lineRule="exact"/>
              <w:jc w:val="center"/>
              <w:rPr>
                <w:color w:val="auto"/>
                <w:szCs w:val="21"/>
              </w:rPr>
            </w:pPr>
          </w:p>
        </w:tc>
      </w:tr>
      <w:tr w14:paraId="64B8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7BEC1C60">
            <w:pPr>
              <w:spacing w:line="300" w:lineRule="exact"/>
              <w:jc w:val="center"/>
              <w:rPr>
                <w:color w:val="auto"/>
                <w:szCs w:val="21"/>
              </w:rPr>
            </w:pPr>
            <w:r>
              <w:rPr>
                <w:color w:val="auto"/>
                <w:szCs w:val="21"/>
              </w:rPr>
              <w:t>开户银行</w:t>
            </w:r>
          </w:p>
        </w:tc>
        <w:tc>
          <w:tcPr>
            <w:tcW w:w="2294" w:type="dxa"/>
            <w:gridSpan w:val="2"/>
            <w:noWrap/>
            <w:vAlign w:val="center"/>
          </w:tcPr>
          <w:p w14:paraId="0E8F63DD">
            <w:pPr>
              <w:spacing w:line="300" w:lineRule="exact"/>
              <w:jc w:val="center"/>
              <w:rPr>
                <w:color w:val="auto"/>
                <w:szCs w:val="21"/>
              </w:rPr>
            </w:pPr>
          </w:p>
        </w:tc>
        <w:tc>
          <w:tcPr>
            <w:tcW w:w="1172" w:type="dxa"/>
            <w:vMerge w:val="continue"/>
            <w:noWrap/>
            <w:vAlign w:val="center"/>
          </w:tcPr>
          <w:p w14:paraId="5B599A9F">
            <w:pPr>
              <w:spacing w:line="300" w:lineRule="exact"/>
              <w:jc w:val="center"/>
              <w:rPr>
                <w:color w:val="auto"/>
                <w:szCs w:val="21"/>
              </w:rPr>
            </w:pPr>
          </w:p>
        </w:tc>
        <w:tc>
          <w:tcPr>
            <w:tcW w:w="1540" w:type="dxa"/>
            <w:noWrap/>
            <w:vAlign w:val="center"/>
          </w:tcPr>
          <w:p w14:paraId="6BAD83BD">
            <w:pPr>
              <w:spacing w:line="300" w:lineRule="exact"/>
              <w:jc w:val="center"/>
              <w:rPr>
                <w:color w:val="auto"/>
                <w:szCs w:val="21"/>
              </w:rPr>
            </w:pPr>
            <w:r>
              <w:rPr>
                <w:color w:val="auto"/>
                <w:szCs w:val="21"/>
              </w:rPr>
              <w:t>初级职称人员</w:t>
            </w:r>
          </w:p>
        </w:tc>
        <w:tc>
          <w:tcPr>
            <w:tcW w:w="3751" w:type="dxa"/>
            <w:gridSpan w:val="2"/>
            <w:noWrap/>
            <w:vAlign w:val="center"/>
          </w:tcPr>
          <w:p w14:paraId="12BE84B1">
            <w:pPr>
              <w:spacing w:line="300" w:lineRule="exact"/>
              <w:jc w:val="center"/>
              <w:rPr>
                <w:color w:val="auto"/>
                <w:szCs w:val="21"/>
              </w:rPr>
            </w:pPr>
          </w:p>
        </w:tc>
      </w:tr>
      <w:tr w14:paraId="5BA53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6D1E3593">
            <w:pPr>
              <w:spacing w:line="300" w:lineRule="exact"/>
              <w:jc w:val="center"/>
              <w:rPr>
                <w:color w:val="auto"/>
                <w:szCs w:val="21"/>
              </w:rPr>
            </w:pPr>
            <w:r>
              <w:rPr>
                <w:color w:val="auto"/>
                <w:szCs w:val="21"/>
              </w:rPr>
              <w:t>账号</w:t>
            </w:r>
          </w:p>
        </w:tc>
        <w:tc>
          <w:tcPr>
            <w:tcW w:w="2294" w:type="dxa"/>
            <w:gridSpan w:val="2"/>
            <w:noWrap/>
            <w:vAlign w:val="center"/>
          </w:tcPr>
          <w:p w14:paraId="06209449">
            <w:pPr>
              <w:spacing w:line="300" w:lineRule="exact"/>
              <w:jc w:val="center"/>
              <w:rPr>
                <w:color w:val="auto"/>
                <w:szCs w:val="21"/>
              </w:rPr>
            </w:pPr>
          </w:p>
        </w:tc>
        <w:tc>
          <w:tcPr>
            <w:tcW w:w="1172" w:type="dxa"/>
            <w:vMerge w:val="continue"/>
            <w:noWrap/>
            <w:vAlign w:val="center"/>
          </w:tcPr>
          <w:p w14:paraId="217E9677">
            <w:pPr>
              <w:spacing w:line="300" w:lineRule="exact"/>
              <w:jc w:val="center"/>
              <w:rPr>
                <w:color w:val="auto"/>
                <w:szCs w:val="21"/>
              </w:rPr>
            </w:pPr>
          </w:p>
        </w:tc>
        <w:tc>
          <w:tcPr>
            <w:tcW w:w="1540" w:type="dxa"/>
            <w:noWrap/>
            <w:vAlign w:val="center"/>
          </w:tcPr>
          <w:p w14:paraId="4FCDC03C">
            <w:pPr>
              <w:spacing w:line="300" w:lineRule="exact"/>
              <w:jc w:val="center"/>
              <w:rPr>
                <w:color w:val="auto"/>
                <w:szCs w:val="21"/>
              </w:rPr>
            </w:pPr>
            <w:r>
              <w:rPr>
                <w:color w:val="auto"/>
                <w:szCs w:val="21"/>
              </w:rPr>
              <w:t>技工</w:t>
            </w:r>
          </w:p>
        </w:tc>
        <w:tc>
          <w:tcPr>
            <w:tcW w:w="3751" w:type="dxa"/>
            <w:gridSpan w:val="2"/>
            <w:noWrap/>
            <w:vAlign w:val="center"/>
          </w:tcPr>
          <w:p w14:paraId="36D6276D">
            <w:pPr>
              <w:spacing w:line="300" w:lineRule="exact"/>
              <w:jc w:val="center"/>
              <w:rPr>
                <w:color w:val="auto"/>
                <w:szCs w:val="21"/>
              </w:rPr>
            </w:pPr>
          </w:p>
        </w:tc>
      </w:tr>
      <w:tr w14:paraId="7FAC2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068F6BB7">
            <w:pPr>
              <w:spacing w:line="300" w:lineRule="exact"/>
              <w:jc w:val="center"/>
              <w:rPr>
                <w:color w:val="auto"/>
                <w:szCs w:val="21"/>
              </w:rPr>
            </w:pPr>
            <w:r>
              <w:rPr>
                <w:color w:val="auto"/>
                <w:szCs w:val="21"/>
              </w:rPr>
              <w:t>经营范围</w:t>
            </w:r>
          </w:p>
        </w:tc>
        <w:tc>
          <w:tcPr>
            <w:tcW w:w="8757" w:type="dxa"/>
            <w:gridSpan w:val="6"/>
            <w:noWrap/>
            <w:vAlign w:val="center"/>
          </w:tcPr>
          <w:p w14:paraId="295DE15F">
            <w:pPr>
              <w:spacing w:line="300" w:lineRule="exact"/>
              <w:jc w:val="center"/>
              <w:rPr>
                <w:color w:val="auto"/>
                <w:szCs w:val="21"/>
              </w:rPr>
            </w:pPr>
          </w:p>
        </w:tc>
      </w:tr>
      <w:tr w14:paraId="2660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3" w:type="dxa"/>
            <w:noWrap/>
            <w:vAlign w:val="center"/>
          </w:tcPr>
          <w:p w14:paraId="5DA3C052">
            <w:pPr>
              <w:spacing w:line="300" w:lineRule="exact"/>
              <w:jc w:val="center"/>
              <w:rPr>
                <w:rFonts w:ascii="宋体" w:hAnsi="宋体"/>
                <w:color w:val="auto"/>
                <w:szCs w:val="21"/>
              </w:rPr>
            </w:pPr>
            <w:r>
              <w:rPr>
                <w:rFonts w:ascii="宋体" w:hAnsi="宋体"/>
                <w:color w:val="auto"/>
                <w:szCs w:val="21"/>
              </w:rPr>
              <w:t>备注</w:t>
            </w:r>
          </w:p>
        </w:tc>
        <w:tc>
          <w:tcPr>
            <w:tcW w:w="8757" w:type="dxa"/>
            <w:gridSpan w:val="6"/>
            <w:noWrap/>
            <w:vAlign w:val="center"/>
          </w:tcPr>
          <w:p w14:paraId="5CB8472F">
            <w:pPr>
              <w:spacing w:line="300" w:lineRule="exact"/>
              <w:jc w:val="center"/>
              <w:rPr>
                <w:rFonts w:ascii="宋体" w:hAnsi="宋体"/>
                <w:color w:val="auto"/>
                <w:szCs w:val="21"/>
              </w:rPr>
            </w:pPr>
          </w:p>
        </w:tc>
      </w:tr>
    </w:tbl>
    <w:p w14:paraId="485993D9">
      <w:pPr>
        <w:jc w:val="left"/>
        <w:rPr>
          <w:rFonts w:ascii="宋体" w:hAnsi="宋体"/>
          <w:bCs/>
          <w:color w:val="auto"/>
          <w:szCs w:val="21"/>
        </w:rPr>
      </w:pPr>
    </w:p>
    <w:p w14:paraId="397F8455">
      <w:pPr>
        <w:jc w:val="center"/>
        <w:rPr>
          <w:rFonts w:ascii="宋体" w:hAnsi="宋体"/>
          <w:b/>
          <w:color w:val="auto"/>
          <w:sz w:val="28"/>
          <w:szCs w:val="28"/>
        </w:rPr>
      </w:pPr>
    </w:p>
    <w:p w14:paraId="35AE50EC">
      <w:pPr>
        <w:spacing w:line="480" w:lineRule="auto"/>
        <w:rPr>
          <w:rFonts w:ascii="宋体" w:hAnsi="宋体"/>
          <w:color w:val="auto"/>
          <w:szCs w:val="21"/>
        </w:rPr>
      </w:pPr>
      <w:r>
        <w:rPr>
          <w:rFonts w:hint="eastAsia" w:ascii="宋体" w:hAnsi="宋体"/>
          <w:color w:val="auto"/>
          <w:szCs w:val="21"/>
        </w:rPr>
        <w:t>磋商供应商：（公章或电子签章）</w:t>
      </w:r>
    </w:p>
    <w:p w14:paraId="7AC2A445">
      <w:pPr>
        <w:spacing w:line="480" w:lineRule="auto"/>
        <w:rPr>
          <w:rFonts w:ascii="宋体" w:hAnsi="宋体"/>
          <w:color w:val="auto"/>
          <w:szCs w:val="21"/>
          <w:u w:val="single"/>
        </w:rPr>
      </w:pPr>
      <w:r>
        <w:rPr>
          <w:rFonts w:hint="eastAsia" w:ascii="宋体" w:hAnsi="宋体"/>
          <w:color w:val="auto"/>
          <w:szCs w:val="21"/>
        </w:rPr>
        <w:t xml:space="preserve">法定代表人（或授权委托代理人）：（手写签名或电子签名） </w:t>
      </w:r>
    </w:p>
    <w:p w14:paraId="0B59FA4C">
      <w:pPr>
        <w:spacing w:line="480" w:lineRule="auto"/>
        <w:rPr>
          <w:rFonts w:ascii="宋体" w:hAnsi="宋体"/>
          <w:color w:val="auto"/>
          <w:szCs w:val="21"/>
        </w:rPr>
      </w:pPr>
      <w:r>
        <w:rPr>
          <w:rFonts w:hint="eastAsia" w:ascii="宋体" w:hAnsi="宋体"/>
          <w:color w:val="auto"/>
          <w:szCs w:val="21"/>
        </w:rPr>
        <w:t>日期：  年  月  日</w:t>
      </w:r>
    </w:p>
    <w:p w14:paraId="6AFB9EFD">
      <w:pPr>
        <w:jc w:val="center"/>
        <w:outlineLvl w:val="0"/>
        <w:rPr>
          <w:rFonts w:ascii="宋体" w:hAnsi="宋体"/>
          <w:b/>
          <w:color w:val="auto"/>
          <w:szCs w:val="21"/>
        </w:rPr>
      </w:pPr>
      <w:r>
        <w:rPr>
          <w:rFonts w:ascii="宋体" w:hAnsi="宋体"/>
          <w:b/>
          <w:color w:val="auto"/>
          <w:szCs w:val="21"/>
        </w:rPr>
        <w:br w:type="page"/>
      </w:r>
      <w:bookmarkStart w:id="1682" w:name="_Toc20441"/>
      <w:bookmarkStart w:id="1683" w:name="_Toc15437"/>
      <w:bookmarkStart w:id="1684" w:name="_Toc13484"/>
      <w:bookmarkStart w:id="1685" w:name="_Toc22445"/>
      <w:r>
        <w:rPr>
          <w:rFonts w:hint="eastAsia" w:ascii="宋体" w:hAnsi="宋体"/>
          <w:b/>
          <w:color w:val="auto"/>
          <w:sz w:val="28"/>
          <w:szCs w:val="28"/>
        </w:rPr>
        <w:t>三、已标价工程量清单（格式自拟）</w:t>
      </w:r>
      <w:bookmarkEnd w:id="1682"/>
      <w:bookmarkEnd w:id="1683"/>
      <w:bookmarkEnd w:id="1684"/>
      <w:bookmarkEnd w:id="1685"/>
    </w:p>
    <w:p w14:paraId="1185B95A">
      <w:pPr>
        <w:jc w:val="center"/>
        <w:rPr>
          <w:rFonts w:ascii="宋体" w:hAnsi="宋体"/>
          <w:color w:val="auto"/>
          <w:szCs w:val="21"/>
        </w:rPr>
      </w:pPr>
    </w:p>
    <w:p w14:paraId="6B04B036">
      <w:pPr>
        <w:ind w:firstLine="1050" w:firstLineChars="500"/>
        <w:jc w:val="center"/>
        <w:rPr>
          <w:rFonts w:ascii="宋体" w:hAnsi="宋体"/>
          <w:color w:val="auto"/>
          <w:szCs w:val="21"/>
        </w:rPr>
      </w:pPr>
    </w:p>
    <w:p w14:paraId="718685A1">
      <w:pPr>
        <w:ind w:left="2100"/>
        <w:rPr>
          <w:rFonts w:ascii="宋体" w:hAnsi="宋体"/>
          <w:color w:val="auto"/>
          <w:szCs w:val="21"/>
        </w:rPr>
      </w:pPr>
    </w:p>
    <w:p w14:paraId="77C4BA37">
      <w:pPr>
        <w:ind w:left="2100"/>
        <w:rPr>
          <w:rFonts w:ascii="宋体" w:hAnsi="宋体"/>
          <w:color w:val="auto"/>
          <w:szCs w:val="21"/>
        </w:rPr>
      </w:pPr>
    </w:p>
    <w:p w14:paraId="28EF2072">
      <w:pPr>
        <w:ind w:left="2100"/>
        <w:rPr>
          <w:rFonts w:ascii="宋体" w:hAnsi="宋体"/>
          <w:color w:val="auto"/>
          <w:szCs w:val="21"/>
        </w:rPr>
      </w:pPr>
    </w:p>
    <w:p w14:paraId="24254FED">
      <w:pPr>
        <w:ind w:left="2100"/>
        <w:rPr>
          <w:rFonts w:ascii="宋体" w:hAnsi="宋体"/>
          <w:color w:val="auto"/>
          <w:szCs w:val="21"/>
        </w:rPr>
      </w:pPr>
    </w:p>
    <w:p w14:paraId="5834FD15">
      <w:pPr>
        <w:ind w:left="2100"/>
        <w:rPr>
          <w:rFonts w:ascii="宋体" w:hAnsi="宋体"/>
          <w:color w:val="auto"/>
          <w:szCs w:val="21"/>
        </w:rPr>
      </w:pPr>
    </w:p>
    <w:p w14:paraId="554D6DFD">
      <w:pPr>
        <w:ind w:left="2100"/>
        <w:rPr>
          <w:rFonts w:ascii="宋体" w:hAnsi="宋体"/>
          <w:color w:val="auto"/>
          <w:szCs w:val="21"/>
        </w:rPr>
      </w:pPr>
    </w:p>
    <w:p w14:paraId="0EB94725">
      <w:pPr>
        <w:ind w:left="2100"/>
        <w:rPr>
          <w:rFonts w:ascii="宋体" w:hAnsi="宋体"/>
          <w:color w:val="auto"/>
          <w:szCs w:val="21"/>
        </w:rPr>
      </w:pPr>
    </w:p>
    <w:p w14:paraId="3AB77AFB">
      <w:pPr>
        <w:ind w:left="2100"/>
        <w:rPr>
          <w:rFonts w:ascii="宋体" w:hAnsi="宋体"/>
          <w:color w:val="auto"/>
          <w:szCs w:val="21"/>
        </w:rPr>
      </w:pPr>
    </w:p>
    <w:p w14:paraId="611A62D9">
      <w:pPr>
        <w:ind w:left="2100"/>
        <w:rPr>
          <w:rFonts w:ascii="宋体" w:hAnsi="宋体"/>
          <w:color w:val="auto"/>
          <w:szCs w:val="21"/>
        </w:rPr>
      </w:pPr>
    </w:p>
    <w:p w14:paraId="29910B47">
      <w:pPr>
        <w:ind w:left="2100"/>
        <w:rPr>
          <w:rFonts w:ascii="宋体" w:hAnsi="宋体"/>
          <w:color w:val="auto"/>
          <w:szCs w:val="21"/>
        </w:rPr>
      </w:pPr>
    </w:p>
    <w:p w14:paraId="40377504">
      <w:pPr>
        <w:ind w:left="2100"/>
        <w:rPr>
          <w:rFonts w:ascii="宋体" w:hAnsi="宋体"/>
          <w:color w:val="auto"/>
          <w:szCs w:val="21"/>
        </w:rPr>
      </w:pPr>
    </w:p>
    <w:p w14:paraId="546AC312">
      <w:pPr>
        <w:ind w:left="2100"/>
        <w:rPr>
          <w:rFonts w:ascii="宋体" w:hAnsi="宋体"/>
          <w:color w:val="auto"/>
          <w:szCs w:val="21"/>
        </w:rPr>
      </w:pPr>
    </w:p>
    <w:p w14:paraId="017E23D3">
      <w:pPr>
        <w:ind w:left="2100"/>
        <w:rPr>
          <w:rFonts w:ascii="宋体" w:hAnsi="宋体"/>
          <w:color w:val="auto"/>
          <w:szCs w:val="21"/>
        </w:rPr>
      </w:pPr>
    </w:p>
    <w:p w14:paraId="08A506A4">
      <w:pPr>
        <w:ind w:left="2100"/>
        <w:rPr>
          <w:rFonts w:ascii="宋体" w:hAnsi="宋体"/>
          <w:color w:val="auto"/>
          <w:szCs w:val="21"/>
        </w:rPr>
      </w:pPr>
    </w:p>
    <w:p w14:paraId="5B7B2F38">
      <w:pPr>
        <w:ind w:left="2100"/>
        <w:rPr>
          <w:rFonts w:ascii="宋体" w:hAnsi="宋体"/>
          <w:color w:val="auto"/>
          <w:szCs w:val="21"/>
        </w:rPr>
      </w:pPr>
    </w:p>
    <w:p w14:paraId="52F4FDED">
      <w:pPr>
        <w:ind w:left="2100"/>
        <w:rPr>
          <w:rFonts w:ascii="宋体" w:hAnsi="宋体"/>
          <w:color w:val="auto"/>
          <w:szCs w:val="21"/>
        </w:rPr>
      </w:pPr>
    </w:p>
    <w:p w14:paraId="22E2FF74">
      <w:pPr>
        <w:rPr>
          <w:rFonts w:ascii="宋体" w:hAnsi="宋体"/>
          <w:color w:val="auto"/>
          <w:szCs w:val="21"/>
        </w:rPr>
      </w:pPr>
    </w:p>
    <w:p w14:paraId="51456A1E">
      <w:pPr>
        <w:rPr>
          <w:rFonts w:ascii="宋体" w:hAnsi="宋体"/>
          <w:color w:val="auto"/>
          <w:szCs w:val="21"/>
        </w:rPr>
      </w:pPr>
    </w:p>
    <w:p w14:paraId="6AC9D6A9">
      <w:pPr>
        <w:rPr>
          <w:rFonts w:ascii="宋体" w:hAnsi="宋体"/>
          <w:color w:val="auto"/>
          <w:szCs w:val="21"/>
        </w:rPr>
      </w:pPr>
    </w:p>
    <w:p w14:paraId="236BF16F">
      <w:pPr>
        <w:spacing w:line="336" w:lineRule="auto"/>
        <w:ind w:right="-153" w:rightChars="-73"/>
        <w:jc w:val="center"/>
        <w:outlineLvl w:val="0"/>
        <w:rPr>
          <w:rFonts w:ascii="宋体" w:hAnsi="宋体"/>
          <w:b/>
          <w:color w:val="auto"/>
          <w:szCs w:val="21"/>
        </w:rPr>
      </w:pPr>
      <w:r>
        <w:rPr>
          <w:rFonts w:ascii="宋体" w:hAnsi="宋体"/>
          <w:color w:val="auto"/>
          <w:szCs w:val="21"/>
        </w:rPr>
        <w:br w:type="page"/>
      </w:r>
      <w:bookmarkStart w:id="1686" w:name="_Toc21262"/>
      <w:bookmarkStart w:id="1687" w:name="_Toc26706"/>
      <w:bookmarkStart w:id="1688" w:name="_Toc7632"/>
      <w:bookmarkStart w:id="1689" w:name="_Toc16539"/>
      <w:r>
        <w:rPr>
          <w:rFonts w:hint="eastAsia" w:ascii="宋体" w:hAnsi="宋体"/>
          <w:b/>
          <w:color w:val="auto"/>
          <w:kern w:val="44"/>
          <w:sz w:val="28"/>
          <w:szCs w:val="28"/>
        </w:rPr>
        <w:t>第三节  商务</w:t>
      </w:r>
      <w:r>
        <w:rPr>
          <w:rFonts w:hint="eastAsia" w:ascii="宋体" w:hAnsi="宋体"/>
          <w:b/>
          <w:color w:val="auto"/>
          <w:sz w:val="32"/>
          <w:szCs w:val="32"/>
        </w:rPr>
        <w:t>技术</w:t>
      </w:r>
      <w:r>
        <w:rPr>
          <w:rFonts w:hint="eastAsia" w:ascii="宋体" w:hAnsi="宋体"/>
          <w:b/>
          <w:color w:val="auto"/>
          <w:kern w:val="44"/>
          <w:sz w:val="28"/>
          <w:szCs w:val="28"/>
        </w:rPr>
        <w:t>文件格式</w:t>
      </w:r>
      <w:bookmarkEnd w:id="1686"/>
      <w:bookmarkEnd w:id="1687"/>
      <w:bookmarkEnd w:id="1688"/>
      <w:bookmarkEnd w:id="1689"/>
    </w:p>
    <w:p w14:paraId="12A89B6F">
      <w:pPr>
        <w:widowControl/>
        <w:kinsoku w:val="0"/>
        <w:autoSpaceDE w:val="0"/>
        <w:autoSpaceDN w:val="0"/>
        <w:adjustRightInd w:val="0"/>
        <w:snapToGrid w:val="0"/>
        <w:spacing w:before="69"/>
        <w:ind w:firstLine="6250"/>
        <w:jc w:val="left"/>
        <w:textAlignment w:val="baseline"/>
        <w:rPr>
          <w:rFonts w:ascii="宋体" w:hAnsi="宋体" w:cs="宋体"/>
          <w:snapToGrid w:val="0"/>
          <w:color w:val="auto"/>
          <w:spacing w:val="-2"/>
          <w:kern w:val="0"/>
          <w:sz w:val="24"/>
        </w:rPr>
      </w:pPr>
    </w:p>
    <w:p w14:paraId="3459AA73">
      <w:pPr>
        <w:widowControl/>
        <w:kinsoku w:val="0"/>
        <w:autoSpaceDE w:val="0"/>
        <w:autoSpaceDN w:val="0"/>
        <w:adjustRightInd w:val="0"/>
        <w:snapToGrid w:val="0"/>
        <w:spacing w:before="69"/>
        <w:ind w:firstLine="6250"/>
        <w:jc w:val="left"/>
        <w:textAlignment w:val="baseline"/>
        <w:rPr>
          <w:rFonts w:ascii="宋体" w:hAnsi="宋体" w:cs="宋体"/>
          <w:snapToGrid w:val="0"/>
          <w:color w:val="auto"/>
          <w:spacing w:val="-2"/>
          <w:kern w:val="0"/>
          <w:sz w:val="24"/>
        </w:rPr>
      </w:pPr>
    </w:p>
    <w:p w14:paraId="562E1D57">
      <w:pPr>
        <w:widowControl/>
        <w:kinsoku w:val="0"/>
        <w:autoSpaceDE w:val="0"/>
        <w:autoSpaceDN w:val="0"/>
        <w:adjustRightInd w:val="0"/>
        <w:snapToGrid w:val="0"/>
        <w:spacing w:before="69"/>
        <w:ind w:firstLine="6250"/>
        <w:jc w:val="left"/>
        <w:textAlignment w:val="baseline"/>
        <w:rPr>
          <w:rFonts w:ascii="宋体" w:hAnsi="宋体" w:cs="宋体"/>
          <w:snapToGrid w:val="0"/>
          <w:color w:val="auto"/>
          <w:spacing w:val="-2"/>
          <w:kern w:val="0"/>
          <w:sz w:val="24"/>
        </w:rPr>
      </w:pPr>
    </w:p>
    <w:p w14:paraId="5BC2AE72">
      <w:pPr>
        <w:pStyle w:val="69"/>
        <w:rPr>
          <w:color w:val="auto"/>
        </w:rPr>
      </w:pPr>
    </w:p>
    <w:p w14:paraId="726E3C07">
      <w:pPr>
        <w:widowControl/>
        <w:kinsoku w:val="0"/>
        <w:autoSpaceDE w:val="0"/>
        <w:autoSpaceDN w:val="0"/>
        <w:adjustRightInd w:val="0"/>
        <w:snapToGrid w:val="0"/>
        <w:spacing w:before="69"/>
        <w:ind w:firstLine="6250"/>
        <w:jc w:val="left"/>
        <w:textAlignment w:val="baseline"/>
        <w:rPr>
          <w:rFonts w:ascii="宋体" w:hAnsi="宋体" w:cs="宋体"/>
          <w:snapToGrid w:val="0"/>
          <w:color w:val="auto"/>
          <w:kern w:val="0"/>
          <w:sz w:val="24"/>
        </w:rPr>
      </w:pPr>
      <w:r>
        <w:rPr>
          <w:rFonts w:hint="eastAsia" w:ascii="宋体" w:hAnsi="宋体" w:cs="宋体"/>
          <w:snapToGrid w:val="0"/>
          <w:color w:val="auto"/>
          <w:spacing w:val="-2"/>
          <w:kern w:val="0"/>
          <w:sz w:val="24"/>
        </w:rPr>
        <w:t>全流程电子文件</w:t>
      </w:r>
    </w:p>
    <w:p w14:paraId="7F8DAB51">
      <w:pPr>
        <w:rPr>
          <w:color w:val="auto"/>
          <w:sz w:val="28"/>
          <w:szCs w:val="28"/>
          <w:u w:val="single"/>
        </w:rPr>
      </w:pPr>
    </w:p>
    <w:p w14:paraId="5E0B2E84">
      <w:pPr>
        <w:jc w:val="center"/>
        <w:rPr>
          <w:b/>
          <w:bCs/>
          <w:color w:val="auto"/>
          <w:sz w:val="28"/>
          <w:szCs w:val="28"/>
        </w:rPr>
      </w:pPr>
      <w:r>
        <w:rPr>
          <w:rFonts w:hint="eastAsia"/>
          <w:b/>
          <w:bCs/>
          <w:color w:val="auto"/>
          <w:sz w:val="28"/>
          <w:szCs w:val="28"/>
        </w:rPr>
        <w:t>商  务  技  术 文  件（封面）</w:t>
      </w:r>
    </w:p>
    <w:p w14:paraId="0BB81388">
      <w:pPr>
        <w:jc w:val="center"/>
        <w:rPr>
          <w:b/>
          <w:bCs/>
          <w:color w:val="auto"/>
          <w:sz w:val="28"/>
          <w:szCs w:val="28"/>
        </w:rPr>
      </w:pPr>
    </w:p>
    <w:p w14:paraId="7B501AF8">
      <w:pPr>
        <w:jc w:val="center"/>
        <w:rPr>
          <w:b/>
          <w:bCs/>
          <w:color w:val="auto"/>
          <w:sz w:val="28"/>
          <w:szCs w:val="28"/>
        </w:rPr>
      </w:pPr>
    </w:p>
    <w:p w14:paraId="1C56A6BC">
      <w:pPr>
        <w:spacing w:beforeLines="100"/>
        <w:jc w:val="center"/>
        <w:rPr>
          <w:b/>
          <w:bCs/>
          <w:color w:val="auto"/>
          <w:sz w:val="52"/>
          <w:szCs w:val="52"/>
        </w:rPr>
      </w:pPr>
      <w:r>
        <w:rPr>
          <w:rFonts w:hint="eastAsia"/>
          <w:b/>
          <w:bCs/>
          <w:color w:val="auto"/>
          <w:sz w:val="52"/>
          <w:szCs w:val="52"/>
        </w:rPr>
        <w:t xml:space="preserve">响 应 </w:t>
      </w:r>
      <w:r>
        <w:rPr>
          <w:b/>
          <w:bCs/>
          <w:color w:val="auto"/>
          <w:sz w:val="52"/>
          <w:szCs w:val="52"/>
        </w:rPr>
        <w:t>文件</w:t>
      </w:r>
    </w:p>
    <w:p w14:paraId="50B0A0EF">
      <w:pPr>
        <w:spacing w:line="360" w:lineRule="auto"/>
        <w:ind w:firstLine="2380" w:firstLineChars="850"/>
        <w:rPr>
          <w:b/>
          <w:bCs/>
          <w:color w:val="auto"/>
          <w:sz w:val="28"/>
          <w:szCs w:val="28"/>
        </w:rPr>
      </w:pPr>
      <w:r>
        <w:rPr>
          <w:rFonts w:hint="eastAsia"/>
          <w:b/>
          <w:bCs/>
          <w:color w:val="auto"/>
          <w:sz w:val="28"/>
          <w:szCs w:val="28"/>
        </w:rPr>
        <w:t>项目名称：</w:t>
      </w:r>
    </w:p>
    <w:p w14:paraId="71CB6852">
      <w:pPr>
        <w:spacing w:line="360" w:lineRule="auto"/>
        <w:ind w:firstLine="2380" w:firstLineChars="850"/>
        <w:rPr>
          <w:b/>
          <w:bCs/>
          <w:color w:val="auto"/>
          <w:sz w:val="28"/>
          <w:szCs w:val="28"/>
        </w:rPr>
      </w:pPr>
      <w:r>
        <w:rPr>
          <w:b/>
          <w:bCs/>
          <w:color w:val="auto"/>
          <w:sz w:val="28"/>
          <w:szCs w:val="28"/>
        </w:rPr>
        <w:t>项目编号：</w:t>
      </w:r>
    </w:p>
    <w:p w14:paraId="05E68FDF">
      <w:pPr>
        <w:pStyle w:val="69"/>
        <w:rPr>
          <w:color w:val="auto"/>
        </w:rPr>
      </w:pPr>
    </w:p>
    <w:p w14:paraId="025F5B90">
      <w:pPr>
        <w:jc w:val="center"/>
        <w:rPr>
          <w:b/>
          <w:bCs/>
          <w:color w:val="auto"/>
          <w:sz w:val="28"/>
          <w:szCs w:val="28"/>
        </w:rPr>
      </w:pPr>
    </w:p>
    <w:p w14:paraId="4C7F90D4">
      <w:pPr>
        <w:rPr>
          <w:b/>
          <w:bCs/>
          <w:color w:val="auto"/>
          <w:sz w:val="28"/>
          <w:szCs w:val="28"/>
        </w:rPr>
      </w:pPr>
    </w:p>
    <w:p w14:paraId="41BB9D95">
      <w:pPr>
        <w:rPr>
          <w:b/>
          <w:bCs/>
          <w:color w:val="auto"/>
          <w:sz w:val="28"/>
          <w:szCs w:val="28"/>
        </w:rPr>
      </w:pPr>
    </w:p>
    <w:p w14:paraId="1B23C8D3">
      <w:pPr>
        <w:jc w:val="center"/>
        <w:rPr>
          <w:b/>
          <w:bCs/>
          <w:color w:val="auto"/>
          <w:sz w:val="28"/>
          <w:szCs w:val="28"/>
        </w:rPr>
      </w:pPr>
    </w:p>
    <w:p w14:paraId="0D35CE42">
      <w:pPr>
        <w:jc w:val="center"/>
        <w:rPr>
          <w:b/>
          <w:bCs/>
          <w:color w:val="auto"/>
          <w:sz w:val="28"/>
          <w:szCs w:val="28"/>
        </w:rPr>
      </w:pPr>
    </w:p>
    <w:p w14:paraId="1E7691A1">
      <w:pPr>
        <w:spacing w:line="360" w:lineRule="auto"/>
        <w:ind w:firstLine="1400" w:firstLineChars="500"/>
        <w:rPr>
          <w:b/>
          <w:bCs/>
          <w:color w:val="auto"/>
          <w:sz w:val="28"/>
          <w:szCs w:val="28"/>
        </w:rPr>
      </w:pPr>
      <w:r>
        <w:rPr>
          <w:rFonts w:hint="eastAsia"/>
          <w:b/>
          <w:bCs/>
          <w:color w:val="auto"/>
          <w:sz w:val="28"/>
          <w:szCs w:val="28"/>
        </w:rPr>
        <w:t>磋商供应商</w:t>
      </w:r>
      <w:r>
        <w:rPr>
          <w:b/>
          <w:bCs/>
          <w:color w:val="auto"/>
          <w:sz w:val="28"/>
          <w:szCs w:val="28"/>
        </w:rPr>
        <w:t>：</w:t>
      </w:r>
      <w:r>
        <w:rPr>
          <w:rFonts w:hint="eastAsia"/>
          <w:b/>
          <w:bCs/>
          <w:color w:val="auto"/>
          <w:sz w:val="28"/>
          <w:szCs w:val="28"/>
          <w:u w:val="single"/>
          <w:lang w:val="en-US" w:eastAsia="zh-CN"/>
        </w:rPr>
        <w:t xml:space="preserve">            </w:t>
      </w:r>
      <w:r>
        <w:rPr>
          <w:b/>
          <w:bCs/>
          <w:color w:val="auto"/>
          <w:sz w:val="28"/>
          <w:szCs w:val="28"/>
        </w:rPr>
        <w:t>（</w:t>
      </w:r>
      <w:r>
        <w:rPr>
          <w:rFonts w:hint="eastAsia"/>
          <w:b/>
          <w:bCs/>
          <w:color w:val="auto"/>
          <w:sz w:val="28"/>
          <w:szCs w:val="28"/>
        </w:rPr>
        <w:t>公章或电子签章</w:t>
      </w:r>
      <w:r>
        <w:rPr>
          <w:b/>
          <w:bCs/>
          <w:color w:val="auto"/>
          <w:sz w:val="28"/>
          <w:szCs w:val="28"/>
        </w:rPr>
        <w:t>）</w:t>
      </w:r>
    </w:p>
    <w:p w14:paraId="237E85F4">
      <w:pPr>
        <w:spacing w:line="360" w:lineRule="auto"/>
        <w:ind w:firstLine="1400" w:firstLineChars="500"/>
        <w:rPr>
          <w:b/>
          <w:bCs/>
          <w:color w:val="auto"/>
          <w:sz w:val="28"/>
          <w:szCs w:val="28"/>
        </w:rPr>
      </w:pPr>
      <w:r>
        <w:rPr>
          <w:b/>
          <w:bCs/>
          <w:color w:val="auto"/>
          <w:sz w:val="28"/>
          <w:szCs w:val="28"/>
        </w:rPr>
        <w:t>法定代表人或其委托代理人：</w:t>
      </w:r>
      <w:r>
        <w:rPr>
          <w:rFonts w:hint="eastAsia"/>
          <w:b/>
          <w:bCs/>
          <w:color w:val="auto"/>
          <w:sz w:val="28"/>
          <w:szCs w:val="28"/>
          <w:u w:val="single"/>
          <w:lang w:val="en-US" w:eastAsia="zh-CN"/>
        </w:rPr>
        <w:t xml:space="preserve">          </w:t>
      </w:r>
      <w:r>
        <w:rPr>
          <w:b/>
          <w:bCs/>
          <w:color w:val="auto"/>
          <w:sz w:val="28"/>
          <w:szCs w:val="28"/>
        </w:rPr>
        <w:t>（</w:t>
      </w:r>
      <w:r>
        <w:rPr>
          <w:rFonts w:hint="eastAsia"/>
          <w:b/>
          <w:bCs/>
          <w:color w:val="auto"/>
          <w:sz w:val="28"/>
          <w:szCs w:val="28"/>
        </w:rPr>
        <w:t>手写签名或电子签名</w:t>
      </w:r>
      <w:r>
        <w:rPr>
          <w:b/>
          <w:bCs/>
          <w:color w:val="auto"/>
          <w:sz w:val="28"/>
          <w:szCs w:val="28"/>
        </w:rPr>
        <w:t>）</w:t>
      </w:r>
    </w:p>
    <w:p w14:paraId="5FAB0132">
      <w:pPr>
        <w:jc w:val="center"/>
        <w:rPr>
          <w:b/>
          <w:bCs/>
          <w:color w:val="auto"/>
          <w:sz w:val="28"/>
          <w:szCs w:val="28"/>
        </w:rPr>
      </w:pPr>
      <w:r>
        <w:rPr>
          <w:b/>
          <w:bCs/>
          <w:color w:val="auto"/>
          <w:sz w:val="28"/>
          <w:szCs w:val="28"/>
        </w:rPr>
        <w:t xml:space="preserve">  年  月  日</w:t>
      </w:r>
    </w:p>
    <w:p w14:paraId="739FCFCD">
      <w:pPr>
        <w:spacing w:line="336" w:lineRule="auto"/>
        <w:ind w:right="-153" w:rightChars="-73"/>
        <w:jc w:val="center"/>
        <w:rPr>
          <w:rFonts w:ascii="宋体" w:hAnsi="宋体"/>
          <w:b/>
          <w:color w:val="auto"/>
          <w:szCs w:val="21"/>
        </w:rPr>
      </w:pPr>
    </w:p>
    <w:p w14:paraId="0B8384B0">
      <w:pPr>
        <w:spacing w:line="336" w:lineRule="auto"/>
        <w:ind w:right="-153" w:rightChars="-73"/>
        <w:jc w:val="center"/>
        <w:rPr>
          <w:rFonts w:ascii="宋体" w:hAnsi="宋体"/>
          <w:b/>
          <w:color w:val="auto"/>
          <w:szCs w:val="21"/>
        </w:rPr>
      </w:pPr>
    </w:p>
    <w:p w14:paraId="0902F144">
      <w:pPr>
        <w:spacing w:line="336" w:lineRule="auto"/>
        <w:ind w:right="-153" w:rightChars="-73"/>
        <w:rPr>
          <w:rFonts w:ascii="宋体" w:hAnsi="宋体"/>
          <w:b/>
          <w:color w:val="auto"/>
          <w:szCs w:val="21"/>
        </w:rPr>
      </w:pPr>
    </w:p>
    <w:p w14:paraId="3EDCDAC3">
      <w:pPr>
        <w:spacing w:line="336" w:lineRule="auto"/>
        <w:ind w:right="-153" w:rightChars="-73"/>
        <w:jc w:val="center"/>
        <w:rPr>
          <w:rFonts w:ascii="黑体" w:eastAsia="黑体"/>
          <w:b/>
          <w:color w:val="auto"/>
          <w:sz w:val="28"/>
          <w:szCs w:val="28"/>
        </w:rPr>
      </w:pPr>
      <w:r>
        <w:rPr>
          <w:rFonts w:hint="eastAsia" w:ascii="黑体" w:eastAsia="黑体"/>
          <w:b/>
          <w:color w:val="auto"/>
          <w:sz w:val="28"/>
          <w:szCs w:val="28"/>
        </w:rPr>
        <w:t>目录</w:t>
      </w:r>
    </w:p>
    <w:p w14:paraId="0BB46CAF">
      <w:pPr>
        <w:spacing w:line="336" w:lineRule="auto"/>
        <w:ind w:right="-153" w:rightChars="-73"/>
        <w:jc w:val="center"/>
        <w:rPr>
          <w:rFonts w:ascii="宋体" w:hAnsi="宋体" w:cs="宋体"/>
          <w:bCs/>
          <w:color w:val="auto"/>
          <w:szCs w:val="21"/>
        </w:rPr>
      </w:pPr>
      <w:r>
        <w:rPr>
          <w:rFonts w:hint="eastAsia" w:ascii="宋体" w:hAnsi="宋体" w:cs="宋体"/>
          <w:bCs/>
          <w:color w:val="auto"/>
          <w:sz w:val="18"/>
          <w:szCs w:val="18"/>
        </w:rPr>
        <w:t>（自行编页码）</w:t>
      </w:r>
    </w:p>
    <w:p w14:paraId="481382A2">
      <w:pPr>
        <w:pStyle w:val="24"/>
        <w:spacing w:line="390" w:lineRule="exact"/>
        <w:rPr>
          <w:rFonts w:hAnsi="宋体" w:cs="宋体"/>
          <w:bCs/>
          <w:color w:val="auto"/>
          <w:szCs w:val="21"/>
        </w:rPr>
      </w:pPr>
      <w:r>
        <w:rPr>
          <w:rFonts w:hint="eastAsia" w:hAnsi="宋体" w:cs="宋体"/>
          <w:bCs/>
          <w:color w:val="auto"/>
          <w:szCs w:val="21"/>
        </w:rPr>
        <w:t>（1）</w:t>
      </w:r>
      <w:r>
        <w:rPr>
          <w:rFonts w:hAnsi="宋体" w:cs="宋体"/>
          <w:bCs/>
          <w:color w:val="auto"/>
          <w:szCs w:val="21"/>
        </w:rPr>
        <w:t>主要管理人员表</w:t>
      </w:r>
    </w:p>
    <w:p w14:paraId="076806B4">
      <w:pPr>
        <w:pStyle w:val="24"/>
        <w:spacing w:line="390" w:lineRule="exact"/>
        <w:rPr>
          <w:rFonts w:hAnsi="宋体" w:cs="宋体"/>
          <w:bCs/>
          <w:color w:val="auto"/>
          <w:szCs w:val="21"/>
        </w:rPr>
      </w:pPr>
      <w:r>
        <w:rPr>
          <w:rFonts w:hint="eastAsia" w:hAnsi="宋体" w:cs="宋体"/>
          <w:bCs/>
          <w:color w:val="auto"/>
          <w:szCs w:val="21"/>
        </w:rPr>
        <w:t>（2）建设工程项目管理承诺书</w:t>
      </w:r>
    </w:p>
    <w:p w14:paraId="033694FF">
      <w:pPr>
        <w:pStyle w:val="24"/>
        <w:spacing w:line="390" w:lineRule="exact"/>
        <w:rPr>
          <w:rFonts w:hAnsi="宋体" w:cs="宋体"/>
          <w:bCs/>
          <w:color w:val="auto"/>
          <w:szCs w:val="21"/>
        </w:rPr>
      </w:pPr>
      <w:r>
        <w:rPr>
          <w:rFonts w:hint="eastAsia" w:hAnsi="宋体" w:cs="宋体"/>
          <w:bCs/>
          <w:color w:val="auto"/>
          <w:szCs w:val="21"/>
        </w:rPr>
        <w:t>（3）施工组织设计</w:t>
      </w:r>
    </w:p>
    <w:p w14:paraId="2A0D514E">
      <w:pPr>
        <w:pStyle w:val="24"/>
        <w:spacing w:line="390" w:lineRule="exact"/>
        <w:rPr>
          <w:rFonts w:hAnsi="宋体" w:cs="宋体"/>
          <w:bCs/>
          <w:color w:val="auto"/>
          <w:szCs w:val="21"/>
        </w:rPr>
      </w:pPr>
      <w:r>
        <w:rPr>
          <w:rFonts w:hint="eastAsia" w:hAnsi="宋体" w:cs="宋体"/>
          <w:bCs/>
          <w:color w:val="auto"/>
          <w:szCs w:val="21"/>
        </w:rPr>
        <w:t>（4）业绩</w:t>
      </w:r>
    </w:p>
    <w:p w14:paraId="58FE9646">
      <w:pPr>
        <w:pStyle w:val="24"/>
        <w:spacing w:line="390" w:lineRule="exact"/>
        <w:rPr>
          <w:rFonts w:hAnsi="宋体" w:cs="宋体"/>
          <w:bCs/>
          <w:color w:val="auto"/>
          <w:szCs w:val="21"/>
        </w:rPr>
      </w:pPr>
      <w:r>
        <w:rPr>
          <w:rFonts w:hint="eastAsia" w:hAnsi="宋体" w:cs="宋体"/>
          <w:bCs/>
          <w:color w:val="auto"/>
          <w:szCs w:val="21"/>
        </w:rPr>
        <w:t>（5）其他资料</w:t>
      </w:r>
    </w:p>
    <w:p w14:paraId="7B0C471C">
      <w:pPr>
        <w:spacing w:line="336" w:lineRule="auto"/>
        <w:ind w:right="-153" w:rightChars="-73"/>
        <w:jc w:val="center"/>
        <w:rPr>
          <w:rFonts w:ascii="宋体" w:hAnsi="宋体"/>
          <w:b/>
          <w:color w:val="auto"/>
          <w:szCs w:val="21"/>
        </w:rPr>
      </w:pPr>
    </w:p>
    <w:p w14:paraId="52A2A20C">
      <w:pPr>
        <w:spacing w:line="336" w:lineRule="auto"/>
        <w:ind w:right="-153" w:rightChars="-73"/>
        <w:jc w:val="center"/>
        <w:rPr>
          <w:rFonts w:ascii="宋体" w:hAnsi="宋体"/>
          <w:b/>
          <w:color w:val="auto"/>
          <w:szCs w:val="21"/>
        </w:rPr>
      </w:pPr>
    </w:p>
    <w:p w14:paraId="796A89B8">
      <w:pPr>
        <w:spacing w:line="336" w:lineRule="auto"/>
        <w:ind w:right="-153" w:rightChars="-73"/>
        <w:jc w:val="center"/>
        <w:rPr>
          <w:rFonts w:ascii="宋体" w:hAnsi="宋体"/>
          <w:b/>
          <w:color w:val="auto"/>
          <w:szCs w:val="21"/>
        </w:rPr>
      </w:pPr>
    </w:p>
    <w:p w14:paraId="6850B5B6">
      <w:pPr>
        <w:spacing w:line="336" w:lineRule="auto"/>
        <w:ind w:right="-153" w:rightChars="-73"/>
        <w:jc w:val="center"/>
        <w:rPr>
          <w:rFonts w:ascii="宋体" w:hAnsi="宋体"/>
          <w:b/>
          <w:color w:val="auto"/>
          <w:szCs w:val="21"/>
        </w:rPr>
      </w:pPr>
    </w:p>
    <w:p w14:paraId="67D99691">
      <w:pPr>
        <w:spacing w:line="336" w:lineRule="auto"/>
        <w:ind w:right="-153" w:rightChars="-73"/>
        <w:jc w:val="center"/>
        <w:rPr>
          <w:rFonts w:ascii="宋体" w:hAnsi="宋体"/>
          <w:b/>
          <w:color w:val="auto"/>
          <w:szCs w:val="21"/>
        </w:rPr>
      </w:pPr>
    </w:p>
    <w:p w14:paraId="1445BDF0">
      <w:pPr>
        <w:spacing w:line="336" w:lineRule="auto"/>
        <w:ind w:right="-153" w:rightChars="-73"/>
        <w:jc w:val="center"/>
        <w:rPr>
          <w:rFonts w:ascii="宋体" w:hAnsi="宋体"/>
          <w:b/>
          <w:color w:val="auto"/>
          <w:szCs w:val="21"/>
        </w:rPr>
      </w:pPr>
    </w:p>
    <w:p w14:paraId="35199834">
      <w:pPr>
        <w:spacing w:line="336" w:lineRule="auto"/>
        <w:ind w:right="-153" w:rightChars="-73"/>
        <w:jc w:val="center"/>
        <w:rPr>
          <w:rFonts w:ascii="宋体" w:hAnsi="宋体"/>
          <w:b/>
          <w:color w:val="auto"/>
          <w:szCs w:val="21"/>
        </w:rPr>
      </w:pPr>
    </w:p>
    <w:p w14:paraId="55C3A10A">
      <w:pPr>
        <w:pStyle w:val="18"/>
        <w:rPr>
          <w:color w:val="auto"/>
        </w:rPr>
      </w:pPr>
    </w:p>
    <w:p w14:paraId="1A298B6B">
      <w:pPr>
        <w:rPr>
          <w:rFonts w:hAnsi="宋体"/>
          <w:b/>
          <w:color w:val="auto"/>
          <w:sz w:val="28"/>
          <w:szCs w:val="28"/>
        </w:rPr>
      </w:pPr>
      <w:r>
        <w:rPr>
          <w:rFonts w:hint="eastAsia" w:hAnsi="宋体"/>
          <w:b/>
          <w:color w:val="auto"/>
          <w:sz w:val="28"/>
          <w:szCs w:val="28"/>
        </w:rPr>
        <w:br w:type="page"/>
      </w:r>
    </w:p>
    <w:p w14:paraId="1935D4E9">
      <w:pPr>
        <w:jc w:val="center"/>
        <w:outlineLvl w:val="9"/>
        <w:rPr>
          <w:rFonts w:ascii="宋体" w:hAnsi="宋体"/>
          <w:color w:val="auto"/>
          <w:sz w:val="24"/>
        </w:rPr>
      </w:pPr>
      <w:bookmarkStart w:id="1690" w:name="_Toc30633"/>
      <w:bookmarkStart w:id="1691" w:name="_Toc27475"/>
      <w:r>
        <w:rPr>
          <w:rFonts w:hint="eastAsia" w:hAnsi="宋体"/>
          <w:b/>
          <w:color w:val="auto"/>
          <w:sz w:val="28"/>
          <w:szCs w:val="28"/>
        </w:rPr>
        <w:t>一、主要管理人员表</w:t>
      </w:r>
      <w:bookmarkEnd w:id="1690"/>
      <w:bookmarkEnd w:id="1691"/>
    </w:p>
    <w:p w14:paraId="36B322DD">
      <w:pPr>
        <w:rPr>
          <w:rFonts w:ascii="宋体" w:hAnsi="宋体"/>
          <w:color w:val="auto"/>
          <w:szCs w:val="21"/>
        </w:rPr>
      </w:pPr>
    </w:p>
    <w:tbl>
      <w:tblPr>
        <w:tblStyle w:val="48"/>
        <w:tblW w:w="10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4"/>
        <w:gridCol w:w="1018"/>
        <w:gridCol w:w="5086"/>
        <w:gridCol w:w="1268"/>
        <w:gridCol w:w="1900"/>
      </w:tblGrid>
      <w:tr w14:paraId="07A16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vMerge w:val="restart"/>
            <w:noWrap/>
            <w:vAlign w:val="center"/>
          </w:tcPr>
          <w:p w14:paraId="4D2FE0BD">
            <w:pPr>
              <w:spacing w:line="360" w:lineRule="auto"/>
              <w:ind w:left="-2" w:right="-153" w:rightChars="-73"/>
              <w:jc w:val="center"/>
              <w:rPr>
                <w:rFonts w:ascii="宋体" w:hAnsi="宋体"/>
                <w:b/>
                <w:bCs/>
                <w:color w:val="auto"/>
                <w:szCs w:val="21"/>
              </w:rPr>
            </w:pPr>
            <w:r>
              <w:rPr>
                <w:rFonts w:hint="eastAsia" w:ascii="宋体" w:hAnsi="宋体"/>
                <w:b/>
                <w:bCs/>
                <w:color w:val="auto"/>
                <w:szCs w:val="21"/>
              </w:rPr>
              <w:t>岗位</w:t>
            </w:r>
          </w:p>
        </w:tc>
        <w:tc>
          <w:tcPr>
            <w:tcW w:w="1018" w:type="dxa"/>
            <w:vMerge w:val="restart"/>
            <w:noWrap/>
            <w:vAlign w:val="center"/>
          </w:tcPr>
          <w:p w14:paraId="64113254">
            <w:pPr>
              <w:spacing w:line="360" w:lineRule="auto"/>
              <w:ind w:left="-2" w:right="-153" w:rightChars="-73"/>
              <w:jc w:val="center"/>
              <w:rPr>
                <w:rFonts w:ascii="宋体" w:hAnsi="宋体"/>
                <w:b/>
                <w:bCs/>
                <w:color w:val="auto"/>
                <w:szCs w:val="21"/>
              </w:rPr>
            </w:pPr>
            <w:r>
              <w:rPr>
                <w:rFonts w:hint="eastAsia" w:ascii="宋体" w:hAnsi="宋体"/>
                <w:b/>
                <w:bCs/>
                <w:color w:val="auto"/>
                <w:szCs w:val="21"/>
              </w:rPr>
              <w:t>姓名</w:t>
            </w:r>
          </w:p>
        </w:tc>
        <w:tc>
          <w:tcPr>
            <w:tcW w:w="5086" w:type="dxa"/>
            <w:vMerge w:val="restart"/>
            <w:noWrap/>
            <w:vAlign w:val="center"/>
          </w:tcPr>
          <w:p w14:paraId="3E4BBECF">
            <w:pPr>
              <w:spacing w:line="360" w:lineRule="auto"/>
              <w:ind w:left="-2" w:right="-153" w:rightChars="-73"/>
              <w:jc w:val="center"/>
              <w:rPr>
                <w:rFonts w:ascii="宋体" w:hAnsi="宋体"/>
                <w:b/>
                <w:bCs/>
                <w:color w:val="auto"/>
                <w:szCs w:val="21"/>
              </w:rPr>
            </w:pPr>
            <w:r>
              <w:rPr>
                <w:rFonts w:hint="eastAsia" w:ascii="宋体" w:hAnsi="宋体"/>
                <w:b/>
                <w:bCs/>
                <w:color w:val="auto"/>
                <w:szCs w:val="21"/>
              </w:rPr>
              <w:t>《注册执业资格</w:t>
            </w:r>
          </w:p>
          <w:p w14:paraId="16747AB7">
            <w:pPr>
              <w:spacing w:line="360" w:lineRule="auto"/>
              <w:ind w:left="-2" w:right="-153" w:rightChars="-73"/>
              <w:jc w:val="center"/>
              <w:rPr>
                <w:rFonts w:ascii="宋体" w:hAnsi="宋体"/>
                <w:b/>
                <w:bCs/>
                <w:color w:val="auto"/>
                <w:szCs w:val="21"/>
              </w:rPr>
            </w:pPr>
            <w:r>
              <w:rPr>
                <w:rFonts w:hint="eastAsia" w:ascii="宋体" w:hAnsi="宋体"/>
                <w:b/>
                <w:bCs/>
                <w:color w:val="auto"/>
                <w:szCs w:val="21"/>
              </w:rPr>
              <w:t>（或职业或职称或岗位或培训或学历（位）证书）》</w:t>
            </w:r>
          </w:p>
        </w:tc>
        <w:tc>
          <w:tcPr>
            <w:tcW w:w="3168" w:type="dxa"/>
            <w:gridSpan w:val="2"/>
            <w:noWrap/>
            <w:vAlign w:val="center"/>
          </w:tcPr>
          <w:p w14:paraId="0A32957A">
            <w:pPr>
              <w:spacing w:line="360" w:lineRule="auto"/>
              <w:ind w:left="-2" w:right="-153" w:rightChars="-73"/>
              <w:jc w:val="center"/>
              <w:rPr>
                <w:rFonts w:ascii="宋体" w:hAnsi="宋体"/>
                <w:b/>
                <w:bCs/>
                <w:color w:val="auto"/>
                <w:szCs w:val="21"/>
              </w:rPr>
            </w:pPr>
            <w:r>
              <w:rPr>
                <w:rFonts w:hint="eastAsia" w:ascii="宋体" w:hAnsi="宋体"/>
                <w:b/>
                <w:bCs/>
                <w:color w:val="auto"/>
                <w:szCs w:val="21"/>
              </w:rPr>
              <w:t>承担完工工程情况</w:t>
            </w:r>
          </w:p>
        </w:tc>
      </w:tr>
      <w:tr w14:paraId="09656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vMerge w:val="continue"/>
            <w:noWrap/>
            <w:vAlign w:val="center"/>
          </w:tcPr>
          <w:p w14:paraId="1472D6C7">
            <w:pPr>
              <w:spacing w:line="360" w:lineRule="auto"/>
              <w:ind w:left="-2" w:right="-153" w:rightChars="-73"/>
              <w:jc w:val="center"/>
              <w:rPr>
                <w:rFonts w:ascii="宋体" w:hAnsi="宋体"/>
                <w:b/>
                <w:bCs/>
                <w:color w:val="auto"/>
                <w:szCs w:val="21"/>
              </w:rPr>
            </w:pPr>
          </w:p>
        </w:tc>
        <w:tc>
          <w:tcPr>
            <w:tcW w:w="1018" w:type="dxa"/>
            <w:vMerge w:val="continue"/>
            <w:noWrap/>
            <w:vAlign w:val="center"/>
          </w:tcPr>
          <w:p w14:paraId="6D881DB8">
            <w:pPr>
              <w:spacing w:line="360" w:lineRule="auto"/>
              <w:ind w:left="-2" w:right="-153" w:rightChars="-73"/>
              <w:jc w:val="center"/>
              <w:rPr>
                <w:rFonts w:ascii="宋体" w:hAnsi="宋体"/>
                <w:b/>
                <w:bCs/>
                <w:color w:val="auto"/>
                <w:szCs w:val="21"/>
              </w:rPr>
            </w:pPr>
          </w:p>
        </w:tc>
        <w:tc>
          <w:tcPr>
            <w:tcW w:w="5086" w:type="dxa"/>
            <w:vMerge w:val="continue"/>
            <w:noWrap/>
            <w:vAlign w:val="center"/>
          </w:tcPr>
          <w:p w14:paraId="4DDB8DE0">
            <w:pPr>
              <w:spacing w:line="360" w:lineRule="auto"/>
              <w:ind w:left="-2" w:right="-153" w:rightChars="-73"/>
              <w:jc w:val="center"/>
              <w:rPr>
                <w:rFonts w:ascii="宋体" w:hAnsi="宋体"/>
                <w:b/>
                <w:bCs/>
                <w:color w:val="auto"/>
                <w:szCs w:val="21"/>
              </w:rPr>
            </w:pPr>
          </w:p>
        </w:tc>
        <w:tc>
          <w:tcPr>
            <w:tcW w:w="1268" w:type="dxa"/>
            <w:noWrap/>
            <w:vAlign w:val="center"/>
          </w:tcPr>
          <w:p w14:paraId="0473A65B">
            <w:pPr>
              <w:spacing w:line="360" w:lineRule="auto"/>
              <w:ind w:left="-2" w:right="-153" w:rightChars="-73"/>
              <w:jc w:val="center"/>
              <w:rPr>
                <w:rFonts w:ascii="宋体" w:hAnsi="宋体"/>
                <w:b/>
                <w:bCs/>
                <w:color w:val="auto"/>
                <w:szCs w:val="21"/>
              </w:rPr>
            </w:pPr>
            <w:r>
              <w:rPr>
                <w:rFonts w:hint="eastAsia" w:ascii="宋体" w:hAnsi="宋体"/>
                <w:b/>
                <w:bCs/>
                <w:color w:val="auto"/>
                <w:szCs w:val="21"/>
              </w:rPr>
              <w:t>项目数量</w:t>
            </w:r>
          </w:p>
        </w:tc>
        <w:tc>
          <w:tcPr>
            <w:tcW w:w="1900" w:type="dxa"/>
            <w:noWrap/>
            <w:vAlign w:val="center"/>
          </w:tcPr>
          <w:p w14:paraId="1BEEA52D">
            <w:pPr>
              <w:spacing w:line="360" w:lineRule="auto"/>
              <w:ind w:left="-2" w:right="-153" w:rightChars="-73"/>
              <w:jc w:val="center"/>
              <w:rPr>
                <w:rFonts w:ascii="宋体" w:hAnsi="宋体"/>
                <w:b/>
                <w:bCs/>
                <w:color w:val="auto"/>
                <w:szCs w:val="21"/>
              </w:rPr>
            </w:pPr>
            <w:r>
              <w:rPr>
                <w:rFonts w:hint="eastAsia" w:ascii="宋体" w:hAnsi="宋体"/>
                <w:b/>
                <w:bCs/>
                <w:color w:val="auto"/>
                <w:szCs w:val="21"/>
              </w:rPr>
              <w:t>主要项目名称</w:t>
            </w:r>
          </w:p>
        </w:tc>
      </w:tr>
      <w:tr w14:paraId="7681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noWrap/>
            <w:vAlign w:val="center"/>
          </w:tcPr>
          <w:p w14:paraId="28DAAB89">
            <w:pPr>
              <w:spacing w:line="360" w:lineRule="auto"/>
              <w:ind w:left="-2" w:right="-153" w:rightChars="-73"/>
              <w:jc w:val="center"/>
              <w:rPr>
                <w:rFonts w:ascii="宋体" w:hAnsi="宋体"/>
                <w:b/>
                <w:bCs/>
                <w:color w:val="auto"/>
                <w:szCs w:val="21"/>
              </w:rPr>
            </w:pPr>
            <w:r>
              <w:rPr>
                <w:rFonts w:hint="eastAsia" w:ascii="宋体" w:hAnsi="宋体"/>
                <w:b/>
                <w:bCs/>
                <w:color w:val="auto"/>
                <w:szCs w:val="21"/>
              </w:rPr>
              <w:t>项目经理</w:t>
            </w:r>
          </w:p>
        </w:tc>
        <w:tc>
          <w:tcPr>
            <w:tcW w:w="1018" w:type="dxa"/>
            <w:noWrap/>
            <w:vAlign w:val="center"/>
          </w:tcPr>
          <w:p w14:paraId="4311B610">
            <w:pPr>
              <w:spacing w:line="360" w:lineRule="auto"/>
              <w:ind w:left="-2" w:right="-153" w:rightChars="-73"/>
              <w:jc w:val="center"/>
              <w:rPr>
                <w:rFonts w:ascii="宋体" w:hAnsi="宋体"/>
                <w:b/>
                <w:bCs/>
                <w:color w:val="auto"/>
                <w:szCs w:val="21"/>
              </w:rPr>
            </w:pPr>
          </w:p>
        </w:tc>
        <w:tc>
          <w:tcPr>
            <w:tcW w:w="5086" w:type="dxa"/>
            <w:vMerge w:val="restart"/>
            <w:noWrap/>
            <w:vAlign w:val="center"/>
          </w:tcPr>
          <w:p w14:paraId="322003CB">
            <w:pPr>
              <w:spacing w:line="360" w:lineRule="auto"/>
              <w:ind w:left="-2" w:right="-153" w:rightChars="-73"/>
              <w:jc w:val="left"/>
              <w:rPr>
                <w:rFonts w:ascii="宋体" w:hAnsi="宋体"/>
                <w:b/>
                <w:bCs/>
                <w:color w:val="auto"/>
                <w:szCs w:val="21"/>
              </w:rPr>
            </w:pPr>
            <w:r>
              <w:rPr>
                <w:rFonts w:hint="eastAsia" w:ascii="宋体" w:hAnsi="宋体"/>
                <w:b/>
                <w:bCs/>
                <w:color w:val="auto"/>
                <w:szCs w:val="21"/>
              </w:rPr>
              <w:t>◆证书名称：</w:t>
            </w:r>
          </w:p>
          <w:p w14:paraId="49CBF11C">
            <w:pPr>
              <w:spacing w:line="360" w:lineRule="auto"/>
              <w:ind w:left="-2" w:right="-153" w:rightChars="-73"/>
              <w:jc w:val="left"/>
              <w:rPr>
                <w:rFonts w:ascii="宋体" w:hAnsi="宋体"/>
                <w:b/>
                <w:bCs/>
                <w:color w:val="auto"/>
                <w:szCs w:val="21"/>
              </w:rPr>
            </w:pPr>
            <w:r>
              <w:rPr>
                <w:rFonts w:hint="eastAsia" w:ascii="宋体" w:hAnsi="宋体"/>
                <w:b/>
                <w:bCs/>
                <w:color w:val="auto"/>
                <w:szCs w:val="21"/>
              </w:rPr>
              <w:t>◆证书证号：</w:t>
            </w:r>
          </w:p>
          <w:p w14:paraId="496E6F12">
            <w:pPr>
              <w:spacing w:line="360" w:lineRule="auto"/>
              <w:ind w:left="-2" w:right="-153" w:rightChars="-73"/>
              <w:jc w:val="left"/>
              <w:rPr>
                <w:rFonts w:ascii="宋体" w:hAnsi="宋体"/>
                <w:b/>
                <w:bCs/>
                <w:color w:val="auto"/>
                <w:szCs w:val="21"/>
              </w:rPr>
            </w:pPr>
            <w:r>
              <w:rPr>
                <w:rFonts w:hint="eastAsia" w:ascii="宋体" w:hAnsi="宋体"/>
                <w:b/>
                <w:bCs/>
                <w:color w:val="auto"/>
                <w:szCs w:val="21"/>
              </w:rPr>
              <w:t>◆专业（如有）：</w:t>
            </w:r>
          </w:p>
          <w:p w14:paraId="27A6DF93">
            <w:pPr>
              <w:spacing w:line="360" w:lineRule="auto"/>
              <w:ind w:left="-2" w:right="-153" w:rightChars="-73"/>
              <w:jc w:val="left"/>
              <w:rPr>
                <w:rFonts w:ascii="宋体" w:hAnsi="宋体"/>
                <w:b/>
                <w:bCs/>
                <w:color w:val="auto"/>
                <w:szCs w:val="21"/>
              </w:rPr>
            </w:pPr>
            <w:r>
              <w:rPr>
                <w:rFonts w:hint="eastAsia" w:ascii="宋体" w:hAnsi="宋体"/>
                <w:b/>
                <w:bCs/>
                <w:color w:val="auto"/>
                <w:szCs w:val="21"/>
              </w:rPr>
              <w:t>◆专业所属类别（如有）：</w:t>
            </w:r>
          </w:p>
          <w:p w14:paraId="40D54B04">
            <w:pPr>
              <w:spacing w:line="360" w:lineRule="auto"/>
              <w:ind w:left="-2" w:right="-153" w:rightChars="-73"/>
              <w:jc w:val="left"/>
              <w:rPr>
                <w:rFonts w:ascii="宋体" w:hAnsi="宋体"/>
                <w:b/>
                <w:bCs/>
                <w:color w:val="auto"/>
                <w:szCs w:val="21"/>
              </w:rPr>
            </w:pPr>
            <w:r>
              <w:rPr>
                <w:rFonts w:hint="eastAsia" w:ascii="宋体" w:hAnsi="宋体"/>
                <w:b/>
                <w:bCs/>
                <w:color w:val="auto"/>
                <w:szCs w:val="21"/>
              </w:rPr>
              <w:t>◆授予（或签发或批准或发证）日期：</w:t>
            </w:r>
          </w:p>
        </w:tc>
        <w:tc>
          <w:tcPr>
            <w:tcW w:w="1268" w:type="dxa"/>
            <w:noWrap/>
            <w:vAlign w:val="center"/>
          </w:tcPr>
          <w:p w14:paraId="40B3FA0C">
            <w:pPr>
              <w:spacing w:line="360" w:lineRule="auto"/>
              <w:ind w:left="-2" w:right="-153" w:rightChars="-73"/>
              <w:jc w:val="center"/>
              <w:rPr>
                <w:rFonts w:ascii="宋体" w:hAnsi="宋体"/>
                <w:b/>
                <w:bCs/>
                <w:color w:val="auto"/>
                <w:szCs w:val="21"/>
              </w:rPr>
            </w:pPr>
          </w:p>
        </w:tc>
        <w:tc>
          <w:tcPr>
            <w:tcW w:w="1900" w:type="dxa"/>
            <w:noWrap/>
            <w:vAlign w:val="center"/>
          </w:tcPr>
          <w:p w14:paraId="7202BF87">
            <w:pPr>
              <w:spacing w:line="360" w:lineRule="auto"/>
              <w:ind w:left="-2" w:right="-153" w:rightChars="-73"/>
              <w:jc w:val="center"/>
              <w:rPr>
                <w:rFonts w:ascii="宋体" w:hAnsi="宋体"/>
                <w:b/>
                <w:bCs/>
                <w:color w:val="auto"/>
                <w:szCs w:val="21"/>
              </w:rPr>
            </w:pPr>
          </w:p>
        </w:tc>
      </w:tr>
      <w:tr w14:paraId="2F837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noWrap/>
            <w:vAlign w:val="center"/>
          </w:tcPr>
          <w:p w14:paraId="2B382647">
            <w:pPr>
              <w:spacing w:line="360" w:lineRule="auto"/>
              <w:ind w:left="-2" w:right="-153" w:rightChars="-73"/>
              <w:jc w:val="center"/>
              <w:rPr>
                <w:rFonts w:ascii="宋体" w:hAnsi="宋体"/>
                <w:b/>
                <w:bCs/>
                <w:color w:val="auto"/>
                <w:szCs w:val="21"/>
              </w:rPr>
            </w:pPr>
            <w:r>
              <w:rPr>
                <w:rFonts w:hint="eastAsia" w:ascii="宋体" w:hAnsi="宋体"/>
                <w:b/>
                <w:bCs/>
                <w:color w:val="auto"/>
                <w:szCs w:val="21"/>
              </w:rPr>
              <w:t>技术负责人</w:t>
            </w:r>
          </w:p>
        </w:tc>
        <w:tc>
          <w:tcPr>
            <w:tcW w:w="1018" w:type="dxa"/>
            <w:noWrap/>
            <w:vAlign w:val="center"/>
          </w:tcPr>
          <w:p w14:paraId="52BB7776">
            <w:pPr>
              <w:spacing w:line="360" w:lineRule="auto"/>
              <w:ind w:left="-2" w:right="-153" w:rightChars="-73"/>
              <w:jc w:val="center"/>
              <w:rPr>
                <w:rFonts w:ascii="宋体" w:hAnsi="宋体"/>
                <w:b/>
                <w:bCs/>
                <w:color w:val="auto"/>
                <w:szCs w:val="21"/>
              </w:rPr>
            </w:pPr>
          </w:p>
        </w:tc>
        <w:tc>
          <w:tcPr>
            <w:tcW w:w="5086" w:type="dxa"/>
            <w:vMerge w:val="continue"/>
            <w:noWrap/>
            <w:vAlign w:val="center"/>
          </w:tcPr>
          <w:p w14:paraId="59F8F1C8">
            <w:pPr>
              <w:spacing w:line="360" w:lineRule="auto"/>
              <w:ind w:left="-2" w:right="-153" w:rightChars="-73"/>
              <w:jc w:val="center"/>
              <w:rPr>
                <w:rFonts w:ascii="宋体" w:hAnsi="宋体"/>
                <w:b/>
                <w:bCs/>
                <w:color w:val="auto"/>
                <w:szCs w:val="21"/>
              </w:rPr>
            </w:pPr>
          </w:p>
        </w:tc>
        <w:tc>
          <w:tcPr>
            <w:tcW w:w="1268" w:type="dxa"/>
            <w:noWrap/>
            <w:vAlign w:val="center"/>
          </w:tcPr>
          <w:p w14:paraId="7FFCB718">
            <w:pPr>
              <w:spacing w:line="360" w:lineRule="auto"/>
              <w:ind w:left="-2" w:right="-153" w:rightChars="-73"/>
              <w:jc w:val="center"/>
              <w:rPr>
                <w:rFonts w:ascii="宋体" w:hAnsi="宋体"/>
                <w:b/>
                <w:bCs/>
                <w:color w:val="auto"/>
                <w:szCs w:val="21"/>
              </w:rPr>
            </w:pPr>
          </w:p>
        </w:tc>
        <w:tc>
          <w:tcPr>
            <w:tcW w:w="1900" w:type="dxa"/>
            <w:noWrap/>
            <w:vAlign w:val="center"/>
          </w:tcPr>
          <w:p w14:paraId="3ACA08EE">
            <w:pPr>
              <w:spacing w:line="360" w:lineRule="auto"/>
              <w:ind w:left="-2" w:right="-153" w:rightChars="-73"/>
              <w:jc w:val="center"/>
              <w:rPr>
                <w:rFonts w:ascii="宋体" w:hAnsi="宋体"/>
                <w:b/>
                <w:bCs/>
                <w:color w:val="auto"/>
                <w:szCs w:val="21"/>
              </w:rPr>
            </w:pPr>
          </w:p>
        </w:tc>
      </w:tr>
      <w:tr w14:paraId="721C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noWrap/>
            <w:vAlign w:val="center"/>
          </w:tcPr>
          <w:p w14:paraId="29A30D7C">
            <w:pPr>
              <w:spacing w:line="360" w:lineRule="auto"/>
              <w:ind w:left="-2" w:right="-153" w:rightChars="-73"/>
              <w:jc w:val="center"/>
              <w:rPr>
                <w:rFonts w:ascii="宋体" w:hAnsi="宋体"/>
                <w:b/>
                <w:bCs/>
                <w:color w:val="auto"/>
                <w:szCs w:val="21"/>
              </w:rPr>
            </w:pPr>
            <w:r>
              <w:rPr>
                <w:rFonts w:hint="eastAsia" w:ascii="宋体" w:hAnsi="宋体"/>
                <w:b/>
                <w:bCs/>
                <w:color w:val="auto"/>
                <w:szCs w:val="21"/>
              </w:rPr>
              <w:t>施工员</w:t>
            </w:r>
          </w:p>
        </w:tc>
        <w:tc>
          <w:tcPr>
            <w:tcW w:w="1018" w:type="dxa"/>
            <w:noWrap/>
            <w:vAlign w:val="center"/>
          </w:tcPr>
          <w:p w14:paraId="3316C172">
            <w:pPr>
              <w:spacing w:line="360" w:lineRule="auto"/>
              <w:ind w:left="-2" w:right="-153" w:rightChars="-73"/>
              <w:jc w:val="center"/>
              <w:rPr>
                <w:rFonts w:ascii="宋体" w:hAnsi="宋体"/>
                <w:b/>
                <w:bCs/>
                <w:color w:val="auto"/>
                <w:szCs w:val="21"/>
              </w:rPr>
            </w:pPr>
          </w:p>
        </w:tc>
        <w:tc>
          <w:tcPr>
            <w:tcW w:w="5086" w:type="dxa"/>
            <w:vMerge w:val="continue"/>
            <w:noWrap/>
            <w:vAlign w:val="center"/>
          </w:tcPr>
          <w:p w14:paraId="2A5A3B56">
            <w:pPr>
              <w:spacing w:line="360" w:lineRule="auto"/>
              <w:ind w:left="-2" w:right="-153" w:rightChars="-73"/>
              <w:jc w:val="center"/>
              <w:rPr>
                <w:rFonts w:ascii="宋体" w:hAnsi="宋体"/>
                <w:b/>
                <w:bCs/>
                <w:color w:val="auto"/>
                <w:szCs w:val="21"/>
              </w:rPr>
            </w:pPr>
          </w:p>
        </w:tc>
        <w:tc>
          <w:tcPr>
            <w:tcW w:w="1268" w:type="dxa"/>
            <w:noWrap/>
            <w:vAlign w:val="center"/>
          </w:tcPr>
          <w:p w14:paraId="63679FD7">
            <w:pPr>
              <w:spacing w:line="360" w:lineRule="auto"/>
              <w:ind w:left="-2" w:right="-153" w:rightChars="-73"/>
              <w:jc w:val="center"/>
              <w:rPr>
                <w:rFonts w:ascii="宋体" w:hAnsi="宋体"/>
                <w:b/>
                <w:bCs/>
                <w:color w:val="auto"/>
                <w:szCs w:val="21"/>
              </w:rPr>
            </w:pPr>
          </w:p>
        </w:tc>
        <w:tc>
          <w:tcPr>
            <w:tcW w:w="1900" w:type="dxa"/>
            <w:noWrap/>
            <w:vAlign w:val="center"/>
          </w:tcPr>
          <w:p w14:paraId="1DD9A655">
            <w:pPr>
              <w:spacing w:line="360" w:lineRule="auto"/>
              <w:ind w:left="-2" w:right="-153" w:rightChars="-73"/>
              <w:jc w:val="center"/>
              <w:rPr>
                <w:rFonts w:ascii="宋体" w:hAnsi="宋体"/>
                <w:b/>
                <w:bCs/>
                <w:color w:val="auto"/>
                <w:szCs w:val="21"/>
              </w:rPr>
            </w:pPr>
          </w:p>
        </w:tc>
      </w:tr>
      <w:tr w14:paraId="4A239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noWrap/>
            <w:vAlign w:val="center"/>
          </w:tcPr>
          <w:p w14:paraId="6CE54C20">
            <w:pPr>
              <w:spacing w:line="360" w:lineRule="auto"/>
              <w:ind w:left="-2" w:right="-153" w:rightChars="-73"/>
              <w:jc w:val="center"/>
              <w:rPr>
                <w:rFonts w:ascii="宋体" w:hAnsi="宋体"/>
                <w:b/>
                <w:bCs/>
                <w:color w:val="auto"/>
                <w:szCs w:val="21"/>
              </w:rPr>
            </w:pPr>
            <w:r>
              <w:rPr>
                <w:rFonts w:hint="eastAsia" w:ascii="宋体" w:hAnsi="宋体"/>
                <w:b/>
                <w:bCs/>
                <w:color w:val="auto"/>
                <w:szCs w:val="21"/>
              </w:rPr>
              <w:t>质量员</w:t>
            </w:r>
          </w:p>
        </w:tc>
        <w:tc>
          <w:tcPr>
            <w:tcW w:w="1018" w:type="dxa"/>
            <w:noWrap/>
            <w:vAlign w:val="center"/>
          </w:tcPr>
          <w:p w14:paraId="6721B194">
            <w:pPr>
              <w:spacing w:line="360" w:lineRule="auto"/>
              <w:ind w:left="-2" w:right="-153" w:rightChars="-73"/>
              <w:jc w:val="center"/>
              <w:rPr>
                <w:rFonts w:ascii="宋体" w:hAnsi="宋体"/>
                <w:b/>
                <w:bCs/>
                <w:color w:val="auto"/>
                <w:szCs w:val="21"/>
              </w:rPr>
            </w:pPr>
          </w:p>
        </w:tc>
        <w:tc>
          <w:tcPr>
            <w:tcW w:w="5086" w:type="dxa"/>
            <w:vMerge w:val="continue"/>
            <w:noWrap/>
            <w:vAlign w:val="center"/>
          </w:tcPr>
          <w:p w14:paraId="02076CC3">
            <w:pPr>
              <w:spacing w:line="360" w:lineRule="auto"/>
              <w:ind w:left="-2" w:right="-153" w:rightChars="-73"/>
              <w:jc w:val="center"/>
              <w:rPr>
                <w:rFonts w:ascii="宋体" w:hAnsi="宋体"/>
                <w:b/>
                <w:bCs/>
                <w:color w:val="auto"/>
                <w:szCs w:val="21"/>
              </w:rPr>
            </w:pPr>
          </w:p>
        </w:tc>
        <w:tc>
          <w:tcPr>
            <w:tcW w:w="1268" w:type="dxa"/>
            <w:noWrap/>
            <w:vAlign w:val="center"/>
          </w:tcPr>
          <w:p w14:paraId="75BDDB24">
            <w:pPr>
              <w:spacing w:line="360" w:lineRule="auto"/>
              <w:ind w:left="-2" w:right="-153" w:rightChars="-73"/>
              <w:jc w:val="center"/>
              <w:rPr>
                <w:rFonts w:ascii="宋体" w:hAnsi="宋体"/>
                <w:b/>
                <w:bCs/>
                <w:color w:val="auto"/>
                <w:szCs w:val="21"/>
              </w:rPr>
            </w:pPr>
          </w:p>
        </w:tc>
        <w:tc>
          <w:tcPr>
            <w:tcW w:w="1900" w:type="dxa"/>
            <w:noWrap/>
            <w:vAlign w:val="center"/>
          </w:tcPr>
          <w:p w14:paraId="2808AA1A">
            <w:pPr>
              <w:spacing w:line="360" w:lineRule="auto"/>
              <w:ind w:left="-2" w:right="-153" w:rightChars="-73"/>
              <w:jc w:val="center"/>
              <w:rPr>
                <w:rFonts w:ascii="宋体" w:hAnsi="宋体"/>
                <w:b/>
                <w:bCs/>
                <w:color w:val="auto"/>
                <w:szCs w:val="21"/>
              </w:rPr>
            </w:pPr>
          </w:p>
        </w:tc>
      </w:tr>
      <w:tr w14:paraId="0A3B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noWrap/>
            <w:vAlign w:val="center"/>
          </w:tcPr>
          <w:p w14:paraId="1211FA10">
            <w:pPr>
              <w:spacing w:line="360" w:lineRule="auto"/>
              <w:ind w:left="-2" w:right="-153" w:rightChars="-73"/>
              <w:jc w:val="center"/>
              <w:rPr>
                <w:rFonts w:ascii="宋体" w:hAnsi="宋体"/>
                <w:b/>
                <w:bCs/>
                <w:color w:val="auto"/>
                <w:szCs w:val="21"/>
              </w:rPr>
            </w:pPr>
            <w:r>
              <w:rPr>
                <w:rFonts w:hint="eastAsia" w:ascii="宋体" w:hAnsi="宋体"/>
                <w:b/>
                <w:bCs/>
                <w:color w:val="auto"/>
                <w:szCs w:val="21"/>
              </w:rPr>
              <w:t>安全员</w:t>
            </w:r>
          </w:p>
        </w:tc>
        <w:tc>
          <w:tcPr>
            <w:tcW w:w="1018" w:type="dxa"/>
            <w:noWrap/>
            <w:vAlign w:val="center"/>
          </w:tcPr>
          <w:p w14:paraId="0AC1502C">
            <w:pPr>
              <w:spacing w:line="360" w:lineRule="auto"/>
              <w:ind w:left="-2" w:right="-153" w:rightChars="-73"/>
              <w:jc w:val="center"/>
              <w:rPr>
                <w:rFonts w:ascii="宋体" w:hAnsi="宋体"/>
                <w:b/>
                <w:bCs/>
                <w:color w:val="auto"/>
                <w:szCs w:val="21"/>
              </w:rPr>
            </w:pPr>
          </w:p>
        </w:tc>
        <w:tc>
          <w:tcPr>
            <w:tcW w:w="5086" w:type="dxa"/>
            <w:vMerge w:val="continue"/>
            <w:noWrap/>
            <w:vAlign w:val="center"/>
          </w:tcPr>
          <w:p w14:paraId="0E11F6C8">
            <w:pPr>
              <w:spacing w:line="360" w:lineRule="auto"/>
              <w:ind w:left="-2" w:right="-153" w:rightChars="-73"/>
              <w:jc w:val="center"/>
              <w:rPr>
                <w:rFonts w:ascii="宋体" w:hAnsi="宋体"/>
                <w:b/>
                <w:bCs/>
                <w:color w:val="auto"/>
                <w:szCs w:val="21"/>
              </w:rPr>
            </w:pPr>
          </w:p>
        </w:tc>
        <w:tc>
          <w:tcPr>
            <w:tcW w:w="1268" w:type="dxa"/>
            <w:noWrap/>
            <w:vAlign w:val="center"/>
          </w:tcPr>
          <w:p w14:paraId="0C819CED">
            <w:pPr>
              <w:spacing w:line="360" w:lineRule="auto"/>
              <w:ind w:left="-2" w:right="-153" w:rightChars="-73"/>
              <w:jc w:val="center"/>
              <w:rPr>
                <w:rFonts w:ascii="宋体" w:hAnsi="宋体"/>
                <w:b/>
                <w:bCs/>
                <w:color w:val="auto"/>
                <w:szCs w:val="21"/>
              </w:rPr>
            </w:pPr>
          </w:p>
        </w:tc>
        <w:tc>
          <w:tcPr>
            <w:tcW w:w="1900" w:type="dxa"/>
            <w:noWrap/>
            <w:vAlign w:val="center"/>
          </w:tcPr>
          <w:p w14:paraId="6D217197">
            <w:pPr>
              <w:spacing w:line="360" w:lineRule="auto"/>
              <w:ind w:left="-2" w:right="-153" w:rightChars="-73"/>
              <w:jc w:val="center"/>
              <w:rPr>
                <w:rFonts w:ascii="宋体" w:hAnsi="宋体"/>
                <w:b/>
                <w:bCs/>
                <w:color w:val="auto"/>
                <w:szCs w:val="21"/>
              </w:rPr>
            </w:pPr>
          </w:p>
        </w:tc>
      </w:tr>
      <w:tr w14:paraId="3266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noWrap/>
            <w:vAlign w:val="center"/>
          </w:tcPr>
          <w:p w14:paraId="337D38BD">
            <w:pPr>
              <w:spacing w:line="360" w:lineRule="auto"/>
              <w:ind w:left="-2" w:right="-153" w:rightChars="-73"/>
              <w:jc w:val="center"/>
              <w:rPr>
                <w:rFonts w:ascii="宋体" w:hAnsi="宋体"/>
                <w:b/>
                <w:bCs/>
                <w:color w:val="auto"/>
                <w:szCs w:val="21"/>
              </w:rPr>
            </w:pPr>
            <w:r>
              <w:rPr>
                <w:rFonts w:hint="eastAsia" w:ascii="宋体" w:hAnsi="宋体"/>
                <w:b/>
                <w:bCs/>
                <w:color w:val="auto"/>
                <w:szCs w:val="21"/>
              </w:rPr>
              <w:t>材料员</w:t>
            </w:r>
          </w:p>
        </w:tc>
        <w:tc>
          <w:tcPr>
            <w:tcW w:w="1018" w:type="dxa"/>
            <w:noWrap/>
            <w:vAlign w:val="center"/>
          </w:tcPr>
          <w:p w14:paraId="32A107E8">
            <w:pPr>
              <w:spacing w:line="360" w:lineRule="auto"/>
              <w:ind w:left="-2" w:right="-153" w:rightChars="-73"/>
              <w:jc w:val="center"/>
              <w:rPr>
                <w:rFonts w:ascii="宋体" w:hAnsi="宋体"/>
                <w:b/>
                <w:bCs/>
                <w:color w:val="auto"/>
                <w:szCs w:val="21"/>
              </w:rPr>
            </w:pPr>
          </w:p>
        </w:tc>
        <w:tc>
          <w:tcPr>
            <w:tcW w:w="5086" w:type="dxa"/>
            <w:vMerge w:val="continue"/>
            <w:noWrap/>
            <w:vAlign w:val="center"/>
          </w:tcPr>
          <w:p w14:paraId="75A4CEC7">
            <w:pPr>
              <w:spacing w:line="360" w:lineRule="auto"/>
              <w:ind w:left="-2" w:right="-153" w:rightChars="-73"/>
              <w:jc w:val="center"/>
              <w:rPr>
                <w:rFonts w:ascii="宋体" w:hAnsi="宋体"/>
                <w:b/>
                <w:bCs/>
                <w:color w:val="auto"/>
                <w:szCs w:val="21"/>
              </w:rPr>
            </w:pPr>
          </w:p>
        </w:tc>
        <w:tc>
          <w:tcPr>
            <w:tcW w:w="1268" w:type="dxa"/>
            <w:noWrap/>
            <w:vAlign w:val="center"/>
          </w:tcPr>
          <w:p w14:paraId="16B07E30">
            <w:pPr>
              <w:spacing w:line="360" w:lineRule="auto"/>
              <w:ind w:left="-2" w:right="-153" w:rightChars="-73"/>
              <w:jc w:val="center"/>
              <w:rPr>
                <w:rFonts w:ascii="宋体" w:hAnsi="宋体"/>
                <w:b/>
                <w:bCs/>
                <w:color w:val="auto"/>
                <w:szCs w:val="21"/>
              </w:rPr>
            </w:pPr>
          </w:p>
        </w:tc>
        <w:tc>
          <w:tcPr>
            <w:tcW w:w="1900" w:type="dxa"/>
            <w:noWrap/>
            <w:vAlign w:val="center"/>
          </w:tcPr>
          <w:p w14:paraId="0DE0B2E4">
            <w:pPr>
              <w:spacing w:line="360" w:lineRule="auto"/>
              <w:ind w:left="-2" w:right="-153" w:rightChars="-73"/>
              <w:jc w:val="center"/>
              <w:rPr>
                <w:rFonts w:ascii="宋体" w:hAnsi="宋体"/>
                <w:b/>
                <w:bCs/>
                <w:color w:val="auto"/>
                <w:szCs w:val="21"/>
              </w:rPr>
            </w:pPr>
          </w:p>
        </w:tc>
      </w:tr>
      <w:tr w14:paraId="69FF8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noWrap/>
            <w:vAlign w:val="center"/>
          </w:tcPr>
          <w:p w14:paraId="7E946EE7">
            <w:pPr>
              <w:spacing w:line="360" w:lineRule="auto"/>
              <w:ind w:left="-2" w:right="-153" w:rightChars="-73"/>
              <w:jc w:val="center"/>
              <w:rPr>
                <w:rFonts w:ascii="宋体" w:hAnsi="宋体"/>
                <w:b/>
                <w:bCs/>
                <w:color w:val="auto"/>
                <w:szCs w:val="21"/>
              </w:rPr>
            </w:pPr>
            <w:r>
              <w:rPr>
                <w:rFonts w:hint="eastAsia" w:ascii="宋体" w:hAnsi="宋体"/>
                <w:b/>
                <w:bCs/>
                <w:color w:val="auto"/>
                <w:szCs w:val="21"/>
              </w:rPr>
              <w:t>......</w:t>
            </w:r>
          </w:p>
        </w:tc>
        <w:tc>
          <w:tcPr>
            <w:tcW w:w="1018" w:type="dxa"/>
            <w:noWrap/>
            <w:vAlign w:val="center"/>
          </w:tcPr>
          <w:p w14:paraId="0A00558A">
            <w:pPr>
              <w:spacing w:line="360" w:lineRule="auto"/>
              <w:ind w:left="-2" w:right="-153" w:rightChars="-73"/>
              <w:jc w:val="center"/>
              <w:rPr>
                <w:rFonts w:ascii="宋体" w:hAnsi="宋体"/>
                <w:b/>
                <w:bCs/>
                <w:color w:val="auto"/>
                <w:szCs w:val="21"/>
              </w:rPr>
            </w:pPr>
          </w:p>
        </w:tc>
        <w:tc>
          <w:tcPr>
            <w:tcW w:w="5086" w:type="dxa"/>
            <w:vMerge w:val="continue"/>
            <w:noWrap/>
            <w:vAlign w:val="center"/>
          </w:tcPr>
          <w:p w14:paraId="316CA60C">
            <w:pPr>
              <w:spacing w:line="360" w:lineRule="auto"/>
              <w:ind w:left="-2" w:right="-153" w:rightChars="-73"/>
              <w:jc w:val="center"/>
              <w:rPr>
                <w:rFonts w:ascii="宋体" w:hAnsi="宋体"/>
                <w:b/>
                <w:bCs/>
                <w:color w:val="auto"/>
                <w:szCs w:val="21"/>
              </w:rPr>
            </w:pPr>
          </w:p>
        </w:tc>
        <w:tc>
          <w:tcPr>
            <w:tcW w:w="1268" w:type="dxa"/>
            <w:noWrap/>
            <w:vAlign w:val="center"/>
          </w:tcPr>
          <w:p w14:paraId="1476E60E">
            <w:pPr>
              <w:spacing w:line="360" w:lineRule="auto"/>
              <w:ind w:left="-2" w:right="-153" w:rightChars="-73"/>
              <w:jc w:val="center"/>
              <w:rPr>
                <w:rFonts w:ascii="宋体" w:hAnsi="宋体"/>
                <w:b/>
                <w:bCs/>
                <w:color w:val="auto"/>
                <w:szCs w:val="21"/>
              </w:rPr>
            </w:pPr>
          </w:p>
        </w:tc>
        <w:tc>
          <w:tcPr>
            <w:tcW w:w="1900" w:type="dxa"/>
            <w:noWrap/>
            <w:vAlign w:val="center"/>
          </w:tcPr>
          <w:p w14:paraId="0B2128C5">
            <w:pPr>
              <w:spacing w:line="360" w:lineRule="auto"/>
              <w:ind w:left="-2" w:right="-153" w:rightChars="-73"/>
              <w:jc w:val="center"/>
              <w:rPr>
                <w:rFonts w:ascii="宋体" w:hAnsi="宋体"/>
                <w:b/>
                <w:bCs/>
                <w:color w:val="auto"/>
                <w:szCs w:val="21"/>
              </w:rPr>
            </w:pPr>
          </w:p>
        </w:tc>
      </w:tr>
      <w:tr w14:paraId="783C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 w:hRule="atLeast"/>
          <w:jc w:val="center"/>
        </w:trPr>
        <w:tc>
          <w:tcPr>
            <w:tcW w:w="10496" w:type="dxa"/>
            <w:gridSpan w:val="5"/>
            <w:noWrap/>
            <w:vAlign w:val="center"/>
          </w:tcPr>
          <w:p w14:paraId="31E4FCDD">
            <w:pPr>
              <w:spacing w:line="360" w:lineRule="auto"/>
              <w:ind w:left="-2" w:right="-153" w:rightChars="-73"/>
              <w:jc w:val="left"/>
              <w:rPr>
                <w:rFonts w:ascii="宋体" w:hAnsi="宋体"/>
                <w:color w:val="auto"/>
                <w:szCs w:val="21"/>
              </w:rPr>
            </w:pPr>
            <w:r>
              <w:rPr>
                <w:rFonts w:hint="eastAsia" w:ascii="宋体" w:hAnsi="宋体"/>
                <w:color w:val="auto"/>
                <w:szCs w:val="21"/>
              </w:rPr>
              <w:t>一旦我单位成交，将实行项目经理负责制，我方保证并配备上述项目管理机构。上述填报内容真实，若不真实，</w:t>
            </w:r>
          </w:p>
          <w:p w14:paraId="10CD9DA4">
            <w:pPr>
              <w:spacing w:line="360" w:lineRule="auto"/>
              <w:ind w:left="-2" w:right="-153" w:rightChars="-73"/>
              <w:jc w:val="left"/>
              <w:rPr>
                <w:rFonts w:ascii="宋体" w:hAnsi="宋体"/>
                <w:b/>
                <w:bCs/>
                <w:color w:val="auto"/>
                <w:szCs w:val="21"/>
              </w:rPr>
            </w:pPr>
            <w:r>
              <w:rPr>
                <w:rFonts w:hint="eastAsia" w:ascii="宋体" w:hAnsi="宋体"/>
                <w:color w:val="auto"/>
                <w:szCs w:val="21"/>
              </w:rPr>
              <w:t>愿按有关规定接受处理。</w:t>
            </w:r>
          </w:p>
        </w:tc>
      </w:tr>
    </w:tbl>
    <w:p w14:paraId="6200156B">
      <w:pPr>
        <w:spacing w:line="360" w:lineRule="auto"/>
        <w:ind w:left="-2" w:right="-153" w:rightChars="-73"/>
        <w:rPr>
          <w:color w:val="auto"/>
        </w:rPr>
      </w:pPr>
      <w:r>
        <w:rPr>
          <w:rFonts w:hint="eastAsia" w:ascii="宋体" w:hAnsi="宋体"/>
          <w:b/>
          <w:bCs/>
          <w:color w:val="auto"/>
          <w:szCs w:val="21"/>
        </w:rPr>
        <w:t>附：</w:t>
      </w:r>
      <w:r>
        <w:rPr>
          <w:rFonts w:hint="eastAsia" w:ascii="宋体" w:hAnsi="宋体"/>
          <w:color w:val="auto"/>
          <w:szCs w:val="21"/>
        </w:rPr>
        <w:t>①项目经理（注册建造师）简历表（格式）；</w:t>
      </w:r>
    </w:p>
    <w:p w14:paraId="2061A780">
      <w:pPr>
        <w:spacing w:line="360" w:lineRule="auto"/>
        <w:ind w:left="-2" w:right="-153" w:rightChars="-73" w:firstLine="420" w:firstLineChars="200"/>
        <w:rPr>
          <w:color w:val="auto"/>
        </w:rPr>
      </w:pPr>
      <w:r>
        <w:rPr>
          <w:rFonts w:hint="eastAsia" w:ascii="宋体" w:hAnsi="宋体" w:cs="宋体"/>
          <w:color w:val="auto"/>
          <w:szCs w:val="21"/>
        </w:rPr>
        <w:t>②项目技术负责人简历表（格式）；</w:t>
      </w:r>
    </w:p>
    <w:p w14:paraId="6E0B1473">
      <w:pPr>
        <w:spacing w:line="360" w:lineRule="auto"/>
        <w:ind w:left="-2" w:right="-153" w:rightChars="-73" w:firstLine="420" w:firstLineChars="200"/>
        <w:rPr>
          <w:rFonts w:ascii="宋体" w:hAnsi="宋体"/>
          <w:color w:val="auto"/>
          <w:szCs w:val="21"/>
        </w:rPr>
      </w:pPr>
      <w:r>
        <w:rPr>
          <w:rFonts w:hint="eastAsia" w:ascii="宋体" w:hAnsi="宋体" w:cs="宋体"/>
          <w:color w:val="auto"/>
          <w:szCs w:val="21"/>
        </w:rPr>
        <w:t>③其他主要人员应附岗位证书、身份证、职称证（若有）等扫描件</w:t>
      </w:r>
      <w:r>
        <w:rPr>
          <w:rFonts w:hint="eastAsia" w:ascii="宋体" w:hAnsi="宋体"/>
          <w:color w:val="auto"/>
          <w:szCs w:val="21"/>
        </w:rPr>
        <w:t>；</w:t>
      </w:r>
    </w:p>
    <w:p w14:paraId="6D9C474A">
      <w:pPr>
        <w:spacing w:line="360" w:lineRule="auto"/>
        <w:ind w:left="-2" w:right="-153" w:rightChars="-73" w:firstLine="420" w:firstLineChars="200"/>
        <w:rPr>
          <w:rFonts w:ascii="宋体" w:hAnsi="宋体" w:cs="宋体"/>
          <w:color w:val="auto"/>
          <w:szCs w:val="21"/>
        </w:rPr>
      </w:pPr>
      <w:r>
        <w:rPr>
          <w:rFonts w:hint="eastAsia" w:ascii="宋体" w:hAnsi="宋体"/>
          <w:color w:val="auto"/>
          <w:szCs w:val="21"/>
        </w:rPr>
        <w:t>④拟投入所有人员</w:t>
      </w:r>
      <w:r>
        <w:rPr>
          <w:rFonts w:hint="eastAsia" w:ascii="宋体" w:hAnsi="宋体" w:cs="宋体"/>
          <w:color w:val="auto"/>
          <w:szCs w:val="21"/>
        </w:rPr>
        <w:t>现任职单位为其缴纳的</w:t>
      </w:r>
      <w:r>
        <w:rPr>
          <w:rFonts w:hint="eastAsia" w:ascii="宋体" w:hAnsi="宋体" w:cs="宋体"/>
          <w:b/>
          <w:bCs/>
          <w:color w:val="auto"/>
          <w:szCs w:val="21"/>
          <w:lang w:eastAsia="zh-CN"/>
        </w:rPr>
        <w:t>磋商截止之日前半年内任意一个月</w:t>
      </w:r>
      <w:r>
        <w:rPr>
          <w:rFonts w:hint="eastAsia" w:ascii="宋体" w:hAnsi="宋体" w:cs="宋体"/>
          <w:color w:val="auto"/>
          <w:szCs w:val="21"/>
        </w:rPr>
        <w:t>的依法缴纳社保费的缴费凭证（格式自拟，扫描件，必须提供）；无缴费记录的，应提供由投标人所在地社保部门出具的《依法缴纳或依法免缴社保费证明》（格式自拟，扫描件）。</w:t>
      </w:r>
    </w:p>
    <w:p w14:paraId="3401A6DA">
      <w:pPr>
        <w:pStyle w:val="69"/>
        <w:rPr>
          <w:rFonts w:hAnsi="宋体" w:cs="Times New Roman"/>
          <w:b/>
          <w:color w:val="auto"/>
          <w:u w:val="single"/>
        </w:rPr>
      </w:pPr>
    </w:p>
    <w:p w14:paraId="5FCC646D">
      <w:pPr>
        <w:pStyle w:val="69"/>
        <w:rPr>
          <w:color w:val="auto"/>
        </w:rPr>
      </w:pPr>
      <w:r>
        <w:rPr>
          <w:rFonts w:hint="eastAsia" w:hAnsi="宋体" w:cs="Times New Roman"/>
          <w:b/>
          <w:color w:val="auto"/>
          <w:u w:val="single"/>
        </w:rPr>
        <w:t>注：文件 《一、主要管理人员表 》中所有提及的证件材料属于复印件的扫描件的，必须加盖供应商电子公章，否则响应文件按无效响应处理。</w:t>
      </w:r>
    </w:p>
    <w:p w14:paraId="0D7A0BAA">
      <w:pPr>
        <w:widowControl/>
        <w:spacing w:line="300" w:lineRule="exact"/>
        <w:ind w:right="-147" w:rightChars="-70"/>
        <w:outlineLvl w:val="9"/>
        <w:rPr>
          <w:rFonts w:ascii="宋体" w:hAnsi="宋体"/>
          <w:color w:val="auto"/>
          <w:szCs w:val="21"/>
        </w:rPr>
      </w:pPr>
      <w:r>
        <w:rPr>
          <w:rFonts w:hint="eastAsia" w:ascii="宋体" w:hAnsi="宋体"/>
          <w:color w:val="auto"/>
          <w:szCs w:val="21"/>
        </w:rPr>
        <w:br w:type="page"/>
      </w:r>
      <w:r>
        <w:rPr>
          <w:rFonts w:hint="eastAsia" w:ascii="宋体" w:hAnsi="宋体"/>
          <w:color w:val="auto"/>
          <w:szCs w:val="21"/>
        </w:rPr>
        <w:t>附表①项目经理（注册建造师）简历表（格式）</w:t>
      </w:r>
    </w:p>
    <w:p w14:paraId="7CC2ABE0">
      <w:pPr>
        <w:pStyle w:val="69"/>
        <w:rPr>
          <w:color w:val="auto"/>
        </w:rPr>
      </w:pPr>
    </w:p>
    <w:p w14:paraId="7B00C27A">
      <w:pPr>
        <w:spacing w:line="400" w:lineRule="exact"/>
        <w:jc w:val="center"/>
        <w:rPr>
          <w:rFonts w:ascii="宋体" w:hAnsi="宋体"/>
          <w:b/>
          <w:color w:val="auto"/>
          <w:szCs w:val="21"/>
        </w:rPr>
      </w:pPr>
      <w:r>
        <w:rPr>
          <w:rFonts w:ascii="宋体" w:hAnsi="宋体"/>
          <w:b/>
          <w:color w:val="auto"/>
          <w:szCs w:val="21"/>
        </w:rPr>
        <w:t>项目经理（注册建造师）简历表</w:t>
      </w:r>
    </w:p>
    <w:p w14:paraId="27A79483">
      <w:pPr>
        <w:spacing w:line="400" w:lineRule="exact"/>
        <w:rPr>
          <w:rFonts w:ascii="黑体" w:hAnsi="宋体" w:eastAsia="黑体"/>
          <w:b/>
          <w:color w:val="auto"/>
          <w:sz w:val="28"/>
          <w:szCs w:val="28"/>
        </w:rPr>
      </w:pPr>
    </w:p>
    <w:p w14:paraId="1D32FEF9">
      <w:pPr>
        <w:spacing w:line="400" w:lineRule="exact"/>
        <w:rPr>
          <w:rFonts w:ascii="宋体" w:hAnsi="宋体" w:cs="宋体"/>
          <w:color w:val="auto"/>
          <w:szCs w:val="21"/>
          <w:u w:val="single"/>
        </w:rPr>
      </w:pPr>
      <w:r>
        <w:rPr>
          <w:rFonts w:hint="eastAsia" w:ascii="宋体" w:hAnsi="宋体" w:cs="宋体"/>
          <w:color w:val="auto"/>
          <w:szCs w:val="21"/>
        </w:rPr>
        <w:t>采购项目名称：</w:t>
      </w:r>
    </w:p>
    <w:p w14:paraId="375C79CC">
      <w:pPr>
        <w:pStyle w:val="89"/>
        <w:spacing w:line="400" w:lineRule="exact"/>
        <w:rPr>
          <w:color w:val="auto"/>
        </w:rPr>
      </w:pPr>
      <w:r>
        <w:rPr>
          <w:rFonts w:hint="eastAsia" w:ascii="宋体" w:hAnsi="宋体" w:cs="宋体"/>
          <w:color w:val="auto"/>
          <w:szCs w:val="21"/>
        </w:rPr>
        <w:t>项目采购编号：</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2164"/>
      </w:tblGrid>
      <w:tr w14:paraId="7B39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3" w:type="dxa"/>
            <w:noWrap/>
            <w:vAlign w:val="center"/>
          </w:tcPr>
          <w:p w14:paraId="13BC4DBA">
            <w:pPr>
              <w:spacing w:line="300" w:lineRule="exact"/>
              <w:jc w:val="center"/>
              <w:rPr>
                <w:rFonts w:ascii="宋体" w:hAnsi="宋体"/>
                <w:color w:val="auto"/>
                <w:szCs w:val="21"/>
              </w:rPr>
            </w:pPr>
            <w:r>
              <w:rPr>
                <w:rFonts w:ascii="宋体" w:hAnsi="宋体"/>
                <w:color w:val="auto"/>
                <w:szCs w:val="21"/>
              </w:rPr>
              <w:t>姓名</w:t>
            </w:r>
          </w:p>
        </w:tc>
        <w:tc>
          <w:tcPr>
            <w:tcW w:w="2340" w:type="dxa"/>
            <w:gridSpan w:val="3"/>
            <w:noWrap/>
            <w:vAlign w:val="center"/>
          </w:tcPr>
          <w:p w14:paraId="699FFE99">
            <w:pPr>
              <w:spacing w:line="300" w:lineRule="exact"/>
              <w:jc w:val="center"/>
              <w:rPr>
                <w:rFonts w:ascii="宋体" w:hAnsi="宋体"/>
                <w:color w:val="auto"/>
                <w:szCs w:val="21"/>
              </w:rPr>
            </w:pPr>
          </w:p>
        </w:tc>
        <w:tc>
          <w:tcPr>
            <w:tcW w:w="1893" w:type="dxa"/>
            <w:gridSpan w:val="2"/>
            <w:noWrap/>
            <w:vAlign w:val="center"/>
          </w:tcPr>
          <w:p w14:paraId="1C8474F1">
            <w:pPr>
              <w:spacing w:line="300" w:lineRule="exact"/>
              <w:jc w:val="center"/>
              <w:rPr>
                <w:rFonts w:ascii="宋体" w:hAnsi="宋体"/>
                <w:color w:val="auto"/>
                <w:szCs w:val="21"/>
              </w:rPr>
            </w:pPr>
            <w:r>
              <w:rPr>
                <w:rFonts w:ascii="宋体" w:hAnsi="宋体"/>
                <w:color w:val="auto"/>
                <w:szCs w:val="21"/>
              </w:rPr>
              <w:t>性别</w:t>
            </w:r>
          </w:p>
        </w:tc>
        <w:tc>
          <w:tcPr>
            <w:tcW w:w="1585" w:type="dxa"/>
            <w:gridSpan w:val="2"/>
            <w:noWrap/>
            <w:vAlign w:val="center"/>
          </w:tcPr>
          <w:p w14:paraId="24EEEEFA">
            <w:pPr>
              <w:spacing w:line="300" w:lineRule="exact"/>
              <w:jc w:val="center"/>
              <w:rPr>
                <w:rFonts w:ascii="宋体" w:hAnsi="宋体"/>
                <w:color w:val="auto"/>
                <w:szCs w:val="21"/>
              </w:rPr>
            </w:pPr>
          </w:p>
        </w:tc>
        <w:tc>
          <w:tcPr>
            <w:tcW w:w="1108" w:type="dxa"/>
            <w:gridSpan w:val="2"/>
            <w:noWrap/>
            <w:vAlign w:val="center"/>
          </w:tcPr>
          <w:p w14:paraId="1373926A">
            <w:pPr>
              <w:spacing w:line="300" w:lineRule="exact"/>
              <w:jc w:val="center"/>
              <w:rPr>
                <w:rFonts w:ascii="宋体" w:hAnsi="宋体"/>
                <w:color w:val="auto"/>
                <w:szCs w:val="21"/>
              </w:rPr>
            </w:pPr>
            <w:r>
              <w:rPr>
                <w:rFonts w:ascii="宋体" w:hAnsi="宋体"/>
                <w:color w:val="auto"/>
                <w:szCs w:val="21"/>
              </w:rPr>
              <w:t>年龄</w:t>
            </w:r>
          </w:p>
        </w:tc>
        <w:tc>
          <w:tcPr>
            <w:tcW w:w="2164" w:type="dxa"/>
            <w:noWrap/>
            <w:vAlign w:val="center"/>
          </w:tcPr>
          <w:p w14:paraId="4BEAD6FB">
            <w:pPr>
              <w:spacing w:line="300" w:lineRule="exact"/>
              <w:jc w:val="center"/>
              <w:rPr>
                <w:rFonts w:ascii="宋体" w:hAnsi="宋体"/>
                <w:color w:val="auto"/>
                <w:szCs w:val="21"/>
              </w:rPr>
            </w:pPr>
          </w:p>
        </w:tc>
      </w:tr>
      <w:tr w14:paraId="081C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3" w:type="dxa"/>
            <w:noWrap/>
            <w:vAlign w:val="center"/>
          </w:tcPr>
          <w:p w14:paraId="7093CF23">
            <w:pPr>
              <w:spacing w:line="300" w:lineRule="exact"/>
              <w:jc w:val="center"/>
              <w:rPr>
                <w:rFonts w:ascii="宋体" w:hAnsi="宋体"/>
                <w:color w:val="auto"/>
                <w:szCs w:val="21"/>
              </w:rPr>
            </w:pPr>
            <w:r>
              <w:rPr>
                <w:rFonts w:ascii="宋体" w:hAnsi="宋体"/>
                <w:color w:val="auto"/>
                <w:szCs w:val="21"/>
              </w:rPr>
              <w:t>职务</w:t>
            </w:r>
          </w:p>
        </w:tc>
        <w:tc>
          <w:tcPr>
            <w:tcW w:w="2340" w:type="dxa"/>
            <w:gridSpan w:val="3"/>
            <w:noWrap/>
            <w:vAlign w:val="center"/>
          </w:tcPr>
          <w:p w14:paraId="362437EA">
            <w:pPr>
              <w:spacing w:line="300" w:lineRule="exact"/>
              <w:jc w:val="center"/>
              <w:rPr>
                <w:rFonts w:ascii="宋体" w:hAnsi="宋体"/>
                <w:color w:val="auto"/>
                <w:szCs w:val="21"/>
              </w:rPr>
            </w:pPr>
          </w:p>
        </w:tc>
        <w:tc>
          <w:tcPr>
            <w:tcW w:w="1893" w:type="dxa"/>
            <w:gridSpan w:val="2"/>
            <w:noWrap/>
            <w:vAlign w:val="center"/>
          </w:tcPr>
          <w:p w14:paraId="00E75BB4">
            <w:pPr>
              <w:spacing w:line="300" w:lineRule="exact"/>
              <w:jc w:val="center"/>
              <w:rPr>
                <w:rFonts w:ascii="宋体" w:hAnsi="宋体"/>
                <w:color w:val="auto"/>
                <w:szCs w:val="21"/>
              </w:rPr>
            </w:pPr>
            <w:r>
              <w:rPr>
                <w:rFonts w:ascii="宋体" w:hAnsi="宋体"/>
                <w:color w:val="auto"/>
                <w:szCs w:val="21"/>
              </w:rPr>
              <w:t>职称</w:t>
            </w:r>
          </w:p>
        </w:tc>
        <w:tc>
          <w:tcPr>
            <w:tcW w:w="1585" w:type="dxa"/>
            <w:gridSpan w:val="2"/>
            <w:noWrap/>
            <w:vAlign w:val="center"/>
          </w:tcPr>
          <w:p w14:paraId="4045C65B">
            <w:pPr>
              <w:spacing w:line="300" w:lineRule="exact"/>
              <w:jc w:val="center"/>
              <w:rPr>
                <w:rFonts w:ascii="宋体" w:hAnsi="宋体"/>
                <w:color w:val="auto"/>
                <w:szCs w:val="21"/>
              </w:rPr>
            </w:pPr>
          </w:p>
        </w:tc>
        <w:tc>
          <w:tcPr>
            <w:tcW w:w="1108" w:type="dxa"/>
            <w:gridSpan w:val="2"/>
            <w:noWrap/>
            <w:vAlign w:val="center"/>
          </w:tcPr>
          <w:p w14:paraId="469C74B2">
            <w:pPr>
              <w:spacing w:line="300" w:lineRule="exact"/>
              <w:jc w:val="center"/>
              <w:rPr>
                <w:rFonts w:ascii="宋体" w:hAnsi="宋体"/>
                <w:color w:val="auto"/>
                <w:szCs w:val="21"/>
              </w:rPr>
            </w:pPr>
            <w:r>
              <w:rPr>
                <w:rFonts w:ascii="宋体" w:hAnsi="宋体"/>
                <w:color w:val="auto"/>
                <w:szCs w:val="21"/>
              </w:rPr>
              <w:t>学历</w:t>
            </w:r>
          </w:p>
        </w:tc>
        <w:tc>
          <w:tcPr>
            <w:tcW w:w="2164" w:type="dxa"/>
            <w:noWrap/>
            <w:vAlign w:val="center"/>
          </w:tcPr>
          <w:p w14:paraId="18F87329">
            <w:pPr>
              <w:spacing w:line="300" w:lineRule="exact"/>
              <w:jc w:val="center"/>
              <w:rPr>
                <w:rFonts w:ascii="宋体" w:hAnsi="宋体"/>
                <w:color w:val="auto"/>
                <w:szCs w:val="21"/>
              </w:rPr>
            </w:pPr>
          </w:p>
        </w:tc>
      </w:tr>
      <w:tr w14:paraId="53D4E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23" w:type="dxa"/>
            <w:gridSpan w:val="4"/>
            <w:noWrap/>
            <w:vAlign w:val="center"/>
          </w:tcPr>
          <w:p w14:paraId="1C4C5241">
            <w:pPr>
              <w:spacing w:line="300" w:lineRule="exact"/>
              <w:jc w:val="center"/>
              <w:rPr>
                <w:rFonts w:ascii="宋体" w:hAnsi="宋体"/>
                <w:color w:val="auto"/>
                <w:szCs w:val="21"/>
              </w:rPr>
            </w:pPr>
            <w:r>
              <w:rPr>
                <w:rFonts w:ascii="宋体" w:hAnsi="宋体"/>
                <w:color w:val="auto"/>
                <w:szCs w:val="21"/>
              </w:rPr>
              <w:t>参加工作时间</w:t>
            </w:r>
          </w:p>
        </w:tc>
        <w:tc>
          <w:tcPr>
            <w:tcW w:w="1893" w:type="dxa"/>
            <w:gridSpan w:val="2"/>
            <w:noWrap/>
            <w:vAlign w:val="center"/>
          </w:tcPr>
          <w:p w14:paraId="68E0F67B">
            <w:pPr>
              <w:spacing w:line="300" w:lineRule="exact"/>
              <w:jc w:val="center"/>
              <w:rPr>
                <w:rFonts w:ascii="宋体" w:hAnsi="宋体"/>
                <w:color w:val="auto"/>
                <w:szCs w:val="21"/>
              </w:rPr>
            </w:pPr>
          </w:p>
        </w:tc>
        <w:tc>
          <w:tcPr>
            <w:tcW w:w="2693" w:type="dxa"/>
            <w:gridSpan w:val="4"/>
            <w:noWrap/>
            <w:vAlign w:val="center"/>
          </w:tcPr>
          <w:p w14:paraId="7CD3D488">
            <w:pPr>
              <w:spacing w:line="300" w:lineRule="exact"/>
              <w:jc w:val="center"/>
              <w:rPr>
                <w:rFonts w:ascii="宋体" w:hAnsi="宋体"/>
                <w:color w:val="auto"/>
                <w:szCs w:val="21"/>
              </w:rPr>
            </w:pPr>
            <w:r>
              <w:rPr>
                <w:rFonts w:ascii="宋体" w:hAnsi="宋体"/>
                <w:color w:val="auto"/>
                <w:szCs w:val="21"/>
              </w:rPr>
              <w:t>担任项目经理年限</w:t>
            </w:r>
          </w:p>
        </w:tc>
        <w:tc>
          <w:tcPr>
            <w:tcW w:w="2164" w:type="dxa"/>
            <w:noWrap/>
            <w:vAlign w:val="center"/>
          </w:tcPr>
          <w:p w14:paraId="5EC981E2">
            <w:pPr>
              <w:spacing w:line="300" w:lineRule="exact"/>
              <w:jc w:val="center"/>
              <w:rPr>
                <w:rFonts w:ascii="宋体" w:hAnsi="宋体"/>
                <w:color w:val="auto"/>
                <w:szCs w:val="21"/>
              </w:rPr>
            </w:pPr>
          </w:p>
        </w:tc>
      </w:tr>
      <w:tr w14:paraId="0617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23" w:type="dxa"/>
            <w:gridSpan w:val="4"/>
            <w:noWrap/>
            <w:vAlign w:val="center"/>
          </w:tcPr>
          <w:p w14:paraId="46803855">
            <w:pPr>
              <w:spacing w:line="300" w:lineRule="exact"/>
              <w:jc w:val="center"/>
              <w:rPr>
                <w:rFonts w:ascii="宋体" w:hAnsi="宋体"/>
                <w:color w:val="auto"/>
                <w:szCs w:val="21"/>
              </w:rPr>
            </w:pPr>
            <w:r>
              <w:rPr>
                <w:rFonts w:ascii="宋体" w:hAnsi="宋体"/>
                <w:color w:val="auto"/>
                <w:szCs w:val="21"/>
              </w:rPr>
              <w:t>项目经理注册证书编号</w:t>
            </w:r>
          </w:p>
        </w:tc>
        <w:tc>
          <w:tcPr>
            <w:tcW w:w="6750" w:type="dxa"/>
            <w:gridSpan w:val="7"/>
            <w:noWrap/>
            <w:vAlign w:val="center"/>
          </w:tcPr>
          <w:p w14:paraId="1BFEA52D">
            <w:pPr>
              <w:spacing w:line="300" w:lineRule="exact"/>
              <w:jc w:val="center"/>
              <w:rPr>
                <w:rFonts w:ascii="宋体" w:hAnsi="宋体"/>
                <w:color w:val="auto"/>
                <w:szCs w:val="21"/>
              </w:rPr>
            </w:pPr>
          </w:p>
        </w:tc>
      </w:tr>
      <w:tr w14:paraId="63B2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73" w:type="dxa"/>
            <w:gridSpan w:val="11"/>
            <w:noWrap/>
            <w:vAlign w:val="center"/>
          </w:tcPr>
          <w:p w14:paraId="43611C0B">
            <w:pPr>
              <w:spacing w:line="300" w:lineRule="exact"/>
              <w:jc w:val="center"/>
              <w:rPr>
                <w:rFonts w:ascii="宋体" w:hAnsi="宋体"/>
                <w:color w:val="auto"/>
                <w:szCs w:val="21"/>
              </w:rPr>
            </w:pPr>
            <w:r>
              <w:rPr>
                <w:rFonts w:ascii="宋体" w:hAnsi="宋体"/>
                <w:color w:val="auto"/>
                <w:szCs w:val="21"/>
              </w:rPr>
              <w:t>在建和已完工程项目情况</w:t>
            </w:r>
          </w:p>
        </w:tc>
      </w:tr>
      <w:tr w14:paraId="7847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noWrap/>
            <w:vAlign w:val="center"/>
          </w:tcPr>
          <w:p w14:paraId="52159C7A">
            <w:pPr>
              <w:spacing w:line="300" w:lineRule="exact"/>
              <w:jc w:val="center"/>
              <w:rPr>
                <w:rFonts w:ascii="宋体" w:hAnsi="宋体"/>
                <w:color w:val="auto"/>
                <w:szCs w:val="21"/>
              </w:rPr>
            </w:pPr>
            <w:r>
              <w:rPr>
                <w:rFonts w:ascii="宋体" w:hAnsi="宋体"/>
                <w:color w:val="auto"/>
                <w:szCs w:val="21"/>
              </w:rPr>
              <w:t>建设单位</w:t>
            </w:r>
          </w:p>
        </w:tc>
        <w:tc>
          <w:tcPr>
            <w:tcW w:w="1548" w:type="dxa"/>
            <w:noWrap/>
            <w:vAlign w:val="center"/>
          </w:tcPr>
          <w:p w14:paraId="22ABC81C">
            <w:pPr>
              <w:spacing w:line="300" w:lineRule="exact"/>
              <w:jc w:val="center"/>
              <w:rPr>
                <w:rFonts w:ascii="宋体" w:hAnsi="宋体"/>
                <w:color w:val="auto"/>
                <w:szCs w:val="21"/>
              </w:rPr>
            </w:pPr>
            <w:r>
              <w:rPr>
                <w:rFonts w:ascii="宋体" w:hAnsi="宋体"/>
                <w:color w:val="auto"/>
                <w:szCs w:val="21"/>
              </w:rPr>
              <w:t>项目名称</w:t>
            </w:r>
          </w:p>
        </w:tc>
        <w:tc>
          <w:tcPr>
            <w:tcW w:w="1547" w:type="dxa"/>
            <w:gridSpan w:val="2"/>
            <w:noWrap/>
            <w:vAlign w:val="center"/>
          </w:tcPr>
          <w:p w14:paraId="6847E677">
            <w:pPr>
              <w:spacing w:line="300" w:lineRule="exact"/>
              <w:jc w:val="center"/>
              <w:rPr>
                <w:rFonts w:ascii="宋体" w:hAnsi="宋体"/>
                <w:color w:val="auto"/>
                <w:szCs w:val="21"/>
              </w:rPr>
            </w:pPr>
            <w:r>
              <w:rPr>
                <w:rFonts w:ascii="宋体" w:hAnsi="宋体"/>
                <w:color w:val="auto"/>
                <w:szCs w:val="21"/>
              </w:rPr>
              <w:t>建设规模</w:t>
            </w:r>
          </w:p>
        </w:tc>
        <w:tc>
          <w:tcPr>
            <w:tcW w:w="1548" w:type="dxa"/>
            <w:gridSpan w:val="2"/>
            <w:noWrap/>
            <w:vAlign w:val="center"/>
          </w:tcPr>
          <w:p w14:paraId="6A61748F">
            <w:pPr>
              <w:spacing w:line="300" w:lineRule="exact"/>
              <w:jc w:val="center"/>
              <w:rPr>
                <w:rFonts w:ascii="宋体" w:hAnsi="宋体"/>
                <w:color w:val="auto"/>
                <w:szCs w:val="21"/>
              </w:rPr>
            </w:pPr>
            <w:r>
              <w:rPr>
                <w:rFonts w:ascii="宋体" w:hAnsi="宋体"/>
                <w:color w:val="auto"/>
                <w:szCs w:val="21"/>
              </w:rPr>
              <w:t>开、竣工日期</w:t>
            </w:r>
          </w:p>
        </w:tc>
        <w:tc>
          <w:tcPr>
            <w:tcW w:w="1547" w:type="dxa"/>
            <w:gridSpan w:val="2"/>
            <w:noWrap/>
            <w:vAlign w:val="center"/>
          </w:tcPr>
          <w:p w14:paraId="0714DBAC">
            <w:pPr>
              <w:spacing w:line="300" w:lineRule="exact"/>
              <w:jc w:val="center"/>
              <w:rPr>
                <w:rFonts w:ascii="宋体" w:hAnsi="宋体"/>
                <w:color w:val="auto"/>
                <w:szCs w:val="21"/>
              </w:rPr>
            </w:pPr>
            <w:r>
              <w:rPr>
                <w:rFonts w:ascii="宋体" w:hAnsi="宋体"/>
                <w:color w:val="auto"/>
                <w:szCs w:val="21"/>
              </w:rPr>
              <w:t>在建或已完</w:t>
            </w:r>
          </w:p>
        </w:tc>
        <w:tc>
          <w:tcPr>
            <w:tcW w:w="2436" w:type="dxa"/>
            <w:gridSpan w:val="2"/>
            <w:noWrap/>
            <w:vAlign w:val="center"/>
          </w:tcPr>
          <w:p w14:paraId="5E275318">
            <w:pPr>
              <w:spacing w:line="300" w:lineRule="exact"/>
              <w:jc w:val="center"/>
              <w:rPr>
                <w:rFonts w:ascii="宋体" w:hAnsi="宋体"/>
                <w:color w:val="auto"/>
                <w:szCs w:val="21"/>
              </w:rPr>
            </w:pPr>
            <w:r>
              <w:rPr>
                <w:rFonts w:ascii="宋体" w:hAnsi="宋体"/>
                <w:color w:val="auto"/>
                <w:szCs w:val="21"/>
              </w:rPr>
              <w:t>工程质量</w:t>
            </w:r>
          </w:p>
        </w:tc>
      </w:tr>
      <w:tr w14:paraId="7FE2C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noWrap/>
            <w:vAlign w:val="center"/>
          </w:tcPr>
          <w:p w14:paraId="519C5F9D">
            <w:pPr>
              <w:spacing w:line="300" w:lineRule="exact"/>
              <w:jc w:val="center"/>
              <w:rPr>
                <w:rFonts w:ascii="宋体" w:hAnsi="宋体"/>
                <w:color w:val="auto"/>
                <w:szCs w:val="21"/>
              </w:rPr>
            </w:pPr>
          </w:p>
        </w:tc>
        <w:tc>
          <w:tcPr>
            <w:tcW w:w="1548" w:type="dxa"/>
            <w:noWrap/>
            <w:vAlign w:val="center"/>
          </w:tcPr>
          <w:p w14:paraId="185302B2">
            <w:pPr>
              <w:spacing w:line="300" w:lineRule="exact"/>
              <w:jc w:val="center"/>
              <w:rPr>
                <w:rFonts w:ascii="宋体" w:hAnsi="宋体"/>
                <w:color w:val="auto"/>
                <w:szCs w:val="21"/>
              </w:rPr>
            </w:pPr>
          </w:p>
        </w:tc>
        <w:tc>
          <w:tcPr>
            <w:tcW w:w="1547" w:type="dxa"/>
            <w:gridSpan w:val="2"/>
            <w:noWrap/>
            <w:vAlign w:val="center"/>
          </w:tcPr>
          <w:p w14:paraId="28872390">
            <w:pPr>
              <w:spacing w:line="300" w:lineRule="exact"/>
              <w:jc w:val="center"/>
              <w:rPr>
                <w:rFonts w:ascii="宋体" w:hAnsi="宋体"/>
                <w:color w:val="auto"/>
                <w:szCs w:val="21"/>
              </w:rPr>
            </w:pPr>
          </w:p>
        </w:tc>
        <w:tc>
          <w:tcPr>
            <w:tcW w:w="1548" w:type="dxa"/>
            <w:gridSpan w:val="2"/>
            <w:noWrap/>
            <w:vAlign w:val="center"/>
          </w:tcPr>
          <w:p w14:paraId="413246D0">
            <w:pPr>
              <w:spacing w:line="300" w:lineRule="exact"/>
              <w:jc w:val="center"/>
              <w:rPr>
                <w:rFonts w:ascii="宋体" w:hAnsi="宋体"/>
                <w:color w:val="auto"/>
                <w:szCs w:val="21"/>
              </w:rPr>
            </w:pPr>
          </w:p>
        </w:tc>
        <w:tc>
          <w:tcPr>
            <w:tcW w:w="1547" w:type="dxa"/>
            <w:gridSpan w:val="2"/>
            <w:noWrap/>
            <w:vAlign w:val="center"/>
          </w:tcPr>
          <w:p w14:paraId="752C9768">
            <w:pPr>
              <w:spacing w:line="300" w:lineRule="exact"/>
              <w:jc w:val="center"/>
              <w:rPr>
                <w:rFonts w:ascii="宋体" w:hAnsi="宋体"/>
                <w:color w:val="auto"/>
                <w:szCs w:val="21"/>
              </w:rPr>
            </w:pPr>
          </w:p>
        </w:tc>
        <w:tc>
          <w:tcPr>
            <w:tcW w:w="2436" w:type="dxa"/>
            <w:gridSpan w:val="2"/>
            <w:noWrap/>
            <w:vAlign w:val="center"/>
          </w:tcPr>
          <w:p w14:paraId="7884101A">
            <w:pPr>
              <w:spacing w:line="300" w:lineRule="exact"/>
              <w:jc w:val="center"/>
              <w:rPr>
                <w:rFonts w:ascii="宋体" w:hAnsi="宋体"/>
                <w:color w:val="auto"/>
                <w:szCs w:val="21"/>
              </w:rPr>
            </w:pPr>
          </w:p>
        </w:tc>
      </w:tr>
      <w:tr w14:paraId="1415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noWrap/>
            <w:vAlign w:val="center"/>
          </w:tcPr>
          <w:p w14:paraId="41F19ABF">
            <w:pPr>
              <w:spacing w:line="300" w:lineRule="exact"/>
              <w:jc w:val="center"/>
              <w:rPr>
                <w:rFonts w:ascii="宋体" w:hAnsi="宋体"/>
                <w:color w:val="auto"/>
                <w:szCs w:val="21"/>
              </w:rPr>
            </w:pPr>
          </w:p>
        </w:tc>
        <w:tc>
          <w:tcPr>
            <w:tcW w:w="1548" w:type="dxa"/>
            <w:noWrap/>
            <w:vAlign w:val="center"/>
          </w:tcPr>
          <w:p w14:paraId="24C1C9F1">
            <w:pPr>
              <w:spacing w:line="300" w:lineRule="exact"/>
              <w:jc w:val="center"/>
              <w:rPr>
                <w:rFonts w:ascii="宋体" w:hAnsi="宋体"/>
                <w:color w:val="auto"/>
                <w:szCs w:val="21"/>
              </w:rPr>
            </w:pPr>
          </w:p>
        </w:tc>
        <w:tc>
          <w:tcPr>
            <w:tcW w:w="1547" w:type="dxa"/>
            <w:gridSpan w:val="2"/>
            <w:noWrap/>
            <w:vAlign w:val="center"/>
          </w:tcPr>
          <w:p w14:paraId="49E83609">
            <w:pPr>
              <w:spacing w:line="300" w:lineRule="exact"/>
              <w:jc w:val="center"/>
              <w:rPr>
                <w:rFonts w:ascii="宋体" w:hAnsi="宋体"/>
                <w:color w:val="auto"/>
                <w:szCs w:val="21"/>
              </w:rPr>
            </w:pPr>
          </w:p>
        </w:tc>
        <w:tc>
          <w:tcPr>
            <w:tcW w:w="1548" w:type="dxa"/>
            <w:gridSpan w:val="2"/>
            <w:noWrap/>
            <w:vAlign w:val="center"/>
          </w:tcPr>
          <w:p w14:paraId="5B708BE2">
            <w:pPr>
              <w:spacing w:line="300" w:lineRule="exact"/>
              <w:jc w:val="center"/>
              <w:rPr>
                <w:rFonts w:ascii="宋体" w:hAnsi="宋体"/>
                <w:color w:val="auto"/>
                <w:szCs w:val="21"/>
              </w:rPr>
            </w:pPr>
          </w:p>
        </w:tc>
        <w:tc>
          <w:tcPr>
            <w:tcW w:w="1547" w:type="dxa"/>
            <w:gridSpan w:val="2"/>
            <w:noWrap/>
            <w:vAlign w:val="center"/>
          </w:tcPr>
          <w:p w14:paraId="7900654A">
            <w:pPr>
              <w:spacing w:line="300" w:lineRule="exact"/>
              <w:jc w:val="center"/>
              <w:rPr>
                <w:rFonts w:ascii="宋体" w:hAnsi="宋体"/>
                <w:color w:val="auto"/>
                <w:szCs w:val="21"/>
              </w:rPr>
            </w:pPr>
          </w:p>
        </w:tc>
        <w:tc>
          <w:tcPr>
            <w:tcW w:w="2436" w:type="dxa"/>
            <w:gridSpan w:val="2"/>
            <w:noWrap/>
            <w:vAlign w:val="center"/>
          </w:tcPr>
          <w:p w14:paraId="4E10A5A6">
            <w:pPr>
              <w:spacing w:line="300" w:lineRule="exact"/>
              <w:jc w:val="center"/>
              <w:rPr>
                <w:rFonts w:ascii="宋体" w:hAnsi="宋体"/>
                <w:color w:val="auto"/>
                <w:szCs w:val="21"/>
              </w:rPr>
            </w:pPr>
          </w:p>
        </w:tc>
      </w:tr>
      <w:tr w14:paraId="5CA8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noWrap/>
            <w:vAlign w:val="center"/>
          </w:tcPr>
          <w:p w14:paraId="604F368F">
            <w:pPr>
              <w:spacing w:line="300" w:lineRule="exact"/>
              <w:jc w:val="center"/>
              <w:rPr>
                <w:rFonts w:ascii="宋体" w:hAnsi="宋体"/>
                <w:color w:val="auto"/>
                <w:szCs w:val="21"/>
              </w:rPr>
            </w:pPr>
          </w:p>
        </w:tc>
        <w:tc>
          <w:tcPr>
            <w:tcW w:w="1548" w:type="dxa"/>
            <w:noWrap/>
            <w:vAlign w:val="center"/>
          </w:tcPr>
          <w:p w14:paraId="017F464C">
            <w:pPr>
              <w:spacing w:line="300" w:lineRule="exact"/>
              <w:jc w:val="center"/>
              <w:rPr>
                <w:rFonts w:ascii="宋体" w:hAnsi="宋体"/>
                <w:color w:val="auto"/>
                <w:szCs w:val="21"/>
              </w:rPr>
            </w:pPr>
          </w:p>
        </w:tc>
        <w:tc>
          <w:tcPr>
            <w:tcW w:w="1547" w:type="dxa"/>
            <w:gridSpan w:val="2"/>
            <w:noWrap/>
            <w:vAlign w:val="center"/>
          </w:tcPr>
          <w:p w14:paraId="4095D699">
            <w:pPr>
              <w:spacing w:line="300" w:lineRule="exact"/>
              <w:jc w:val="center"/>
              <w:rPr>
                <w:rFonts w:ascii="宋体" w:hAnsi="宋体"/>
                <w:color w:val="auto"/>
                <w:szCs w:val="21"/>
              </w:rPr>
            </w:pPr>
          </w:p>
        </w:tc>
        <w:tc>
          <w:tcPr>
            <w:tcW w:w="1548" w:type="dxa"/>
            <w:gridSpan w:val="2"/>
            <w:noWrap/>
            <w:vAlign w:val="center"/>
          </w:tcPr>
          <w:p w14:paraId="158BAE3C">
            <w:pPr>
              <w:spacing w:line="300" w:lineRule="exact"/>
              <w:jc w:val="center"/>
              <w:rPr>
                <w:rFonts w:ascii="宋体" w:hAnsi="宋体"/>
                <w:color w:val="auto"/>
                <w:szCs w:val="21"/>
              </w:rPr>
            </w:pPr>
          </w:p>
        </w:tc>
        <w:tc>
          <w:tcPr>
            <w:tcW w:w="1547" w:type="dxa"/>
            <w:gridSpan w:val="2"/>
            <w:noWrap/>
            <w:vAlign w:val="center"/>
          </w:tcPr>
          <w:p w14:paraId="772E52DD">
            <w:pPr>
              <w:spacing w:line="300" w:lineRule="exact"/>
              <w:jc w:val="center"/>
              <w:rPr>
                <w:rFonts w:ascii="宋体" w:hAnsi="宋体"/>
                <w:color w:val="auto"/>
                <w:szCs w:val="21"/>
              </w:rPr>
            </w:pPr>
          </w:p>
        </w:tc>
        <w:tc>
          <w:tcPr>
            <w:tcW w:w="2436" w:type="dxa"/>
            <w:gridSpan w:val="2"/>
            <w:noWrap/>
            <w:vAlign w:val="center"/>
          </w:tcPr>
          <w:p w14:paraId="5D48CE92">
            <w:pPr>
              <w:spacing w:line="300" w:lineRule="exact"/>
              <w:jc w:val="center"/>
              <w:rPr>
                <w:rFonts w:ascii="宋体" w:hAnsi="宋体"/>
                <w:color w:val="auto"/>
                <w:szCs w:val="21"/>
              </w:rPr>
            </w:pPr>
          </w:p>
        </w:tc>
      </w:tr>
      <w:tr w14:paraId="3287C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noWrap/>
            <w:vAlign w:val="center"/>
          </w:tcPr>
          <w:p w14:paraId="2DE9BDE4">
            <w:pPr>
              <w:spacing w:line="300" w:lineRule="exact"/>
              <w:jc w:val="center"/>
              <w:rPr>
                <w:rFonts w:ascii="宋体" w:hAnsi="宋体"/>
                <w:color w:val="auto"/>
                <w:szCs w:val="21"/>
              </w:rPr>
            </w:pPr>
          </w:p>
        </w:tc>
        <w:tc>
          <w:tcPr>
            <w:tcW w:w="1548" w:type="dxa"/>
            <w:noWrap/>
            <w:vAlign w:val="center"/>
          </w:tcPr>
          <w:p w14:paraId="27A0B742">
            <w:pPr>
              <w:spacing w:line="300" w:lineRule="exact"/>
              <w:jc w:val="center"/>
              <w:rPr>
                <w:rFonts w:ascii="宋体" w:hAnsi="宋体"/>
                <w:color w:val="auto"/>
                <w:szCs w:val="21"/>
              </w:rPr>
            </w:pPr>
          </w:p>
        </w:tc>
        <w:tc>
          <w:tcPr>
            <w:tcW w:w="1547" w:type="dxa"/>
            <w:gridSpan w:val="2"/>
            <w:noWrap/>
            <w:vAlign w:val="center"/>
          </w:tcPr>
          <w:p w14:paraId="1FF42953">
            <w:pPr>
              <w:spacing w:line="300" w:lineRule="exact"/>
              <w:jc w:val="center"/>
              <w:rPr>
                <w:rFonts w:ascii="宋体" w:hAnsi="宋体"/>
                <w:color w:val="auto"/>
                <w:szCs w:val="21"/>
              </w:rPr>
            </w:pPr>
          </w:p>
        </w:tc>
        <w:tc>
          <w:tcPr>
            <w:tcW w:w="1548" w:type="dxa"/>
            <w:gridSpan w:val="2"/>
            <w:noWrap/>
            <w:vAlign w:val="center"/>
          </w:tcPr>
          <w:p w14:paraId="141057D1">
            <w:pPr>
              <w:spacing w:line="300" w:lineRule="exact"/>
              <w:jc w:val="center"/>
              <w:rPr>
                <w:rFonts w:ascii="宋体" w:hAnsi="宋体"/>
                <w:color w:val="auto"/>
                <w:szCs w:val="21"/>
              </w:rPr>
            </w:pPr>
          </w:p>
        </w:tc>
        <w:tc>
          <w:tcPr>
            <w:tcW w:w="1547" w:type="dxa"/>
            <w:gridSpan w:val="2"/>
            <w:noWrap/>
            <w:vAlign w:val="center"/>
          </w:tcPr>
          <w:p w14:paraId="1ECDD60F">
            <w:pPr>
              <w:spacing w:line="300" w:lineRule="exact"/>
              <w:jc w:val="center"/>
              <w:rPr>
                <w:rFonts w:ascii="宋体" w:hAnsi="宋体"/>
                <w:color w:val="auto"/>
                <w:szCs w:val="21"/>
              </w:rPr>
            </w:pPr>
          </w:p>
        </w:tc>
        <w:tc>
          <w:tcPr>
            <w:tcW w:w="2436" w:type="dxa"/>
            <w:gridSpan w:val="2"/>
            <w:noWrap/>
            <w:vAlign w:val="center"/>
          </w:tcPr>
          <w:p w14:paraId="75612FFB">
            <w:pPr>
              <w:spacing w:line="300" w:lineRule="exact"/>
              <w:jc w:val="center"/>
              <w:rPr>
                <w:rFonts w:ascii="宋体" w:hAnsi="宋体"/>
                <w:color w:val="auto"/>
                <w:szCs w:val="21"/>
              </w:rPr>
            </w:pPr>
          </w:p>
        </w:tc>
      </w:tr>
    </w:tbl>
    <w:p w14:paraId="5FDEBD57">
      <w:pPr>
        <w:spacing w:line="400" w:lineRule="exact"/>
        <w:ind w:firstLine="420" w:firstLineChars="200"/>
        <w:rPr>
          <w:rFonts w:ascii="宋体" w:hAnsi="宋体"/>
          <w:color w:val="auto"/>
          <w:szCs w:val="21"/>
        </w:rPr>
      </w:pPr>
      <w:r>
        <w:rPr>
          <w:rFonts w:hint="eastAsia" w:ascii="宋体" w:hAnsi="宋体"/>
          <w:color w:val="auto"/>
          <w:szCs w:val="21"/>
        </w:rPr>
        <w:t>备注：</w:t>
      </w:r>
    </w:p>
    <w:p w14:paraId="7205BB20">
      <w:pPr>
        <w:spacing w:line="400" w:lineRule="exact"/>
        <w:ind w:firstLine="420" w:firstLineChars="200"/>
        <w:rPr>
          <w:rFonts w:ascii="宋体" w:hAnsi="宋体"/>
          <w:color w:val="auto"/>
          <w:szCs w:val="21"/>
        </w:rPr>
      </w:pPr>
      <w:r>
        <w:rPr>
          <w:rFonts w:hint="eastAsia" w:ascii="宋体" w:hAnsi="宋体"/>
          <w:color w:val="auto"/>
          <w:szCs w:val="21"/>
        </w:rPr>
        <w:t>1.附项目经理</w:t>
      </w:r>
      <w:r>
        <w:rPr>
          <w:rFonts w:hint="eastAsia" w:ascii="宋体" w:hAnsi="宋体" w:cs="宋体"/>
          <w:bCs/>
          <w:color w:val="auto"/>
          <w:szCs w:val="21"/>
        </w:rPr>
        <w:t>执业资格证书、</w:t>
      </w:r>
      <w:r>
        <w:rPr>
          <w:rFonts w:hint="eastAsia" w:ascii="宋体" w:hAnsi="宋体"/>
          <w:color w:val="auto"/>
          <w:szCs w:val="21"/>
        </w:rPr>
        <w:t>《安全生产考核合格证书（</w:t>
      </w:r>
      <w:r>
        <w:rPr>
          <w:rFonts w:hint="eastAsia" w:ascii="宋体" w:hAnsi="宋体"/>
          <w:color w:val="auto"/>
          <w:szCs w:val="21"/>
          <w:lang w:eastAsia="zh-CN"/>
        </w:rPr>
        <w:t>B类</w:t>
      </w:r>
      <w:r>
        <w:rPr>
          <w:rFonts w:hint="eastAsia" w:ascii="宋体" w:hAnsi="宋体"/>
          <w:color w:val="auto"/>
          <w:szCs w:val="21"/>
        </w:rPr>
        <w:t>）》、职称证（若有）、学历证（若有）和已完工程（如有）《中标通知书》、工程合同协议书、工程竣工验收证明材料的扫描件，以及竞标人认为需要增加的其他证明材料的扫描件。（</w:t>
      </w:r>
      <w:r>
        <w:rPr>
          <w:rFonts w:hint="eastAsia" w:ascii="宋体" w:hAnsi="宋体"/>
          <w:b/>
          <w:bCs/>
          <w:color w:val="auto"/>
          <w:szCs w:val="21"/>
        </w:rPr>
        <w:t>以上材料是复印件的扫描件的，均须加盖竞标人单位公章或电子签章</w:t>
      </w:r>
      <w:r>
        <w:rPr>
          <w:rFonts w:hint="eastAsia" w:ascii="宋体" w:hAnsi="宋体"/>
          <w:color w:val="auto"/>
          <w:szCs w:val="21"/>
        </w:rPr>
        <w:t>。）</w:t>
      </w:r>
    </w:p>
    <w:p w14:paraId="1B7AE913">
      <w:pPr>
        <w:widowControl/>
        <w:spacing w:line="300" w:lineRule="exact"/>
        <w:ind w:right="-147" w:rightChars="-70"/>
        <w:outlineLvl w:val="9"/>
        <w:rPr>
          <w:rFonts w:ascii="宋体" w:hAnsi="宋体" w:cs="宋体"/>
          <w:color w:val="auto"/>
          <w:szCs w:val="21"/>
        </w:rPr>
      </w:pPr>
      <w:r>
        <w:rPr>
          <w:rFonts w:hint="eastAsia" w:ascii="宋体" w:hAnsi="宋体"/>
          <w:color w:val="auto"/>
          <w:szCs w:val="21"/>
        </w:rPr>
        <w:br w:type="page"/>
      </w:r>
      <w:r>
        <w:rPr>
          <w:rFonts w:hint="eastAsia" w:ascii="宋体" w:hAnsi="宋体"/>
          <w:color w:val="auto"/>
          <w:szCs w:val="21"/>
        </w:rPr>
        <w:t>附表</w:t>
      </w:r>
      <w:r>
        <w:rPr>
          <w:rFonts w:hint="eastAsia" w:ascii="宋体" w:hAnsi="宋体" w:cs="宋体"/>
          <w:color w:val="auto"/>
          <w:szCs w:val="21"/>
        </w:rPr>
        <w:t>②项目技术负责人简历表（格式）</w:t>
      </w:r>
    </w:p>
    <w:p w14:paraId="2E325541">
      <w:pPr>
        <w:pStyle w:val="69"/>
        <w:rPr>
          <w:color w:val="auto"/>
        </w:rPr>
      </w:pPr>
    </w:p>
    <w:p w14:paraId="3AE801CA">
      <w:pPr>
        <w:spacing w:line="400" w:lineRule="exact"/>
        <w:jc w:val="center"/>
        <w:rPr>
          <w:rFonts w:ascii="宋体" w:hAnsi="宋体"/>
          <w:b/>
          <w:color w:val="auto"/>
          <w:szCs w:val="21"/>
        </w:rPr>
      </w:pPr>
      <w:r>
        <w:rPr>
          <w:rFonts w:ascii="宋体" w:hAnsi="宋体"/>
          <w:b/>
          <w:color w:val="auto"/>
          <w:szCs w:val="21"/>
        </w:rPr>
        <w:t>项目技术负责人简历表</w:t>
      </w:r>
    </w:p>
    <w:p w14:paraId="7FAF2BB4">
      <w:pPr>
        <w:spacing w:line="400" w:lineRule="exact"/>
        <w:rPr>
          <w:rFonts w:ascii="黑体" w:hAnsi="宋体" w:eastAsia="黑体"/>
          <w:b/>
          <w:color w:val="auto"/>
          <w:sz w:val="28"/>
          <w:szCs w:val="28"/>
        </w:rPr>
      </w:pPr>
    </w:p>
    <w:p w14:paraId="6D2861E7">
      <w:pPr>
        <w:spacing w:line="400" w:lineRule="exact"/>
        <w:rPr>
          <w:rFonts w:ascii="宋体" w:hAnsi="宋体" w:cs="宋体"/>
          <w:color w:val="auto"/>
          <w:szCs w:val="21"/>
          <w:u w:val="single"/>
        </w:rPr>
      </w:pPr>
      <w:bookmarkStart w:id="1692" w:name="_Toc251052220"/>
      <w:r>
        <w:rPr>
          <w:rFonts w:hint="eastAsia" w:ascii="宋体" w:hAnsi="宋体" w:cs="宋体"/>
          <w:color w:val="auto"/>
          <w:szCs w:val="21"/>
        </w:rPr>
        <w:t>采购项目名称：</w:t>
      </w:r>
    </w:p>
    <w:p w14:paraId="3650CA08">
      <w:pPr>
        <w:spacing w:line="400" w:lineRule="exact"/>
        <w:rPr>
          <w:color w:val="auto"/>
        </w:rPr>
      </w:pPr>
      <w:r>
        <w:rPr>
          <w:rFonts w:hint="eastAsia" w:ascii="宋体" w:hAnsi="宋体" w:cs="宋体"/>
          <w:color w:val="auto"/>
          <w:szCs w:val="21"/>
        </w:rPr>
        <w:t>项目采购编号：</w:t>
      </w:r>
      <w:r>
        <w:rPr>
          <w:color w:val="auto"/>
        </w:rPr>
        <w:tab/>
      </w:r>
      <w:r>
        <w:rPr>
          <w:color w:val="auto"/>
        </w:rPr>
        <w:tab/>
      </w:r>
      <w:r>
        <w:rPr>
          <w:color w:val="auto"/>
        </w:rPr>
        <w:tab/>
      </w:r>
      <w:bookmarkEnd w:id="1692"/>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2305"/>
      </w:tblGrid>
      <w:tr w14:paraId="6C85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3" w:type="dxa"/>
            <w:noWrap/>
            <w:vAlign w:val="center"/>
          </w:tcPr>
          <w:p w14:paraId="6F9B30E7">
            <w:pPr>
              <w:spacing w:line="300" w:lineRule="exact"/>
              <w:jc w:val="center"/>
              <w:rPr>
                <w:rFonts w:ascii="宋体" w:hAnsi="宋体"/>
                <w:color w:val="auto"/>
                <w:szCs w:val="21"/>
              </w:rPr>
            </w:pPr>
            <w:r>
              <w:rPr>
                <w:rFonts w:ascii="宋体" w:hAnsi="宋体"/>
                <w:color w:val="auto"/>
                <w:szCs w:val="21"/>
              </w:rPr>
              <w:t>姓名</w:t>
            </w:r>
          </w:p>
        </w:tc>
        <w:tc>
          <w:tcPr>
            <w:tcW w:w="2340" w:type="dxa"/>
            <w:gridSpan w:val="3"/>
            <w:noWrap/>
            <w:vAlign w:val="center"/>
          </w:tcPr>
          <w:p w14:paraId="2AE6DE88">
            <w:pPr>
              <w:spacing w:line="300" w:lineRule="exact"/>
              <w:jc w:val="center"/>
              <w:rPr>
                <w:rFonts w:ascii="宋体" w:hAnsi="宋体"/>
                <w:color w:val="auto"/>
                <w:szCs w:val="21"/>
              </w:rPr>
            </w:pPr>
          </w:p>
        </w:tc>
        <w:tc>
          <w:tcPr>
            <w:tcW w:w="1893" w:type="dxa"/>
            <w:gridSpan w:val="2"/>
            <w:noWrap/>
            <w:vAlign w:val="center"/>
          </w:tcPr>
          <w:p w14:paraId="20343368">
            <w:pPr>
              <w:spacing w:line="300" w:lineRule="exact"/>
              <w:jc w:val="center"/>
              <w:rPr>
                <w:rFonts w:ascii="宋体" w:hAnsi="宋体"/>
                <w:color w:val="auto"/>
                <w:szCs w:val="21"/>
              </w:rPr>
            </w:pPr>
            <w:r>
              <w:rPr>
                <w:rFonts w:ascii="宋体" w:hAnsi="宋体"/>
                <w:color w:val="auto"/>
                <w:szCs w:val="21"/>
              </w:rPr>
              <w:t>性别</w:t>
            </w:r>
          </w:p>
        </w:tc>
        <w:tc>
          <w:tcPr>
            <w:tcW w:w="1585" w:type="dxa"/>
            <w:gridSpan w:val="2"/>
            <w:noWrap/>
            <w:vAlign w:val="center"/>
          </w:tcPr>
          <w:p w14:paraId="711EB1A5">
            <w:pPr>
              <w:spacing w:line="300" w:lineRule="exact"/>
              <w:jc w:val="center"/>
              <w:rPr>
                <w:rFonts w:ascii="宋体" w:hAnsi="宋体"/>
                <w:color w:val="auto"/>
                <w:szCs w:val="21"/>
              </w:rPr>
            </w:pPr>
          </w:p>
        </w:tc>
        <w:tc>
          <w:tcPr>
            <w:tcW w:w="1108" w:type="dxa"/>
            <w:gridSpan w:val="2"/>
            <w:noWrap/>
            <w:vAlign w:val="center"/>
          </w:tcPr>
          <w:p w14:paraId="48EC37E0">
            <w:pPr>
              <w:spacing w:line="300" w:lineRule="exact"/>
              <w:jc w:val="center"/>
              <w:rPr>
                <w:rFonts w:ascii="宋体" w:hAnsi="宋体"/>
                <w:color w:val="auto"/>
                <w:szCs w:val="21"/>
              </w:rPr>
            </w:pPr>
            <w:r>
              <w:rPr>
                <w:rFonts w:ascii="宋体" w:hAnsi="宋体"/>
                <w:color w:val="auto"/>
                <w:szCs w:val="21"/>
              </w:rPr>
              <w:t>年龄</w:t>
            </w:r>
          </w:p>
        </w:tc>
        <w:tc>
          <w:tcPr>
            <w:tcW w:w="2305" w:type="dxa"/>
            <w:noWrap/>
            <w:vAlign w:val="center"/>
          </w:tcPr>
          <w:p w14:paraId="68C404C2">
            <w:pPr>
              <w:spacing w:line="300" w:lineRule="exact"/>
              <w:jc w:val="center"/>
              <w:rPr>
                <w:rFonts w:ascii="宋体" w:hAnsi="宋体"/>
                <w:color w:val="auto"/>
                <w:szCs w:val="21"/>
              </w:rPr>
            </w:pPr>
          </w:p>
        </w:tc>
      </w:tr>
      <w:tr w14:paraId="7C7A5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3" w:type="dxa"/>
            <w:noWrap/>
            <w:vAlign w:val="center"/>
          </w:tcPr>
          <w:p w14:paraId="6842E7EC">
            <w:pPr>
              <w:spacing w:line="300" w:lineRule="exact"/>
              <w:jc w:val="center"/>
              <w:rPr>
                <w:rFonts w:ascii="宋体" w:hAnsi="宋体"/>
                <w:color w:val="auto"/>
                <w:szCs w:val="21"/>
              </w:rPr>
            </w:pPr>
            <w:r>
              <w:rPr>
                <w:rFonts w:ascii="宋体" w:hAnsi="宋体"/>
                <w:color w:val="auto"/>
                <w:szCs w:val="21"/>
              </w:rPr>
              <w:t>职务</w:t>
            </w:r>
          </w:p>
        </w:tc>
        <w:tc>
          <w:tcPr>
            <w:tcW w:w="2340" w:type="dxa"/>
            <w:gridSpan w:val="3"/>
            <w:noWrap/>
            <w:vAlign w:val="center"/>
          </w:tcPr>
          <w:p w14:paraId="35E21D36">
            <w:pPr>
              <w:spacing w:line="300" w:lineRule="exact"/>
              <w:jc w:val="center"/>
              <w:rPr>
                <w:rFonts w:ascii="宋体" w:hAnsi="宋体"/>
                <w:color w:val="auto"/>
                <w:szCs w:val="21"/>
              </w:rPr>
            </w:pPr>
          </w:p>
        </w:tc>
        <w:tc>
          <w:tcPr>
            <w:tcW w:w="1893" w:type="dxa"/>
            <w:gridSpan w:val="2"/>
            <w:noWrap/>
            <w:vAlign w:val="center"/>
          </w:tcPr>
          <w:p w14:paraId="0D9FE73D">
            <w:pPr>
              <w:spacing w:line="300" w:lineRule="exact"/>
              <w:jc w:val="center"/>
              <w:rPr>
                <w:rFonts w:ascii="宋体" w:hAnsi="宋体"/>
                <w:color w:val="auto"/>
                <w:szCs w:val="21"/>
              </w:rPr>
            </w:pPr>
            <w:r>
              <w:rPr>
                <w:rFonts w:ascii="宋体" w:hAnsi="宋体"/>
                <w:color w:val="auto"/>
                <w:szCs w:val="21"/>
              </w:rPr>
              <w:t>职称</w:t>
            </w:r>
          </w:p>
        </w:tc>
        <w:tc>
          <w:tcPr>
            <w:tcW w:w="1585" w:type="dxa"/>
            <w:gridSpan w:val="2"/>
            <w:noWrap/>
            <w:vAlign w:val="center"/>
          </w:tcPr>
          <w:p w14:paraId="5247DAD7">
            <w:pPr>
              <w:spacing w:line="300" w:lineRule="exact"/>
              <w:jc w:val="center"/>
              <w:rPr>
                <w:rFonts w:ascii="宋体" w:hAnsi="宋体"/>
                <w:color w:val="auto"/>
                <w:szCs w:val="21"/>
              </w:rPr>
            </w:pPr>
          </w:p>
        </w:tc>
        <w:tc>
          <w:tcPr>
            <w:tcW w:w="1108" w:type="dxa"/>
            <w:gridSpan w:val="2"/>
            <w:noWrap/>
            <w:vAlign w:val="center"/>
          </w:tcPr>
          <w:p w14:paraId="0C9FFDDC">
            <w:pPr>
              <w:spacing w:line="300" w:lineRule="exact"/>
              <w:jc w:val="center"/>
              <w:rPr>
                <w:rFonts w:ascii="宋体" w:hAnsi="宋体"/>
                <w:color w:val="auto"/>
                <w:szCs w:val="21"/>
              </w:rPr>
            </w:pPr>
            <w:r>
              <w:rPr>
                <w:rFonts w:ascii="宋体" w:hAnsi="宋体"/>
                <w:color w:val="auto"/>
                <w:szCs w:val="21"/>
              </w:rPr>
              <w:t>学历</w:t>
            </w:r>
          </w:p>
        </w:tc>
        <w:tc>
          <w:tcPr>
            <w:tcW w:w="2305" w:type="dxa"/>
            <w:noWrap/>
            <w:vAlign w:val="center"/>
          </w:tcPr>
          <w:p w14:paraId="3AA98FE6">
            <w:pPr>
              <w:spacing w:line="300" w:lineRule="exact"/>
              <w:jc w:val="center"/>
              <w:rPr>
                <w:rFonts w:ascii="宋体" w:hAnsi="宋体"/>
                <w:color w:val="auto"/>
                <w:szCs w:val="21"/>
              </w:rPr>
            </w:pPr>
          </w:p>
        </w:tc>
      </w:tr>
      <w:tr w14:paraId="3F91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23" w:type="dxa"/>
            <w:gridSpan w:val="4"/>
            <w:noWrap/>
            <w:vAlign w:val="center"/>
          </w:tcPr>
          <w:p w14:paraId="5D3B49A2">
            <w:pPr>
              <w:spacing w:line="300" w:lineRule="exact"/>
              <w:jc w:val="center"/>
              <w:rPr>
                <w:rFonts w:ascii="宋体" w:hAnsi="宋体"/>
                <w:color w:val="auto"/>
                <w:szCs w:val="21"/>
              </w:rPr>
            </w:pPr>
            <w:r>
              <w:rPr>
                <w:rFonts w:ascii="宋体" w:hAnsi="宋体"/>
                <w:color w:val="auto"/>
                <w:szCs w:val="21"/>
              </w:rPr>
              <w:t>参加工作时间</w:t>
            </w:r>
          </w:p>
        </w:tc>
        <w:tc>
          <w:tcPr>
            <w:tcW w:w="1893" w:type="dxa"/>
            <w:gridSpan w:val="2"/>
            <w:noWrap/>
            <w:vAlign w:val="center"/>
          </w:tcPr>
          <w:p w14:paraId="3D8AE7BF">
            <w:pPr>
              <w:spacing w:line="300" w:lineRule="exact"/>
              <w:jc w:val="center"/>
              <w:rPr>
                <w:rFonts w:ascii="宋体" w:hAnsi="宋体"/>
                <w:color w:val="auto"/>
                <w:szCs w:val="21"/>
              </w:rPr>
            </w:pPr>
          </w:p>
        </w:tc>
        <w:tc>
          <w:tcPr>
            <w:tcW w:w="2693" w:type="dxa"/>
            <w:gridSpan w:val="4"/>
            <w:noWrap/>
            <w:vAlign w:val="center"/>
          </w:tcPr>
          <w:p w14:paraId="37DBAE4A">
            <w:pPr>
              <w:spacing w:line="300" w:lineRule="exact"/>
              <w:jc w:val="center"/>
              <w:rPr>
                <w:rFonts w:ascii="宋体" w:hAnsi="宋体"/>
                <w:color w:val="auto"/>
                <w:szCs w:val="21"/>
              </w:rPr>
            </w:pPr>
            <w:r>
              <w:rPr>
                <w:rFonts w:ascii="宋体" w:hAnsi="宋体"/>
                <w:color w:val="auto"/>
                <w:szCs w:val="21"/>
              </w:rPr>
              <w:t>担任</w:t>
            </w:r>
            <w:r>
              <w:rPr>
                <w:rFonts w:hint="eastAsia" w:ascii="宋体" w:hAnsi="宋体"/>
                <w:color w:val="auto"/>
                <w:szCs w:val="21"/>
              </w:rPr>
              <w:t>技术负责人</w:t>
            </w:r>
            <w:r>
              <w:rPr>
                <w:rFonts w:ascii="宋体" w:hAnsi="宋体"/>
                <w:color w:val="auto"/>
                <w:szCs w:val="21"/>
              </w:rPr>
              <w:t>年限</w:t>
            </w:r>
          </w:p>
        </w:tc>
        <w:tc>
          <w:tcPr>
            <w:tcW w:w="2305" w:type="dxa"/>
            <w:noWrap/>
            <w:vAlign w:val="center"/>
          </w:tcPr>
          <w:p w14:paraId="12EA38CF">
            <w:pPr>
              <w:spacing w:line="300" w:lineRule="exact"/>
              <w:jc w:val="center"/>
              <w:rPr>
                <w:rFonts w:ascii="宋体" w:hAnsi="宋体"/>
                <w:color w:val="auto"/>
                <w:szCs w:val="21"/>
              </w:rPr>
            </w:pPr>
          </w:p>
        </w:tc>
      </w:tr>
      <w:tr w14:paraId="3581F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14" w:type="dxa"/>
            <w:gridSpan w:val="11"/>
            <w:noWrap/>
            <w:vAlign w:val="center"/>
          </w:tcPr>
          <w:p w14:paraId="51B23AA9">
            <w:pPr>
              <w:spacing w:line="300" w:lineRule="exact"/>
              <w:jc w:val="center"/>
              <w:rPr>
                <w:rFonts w:ascii="宋体" w:hAnsi="宋体"/>
                <w:color w:val="auto"/>
                <w:szCs w:val="21"/>
              </w:rPr>
            </w:pPr>
            <w:r>
              <w:rPr>
                <w:rFonts w:ascii="宋体" w:hAnsi="宋体"/>
                <w:color w:val="auto"/>
                <w:szCs w:val="21"/>
              </w:rPr>
              <w:t>在建和已完工程项目情况</w:t>
            </w:r>
          </w:p>
        </w:tc>
      </w:tr>
      <w:tr w14:paraId="7A79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noWrap/>
            <w:vAlign w:val="center"/>
          </w:tcPr>
          <w:p w14:paraId="5D754F22">
            <w:pPr>
              <w:spacing w:line="300" w:lineRule="exact"/>
              <w:jc w:val="center"/>
              <w:rPr>
                <w:rFonts w:ascii="宋体" w:hAnsi="宋体"/>
                <w:color w:val="auto"/>
                <w:szCs w:val="21"/>
              </w:rPr>
            </w:pPr>
            <w:r>
              <w:rPr>
                <w:rFonts w:ascii="宋体" w:hAnsi="宋体"/>
                <w:color w:val="auto"/>
                <w:szCs w:val="21"/>
              </w:rPr>
              <w:t>建设单位</w:t>
            </w:r>
          </w:p>
        </w:tc>
        <w:tc>
          <w:tcPr>
            <w:tcW w:w="1548" w:type="dxa"/>
            <w:noWrap/>
            <w:vAlign w:val="center"/>
          </w:tcPr>
          <w:p w14:paraId="70B4FEAC">
            <w:pPr>
              <w:spacing w:line="300" w:lineRule="exact"/>
              <w:jc w:val="center"/>
              <w:rPr>
                <w:rFonts w:ascii="宋体" w:hAnsi="宋体"/>
                <w:color w:val="auto"/>
                <w:szCs w:val="21"/>
              </w:rPr>
            </w:pPr>
            <w:r>
              <w:rPr>
                <w:rFonts w:ascii="宋体" w:hAnsi="宋体"/>
                <w:color w:val="auto"/>
                <w:szCs w:val="21"/>
              </w:rPr>
              <w:t>项目名称</w:t>
            </w:r>
          </w:p>
        </w:tc>
        <w:tc>
          <w:tcPr>
            <w:tcW w:w="1547" w:type="dxa"/>
            <w:gridSpan w:val="2"/>
            <w:noWrap/>
            <w:vAlign w:val="center"/>
          </w:tcPr>
          <w:p w14:paraId="36B00D35">
            <w:pPr>
              <w:spacing w:line="300" w:lineRule="exact"/>
              <w:jc w:val="center"/>
              <w:rPr>
                <w:rFonts w:ascii="宋体" w:hAnsi="宋体"/>
                <w:color w:val="auto"/>
                <w:szCs w:val="21"/>
              </w:rPr>
            </w:pPr>
            <w:r>
              <w:rPr>
                <w:rFonts w:ascii="宋体" w:hAnsi="宋体"/>
                <w:color w:val="auto"/>
                <w:szCs w:val="21"/>
              </w:rPr>
              <w:t>建设规模</w:t>
            </w:r>
          </w:p>
        </w:tc>
        <w:tc>
          <w:tcPr>
            <w:tcW w:w="1548" w:type="dxa"/>
            <w:gridSpan w:val="2"/>
            <w:noWrap/>
            <w:vAlign w:val="center"/>
          </w:tcPr>
          <w:p w14:paraId="3BC98DE2">
            <w:pPr>
              <w:spacing w:line="300" w:lineRule="exact"/>
              <w:jc w:val="center"/>
              <w:rPr>
                <w:rFonts w:ascii="宋体" w:hAnsi="宋体"/>
                <w:color w:val="auto"/>
                <w:szCs w:val="21"/>
              </w:rPr>
            </w:pPr>
            <w:r>
              <w:rPr>
                <w:rFonts w:ascii="宋体" w:hAnsi="宋体"/>
                <w:color w:val="auto"/>
                <w:szCs w:val="21"/>
              </w:rPr>
              <w:t>开、竣工日期</w:t>
            </w:r>
          </w:p>
        </w:tc>
        <w:tc>
          <w:tcPr>
            <w:tcW w:w="1547" w:type="dxa"/>
            <w:gridSpan w:val="2"/>
            <w:noWrap/>
            <w:vAlign w:val="center"/>
          </w:tcPr>
          <w:p w14:paraId="0BA3F0BF">
            <w:pPr>
              <w:spacing w:line="300" w:lineRule="exact"/>
              <w:jc w:val="center"/>
              <w:rPr>
                <w:rFonts w:ascii="宋体" w:hAnsi="宋体"/>
                <w:color w:val="auto"/>
                <w:szCs w:val="21"/>
              </w:rPr>
            </w:pPr>
            <w:r>
              <w:rPr>
                <w:rFonts w:ascii="宋体" w:hAnsi="宋体"/>
                <w:color w:val="auto"/>
                <w:szCs w:val="21"/>
              </w:rPr>
              <w:t>在建或已完</w:t>
            </w:r>
          </w:p>
        </w:tc>
        <w:tc>
          <w:tcPr>
            <w:tcW w:w="2577" w:type="dxa"/>
            <w:gridSpan w:val="2"/>
            <w:noWrap/>
            <w:vAlign w:val="center"/>
          </w:tcPr>
          <w:p w14:paraId="01C02431">
            <w:pPr>
              <w:spacing w:line="300" w:lineRule="exact"/>
              <w:jc w:val="center"/>
              <w:rPr>
                <w:rFonts w:ascii="宋体" w:hAnsi="宋体"/>
                <w:color w:val="auto"/>
                <w:szCs w:val="21"/>
              </w:rPr>
            </w:pPr>
            <w:r>
              <w:rPr>
                <w:rFonts w:ascii="宋体" w:hAnsi="宋体"/>
                <w:color w:val="auto"/>
                <w:szCs w:val="21"/>
              </w:rPr>
              <w:t>工程质量</w:t>
            </w:r>
          </w:p>
        </w:tc>
      </w:tr>
      <w:tr w14:paraId="65C0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noWrap/>
            <w:vAlign w:val="center"/>
          </w:tcPr>
          <w:p w14:paraId="44DABE88">
            <w:pPr>
              <w:spacing w:line="300" w:lineRule="exact"/>
              <w:jc w:val="center"/>
              <w:rPr>
                <w:rFonts w:ascii="宋体" w:hAnsi="宋体"/>
                <w:color w:val="auto"/>
                <w:szCs w:val="21"/>
              </w:rPr>
            </w:pPr>
          </w:p>
        </w:tc>
        <w:tc>
          <w:tcPr>
            <w:tcW w:w="1548" w:type="dxa"/>
            <w:noWrap/>
            <w:vAlign w:val="center"/>
          </w:tcPr>
          <w:p w14:paraId="53E88FD7">
            <w:pPr>
              <w:spacing w:line="300" w:lineRule="exact"/>
              <w:jc w:val="center"/>
              <w:rPr>
                <w:rFonts w:ascii="宋体" w:hAnsi="宋体"/>
                <w:color w:val="auto"/>
                <w:szCs w:val="21"/>
              </w:rPr>
            </w:pPr>
          </w:p>
        </w:tc>
        <w:tc>
          <w:tcPr>
            <w:tcW w:w="1547" w:type="dxa"/>
            <w:gridSpan w:val="2"/>
            <w:noWrap/>
            <w:vAlign w:val="center"/>
          </w:tcPr>
          <w:p w14:paraId="2CD8BD1C">
            <w:pPr>
              <w:spacing w:line="300" w:lineRule="exact"/>
              <w:jc w:val="center"/>
              <w:rPr>
                <w:rFonts w:ascii="宋体" w:hAnsi="宋体"/>
                <w:color w:val="auto"/>
                <w:szCs w:val="21"/>
              </w:rPr>
            </w:pPr>
          </w:p>
        </w:tc>
        <w:tc>
          <w:tcPr>
            <w:tcW w:w="1548" w:type="dxa"/>
            <w:gridSpan w:val="2"/>
            <w:noWrap/>
            <w:vAlign w:val="center"/>
          </w:tcPr>
          <w:p w14:paraId="66E77C8B">
            <w:pPr>
              <w:spacing w:line="300" w:lineRule="exact"/>
              <w:jc w:val="center"/>
              <w:rPr>
                <w:rFonts w:ascii="宋体" w:hAnsi="宋体"/>
                <w:color w:val="auto"/>
                <w:szCs w:val="21"/>
              </w:rPr>
            </w:pPr>
          </w:p>
        </w:tc>
        <w:tc>
          <w:tcPr>
            <w:tcW w:w="1547" w:type="dxa"/>
            <w:gridSpan w:val="2"/>
            <w:noWrap/>
            <w:vAlign w:val="center"/>
          </w:tcPr>
          <w:p w14:paraId="35D24B0B">
            <w:pPr>
              <w:spacing w:line="300" w:lineRule="exact"/>
              <w:jc w:val="center"/>
              <w:rPr>
                <w:rFonts w:ascii="宋体" w:hAnsi="宋体"/>
                <w:color w:val="auto"/>
                <w:szCs w:val="21"/>
              </w:rPr>
            </w:pPr>
          </w:p>
        </w:tc>
        <w:tc>
          <w:tcPr>
            <w:tcW w:w="2577" w:type="dxa"/>
            <w:gridSpan w:val="2"/>
            <w:noWrap/>
            <w:vAlign w:val="center"/>
          </w:tcPr>
          <w:p w14:paraId="0EEA7F0F">
            <w:pPr>
              <w:spacing w:line="300" w:lineRule="exact"/>
              <w:jc w:val="center"/>
              <w:rPr>
                <w:rFonts w:ascii="宋体" w:hAnsi="宋体"/>
                <w:color w:val="auto"/>
                <w:szCs w:val="21"/>
              </w:rPr>
            </w:pPr>
          </w:p>
        </w:tc>
      </w:tr>
      <w:tr w14:paraId="02F1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noWrap/>
            <w:vAlign w:val="center"/>
          </w:tcPr>
          <w:p w14:paraId="7E1084FF">
            <w:pPr>
              <w:spacing w:line="300" w:lineRule="exact"/>
              <w:jc w:val="center"/>
              <w:rPr>
                <w:rFonts w:ascii="宋体" w:hAnsi="宋体"/>
                <w:color w:val="auto"/>
                <w:szCs w:val="21"/>
              </w:rPr>
            </w:pPr>
          </w:p>
        </w:tc>
        <w:tc>
          <w:tcPr>
            <w:tcW w:w="1548" w:type="dxa"/>
            <w:noWrap/>
            <w:vAlign w:val="center"/>
          </w:tcPr>
          <w:p w14:paraId="2B301040">
            <w:pPr>
              <w:spacing w:line="300" w:lineRule="exact"/>
              <w:jc w:val="center"/>
              <w:rPr>
                <w:rFonts w:ascii="宋体" w:hAnsi="宋体"/>
                <w:color w:val="auto"/>
                <w:szCs w:val="21"/>
              </w:rPr>
            </w:pPr>
          </w:p>
        </w:tc>
        <w:tc>
          <w:tcPr>
            <w:tcW w:w="1547" w:type="dxa"/>
            <w:gridSpan w:val="2"/>
            <w:noWrap/>
            <w:vAlign w:val="center"/>
          </w:tcPr>
          <w:p w14:paraId="157BF07D">
            <w:pPr>
              <w:spacing w:line="300" w:lineRule="exact"/>
              <w:jc w:val="center"/>
              <w:rPr>
                <w:rFonts w:ascii="宋体" w:hAnsi="宋体"/>
                <w:color w:val="auto"/>
                <w:szCs w:val="21"/>
              </w:rPr>
            </w:pPr>
          </w:p>
        </w:tc>
        <w:tc>
          <w:tcPr>
            <w:tcW w:w="1548" w:type="dxa"/>
            <w:gridSpan w:val="2"/>
            <w:noWrap/>
            <w:vAlign w:val="center"/>
          </w:tcPr>
          <w:p w14:paraId="0F437765">
            <w:pPr>
              <w:spacing w:line="300" w:lineRule="exact"/>
              <w:jc w:val="center"/>
              <w:rPr>
                <w:rFonts w:ascii="宋体" w:hAnsi="宋体"/>
                <w:color w:val="auto"/>
                <w:szCs w:val="21"/>
              </w:rPr>
            </w:pPr>
          </w:p>
        </w:tc>
        <w:tc>
          <w:tcPr>
            <w:tcW w:w="1547" w:type="dxa"/>
            <w:gridSpan w:val="2"/>
            <w:noWrap/>
            <w:vAlign w:val="center"/>
          </w:tcPr>
          <w:p w14:paraId="61668642">
            <w:pPr>
              <w:spacing w:line="300" w:lineRule="exact"/>
              <w:jc w:val="center"/>
              <w:rPr>
                <w:rFonts w:ascii="宋体" w:hAnsi="宋体"/>
                <w:color w:val="auto"/>
                <w:szCs w:val="21"/>
              </w:rPr>
            </w:pPr>
          </w:p>
        </w:tc>
        <w:tc>
          <w:tcPr>
            <w:tcW w:w="2577" w:type="dxa"/>
            <w:gridSpan w:val="2"/>
            <w:noWrap/>
            <w:vAlign w:val="center"/>
          </w:tcPr>
          <w:p w14:paraId="36984E53">
            <w:pPr>
              <w:spacing w:line="300" w:lineRule="exact"/>
              <w:jc w:val="center"/>
              <w:rPr>
                <w:rFonts w:ascii="宋体" w:hAnsi="宋体"/>
                <w:color w:val="auto"/>
                <w:szCs w:val="21"/>
              </w:rPr>
            </w:pPr>
          </w:p>
        </w:tc>
      </w:tr>
      <w:tr w14:paraId="02AEA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noWrap/>
            <w:vAlign w:val="center"/>
          </w:tcPr>
          <w:p w14:paraId="64CE2E16">
            <w:pPr>
              <w:spacing w:line="300" w:lineRule="exact"/>
              <w:jc w:val="center"/>
              <w:rPr>
                <w:rFonts w:ascii="宋体" w:hAnsi="宋体"/>
                <w:color w:val="auto"/>
                <w:szCs w:val="21"/>
              </w:rPr>
            </w:pPr>
          </w:p>
        </w:tc>
        <w:tc>
          <w:tcPr>
            <w:tcW w:w="1548" w:type="dxa"/>
            <w:noWrap/>
            <w:vAlign w:val="center"/>
          </w:tcPr>
          <w:p w14:paraId="246D7B01">
            <w:pPr>
              <w:spacing w:line="300" w:lineRule="exact"/>
              <w:jc w:val="center"/>
              <w:rPr>
                <w:rFonts w:ascii="宋体" w:hAnsi="宋体"/>
                <w:color w:val="auto"/>
                <w:szCs w:val="21"/>
              </w:rPr>
            </w:pPr>
          </w:p>
        </w:tc>
        <w:tc>
          <w:tcPr>
            <w:tcW w:w="1547" w:type="dxa"/>
            <w:gridSpan w:val="2"/>
            <w:noWrap/>
            <w:vAlign w:val="center"/>
          </w:tcPr>
          <w:p w14:paraId="40616ADB">
            <w:pPr>
              <w:spacing w:line="300" w:lineRule="exact"/>
              <w:jc w:val="center"/>
              <w:rPr>
                <w:rFonts w:ascii="宋体" w:hAnsi="宋体"/>
                <w:color w:val="auto"/>
                <w:szCs w:val="21"/>
              </w:rPr>
            </w:pPr>
          </w:p>
        </w:tc>
        <w:tc>
          <w:tcPr>
            <w:tcW w:w="1548" w:type="dxa"/>
            <w:gridSpan w:val="2"/>
            <w:noWrap/>
            <w:vAlign w:val="center"/>
          </w:tcPr>
          <w:p w14:paraId="18267966">
            <w:pPr>
              <w:spacing w:line="300" w:lineRule="exact"/>
              <w:jc w:val="center"/>
              <w:rPr>
                <w:rFonts w:ascii="宋体" w:hAnsi="宋体"/>
                <w:color w:val="auto"/>
                <w:szCs w:val="21"/>
              </w:rPr>
            </w:pPr>
          </w:p>
        </w:tc>
        <w:tc>
          <w:tcPr>
            <w:tcW w:w="1547" w:type="dxa"/>
            <w:gridSpan w:val="2"/>
            <w:noWrap/>
            <w:vAlign w:val="center"/>
          </w:tcPr>
          <w:p w14:paraId="378B7C89">
            <w:pPr>
              <w:spacing w:line="300" w:lineRule="exact"/>
              <w:jc w:val="center"/>
              <w:rPr>
                <w:rFonts w:ascii="宋体" w:hAnsi="宋体"/>
                <w:color w:val="auto"/>
                <w:szCs w:val="21"/>
              </w:rPr>
            </w:pPr>
          </w:p>
        </w:tc>
        <w:tc>
          <w:tcPr>
            <w:tcW w:w="2577" w:type="dxa"/>
            <w:gridSpan w:val="2"/>
            <w:noWrap/>
            <w:vAlign w:val="center"/>
          </w:tcPr>
          <w:p w14:paraId="2672A271">
            <w:pPr>
              <w:spacing w:line="300" w:lineRule="exact"/>
              <w:jc w:val="center"/>
              <w:rPr>
                <w:rFonts w:ascii="宋体" w:hAnsi="宋体"/>
                <w:color w:val="auto"/>
                <w:szCs w:val="21"/>
              </w:rPr>
            </w:pPr>
          </w:p>
        </w:tc>
      </w:tr>
      <w:tr w14:paraId="2204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noWrap/>
            <w:vAlign w:val="center"/>
          </w:tcPr>
          <w:p w14:paraId="0077CBE6">
            <w:pPr>
              <w:spacing w:line="300" w:lineRule="exact"/>
              <w:jc w:val="center"/>
              <w:rPr>
                <w:rFonts w:ascii="宋体" w:hAnsi="宋体"/>
                <w:color w:val="auto"/>
                <w:szCs w:val="21"/>
              </w:rPr>
            </w:pPr>
          </w:p>
        </w:tc>
        <w:tc>
          <w:tcPr>
            <w:tcW w:w="1548" w:type="dxa"/>
            <w:noWrap/>
            <w:vAlign w:val="center"/>
          </w:tcPr>
          <w:p w14:paraId="749B96AF">
            <w:pPr>
              <w:spacing w:line="300" w:lineRule="exact"/>
              <w:jc w:val="center"/>
              <w:rPr>
                <w:rFonts w:ascii="宋体" w:hAnsi="宋体"/>
                <w:color w:val="auto"/>
                <w:szCs w:val="21"/>
              </w:rPr>
            </w:pPr>
          </w:p>
        </w:tc>
        <w:tc>
          <w:tcPr>
            <w:tcW w:w="1547" w:type="dxa"/>
            <w:gridSpan w:val="2"/>
            <w:noWrap/>
            <w:vAlign w:val="center"/>
          </w:tcPr>
          <w:p w14:paraId="221B71B9">
            <w:pPr>
              <w:spacing w:line="300" w:lineRule="exact"/>
              <w:jc w:val="center"/>
              <w:rPr>
                <w:rFonts w:ascii="宋体" w:hAnsi="宋体"/>
                <w:color w:val="auto"/>
                <w:szCs w:val="21"/>
              </w:rPr>
            </w:pPr>
          </w:p>
        </w:tc>
        <w:tc>
          <w:tcPr>
            <w:tcW w:w="1548" w:type="dxa"/>
            <w:gridSpan w:val="2"/>
            <w:noWrap/>
            <w:vAlign w:val="center"/>
          </w:tcPr>
          <w:p w14:paraId="38F9E11A">
            <w:pPr>
              <w:spacing w:line="300" w:lineRule="exact"/>
              <w:jc w:val="center"/>
              <w:rPr>
                <w:rFonts w:ascii="宋体" w:hAnsi="宋体"/>
                <w:color w:val="auto"/>
                <w:szCs w:val="21"/>
              </w:rPr>
            </w:pPr>
          </w:p>
        </w:tc>
        <w:tc>
          <w:tcPr>
            <w:tcW w:w="1547" w:type="dxa"/>
            <w:gridSpan w:val="2"/>
            <w:noWrap/>
            <w:vAlign w:val="center"/>
          </w:tcPr>
          <w:p w14:paraId="660EEF6F">
            <w:pPr>
              <w:spacing w:line="300" w:lineRule="exact"/>
              <w:jc w:val="center"/>
              <w:rPr>
                <w:rFonts w:ascii="宋体" w:hAnsi="宋体"/>
                <w:color w:val="auto"/>
                <w:szCs w:val="21"/>
              </w:rPr>
            </w:pPr>
          </w:p>
        </w:tc>
        <w:tc>
          <w:tcPr>
            <w:tcW w:w="2577" w:type="dxa"/>
            <w:gridSpan w:val="2"/>
            <w:noWrap/>
            <w:vAlign w:val="center"/>
          </w:tcPr>
          <w:p w14:paraId="765251F4">
            <w:pPr>
              <w:spacing w:line="300" w:lineRule="exact"/>
              <w:jc w:val="center"/>
              <w:rPr>
                <w:rFonts w:ascii="宋体" w:hAnsi="宋体"/>
                <w:color w:val="auto"/>
                <w:szCs w:val="21"/>
              </w:rPr>
            </w:pPr>
          </w:p>
        </w:tc>
      </w:tr>
    </w:tbl>
    <w:p w14:paraId="27A1421A">
      <w:pPr>
        <w:spacing w:line="400" w:lineRule="exact"/>
        <w:ind w:firstLine="420" w:firstLineChars="200"/>
        <w:rPr>
          <w:rFonts w:ascii="宋体" w:hAnsi="宋体"/>
          <w:color w:val="auto"/>
          <w:szCs w:val="21"/>
        </w:rPr>
      </w:pPr>
      <w:r>
        <w:rPr>
          <w:rFonts w:ascii="宋体" w:hAnsi="宋体"/>
          <w:color w:val="auto"/>
          <w:szCs w:val="21"/>
        </w:rPr>
        <w:t>备注：</w:t>
      </w:r>
    </w:p>
    <w:p w14:paraId="057657C8">
      <w:pPr>
        <w:spacing w:line="400"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.附技术负责人的职称证、学历证（若有）和已完工程（如有）《中标通知书》、</w:t>
      </w:r>
      <w:r>
        <w:rPr>
          <w:rFonts w:ascii="宋体" w:hAnsi="宋体"/>
          <w:color w:val="auto"/>
          <w:szCs w:val="21"/>
        </w:rPr>
        <w:t>工程合同协议书</w:t>
      </w:r>
      <w:r>
        <w:rPr>
          <w:rFonts w:hint="eastAsia" w:ascii="宋体" w:hAnsi="宋体"/>
          <w:color w:val="auto"/>
          <w:szCs w:val="21"/>
        </w:rPr>
        <w:t>、</w:t>
      </w:r>
      <w:r>
        <w:rPr>
          <w:rFonts w:ascii="宋体" w:hAnsi="宋体"/>
          <w:color w:val="auto"/>
          <w:szCs w:val="21"/>
        </w:rPr>
        <w:t>工程竣工验收证明材料</w:t>
      </w:r>
      <w:r>
        <w:rPr>
          <w:rFonts w:hint="eastAsia" w:ascii="宋体" w:hAnsi="宋体"/>
          <w:color w:val="auto"/>
          <w:szCs w:val="21"/>
        </w:rPr>
        <w:t>的扫描件，以及竞标人认为需要增加的其他证明材料的扫描件，（</w:t>
      </w:r>
      <w:r>
        <w:rPr>
          <w:rFonts w:hint="eastAsia" w:ascii="宋体" w:hAnsi="宋体"/>
          <w:b/>
          <w:bCs/>
          <w:color w:val="auto"/>
          <w:szCs w:val="21"/>
        </w:rPr>
        <w:t>以上材料是复印件的扫描件的，均须加盖竞标人单位公章或电子签章</w:t>
      </w:r>
      <w:r>
        <w:rPr>
          <w:rFonts w:hint="eastAsia" w:ascii="宋体" w:hAnsi="宋体"/>
          <w:color w:val="auto"/>
          <w:szCs w:val="21"/>
        </w:rPr>
        <w:t>。）</w:t>
      </w:r>
    </w:p>
    <w:p w14:paraId="10399F08">
      <w:pPr>
        <w:spacing w:line="400" w:lineRule="exact"/>
        <w:ind w:firstLine="420" w:firstLineChars="200"/>
        <w:rPr>
          <w:rFonts w:ascii="宋体" w:hAnsi="宋体"/>
          <w:color w:val="auto"/>
          <w:szCs w:val="21"/>
        </w:rPr>
      </w:pPr>
    </w:p>
    <w:p w14:paraId="0711AC5C">
      <w:pPr>
        <w:spacing w:line="400" w:lineRule="exact"/>
        <w:rPr>
          <w:rFonts w:ascii="宋体" w:hAnsi="宋体"/>
          <w:color w:val="auto"/>
          <w:szCs w:val="21"/>
        </w:rPr>
      </w:pPr>
    </w:p>
    <w:p w14:paraId="60EF723B">
      <w:pPr>
        <w:widowControl/>
        <w:spacing w:line="300" w:lineRule="exact"/>
        <w:ind w:right="-147" w:rightChars="-70"/>
        <w:jc w:val="center"/>
        <w:rPr>
          <w:rFonts w:ascii="宋体" w:hAnsi="宋体"/>
          <w:color w:val="auto"/>
          <w:szCs w:val="21"/>
        </w:rPr>
      </w:pPr>
    </w:p>
    <w:p w14:paraId="63D5FCCE">
      <w:pPr>
        <w:widowControl/>
        <w:spacing w:line="300" w:lineRule="exact"/>
        <w:ind w:right="-147" w:rightChars="-70"/>
        <w:jc w:val="center"/>
        <w:rPr>
          <w:rFonts w:ascii="宋体" w:hAnsi="宋体"/>
          <w:color w:val="auto"/>
          <w:szCs w:val="21"/>
        </w:rPr>
      </w:pPr>
    </w:p>
    <w:p w14:paraId="2DC71455">
      <w:pPr>
        <w:widowControl/>
        <w:spacing w:line="300" w:lineRule="exact"/>
        <w:ind w:right="-147" w:rightChars="-70"/>
        <w:jc w:val="center"/>
        <w:rPr>
          <w:rFonts w:ascii="宋体" w:hAnsi="宋体"/>
          <w:color w:val="auto"/>
          <w:szCs w:val="21"/>
        </w:rPr>
      </w:pPr>
    </w:p>
    <w:p w14:paraId="2D9CC37B">
      <w:pPr>
        <w:rPr>
          <w:color w:val="auto"/>
        </w:rPr>
      </w:pPr>
      <w:r>
        <w:rPr>
          <w:rFonts w:ascii="宋体" w:hAnsi="宋体"/>
          <w:color w:val="auto"/>
          <w:szCs w:val="21"/>
        </w:rPr>
        <w:br w:type="page"/>
      </w:r>
    </w:p>
    <w:p w14:paraId="33926B40">
      <w:pPr>
        <w:widowControl/>
        <w:spacing w:line="300" w:lineRule="exact"/>
        <w:ind w:right="-147" w:rightChars="-70"/>
        <w:jc w:val="center"/>
        <w:rPr>
          <w:rFonts w:hAnsi="宋体"/>
          <w:b/>
          <w:color w:val="auto"/>
          <w:sz w:val="28"/>
          <w:szCs w:val="28"/>
        </w:rPr>
      </w:pPr>
    </w:p>
    <w:p w14:paraId="7121C84F">
      <w:pPr>
        <w:widowControl/>
        <w:spacing w:line="300" w:lineRule="exact"/>
        <w:ind w:right="-147" w:rightChars="-70"/>
        <w:jc w:val="center"/>
        <w:outlineLvl w:val="9"/>
        <w:rPr>
          <w:rFonts w:hAnsi="宋体"/>
          <w:b/>
          <w:color w:val="auto"/>
          <w:sz w:val="28"/>
          <w:szCs w:val="28"/>
        </w:rPr>
      </w:pPr>
      <w:bookmarkStart w:id="1693" w:name="_Toc29055"/>
      <w:bookmarkStart w:id="1694" w:name="_Toc4021"/>
      <w:r>
        <w:rPr>
          <w:rFonts w:hint="eastAsia" w:hAnsi="宋体"/>
          <w:b/>
          <w:color w:val="auto"/>
          <w:sz w:val="28"/>
          <w:szCs w:val="28"/>
        </w:rPr>
        <w:t>二、建设工程项目管理承诺书</w:t>
      </w:r>
      <w:bookmarkEnd w:id="1693"/>
      <w:bookmarkEnd w:id="1694"/>
    </w:p>
    <w:p w14:paraId="16951118">
      <w:pPr>
        <w:pStyle w:val="87"/>
        <w:rPr>
          <w:color w:val="auto"/>
        </w:rPr>
      </w:pPr>
    </w:p>
    <w:p w14:paraId="58546796">
      <w:pPr>
        <w:pStyle w:val="87"/>
        <w:jc w:val="center"/>
        <w:rPr>
          <w:rFonts w:hAnsi="宋体"/>
          <w:bCs w:val="0"/>
          <w:color w:val="auto"/>
          <w:szCs w:val="28"/>
        </w:rPr>
      </w:pPr>
      <w:r>
        <w:rPr>
          <w:rFonts w:hint="eastAsia" w:hAnsi="宋体"/>
          <w:bCs w:val="0"/>
          <w:color w:val="auto"/>
          <w:szCs w:val="28"/>
        </w:rPr>
        <w:t>（格式自拟）</w:t>
      </w:r>
    </w:p>
    <w:p w14:paraId="270C64E5">
      <w:pPr>
        <w:pStyle w:val="87"/>
        <w:jc w:val="right"/>
        <w:rPr>
          <w:color w:val="auto"/>
          <w:szCs w:val="21"/>
        </w:rPr>
      </w:pPr>
    </w:p>
    <w:p w14:paraId="1165E5E2">
      <w:pPr>
        <w:rPr>
          <w:rFonts w:hAnsi="宋体"/>
          <w:b/>
          <w:color w:val="auto"/>
          <w:sz w:val="28"/>
          <w:szCs w:val="28"/>
        </w:rPr>
      </w:pPr>
      <w:r>
        <w:rPr>
          <w:rFonts w:hint="eastAsia" w:hAnsi="宋体"/>
          <w:b/>
          <w:color w:val="auto"/>
          <w:sz w:val="28"/>
          <w:szCs w:val="28"/>
        </w:rPr>
        <w:br w:type="page"/>
      </w:r>
    </w:p>
    <w:p w14:paraId="55CD96DA">
      <w:pPr>
        <w:jc w:val="center"/>
        <w:outlineLvl w:val="9"/>
        <w:rPr>
          <w:rFonts w:hAnsi="宋体"/>
          <w:b/>
          <w:color w:val="auto"/>
          <w:sz w:val="28"/>
          <w:szCs w:val="28"/>
        </w:rPr>
      </w:pPr>
      <w:bookmarkStart w:id="1695" w:name="_Toc2398"/>
      <w:bookmarkStart w:id="1696" w:name="_Toc17587"/>
      <w:r>
        <w:rPr>
          <w:rFonts w:hint="eastAsia" w:hAnsi="宋体"/>
          <w:b/>
          <w:color w:val="auto"/>
          <w:sz w:val="28"/>
          <w:szCs w:val="28"/>
        </w:rPr>
        <w:t>三、施工组织设计</w:t>
      </w:r>
      <w:bookmarkEnd w:id="1695"/>
      <w:bookmarkEnd w:id="1696"/>
    </w:p>
    <w:p w14:paraId="3E481550">
      <w:pPr>
        <w:pStyle w:val="69"/>
        <w:ind w:left="420" w:leftChars="200"/>
        <w:rPr>
          <w:color w:val="auto"/>
        </w:rPr>
      </w:pPr>
    </w:p>
    <w:p w14:paraId="442449CE">
      <w:pPr>
        <w:spacing w:line="400" w:lineRule="exact"/>
        <w:rPr>
          <w:rFonts w:ascii="宋体" w:hAnsi="宋体"/>
          <w:color w:val="auto"/>
        </w:rPr>
      </w:pPr>
      <w:r>
        <w:rPr>
          <w:rFonts w:hint="eastAsia" w:ascii="宋体" w:hAnsi="宋体"/>
          <w:color w:val="auto"/>
        </w:rPr>
        <w:t>1.竞标人</w:t>
      </w:r>
      <w:r>
        <w:rPr>
          <w:rFonts w:ascii="宋体" w:hAnsi="宋体"/>
          <w:color w:val="auto"/>
        </w:rPr>
        <w:t>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2E62C98C">
      <w:pPr>
        <w:spacing w:line="400" w:lineRule="exact"/>
        <w:rPr>
          <w:rFonts w:ascii="宋体" w:hAnsi="宋体"/>
          <w:color w:val="auto"/>
        </w:rPr>
      </w:pPr>
      <w:r>
        <w:rPr>
          <w:rFonts w:hint="eastAsia" w:ascii="宋体" w:hAnsi="宋体"/>
          <w:color w:val="auto"/>
        </w:rPr>
        <w:t>2.</w:t>
      </w:r>
      <w:r>
        <w:rPr>
          <w:rFonts w:ascii="宋体" w:hAnsi="宋体"/>
          <w:color w:val="auto"/>
        </w:rPr>
        <w:t>施工组织设计除采用文字表述外可附下列图表，图表及格式要求附后。</w:t>
      </w:r>
    </w:p>
    <w:p w14:paraId="0A3BF02F">
      <w:pPr>
        <w:spacing w:line="400" w:lineRule="exact"/>
        <w:rPr>
          <w:rFonts w:ascii="宋体" w:hAnsi="宋体"/>
          <w:color w:val="auto"/>
        </w:rPr>
      </w:pPr>
      <w:r>
        <w:rPr>
          <w:rFonts w:ascii="宋体" w:hAnsi="宋体"/>
          <w:color w:val="auto"/>
        </w:rPr>
        <w:t>附表一  拟投入本工程的主要施工设备表</w:t>
      </w:r>
    </w:p>
    <w:p w14:paraId="1D3F3F27">
      <w:pPr>
        <w:spacing w:line="400" w:lineRule="exact"/>
        <w:rPr>
          <w:rFonts w:ascii="宋体" w:hAnsi="宋体"/>
          <w:color w:val="auto"/>
        </w:rPr>
      </w:pPr>
      <w:r>
        <w:rPr>
          <w:rFonts w:ascii="宋体" w:hAnsi="宋体"/>
          <w:color w:val="auto"/>
        </w:rPr>
        <w:t>附表二  拟配备本工程的试验和检测仪器设备表</w:t>
      </w:r>
    </w:p>
    <w:p w14:paraId="22B05749">
      <w:pPr>
        <w:spacing w:line="400" w:lineRule="exact"/>
        <w:rPr>
          <w:rFonts w:ascii="宋体" w:hAnsi="宋体"/>
          <w:color w:val="auto"/>
        </w:rPr>
      </w:pPr>
      <w:r>
        <w:rPr>
          <w:rFonts w:ascii="宋体" w:hAnsi="宋体"/>
          <w:color w:val="auto"/>
        </w:rPr>
        <w:t>附表三  劳动力计划表</w:t>
      </w:r>
    </w:p>
    <w:p w14:paraId="75D733B4">
      <w:pPr>
        <w:spacing w:line="400" w:lineRule="exact"/>
        <w:rPr>
          <w:rFonts w:ascii="宋体" w:hAnsi="宋体"/>
          <w:color w:val="auto"/>
        </w:rPr>
      </w:pPr>
      <w:r>
        <w:rPr>
          <w:rFonts w:ascii="宋体" w:hAnsi="宋体"/>
          <w:color w:val="auto"/>
        </w:rPr>
        <w:t>附表四  计划开、竣工日期和施工进度网络图</w:t>
      </w:r>
    </w:p>
    <w:p w14:paraId="74FF6DAD">
      <w:pPr>
        <w:spacing w:line="400" w:lineRule="exact"/>
        <w:rPr>
          <w:rFonts w:ascii="宋体" w:hAnsi="宋体"/>
          <w:color w:val="auto"/>
        </w:rPr>
      </w:pPr>
      <w:r>
        <w:rPr>
          <w:rFonts w:ascii="宋体" w:hAnsi="宋体"/>
          <w:color w:val="auto"/>
        </w:rPr>
        <w:t>附表五  施工总平面图</w:t>
      </w:r>
    </w:p>
    <w:p w14:paraId="214D29C1">
      <w:pPr>
        <w:spacing w:line="400" w:lineRule="exact"/>
        <w:rPr>
          <w:rFonts w:ascii="宋体" w:hAnsi="宋体"/>
          <w:color w:val="auto"/>
        </w:rPr>
      </w:pPr>
      <w:r>
        <w:rPr>
          <w:rFonts w:ascii="宋体" w:hAnsi="宋体"/>
          <w:color w:val="auto"/>
        </w:rPr>
        <w:t>附表六  临时用地表</w:t>
      </w:r>
    </w:p>
    <w:p w14:paraId="26DE1EA4">
      <w:pPr>
        <w:spacing w:line="400" w:lineRule="exact"/>
        <w:rPr>
          <w:rFonts w:ascii="宋体" w:hAnsi="宋体"/>
          <w:color w:val="auto"/>
        </w:rPr>
      </w:pPr>
    </w:p>
    <w:p w14:paraId="2FCEA22D">
      <w:pPr>
        <w:spacing w:line="400" w:lineRule="exact"/>
        <w:outlineLvl w:val="9"/>
        <w:rPr>
          <w:rFonts w:ascii="宋体" w:hAnsi="宋体"/>
          <w:color w:val="auto"/>
        </w:rPr>
      </w:pPr>
      <w:r>
        <w:rPr>
          <w:rFonts w:ascii="宋体" w:hAnsi="宋体"/>
          <w:color w:val="auto"/>
        </w:rPr>
        <w:t>附表一：拟投入本工程的主要施工设备表</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061"/>
        <w:gridCol w:w="1061"/>
        <w:gridCol w:w="1062"/>
        <w:gridCol w:w="1061"/>
        <w:gridCol w:w="1061"/>
        <w:gridCol w:w="1062"/>
        <w:gridCol w:w="1061"/>
        <w:gridCol w:w="1061"/>
        <w:gridCol w:w="1062"/>
      </w:tblGrid>
      <w:tr w14:paraId="17EBB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6" w:type="dxa"/>
            <w:noWrap/>
            <w:vAlign w:val="center"/>
          </w:tcPr>
          <w:p w14:paraId="44F69BF0">
            <w:pPr>
              <w:spacing w:line="300" w:lineRule="exact"/>
              <w:jc w:val="center"/>
              <w:rPr>
                <w:rFonts w:ascii="宋体" w:hAnsi="宋体"/>
                <w:color w:val="auto"/>
                <w:szCs w:val="21"/>
              </w:rPr>
            </w:pPr>
            <w:r>
              <w:rPr>
                <w:rFonts w:ascii="宋体" w:hAnsi="宋体"/>
                <w:color w:val="auto"/>
                <w:szCs w:val="21"/>
              </w:rPr>
              <w:t>序号</w:t>
            </w:r>
          </w:p>
        </w:tc>
        <w:tc>
          <w:tcPr>
            <w:tcW w:w="1061" w:type="dxa"/>
            <w:noWrap/>
            <w:vAlign w:val="center"/>
          </w:tcPr>
          <w:p w14:paraId="35C11AFC">
            <w:pPr>
              <w:spacing w:line="300" w:lineRule="exact"/>
              <w:jc w:val="center"/>
              <w:rPr>
                <w:rFonts w:ascii="宋体" w:hAnsi="宋体"/>
                <w:color w:val="auto"/>
                <w:szCs w:val="21"/>
              </w:rPr>
            </w:pPr>
            <w:r>
              <w:rPr>
                <w:rFonts w:ascii="宋体" w:hAnsi="宋体"/>
                <w:color w:val="auto"/>
                <w:szCs w:val="21"/>
              </w:rPr>
              <w:t>设备名称</w:t>
            </w:r>
          </w:p>
        </w:tc>
        <w:tc>
          <w:tcPr>
            <w:tcW w:w="1061" w:type="dxa"/>
            <w:noWrap/>
            <w:vAlign w:val="center"/>
          </w:tcPr>
          <w:p w14:paraId="51BB44B5">
            <w:pPr>
              <w:spacing w:line="300" w:lineRule="exact"/>
              <w:jc w:val="center"/>
              <w:rPr>
                <w:rFonts w:ascii="宋体" w:hAnsi="宋体"/>
                <w:color w:val="auto"/>
                <w:szCs w:val="21"/>
              </w:rPr>
            </w:pPr>
            <w:r>
              <w:rPr>
                <w:rFonts w:ascii="宋体" w:hAnsi="宋体"/>
                <w:color w:val="auto"/>
                <w:szCs w:val="21"/>
              </w:rPr>
              <w:t>型号规格</w:t>
            </w:r>
          </w:p>
        </w:tc>
        <w:tc>
          <w:tcPr>
            <w:tcW w:w="1062" w:type="dxa"/>
            <w:noWrap/>
            <w:vAlign w:val="center"/>
          </w:tcPr>
          <w:p w14:paraId="35D52201">
            <w:pPr>
              <w:spacing w:line="300" w:lineRule="exact"/>
              <w:jc w:val="center"/>
              <w:rPr>
                <w:rFonts w:ascii="宋体" w:hAnsi="宋体"/>
                <w:color w:val="auto"/>
                <w:szCs w:val="21"/>
              </w:rPr>
            </w:pPr>
            <w:r>
              <w:rPr>
                <w:rFonts w:ascii="宋体" w:hAnsi="宋体"/>
                <w:color w:val="auto"/>
                <w:szCs w:val="21"/>
              </w:rPr>
              <w:t>数量</w:t>
            </w:r>
          </w:p>
        </w:tc>
        <w:tc>
          <w:tcPr>
            <w:tcW w:w="1061" w:type="dxa"/>
            <w:noWrap/>
            <w:vAlign w:val="center"/>
          </w:tcPr>
          <w:p w14:paraId="42FBC9D3">
            <w:pPr>
              <w:spacing w:line="300" w:lineRule="exact"/>
              <w:jc w:val="center"/>
              <w:rPr>
                <w:rFonts w:ascii="宋体" w:hAnsi="宋体"/>
                <w:color w:val="auto"/>
                <w:szCs w:val="21"/>
              </w:rPr>
            </w:pPr>
            <w:r>
              <w:rPr>
                <w:rFonts w:ascii="宋体" w:hAnsi="宋体"/>
                <w:color w:val="auto"/>
                <w:szCs w:val="21"/>
              </w:rPr>
              <w:t>国别产地</w:t>
            </w:r>
          </w:p>
        </w:tc>
        <w:tc>
          <w:tcPr>
            <w:tcW w:w="1061" w:type="dxa"/>
            <w:noWrap/>
            <w:vAlign w:val="center"/>
          </w:tcPr>
          <w:p w14:paraId="474CC1B9">
            <w:pPr>
              <w:spacing w:line="300" w:lineRule="exact"/>
              <w:jc w:val="center"/>
              <w:rPr>
                <w:rFonts w:ascii="宋体" w:hAnsi="宋体"/>
                <w:color w:val="auto"/>
                <w:szCs w:val="21"/>
              </w:rPr>
            </w:pPr>
            <w:r>
              <w:rPr>
                <w:rFonts w:ascii="宋体" w:hAnsi="宋体"/>
                <w:color w:val="auto"/>
                <w:szCs w:val="21"/>
              </w:rPr>
              <w:t>制造年份</w:t>
            </w:r>
          </w:p>
        </w:tc>
        <w:tc>
          <w:tcPr>
            <w:tcW w:w="1062" w:type="dxa"/>
            <w:noWrap/>
            <w:vAlign w:val="center"/>
          </w:tcPr>
          <w:p w14:paraId="5FC7A249">
            <w:pPr>
              <w:spacing w:line="300" w:lineRule="exact"/>
              <w:jc w:val="center"/>
              <w:rPr>
                <w:rFonts w:ascii="宋体" w:hAnsi="宋体"/>
                <w:color w:val="auto"/>
                <w:szCs w:val="21"/>
              </w:rPr>
            </w:pPr>
            <w:r>
              <w:rPr>
                <w:rFonts w:ascii="宋体" w:hAnsi="宋体"/>
                <w:color w:val="auto"/>
                <w:szCs w:val="21"/>
              </w:rPr>
              <w:t>额定功率</w:t>
            </w:r>
          </w:p>
          <w:p w14:paraId="79EA7818">
            <w:pPr>
              <w:spacing w:line="300" w:lineRule="exact"/>
              <w:jc w:val="center"/>
              <w:rPr>
                <w:rFonts w:ascii="宋体" w:hAnsi="宋体"/>
                <w:color w:val="auto"/>
                <w:szCs w:val="21"/>
              </w:rPr>
            </w:pPr>
            <w:r>
              <w:rPr>
                <w:rFonts w:ascii="宋体" w:hAnsi="宋体"/>
                <w:color w:val="auto"/>
                <w:szCs w:val="21"/>
              </w:rPr>
              <w:t>（ KW ）</w:t>
            </w:r>
          </w:p>
        </w:tc>
        <w:tc>
          <w:tcPr>
            <w:tcW w:w="1061" w:type="dxa"/>
            <w:noWrap/>
            <w:vAlign w:val="center"/>
          </w:tcPr>
          <w:p w14:paraId="10232DFF">
            <w:pPr>
              <w:spacing w:line="300" w:lineRule="exact"/>
              <w:jc w:val="center"/>
              <w:rPr>
                <w:rFonts w:ascii="宋体" w:hAnsi="宋体"/>
                <w:color w:val="auto"/>
                <w:szCs w:val="21"/>
              </w:rPr>
            </w:pPr>
            <w:r>
              <w:rPr>
                <w:rFonts w:ascii="宋体" w:hAnsi="宋体"/>
                <w:color w:val="auto"/>
                <w:szCs w:val="21"/>
              </w:rPr>
              <w:t>生产能力</w:t>
            </w:r>
          </w:p>
        </w:tc>
        <w:tc>
          <w:tcPr>
            <w:tcW w:w="1061" w:type="dxa"/>
            <w:noWrap/>
            <w:vAlign w:val="center"/>
          </w:tcPr>
          <w:p w14:paraId="45E35BCF">
            <w:pPr>
              <w:spacing w:line="300" w:lineRule="exact"/>
              <w:jc w:val="center"/>
              <w:rPr>
                <w:rFonts w:ascii="宋体" w:hAnsi="宋体"/>
                <w:color w:val="auto"/>
                <w:szCs w:val="21"/>
              </w:rPr>
            </w:pPr>
            <w:r>
              <w:rPr>
                <w:rFonts w:ascii="宋体" w:hAnsi="宋体"/>
                <w:color w:val="auto"/>
                <w:szCs w:val="21"/>
              </w:rPr>
              <w:t>用于施工部位</w:t>
            </w:r>
          </w:p>
        </w:tc>
        <w:tc>
          <w:tcPr>
            <w:tcW w:w="1062" w:type="dxa"/>
            <w:noWrap/>
            <w:vAlign w:val="center"/>
          </w:tcPr>
          <w:p w14:paraId="5053EBF6">
            <w:pPr>
              <w:spacing w:line="300" w:lineRule="exact"/>
              <w:jc w:val="center"/>
              <w:rPr>
                <w:rFonts w:ascii="宋体" w:hAnsi="宋体"/>
                <w:color w:val="auto"/>
                <w:szCs w:val="21"/>
              </w:rPr>
            </w:pPr>
            <w:r>
              <w:rPr>
                <w:rFonts w:ascii="宋体" w:hAnsi="宋体"/>
                <w:color w:val="auto"/>
                <w:szCs w:val="21"/>
              </w:rPr>
              <w:t>备注</w:t>
            </w:r>
          </w:p>
        </w:tc>
      </w:tr>
      <w:tr w14:paraId="1C6F0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6" w:type="dxa"/>
            <w:noWrap/>
            <w:vAlign w:val="center"/>
          </w:tcPr>
          <w:p w14:paraId="523C1CC4">
            <w:pPr>
              <w:spacing w:line="300" w:lineRule="exact"/>
              <w:jc w:val="center"/>
              <w:rPr>
                <w:rFonts w:ascii="宋体" w:hAnsi="宋体"/>
                <w:color w:val="auto"/>
              </w:rPr>
            </w:pPr>
            <w:r>
              <w:rPr>
                <w:rFonts w:hint="eastAsia" w:ascii="宋体" w:hAnsi="宋体"/>
                <w:color w:val="auto"/>
              </w:rPr>
              <w:t>……</w:t>
            </w:r>
          </w:p>
        </w:tc>
        <w:tc>
          <w:tcPr>
            <w:tcW w:w="1061" w:type="dxa"/>
            <w:noWrap/>
            <w:vAlign w:val="center"/>
          </w:tcPr>
          <w:p w14:paraId="2C17E711">
            <w:pPr>
              <w:spacing w:line="300" w:lineRule="exact"/>
              <w:ind w:firstLine="420" w:firstLineChars="200"/>
              <w:jc w:val="center"/>
              <w:rPr>
                <w:rFonts w:ascii="宋体" w:hAnsi="宋体"/>
                <w:color w:val="auto"/>
                <w:szCs w:val="21"/>
              </w:rPr>
            </w:pPr>
          </w:p>
        </w:tc>
        <w:tc>
          <w:tcPr>
            <w:tcW w:w="1061" w:type="dxa"/>
            <w:noWrap/>
            <w:vAlign w:val="center"/>
          </w:tcPr>
          <w:p w14:paraId="723C2F91">
            <w:pPr>
              <w:spacing w:line="300" w:lineRule="exact"/>
              <w:jc w:val="center"/>
              <w:rPr>
                <w:rFonts w:ascii="宋体" w:hAnsi="宋体"/>
                <w:color w:val="auto"/>
                <w:szCs w:val="21"/>
              </w:rPr>
            </w:pPr>
          </w:p>
        </w:tc>
        <w:tc>
          <w:tcPr>
            <w:tcW w:w="1062" w:type="dxa"/>
            <w:noWrap/>
            <w:vAlign w:val="center"/>
          </w:tcPr>
          <w:p w14:paraId="65030BC6">
            <w:pPr>
              <w:spacing w:line="300" w:lineRule="exact"/>
              <w:jc w:val="center"/>
              <w:rPr>
                <w:rFonts w:ascii="宋体" w:hAnsi="宋体"/>
                <w:color w:val="auto"/>
                <w:szCs w:val="21"/>
              </w:rPr>
            </w:pPr>
          </w:p>
        </w:tc>
        <w:tc>
          <w:tcPr>
            <w:tcW w:w="1061" w:type="dxa"/>
            <w:noWrap/>
            <w:vAlign w:val="center"/>
          </w:tcPr>
          <w:p w14:paraId="04758B59">
            <w:pPr>
              <w:spacing w:line="300" w:lineRule="exact"/>
              <w:jc w:val="center"/>
              <w:rPr>
                <w:rFonts w:ascii="宋体" w:hAnsi="宋体"/>
                <w:color w:val="auto"/>
                <w:szCs w:val="21"/>
              </w:rPr>
            </w:pPr>
          </w:p>
        </w:tc>
        <w:tc>
          <w:tcPr>
            <w:tcW w:w="1061" w:type="dxa"/>
            <w:noWrap/>
            <w:vAlign w:val="center"/>
          </w:tcPr>
          <w:p w14:paraId="08F1B075">
            <w:pPr>
              <w:spacing w:line="300" w:lineRule="exact"/>
              <w:jc w:val="center"/>
              <w:rPr>
                <w:rFonts w:ascii="宋体" w:hAnsi="宋体"/>
                <w:color w:val="auto"/>
                <w:szCs w:val="21"/>
              </w:rPr>
            </w:pPr>
          </w:p>
        </w:tc>
        <w:tc>
          <w:tcPr>
            <w:tcW w:w="1062" w:type="dxa"/>
            <w:noWrap/>
            <w:vAlign w:val="center"/>
          </w:tcPr>
          <w:p w14:paraId="7994818E">
            <w:pPr>
              <w:spacing w:line="300" w:lineRule="exact"/>
              <w:jc w:val="center"/>
              <w:rPr>
                <w:rFonts w:ascii="宋体" w:hAnsi="宋体"/>
                <w:color w:val="auto"/>
                <w:szCs w:val="21"/>
              </w:rPr>
            </w:pPr>
          </w:p>
        </w:tc>
        <w:tc>
          <w:tcPr>
            <w:tcW w:w="1061" w:type="dxa"/>
            <w:noWrap/>
            <w:vAlign w:val="center"/>
          </w:tcPr>
          <w:p w14:paraId="7B97FD81">
            <w:pPr>
              <w:spacing w:line="300" w:lineRule="exact"/>
              <w:jc w:val="center"/>
              <w:rPr>
                <w:rFonts w:ascii="宋体" w:hAnsi="宋体"/>
                <w:color w:val="auto"/>
                <w:szCs w:val="21"/>
              </w:rPr>
            </w:pPr>
          </w:p>
        </w:tc>
        <w:tc>
          <w:tcPr>
            <w:tcW w:w="1061" w:type="dxa"/>
            <w:noWrap/>
            <w:vAlign w:val="center"/>
          </w:tcPr>
          <w:p w14:paraId="6DFAD166">
            <w:pPr>
              <w:spacing w:line="300" w:lineRule="exact"/>
              <w:jc w:val="center"/>
              <w:rPr>
                <w:rFonts w:ascii="宋体" w:hAnsi="宋体"/>
                <w:color w:val="auto"/>
                <w:szCs w:val="21"/>
              </w:rPr>
            </w:pPr>
          </w:p>
        </w:tc>
        <w:tc>
          <w:tcPr>
            <w:tcW w:w="1062" w:type="dxa"/>
            <w:noWrap/>
            <w:vAlign w:val="center"/>
          </w:tcPr>
          <w:p w14:paraId="0CE35E7D">
            <w:pPr>
              <w:spacing w:line="300" w:lineRule="exact"/>
              <w:jc w:val="center"/>
              <w:rPr>
                <w:rFonts w:ascii="宋体" w:hAnsi="宋体"/>
                <w:color w:val="auto"/>
                <w:szCs w:val="21"/>
              </w:rPr>
            </w:pPr>
          </w:p>
        </w:tc>
      </w:tr>
      <w:tr w14:paraId="4A26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6" w:type="dxa"/>
            <w:noWrap/>
            <w:vAlign w:val="center"/>
          </w:tcPr>
          <w:p w14:paraId="79B15BE9">
            <w:pPr>
              <w:spacing w:line="300" w:lineRule="exact"/>
              <w:jc w:val="center"/>
              <w:rPr>
                <w:rFonts w:ascii="宋体" w:hAnsi="宋体"/>
                <w:color w:val="auto"/>
              </w:rPr>
            </w:pPr>
            <w:r>
              <w:rPr>
                <w:rFonts w:hint="eastAsia" w:ascii="宋体" w:hAnsi="宋体"/>
                <w:color w:val="auto"/>
              </w:rPr>
              <w:t>N</w:t>
            </w:r>
          </w:p>
        </w:tc>
        <w:tc>
          <w:tcPr>
            <w:tcW w:w="1061" w:type="dxa"/>
            <w:noWrap/>
            <w:vAlign w:val="center"/>
          </w:tcPr>
          <w:p w14:paraId="7CFE3656">
            <w:pPr>
              <w:spacing w:line="300" w:lineRule="exact"/>
              <w:jc w:val="center"/>
              <w:rPr>
                <w:rFonts w:ascii="宋体" w:hAnsi="宋体"/>
                <w:color w:val="auto"/>
                <w:szCs w:val="21"/>
              </w:rPr>
            </w:pPr>
          </w:p>
        </w:tc>
        <w:tc>
          <w:tcPr>
            <w:tcW w:w="1061" w:type="dxa"/>
            <w:noWrap/>
            <w:vAlign w:val="center"/>
          </w:tcPr>
          <w:p w14:paraId="5FEE9E52">
            <w:pPr>
              <w:spacing w:line="300" w:lineRule="exact"/>
              <w:jc w:val="center"/>
              <w:rPr>
                <w:rFonts w:ascii="宋体" w:hAnsi="宋体"/>
                <w:color w:val="auto"/>
                <w:szCs w:val="21"/>
              </w:rPr>
            </w:pPr>
          </w:p>
        </w:tc>
        <w:tc>
          <w:tcPr>
            <w:tcW w:w="1062" w:type="dxa"/>
            <w:noWrap/>
            <w:vAlign w:val="center"/>
          </w:tcPr>
          <w:p w14:paraId="1033838A">
            <w:pPr>
              <w:spacing w:line="300" w:lineRule="exact"/>
              <w:jc w:val="center"/>
              <w:rPr>
                <w:rFonts w:ascii="宋体" w:hAnsi="宋体"/>
                <w:color w:val="auto"/>
                <w:szCs w:val="21"/>
              </w:rPr>
            </w:pPr>
          </w:p>
        </w:tc>
        <w:tc>
          <w:tcPr>
            <w:tcW w:w="1061" w:type="dxa"/>
            <w:noWrap/>
            <w:vAlign w:val="center"/>
          </w:tcPr>
          <w:p w14:paraId="49A4E96C">
            <w:pPr>
              <w:spacing w:line="300" w:lineRule="exact"/>
              <w:jc w:val="center"/>
              <w:rPr>
                <w:rFonts w:ascii="宋体" w:hAnsi="宋体"/>
                <w:color w:val="auto"/>
                <w:szCs w:val="21"/>
              </w:rPr>
            </w:pPr>
          </w:p>
        </w:tc>
        <w:tc>
          <w:tcPr>
            <w:tcW w:w="1061" w:type="dxa"/>
            <w:noWrap/>
            <w:vAlign w:val="center"/>
          </w:tcPr>
          <w:p w14:paraId="044EA98F">
            <w:pPr>
              <w:spacing w:line="300" w:lineRule="exact"/>
              <w:jc w:val="center"/>
              <w:rPr>
                <w:rFonts w:ascii="宋体" w:hAnsi="宋体"/>
                <w:color w:val="auto"/>
                <w:szCs w:val="21"/>
              </w:rPr>
            </w:pPr>
          </w:p>
        </w:tc>
        <w:tc>
          <w:tcPr>
            <w:tcW w:w="1062" w:type="dxa"/>
            <w:noWrap/>
            <w:vAlign w:val="center"/>
          </w:tcPr>
          <w:p w14:paraId="4D0DEF3C">
            <w:pPr>
              <w:spacing w:line="300" w:lineRule="exact"/>
              <w:jc w:val="center"/>
              <w:rPr>
                <w:rFonts w:ascii="宋体" w:hAnsi="宋体"/>
                <w:color w:val="auto"/>
                <w:szCs w:val="21"/>
              </w:rPr>
            </w:pPr>
          </w:p>
        </w:tc>
        <w:tc>
          <w:tcPr>
            <w:tcW w:w="1061" w:type="dxa"/>
            <w:noWrap/>
            <w:vAlign w:val="center"/>
          </w:tcPr>
          <w:p w14:paraId="4ECE8A0F">
            <w:pPr>
              <w:spacing w:line="300" w:lineRule="exact"/>
              <w:jc w:val="center"/>
              <w:rPr>
                <w:rFonts w:ascii="宋体" w:hAnsi="宋体"/>
                <w:color w:val="auto"/>
                <w:szCs w:val="21"/>
              </w:rPr>
            </w:pPr>
          </w:p>
        </w:tc>
        <w:tc>
          <w:tcPr>
            <w:tcW w:w="1061" w:type="dxa"/>
            <w:noWrap/>
            <w:vAlign w:val="center"/>
          </w:tcPr>
          <w:p w14:paraId="6A28039C">
            <w:pPr>
              <w:spacing w:line="300" w:lineRule="exact"/>
              <w:jc w:val="center"/>
              <w:rPr>
                <w:rFonts w:ascii="宋体" w:hAnsi="宋体"/>
                <w:color w:val="auto"/>
                <w:szCs w:val="21"/>
              </w:rPr>
            </w:pPr>
          </w:p>
        </w:tc>
        <w:tc>
          <w:tcPr>
            <w:tcW w:w="1062" w:type="dxa"/>
            <w:noWrap/>
            <w:vAlign w:val="center"/>
          </w:tcPr>
          <w:p w14:paraId="59E46197">
            <w:pPr>
              <w:spacing w:line="300" w:lineRule="exact"/>
              <w:jc w:val="center"/>
              <w:rPr>
                <w:rFonts w:ascii="宋体" w:hAnsi="宋体"/>
                <w:color w:val="auto"/>
                <w:szCs w:val="21"/>
              </w:rPr>
            </w:pPr>
          </w:p>
        </w:tc>
      </w:tr>
    </w:tbl>
    <w:p w14:paraId="072CB6A4">
      <w:pPr>
        <w:spacing w:line="400" w:lineRule="exact"/>
        <w:rPr>
          <w:color w:val="auto"/>
        </w:rPr>
      </w:pPr>
    </w:p>
    <w:p w14:paraId="39A7044B">
      <w:pPr>
        <w:spacing w:line="400" w:lineRule="exact"/>
        <w:outlineLvl w:val="9"/>
        <w:rPr>
          <w:color w:val="auto"/>
        </w:rPr>
      </w:pPr>
      <w:r>
        <w:rPr>
          <w:color w:val="auto"/>
        </w:rPr>
        <w:t>附表二：拟配备本工程的试验和检测仪器设备表</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216"/>
        <w:gridCol w:w="1216"/>
        <w:gridCol w:w="1216"/>
        <w:gridCol w:w="1216"/>
        <w:gridCol w:w="1216"/>
        <w:gridCol w:w="1216"/>
        <w:gridCol w:w="1216"/>
        <w:gridCol w:w="1216"/>
      </w:tblGrid>
      <w:tr w14:paraId="0E38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dxa"/>
            <w:noWrap/>
            <w:vAlign w:val="center"/>
          </w:tcPr>
          <w:p w14:paraId="0FCEC3B1">
            <w:pPr>
              <w:spacing w:line="300" w:lineRule="exact"/>
              <w:jc w:val="center"/>
              <w:rPr>
                <w:rFonts w:ascii="宋体" w:hAnsi="宋体"/>
                <w:color w:val="auto"/>
                <w:szCs w:val="21"/>
              </w:rPr>
            </w:pPr>
            <w:r>
              <w:rPr>
                <w:rFonts w:ascii="宋体" w:hAnsi="宋体"/>
                <w:color w:val="auto"/>
                <w:szCs w:val="21"/>
              </w:rPr>
              <w:t>序号</w:t>
            </w:r>
          </w:p>
        </w:tc>
        <w:tc>
          <w:tcPr>
            <w:tcW w:w="1216" w:type="dxa"/>
            <w:noWrap/>
            <w:vAlign w:val="center"/>
          </w:tcPr>
          <w:p w14:paraId="25C5632B">
            <w:pPr>
              <w:spacing w:line="300" w:lineRule="exact"/>
              <w:jc w:val="center"/>
              <w:rPr>
                <w:rFonts w:ascii="宋体" w:hAnsi="宋体"/>
                <w:color w:val="auto"/>
                <w:szCs w:val="21"/>
              </w:rPr>
            </w:pPr>
            <w:r>
              <w:rPr>
                <w:rFonts w:ascii="宋体" w:hAnsi="宋体"/>
                <w:color w:val="auto"/>
                <w:szCs w:val="21"/>
              </w:rPr>
              <w:t>仪器设备</w:t>
            </w:r>
          </w:p>
          <w:p w14:paraId="12CF5CB6">
            <w:pPr>
              <w:spacing w:line="300" w:lineRule="exact"/>
              <w:jc w:val="center"/>
              <w:rPr>
                <w:rFonts w:ascii="宋体" w:hAnsi="宋体"/>
                <w:color w:val="auto"/>
                <w:szCs w:val="21"/>
              </w:rPr>
            </w:pPr>
            <w:r>
              <w:rPr>
                <w:rFonts w:ascii="宋体" w:hAnsi="宋体"/>
                <w:color w:val="auto"/>
                <w:szCs w:val="21"/>
              </w:rPr>
              <w:t>名称</w:t>
            </w:r>
          </w:p>
        </w:tc>
        <w:tc>
          <w:tcPr>
            <w:tcW w:w="1216" w:type="dxa"/>
            <w:noWrap/>
            <w:vAlign w:val="center"/>
          </w:tcPr>
          <w:p w14:paraId="714A4FAB">
            <w:pPr>
              <w:spacing w:line="300" w:lineRule="exact"/>
              <w:jc w:val="center"/>
              <w:rPr>
                <w:rFonts w:ascii="宋体" w:hAnsi="宋体"/>
                <w:color w:val="auto"/>
                <w:szCs w:val="21"/>
              </w:rPr>
            </w:pPr>
            <w:r>
              <w:rPr>
                <w:rFonts w:ascii="宋体" w:hAnsi="宋体"/>
                <w:color w:val="auto"/>
                <w:szCs w:val="21"/>
              </w:rPr>
              <w:t>型号</w:t>
            </w:r>
          </w:p>
          <w:p w14:paraId="743932F0">
            <w:pPr>
              <w:spacing w:line="300" w:lineRule="exact"/>
              <w:jc w:val="center"/>
              <w:rPr>
                <w:rFonts w:ascii="宋体" w:hAnsi="宋体"/>
                <w:color w:val="auto"/>
                <w:szCs w:val="21"/>
              </w:rPr>
            </w:pPr>
            <w:r>
              <w:rPr>
                <w:rFonts w:ascii="宋体" w:hAnsi="宋体"/>
                <w:color w:val="auto"/>
                <w:szCs w:val="21"/>
              </w:rPr>
              <w:t>规格</w:t>
            </w:r>
          </w:p>
        </w:tc>
        <w:tc>
          <w:tcPr>
            <w:tcW w:w="1216" w:type="dxa"/>
            <w:noWrap/>
            <w:vAlign w:val="center"/>
          </w:tcPr>
          <w:p w14:paraId="016F3C55">
            <w:pPr>
              <w:spacing w:line="300" w:lineRule="exact"/>
              <w:jc w:val="center"/>
              <w:rPr>
                <w:rFonts w:ascii="宋体" w:hAnsi="宋体"/>
                <w:color w:val="auto"/>
                <w:szCs w:val="21"/>
              </w:rPr>
            </w:pPr>
            <w:r>
              <w:rPr>
                <w:rFonts w:ascii="宋体" w:hAnsi="宋体"/>
                <w:color w:val="auto"/>
                <w:szCs w:val="21"/>
              </w:rPr>
              <w:t>数量</w:t>
            </w:r>
          </w:p>
        </w:tc>
        <w:tc>
          <w:tcPr>
            <w:tcW w:w="1216" w:type="dxa"/>
            <w:noWrap/>
            <w:vAlign w:val="center"/>
          </w:tcPr>
          <w:p w14:paraId="1456C103">
            <w:pPr>
              <w:spacing w:line="300" w:lineRule="exact"/>
              <w:jc w:val="center"/>
              <w:rPr>
                <w:rFonts w:ascii="宋体" w:hAnsi="宋体"/>
                <w:color w:val="auto"/>
                <w:szCs w:val="21"/>
              </w:rPr>
            </w:pPr>
            <w:r>
              <w:rPr>
                <w:rFonts w:ascii="宋体" w:hAnsi="宋体"/>
                <w:color w:val="auto"/>
                <w:szCs w:val="21"/>
              </w:rPr>
              <w:t>国别</w:t>
            </w:r>
          </w:p>
          <w:p w14:paraId="3B69DD4F">
            <w:pPr>
              <w:spacing w:line="300" w:lineRule="exact"/>
              <w:jc w:val="center"/>
              <w:rPr>
                <w:rFonts w:ascii="宋体" w:hAnsi="宋体"/>
                <w:color w:val="auto"/>
                <w:szCs w:val="21"/>
              </w:rPr>
            </w:pPr>
            <w:r>
              <w:rPr>
                <w:rFonts w:ascii="宋体" w:hAnsi="宋体"/>
                <w:color w:val="auto"/>
                <w:szCs w:val="21"/>
              </w:rPr>
              <w:t>产地</w:t>
            </w:r>
          </w:p>
        </w:tc>
        <w:tc>
          <w:tcPr>
            <w:tcW w:w="1216" w:type="dxa"/>
            <w:noWrap/>
            <w:vAlign w:val="center"/>
          </w:tcPr>
          <w:p w14:paraId="6B383787">
            <w:pPr>
              <w:spacing w:line="300" w:lineRule="exact"/>
              <w:jc w:val="center"/>
              <w:rPr>
                <w:rFonts w:ascii="宋体" w:hAnsi="宋体"/>
                <w:color w:val="auto"/>
                <w:szCs w:val="21"/>
              </w:rPr>
            </w:pPr>
            <w:r>
              <w:rPr>
                <w:rFonts w:ascii="宋体" w:hAnsi="宋体"/>
                <w:color w:val="auto"/>
                <w:szCs w:val="21"/>
              </w:rPr>
              <w:t>制造年份</w:t>
            </w:r>
          </w:p>
        </w:tc>
        <w:tc>
          <w:tcPr>
            <w:tcW w:w="1216" w:type="dxa"/>
            <w:noWrap/>
            <w:vAlign w:val="center"/>
          </w:tcPr>
          <w:p w14:paraId="7A7BF91A">
            <w:pPr>
              <w:spacing w:line="300" w:lineRule="exact"/>
              <w:jc w:val="center"/>
              <w:rPr>
                <w:rFonts w:ascii="宋体" w:hAnsi="宋体"/>
                <w:color w:val="auto"/>
                <w:szCs w:val="21"/>
              </w:rPr>
            </w:pPr>
            <w:r>
              <w:rPr>
                <w:rFonts w:hint="eastAsia" w:ascii="宋体" w:hAnsi="宋体"/>
                <w:color w:val="auto"/>
                <w:szCs w:val="21"/>
              </w:rPr>
              <w:t>已</w:t>
            </w:r>
            <w:r>
              <w:rPr>
                <w:rFonts w:ascii="宋体" w:hAnsi="宋体"/>
                <w:color w:val="auto"/>
                <w:szCs w:val="21"/>
              </w:rPr>
              <w:t>使用</w:t>
            </w:r>
          </w:p>
          <w:p w14:paraId="3C2E2F2C">
            <w:pPr>
              <w:spacing w:line="300" w:lineRule="exact"/>
              <w:jc w:val="center"/>
              <w:rPr>
                <w:rFonts w:ascii="宋体" w:hAnsi="宋体"/>
                <w:color w:val="auto"/>
                <w:szCs w:val="21"/>
              </w:rPr>
            </w:pPr>
            <w:r>
              <w:rPr>
                <w:rFonts w:ascii="宋体" w:hAnsi="宋体"/>
                <w:color w:val="auto"/>
                <w:szCs w:val="21"/>
              </w:rPr>
              <w:t>台时数</w:t>
            </w:r>
          </w:p>
        </w:tc>
        <w:tc>
          <w:tcPr>
            <w:tcW w:w="1216" w:type="dxa"/>
            <w:noWrap/>
            <w:vAlign w:val="center"/>
          </w:tcPr>
          <w:p w14:paraId="72A2485B">
            <w:pPr>
              <w:spacing w:line="300" w:lineRule="exact"/>
              <w:jc w:val="center"/>
              <w:rPr>
                <w:rFonts w:ascii="宋体" w:hAnsi="宋体"/>
                <w:color w:val="auto"/>
                <w:szCs w:val="21"/>
              </w:rPr>
            </w:pPr>
            <w:r>
              <w:rPr>
                <w:rFonts w:ascii="宋体" w:hAnsi="宋体"/>
                <w:color w:val="auto"/>
                <w:szCs w:val="21"/>
              </w:rPr>
              <w:t>用途</w:t>
            </w:r>
          </w:p>
        </w:tc>
        <w:tc>
          <w:tcPr>
            <w:tcW w:w="1216" w:type="dxa"/>
            <w:noWrap/>
            <w:vAlign w:val="center"/>
          </w:tcPr>
          <w:p w14:paraId="436E01C7">
            <w:pPr>
              <w:spacing w:line="300" w:lineRule="exact"/>
              <w:jc w:val="center"/>
              <w:rPr>
                <w:rFonts w:ascii="宋体" w:hAnsi="宋体"/>
                <w:color w:val="auto"/>
                <w:szCs w:val="21"/>
              </w:rPr>
            </w:pPr>
            <w:r>
              <w:rPr>
                <w:rFonts w:ascii="宋体" w:hAnsi="宋体"/>
                <w:color w:val="auto"/>
                <w:szCs w:val="21"/>
              </w:rPr>
              <w:t>备注</w:t>
            </w:r>
          </w:p>
        </w:tc>
      </w:tr>
      <w:tr w14:paraId="39C4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dxa"/>
            <w:noWrap/>
            <w:vAlign w:val="center"/>
          </w:tcPr>
          <w:p w14:paraId="12FF53D3">
            <w:pPr>
              <w:spacing w:line="300" w:lineRule="exact"/>
              <w:jc w:val="center"/>
              <w:rPr>
                <w:rFonts w:ascii="宋体" w:hAnsi="宋体"/>
                <w:color w:val="auto"/>
              </w:rPr>
            </w:pPr>
            <w:r>
              <w:rPr>
                <w:rFonts w:hint="eastAsia" w:ascii="宋体" w:hAnsi="宋体"/>
                <w:color w:val="auto"/>
              </w:rPr>
              <w:t>……</w:t>
            </w:r>
          </w:p>
        </w:tc>
        <w:tc>
          <w:tcPr>
            <w:tcW w:w="1216" w:type="dxa"/>
            <w:noWrap/>
            <w:vAlign w:val="center"/>
          </w:tcPr>
          <w:p w14:paraId="623A0EDB">
            <w:pPr>
              <w:spacing w:line="300" w:lineRule="exact"/>
              <w:ind w:firstLine="420" w:firstLineChars="200"/>
              <w:rPr>
                <w:rFonts w:ascii="宋体" w:hAnsi="宋体"/>
                <w:color w:val="auto"/>
                <w:szCs w:val="21"/>
              </w:rPr>
            </w:pPr>
          </w:p>
        </w:tc>
        <w:tc>
          <w:tcPr>
            <w:tcW w:w="1216" w:type="dxa"/>
            <w:noWrap/>
            <w:vAlign w:val="center"/>
          </w:tcPr>
          <w:p w14:paraId="205E3593">
            <w:pPr>
              <w:spacing w:line="300" w:lineRule="exact"/>
              <w:ind w:firstLine="420" w:firstLineChars="200"/>
              <w:rPr>
                <w:rFonts w:ascii="宋体" w:hAnsi="宋体"/>
                <w:color w:val="auto"/>
                <w:szCs w:val="21"/>
              </w:rPr>
            </w:pPr>
          </w:p>
        </w:tc>
        <w:tc>
          <w:tcPr>
            <w:tcW w:w="1216" w:type="dxa"/>
            <w:noWrap/>
            <w:vAlign w:val="center"/>
          </w:tcPr>
          <w:p w14:paraId="0CC4F40F">
            <w:pPr>
              <w:spacing w:line="300" w:lineRule="exact"/>
              <w:ind w:firstLine="420" w:firstLineChars="200"/>
              <w:rPr>
                <w:rFonts w:ascii="宋体" w:hAnsi="宋体"/>
                <w:color w:val="auto"/>
                <w:szCs w:val="21"/>
              </w:rPr>
            </w:pPr>
          </w:p>
        </w:tc>
        <w:tc>
          <w:tcPr>
            <w:tcW w:w="1216" w:type="dxa"/>
            <w:noWrap/>
            <w:vAlign w:val="center"/>
          </w:tcPr>
          <w:p w14:paraId="093C8AF8">
            <w:pPr>
              <w:spacing w:line="300" w:lineRule="exact"/>
              <w:ind w:firstLine="420" w:firstLineChars="200"/>
              <w:rPr>
                <w:rFonts w:ascii="宋体" w:hAnsi="宋体"/>
                <w:color w:val="auto"/>
                <w:szCs w:val="21"/>
              </w:rPr>
            </w:pPr>
          </w:p>
        </w:tc>
        <w:tc>
          <w:tcPr>
            <w:tcW w:w="1216" w:type="dxa"/>
            <w:noWrap/>
            <w:vAlign w:val="center"/>
          </w:tcPr>
          <w:p w14:paraId="01C493E2">
            <w:pPr>
              <w:spacing w:line="300" w:lineRule="exact"/>
              <w:ind w:firstLine="420" w:firstLineChars="200"/>
              <w:rPr>
                <w:rFonts w:ascii="宋体" w:hAnsi="宋体"/>
                <w:color w:val="auto"/>
                <w:szCs w:val="21"/>
              </w:rPr>
            </w:pPr>
          </w:p>
        </w:tc>
        <w:tc>
          <w:tcPr>
            <w:tcW w:w="1216" w:type="dxa"/>
            <w:noWrap/>
            <w:vAlign w:val="center"/>
          </w:tcPr>
          <w:p w14:paraId="7037553A">
            <w:pPr>
              <w:spacing w:line="300" w:lineRule="exact"/>
              <w:ind w:firstLine="420" w:firstLineChars="200"/>
              <w:rPr>
                <w:rFonts w:ascii="宋体" w:hAnsi="宋体"/>
                <w:color w:val="auto"/>
                <w:szCs w:val="21"/>
              </w:rPr>
            </w:pPr>
          </w:p>
        </w:tc>
        <w:tc>
          <w:tcPr>
            <w:tcW w:w="1216" w:type="dxa"/>
            <w:noWrap/>
            <w:vAlign w:val="center"/>
          </w:tcPr>
          <w:p w14:paraId="2F469FF8">
            <w:pPr>
              <w:spacing w:line="300" w:lineRule="exact"/>
              <w:ind w:firstLine="420" w:firstLineChars="200"/>
              <w:rPr>
                <w:rFonts w:ascii="宋体" w:hAnsi="宋体"/>
                <w:color w:val="auto"/>
                <w:szCs w:val="21"/>
              </w:rPr>
            </w:pPr>
          </w:p>
        </w:tc>
        <w:tc>
          <w:tcPr>
            <w:tcW w:w="1216" w:type="dxa"/>
            <w:noWrap/>
          </w:tcPr>
          <w:p w14:paraId="3C147FD1">
            <w:pPr>
              <w:spacing w:line="300" w:lineRule="exact"/>
              <w:ind w:firstLine="420" w:firstLineChars="200"/>
              <w:rPr>
                <w:rFonts w:ascii="宋体" w:hAnsi="宋体"/>
                <w:color w:val="auto"/>
                <w:szCs w:val="21"/>
              </w:rPr>
            </w:pPr>
          </w:p>
        </w:tc>
      </w:tr>
      <w:tr w14:paraId="04322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dxa"/>
            <w:noWrap/>
            <w:vAlign w:val="center"/>
          </w:tcPr>
          <w:p w14:paraId="645C2A80">
            <w:pPr>
              <w:spacing w:line="300" w:lineRule="exact"/>
              <w:jc w:val="center"/>
              <w:rPr>
                <w:rFonts w:ascii="宋体" w:hAnsi="宋体"/>
                <w:color w:val="auto"/>
              </w:rPr>
            </w:pPr>
            <w:r>
              <w:rPr>
                <w:rFonts w:hint="eastAsia" w:ascii="宋体" w:hAnsi="宋体"/>
                <w:color w:val="auto"/>
              </w:rPr>
              <w:t>N</w:t>
            </w:r>
          </w:p>
        </w:tc>
        <w:tc>
          <w:tcPr>
            <w:tcW w:w="1216" w:type="dxa"/>
            <w:noWrap/>
            <w:vAlign w:val="center"/>
          </w:tcPr>
          <w:p w14:paraId="21D9332E">
            <w:pPr>
              <w:spacing w:line="300" w:lineRule="exact"/>
              <w:ind w:firstLine="420" w:firstLineChars="200"/>
              <w:rPr>
                <w:rFonts w:ascii="宋体" w:hAnsi="宋体"/>
                <w:color w:val="auto"/>
                <w:szCs w:val="21"/>
              </w:rPr>
            </w:pPr>
          </w:p>
        </w:tc>
        <w:tc>
          <w:tcPr>
            <w:tcW w:w="1216" w:type="dxa"/>
            <w:noWrap/>
            <w:vAlign w:val="center"/>
          </w:tcPr>
          <w:p w14:paraId="5C44BD7D">
            <w:pPr>
              <w:spacing w:line="300" w:lineRule="exact"/>
              <w:ind w:firstLine="420" w:firstLineChars="200"/>
              <w:rPr>
                <w:rFonts w:ascii="宋体" w:hAnsi="宋体"/>
                <w:color w:val="auto"/>
                <w:szCs w:val="21"/>
              </w:rPr>
            </w:pPr>
          </w:p>
        </w:tc>
        <w:tc>
          <w:tcPr>
            <w:tcW w:w="1216" w:type="dxa"/>
            <w:noWrap/>
            <w:vAlign w:val="center"/>
          </w:tcPr>
          <w:p w14:paraId="228C846D">
            <w:pPr>
              <w:spacing w:line="300" w:lineRule="exact"/>
              <w:ind w:firstLine="420" w:firstLineChars="200"/>
              <w:rPr>
                <w:rFonts w:ascii="宋体" w:hAnsi="宋体"/>
                <w:color w:val="auto"/>
                <w:szCs w:val="21"/>
              </w:rPr>
            </w:pPr>
          </w:p>
        </w:tc>
        <w:tc>
          <w:tcPr>
            <w:tcW w:w="1216" w:type="dxa"/>
            <w:noWrap/>
            <w:vAlign w:val="center"/>
          </w:tcPr>
          <w:p w14:paraId="0F2F1498">
            <w:pPr>
              <w:spacing w:line="300" w:lineRule="exact"/>
              <w:ind w:firstLine="420" w:firstLineChars="200"/>
              <w:rPr>
                <w:rFonts w:ascii="宋体" w:hAnsi="宋体"/>
                <w:color w:val="auto"/>
                <w:szCs w:val="21"/>
              </w:rPr>
            </w:pPr>
          </w:p>
        </w:tc>
        <w:tc>
          <w:tcPr>
            <w:tcW w:w="1216" w:type="dxa"/>
            <w:noWrap/>
            <w:vAlign w:val="center"/>
          </w:tcPr>
          <w:p w14:paraId="33B2FA67">
            <w:pPr>
              <w:spacing w:line="300" w:lineRule="exact"/>
              <w:ind w:firstLine="420" w:firstLineChars="200"/>
              <w:rPr>
                <w:rFonts w:ascii="宋体" w:hAnsi="宋体"/>
                <w:color w:val="auto"/>
                <w:szCs w:val="21"/>
              </w:rPr>
            </w:pPr>
          </w:p>
        </w:tc>
        <w:tc>
          <w:tcPr>
            <w:tcW w:w="1216" w:type="dxa"/>
            <w:noWrap/>
            <w:vAlign w:val="center"/>
          </w:tcPr>
          <w:p w14:paraId="3B3F6257">
            <w:pPr>
              <w:spacing w:line="300" w:lineRule="exact"/>
              <w:ind w:firstLine="420" w:firstLineChars="200"/>
              <w:rPr>
                <w:rFonts w:ascii="宋体" w:hAnsi="宋体"/>
                <w:color w:val="auto"/>
                <w:szCs w:val="21"/>
              </w:rPr>
            </w:pPr>
          </w:p>
        </w:tc>
        <w:tc>
          <w:tcPr>
            <w:tcW w:w="1216" w:type="dxa"/>
            <w:noWrap/>
            <w:vAlign w:val="center"/>
          </w:tcPr>
          <w:p w14:paraId="70363E15">
            <w:pPr>
              <w:spacing w:line="300" w:lineRule="exact"/>
              <w:ind w:firstLine="420" w:firstLineChars="200"/>
              <w:rPr>
                <w:rFonts w:ascii="宋体" w:hAnsi="宋体"/>
                <w:color w:val="auto"/>
                <w:szCs w:val="21"/>
              </w:rPr>
            </w:pPr>
          </w:p>
        </w:tc>
        <w:tc>
          <w:tcPr>
            <w:tcW w:w="1216" w:type="dxa"/>
            <w:noWrap/>
          </w:tcPr>
          <w:p w14:paraId="7C049636">
            <w:pPr>
              <w:spacing w:line="300" w:lineRule="exact"/>
              <w:ind w:firstLine="420" w:firstLineChars="200"/>
              <w:rPr>
                <w:rFonts w:ascii="宋体" w:hAnsi="宋体"/>
                <w:color w:val="auto"/>
                <w:szCs w:val="21"/>
              </w:rPr>
            </w:pPr>
          </w:p>
        </w:tc>
      </w:tr>
    </w:tbl>
    <w:p w14:paraId="134ABE9A">
      <w:pPr>
        <w:spacing w:line="400" w:lineRule="exact"/>
        <w:rPr>
          <w:color w:val="auto"/>
        </w:rPr>
      </w:pPr>
    </w:p>
    <w:p w14:paraId="22711B61">
      <w:pPr>
        <w:spacing w:line="400" w:lineRule="exact"/>
        <w:outlineLvl w:val="9"/>
        <w:rPr>
          <w:color w:val="auto"/>
          <w:szCs w:val="21"/>
        </w:rPr>
      </w:pPr>
      <w:r>
        <w:rPr>
          <w:color w:val="auto"/>
        </w:rPr>
        <w:t>附表三：劳动力计划表</w:t>
      </w:r>
    </w:p>
    <w:p w14:paraId="1611CCB4">
      <w:pPr>
        <w:spacing w:line="400" w:lineRule="exact"/>
        <w:ind w:firstLine="7245" w:firstLineChars="3450"/>
        <w:rPr>
          <w:color w:val="auto"/>
          <w:szCs w:val="21"/>
        </w:rPr>
      </w:pPr>
      <w:r>
        <w:rPr>
          <w:color w:val="auto"/>
          <w:szCs w:val="21"/>
        </w:rPr>
        <w:t xml:space="preserve">    单位：人</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2267"/>
      </w:tblGrid>
      <w:tr w14:paraId="368E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3" w:type="dxa"/>
            <w:noWrap/>
            <w:vAlign w:val="center"/>
          </w:tcPr>
          <w:p w14:paraId="04575541">
            <w:pPr>
              <w:spacing w:line="300" w:lineRule="exact"/>
              <w:jc w:val="center"/>
              <w:rPr>
                <w:rFonts w:ascii="宋体" w:hAnsi="宋体"/>
                <w:color w:val="auto"/>
                <w:szCs w:val="21"/>
              </w:rPr>
            </w:pPr>
            <w:r>
              <w:rPr>
                <w:rFonts w:ascii="宋体" w:hAnsi="宋体"/>
                <w:color w:val="auto"/>
                <w:szCs w:val="21"/>
              </w:rPr>
              <w:t>工种</w:t>
            </w:r>
          </w:p>
        </w:tc>
        <w:tc>
          <w:tcPr>
            <w:tcW w:w="9515" w:type="dxa"/>
            <w:gridSpan w:val="7"/>
            <w:noWrap/>
            <w:vAlign w:val="center"/>
          </w:tcPr>
          <w:p w14:paraId="14C8B6BB">
            <w:pPr>
              <w:spacing w:line="300" w:lineRule="exact"/>
              <w:jc w:val="center"/>
              <w:rPr>
                <w:rFonts w:ascii="宋体" w:hAnsi="宋体"/>
                <w:color w:val="auto"/>
                <w:szCs w:val="21"/>
              </w:rPr>
            </w:pPr>
            <w:r>
              <w:rPr>
                <w:rFonts w:ascii="宋体" w:hAnsi="宋体"/>
                <w:color w:val="auto"/>
                <w:szCs w:val="21"/>
              </w:rPr>
              <w:t>按工程施工阶段投入劳动力情况</w:t>
            </w:r>
          </w:p>
        </w:tc>
      </w:tr>
      <w:tr w14:paraId="3AE24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3" w:type="dxa"/>
            <w:noWrap/>
            <w:vAlign w:val="center"/>
          </w:tcPr>
          <w:p w14:paraId="0D51E8E4">
            <w:pPr>
              <w:spacing w:line="300" w:lineRule="exact"/>
              <w:jc w:val="center"/>
              <w:rPr>
                <w:rFonts w:ascii="宋体" w:hAnsi="宋体"/>
                <w:color w:val="auto"/>
              </w:rPr>
            </w:pPr>
            <w:r>
              <w:rPr>
                <w:rFonts w:hint="eastAsia" w:ascii="宋体" w:hAnsi="宋体"/>
                <w:color w:val="auto"/>
              </w:rPr>
              <w:t>……</w:t>
            </w:r>
          </w:p>
        </w:tc>
        <w:tc>
          <w:tcPr>
            <w:tcW w:w="961" w:type="dxa"/>
            <w:noWrap/>
            <w:vAlign w:val="center"/>
          </w:tcPr>
          <w:p w14:paraId="4C898E60">
            <w:pPr>
              <w:spacing w:line="300" w:lineRule="exact"/>
              <w:rPr>
                <w:rFonts w:ascii="宋体" w:hAnsi="宋体"/>
                <w:color w:val="auto"/>
                <w:szCs w:val="21"/>
              </w:rPr>
            </w:pPr>
          </w:p>
        </w:tc>
        <w:tc>
          <w:tcPr>
            <w:tcW w:w="1257" w:type="dxa"/>
            <w:noWrap/>
            <w:vAlign w:val="center"/>
          </w:tcPr>
          <w:p w14:paraId="3141EA13">
            <w:pPr>
              <w:spacing w:line="300" w:lineRule="exact"/>
              <w:rPr>
                <w:rFonts w:ascii="宋体" w:hAnsi="宋体"/>
                <w:color w:val="auto"/>
                <w:szCs w:val="21"/>
              </w:rPr>
            </w:pPr>
          </w:p>
        </w:tc>
        <w:tc>
          <w:tcPr>
            <w:tcW w:w="1258" w:type="dxa"/>
            <w:noWrap/>
            <w:vAlign w:val="center"/>
          </w:tcPr>
          <w:p w14:paraId="7D6F9E48">
            <w:pPr>
              <w:spacing w:line="300" w:lineRule="exact"/>
              <w:rPr>
                <w:rFonts w:ascii="宋体" w:hAnsi="宋体"/>
                <w:color w:val="auto"/>
                <w:szCs w:val="21"/>
              </w:rPr>
            </w:pPr>
          </w:p>
        </w:tc>
        <w:tc>
          <w:tcPr>
            <w:tcW w:w="1257" w:type="dxa"/>
            <w:noWrap/>
            <w:vAlign w:val="center"/>
          </w:tcPr>
          <w:p w14:paraId="25849083">
            <w:pPr>
              <w:spacing w:line="300" w:lineRule="exact"/>
              <w:rPr>
                <w:rFonts w:ascii="宋体" w:hAnsi="宋体"/>
                <w:color w:val="auto"/>
                <w:szCs w:val="21"/>
              </w:rPr>
            </w:pPr>
          </w:p>
        </w:tc>
        <w:tc>
          <w:tcPr>
            <w:tcW w:w="1258" w:type="dxa"/>
            <w:noWrap/>
            <w:vAlign w:val="center"/>
          </w:tcPr>
          <w:p w14:paraId="6054A17F">
            <w:pPr>
              <w:spacing w:line="300" w:lineRule="exact"/>
              <w:rPr>
                <w:rFonts w:ascii="宋体" w:hAnsi="宋体"/>
                <w:color w:val="auto"/>
                <w:szCs w:val="21"/>
              </w:rPr>
            </w:pPr>
          </w:p>
        </w:tc>
        <w:tc>
          <w:tcPr>
            <w:tcW w:w="1257" w:type="dxa"/>
            <w:noWrap/>
            <w:vAlign w:val="center"/>
          </w:tcPr>
          <w:p w14:paraId="0F0E10B3">
            <w:pPr>
              <w:spacing w:line="300" w:lineRule="exact"/>
              <w:rPr>
                <w:rFonts w:ascii="宋体" w:hAnsi="宋体"/>
                <w:color w:val="auto"/>
                <w:szCs w:val="21"/>
              </w:rPr>
            </w:pPr>
          </w:p>
        </w:tc>
        <w:tc>
          <w:tcPr>
            <w:tcW w:w="2267" w:type="dxa"/>
            <w:noWrap/>
            <w:vAlign w:val="center"/>
          </w:tcPr>
          <w:p w14:paraId="71FB87F2">
            <w:pPr>
              <w:spacing w:line="300" w:lineRule="exact"/>
              <w:rPr>
                <w:rFonts w:ascii="宋体" w:hAnsi="宋体"/>
                <w:color w:val="auto"/>
                <w:szCs w:val="21"/>
              </w:rPr>
            </w:pPr>
          </w:p>
        </w:tc>
      </w:tr>
      <w:tr w14:paraId="3F22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3" w:type="dxa"/>
            <w:noWrap/>
            <w:vAlign w:val="center"/>
          </w:tcPr>
          <w:p w14:paraId="42E9121B">
            <w:pPr>
              <w:spacing w:line="300" w:lineRule="exact"/>
              <w:jc w:val="center"/>
              <w:rPr>
                <w:rFonts w:ascii="宋体" w:hAnsi="宋体"/>
                <w:color w:val="auto"/>
              </w:rPr>
            </w:pPr>
            <w:r>
              <w:rPr>
                <w:rFonts w:hint="eastAsia" w:ascii="宋体" w:hAnsi="宋体"/>
                <w:color w:val="auto"/>
              </w:rPr>
              <w:t>N</w:t>
            </w:r>
          </w:p>
        </w:tc>
        <w:tc>
          <w:tcPr>
            <w:tcW w:w="961" w:type="dxa"/>
            <w:noWrap/>
            <w:vAlign w:val="center"/>
          </w:tcPr>
          <w:p w14:paraId="23A23668">
            <w:pPr>
              <w:spacing w:line="300" w:lineRule="exact"/>
              <w:rPr>
                <w:rFonts w:ascii="宋体" w:hAnsi="宋体"/>
                <w:color w:val="auto"/>
                <w:szCs w:val="21"/>
              </w:rPr>
            </w:pPr>
          </w:p>
        </w:tc>
        <w:tc>
          <w:tcPr>
            <w:tcW w:w="1257" w:type="dxa"/>
            <w:noWrap/>
            <w:vAlign w:val="center"/>
          </w:tcPr>
          <w:p w14:paraId="5559C4A2">
            <w:pPr>
              <w:spacing w:line="300" w:lineRule="exact"/>
              <w:rPr>
                <w:rFonts w:ascii="宋体" w:hAnsi="宋体"/>
                <w:color w:val="auto"/>
                <w:szCs w:val="21"/>
              </w:rPr>
            </w:pPr>
          </w:p>
        </w:tc>
        <w:tc>
          <w:tcPr>
            <w:tcW w:w="1258" w:type="dxa"/>
            <w:noWrap/>
            <w:vAlign w:val="center"/>
          </w:tcPr>
          <w:p w14:paraId="216CEDFB">
            <w:pPr>
              <w:spacing w:line="300" w:lineRule="exact"/>
              <w:rPr>
                <w:rFonts w:ascii="宋体" w:hAnsi="宋体"/>
                <w:color w:val="auto"/>
                <w:szCs w:val="21"/>
              </w:rPr>
            </w:pPr>
          </w:p>
        </w:tc>
        <w:tc>
          <w:tcPr>
            <w:tcW w:w="1257" w:type="dxa"/>
            <w:noWrap/>
            <w:vAlign w:val="center"/>
          </w:tcPr>
          <w:p w14:paraId="67FB2CA9">
            <w:pPr>
              <w:spacing w:line="300" w:lineRule="exact"/>
              <w:rPr>
                <w:rFonts w:ascii="宋体" w:hAnsi="宋体"/>
                <w:color w:val="auto"/>
                <w:szCs w:val="21"/>
              </w:rPr>
            </w:pPr>
          </w:p>
        </w:tc>
        <w:tc>
          <w:tcPr>
            <w:tcW w:w="1258" w:type="dxa"/>
            <w:noWrap/>
            <w:vAlign w:val="center"/>
          </w:tcPr>
          <w:p w14:paraId="3C3E27ED">
            <w:pPr>
              <w:spacing w:line="300" w:lineRule="exact"/>
              <w:rPr>
                <w:rFonts w:ascii="宋体" w:hAnsi="宋体"/>
                <w:color w:val="auto"/>
                <w:szCs w:val="21"/>
              </w:rPr>
            </w:pPr>
          </w:p>
        </w:tc>
        <w:tc>
          <w:tcPr>
            <w:tcW w:w="1257" w:type="dxa"/>
            <w:noWrap/>
            <w:vAlign w:val="center"/>
          </w:tcPr>
          <w:p w14:paraId="380BC5FB">
            <w:pPr>
              <w:spacing w:line="300" w:lineRule="exact"/>
              <w:rPr>
                <w:rFonts w:ascii="宋体" w:hAnsi="宋体"/>
                <w:color w:val="auto"/>
                <w:szCs w:val="21"/>
              </w:rPr>
            </w:pPr>
          </w:p>
        </w:tc>
        <w:tc>
          <w:tcPr>
            <w:tcW w:w="2267" w:type="dxa"/>
            <w:noWrap/>
            <w:vAlign w:val="center"/>
          </w:tcPr>
          <w:p w14:paraId="053A7BA8">
            <w:pPr>
              <w:spacing w:line="300" w:lineRule="exact"/>
              <w:rPr>
                <w:rFonts w:ascii="宋体" w:hAnsi="宋体"/>
                <w:color w:val="auto"/>
                <w:szCs w:val="21"/>
              </w:rPr>
            </w:pPr>
          </w:p>
        </w:tc>
      </w:tr>
    </w:tbl>
    <w:p w14:paraId="63E6C07F">
      <w:pPr>
        <w:spacing w:line="400" w:lineRule="exact"/>
        <w:rPr>
          <w:rFonts w:ascii="宋体" w:hAnsi="宋体"/>
          <w:color w:val="auto"/>
        </w:rPr>
      </w:pPr>
    </w:p>
    <w:p w14:paraId="71B474A0">
      <w:pPr>
        <w:spacing w:line="400" w:lineRule="exact"/>
        <w:outlineLvl w:val="9"/>
        <w:rPr>
          <w:rFonts w:ascii="宋体" w:hAnsi="宋体"/>
          <w:color w:val="auto"/>
        </w:rPr>
      </w:pPr>
      <w:r>
        <w:rPr>
          <w:rFonts w:ascii="宋体" w:hAnsi="宋体"/>
          <w:color w:val="auto"/>
        </w:rPr>
        <w:t>附表四：计划开、竣工日期和施工进度网络图</w:t>
      </w:r>
    </w:p>
    <w:p w14:paraId="11504399">
      <w:pPr>
        <w:spacing w:line="400" w:lineRule="exact"/>
        <w:rPr>
          <w:rFonts w:ascii="宋体" w:hAnsi="宋体"/>
          <w:color w:val="auto"/>
        </w:rPr>
      </w:pPr>
      <w:r>
        <w:rPr>
          <w:rFonts w:ascii="宋体" w:hAnsi="宋体"/>
          <w:color w:val="auto"/>
        </w:rPr>
        <w:t>1.</w:t>
      </w:r>
      <w:r>
        <w:rPr>
          <w:rFonts w:hint="eastAsia" w:ascii="宋体" w:hAnsi="宋体"/>
          <w:color w:val="auto"/>
        </w:rPr>
        <w:t>竞标人</w:t>
      </w:r>
      <w:r>
        <w:rPr>
          <w:rFonts w:ascii="宋体" w:hAnsi="宋体"/>
          <w:color w:val="auto"/>
        </w:rPr>
        <w:t>应提交的施工进度网络图或施工进度表，说明按</w:t>
      </w:r>
      <w:r>
        <w:rPr>
          <w:rFonts w:hint="eastAsia" w:ascii="宋体" w:hAnsi="宋体"/>
          <w:color w:val="auto"/>
        </w:rPr>
        <w:t>《竞争性磋商文件》</w:t>
      </w:r>
      <w:r>
        <w:rPr>
          <w:rFonts w:ascii="宋体" w:hAnsi="宋体"/>
          <w:color w:val="auto"/>
        </w:rPr>
        <w:t>要求的工期进行施工的各个关键日期。</w:t>
      </w:r>
      <w:r>
        <w:rPr>
          <w:rFonts w:hint="eastAsia" w:ascii="宋体" w:hAnsi="宋体"/>
          <w:color w:val="auto"/>
        </w:rPr>
        <w:t>成交</w:t>
      </w:r>
      <w:r>
        <w:rPr>
          <w:rFonts w:ascii="宋体" w:hAnsi="宋体"/>
          <w:color w:val="auto"/>
        </w:rPr>
        <w:t>的</w:t>
      </w:r>
      <w:r>
        <w:rPr>
          <w:rFonts w:hint="eastAsia" w:ascii="宋体" w:hAnsi="宋体"/>
          <w:color w:val="auto"/>
        </w:rPr>
        <w:t>竞标人</w:t>
      </w:r>
      <w:r>
        <w:rPr>
          <w:rFonts w:ascii="宋体" w:hAnsi="宋体"/>
          <w:color w:val="auto"/>
        </w:rPr>
        <w:t>还应按合同条件有关条款的要求提交详细的施工进度计划。</w:t>
      </w:r>
    </w:p>
    <w:p w14:paraId="5DC51E51">
      <w:pPr>
        <w:spacing w:line="400" w:lineRule="exact"/>
        <w:rPr>
          <w:rFonts w:ascii="宋体" w:hAnsi="宋体"/>
          <w:color w:val="auto"/>
        </w:rPr>
      </w:pPr>
      <w:r>
        <w:rPr>
          <w:rFonts w:ascii="宋体" w:hAnsi="宋体"/>
          <w:color w:val="auto"/>
        </w:rPr>
        <w:t>2.施工进度表可采用网络图（或横道图）表示，说明计划开工日期和各分项工程各阶段的完工日期和分包合同签订的日期。</w:t>
      </w:r>
    </w:p>
    <w:p w14:paraId="33EADC04">
      <w:pPr>
        <w:spacing w:line="400" w:lineRule="exact"/>
        <w:rPr>
          <w:rFonts w:ascii="宋体" w:hAnsi="宋体"/>
          <w:color w:val="auto"/>
        </w:rPr>
      </w:pPr>
      <w:r>
        <w:rPr>
          <w:rFonts w:ascii="宋体" w:hAnsi="宋体"/>
          <w:color w:val="auto"/>
        </w:rPr>
        <w:t>3.施工进度计划应与施工组织设计相适应。</w:t>
      </w:r>
    </w:p>
    <w:p w14:paraId="37581D04">
      <w:pPr>
        <w:spacing w:line="400" w:lineRule="exact"/>
        <w:rPr>
          <w:rFonts w:ascii="宋体" w:hAnsi="宋体"/>
          <w:color w:val="auto"/>
        </w:rPr>
      </w:pPr>
    </w:p>
    <w:p w14:paraId="0C354BEE">
      <w:pPr>
        <w:spacing w:line="400" w:lineRule="exact"/>
        <w:outlineLvl w:val="9"/>
        <w:rPr>
          <w:rFonts w:ascii="宋体" w:hAnsi="宋体"/>
          <w:color w:val="auto"/>
        </w:rPr>
      </w:pPr>
      <w:r>
        <w:rPr>
          <w:rFonts w:ascii="宋体" w:hAnsi="宋体"/>
          <w:color w:val="auto"/>
        </w:rPr>
        <w:t>附表五：施工总平面图</w:t>
      </w:r>
    </w:p>
    <w:p w14:paraId="2FF2ABC0">
      <w:pPr>
        <w:spacing w:line="400" w:lineRule="exact"/>
        <w:rPr>
          <w:rFonts w:ascii="宋体" w:hAnsi="宋体"/>
          <w:color w:val="auto"/>
        </w:rPr>
      </w:pPr>
      <w:r>
        <w:rPr>
          <w:rFonts w:hint="eastAsia" w:ascii="宋体" w:hAnsi="宋体"/>
          <w:color w:val="auto"/>
        </w:rPr>
        <w:t>竞标人</w:t>
      </w:r>
      <w:r>
        <w:rPr>
          <w:rFonts w:ascii="宋体" w:hAnsi="宋体"/>
          <w:color w:val="auto"/>
        </w:rPr>
        <w:t>应递交一份施工总平面图，绘出现场临时设施布置图表并附文字说明，说明临时设施、加工车间、现场办公、设备及仓储、供电、供水、卫生、生活、道路、消防等设施的情况和布置。</w:t>
      </w:r>
    </w:p>
    <w:p w14:paraId="223BA8A3">
      <w:pPr>
        <w:spacing w:line="400" w:lineRule="exact"/>
        <w:rPr>
          <w:rFonts w:ascii="宋体" w:hAnsi="宋体"/>
          <w:color w:val="auto"/>
        </w:rPr>
      </w:pPr>
    </w:p>
    <w:p w14:paraId="49F73142">
      <w:pPr>
        <w:spacing w:line="400" w:lineRule="exact"/>
        <w:outlineLvl w:val="9"/>
        <w:rPr>
          <w:rFonts w:ascii="宋体" w:hAnsi="宋体"/>
          <w:color w:val="auto"/>
        </w:rPr>
      </w:pPr>
      <w:r>
        <w:rPr>
          <w:rFonts w:ascii="宋体" w:hAnsi="宋体"/>
          <w:color w:val="auto"/>
        </w:rPr>
        <w:t>附表六：临时用地表</w:t>
      </w:r>
    </w:p>
    <w:p w14:paraId="291CC017">
      <w:pPr>
        <w:rPr>
          <w:color w:val="auto"/>
        </w:rPr>
      </w:pP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5"/>
        <w:gridCol w:w="2565"/>
        <w:gridCol w:w="2565"/>
        <w:gridCol w:w="2565"/>
      </w:tblGrid>
      <w:tr w14:paraId="5304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565" w:type="dxa"/>
            <w:noWrap/>
            <w:vAlign w:val="center"/>
          </w:tcPr>
          <w:p w14:paraId="57859BA3">
            <w:pPr>
              <w:spacing w:line="300" w:lineRule="exact"/>
              <w:jc w:val="center"/>
              <w:rPr>
                <w:color w:val="auto"/>
              </w:rPr>
            </w:pPr>
            <w:r>
              <w:rPr>
                <w:color w:val="auto"/>
                <w:szCs w:val="21"/>
              </w:rPr>
              <w:t>用途</w:t>
            </w:r>
          </w:p>
        </w:tc>
        <w:tc>
          <w:tcPr>
            <w:tcW w:w="2565" w:type="dxa"/>
            <w:noWrap/>
            <w:vAlign w:val="center"/>
          </w:tcPr>
          <w:p w14:paraId="1BDB39DF">
            <w:pPr>
              <w:spacing w:line="300" w:lineRule="exact"/>
              <w:jc w:val="center"/>
              <w:rPr>
                <w:color w:val="auto"/>
              </w:rPr>
            </w:pPr>
            <w:r>
              <w:rPr>
                <w:color w:val="auto"/>
                <w:szCs w:val="21"/>
              </w:rPr>
              <w:t>面积（平方米）</w:t>
            </w:r>
          </w:p>
        </w:tc>
        <w:tc>
          <w:tcPr>
            <w:tcW w:w="2565" w:type="dxa"/>
            <w:noWrap/>
            <w:vAlign w:val="center"/>
          </w:tcPr>
          <w:p w14:paraId="568B87DB">
            <w:pPr>
              <w:spacing w:line="300" w:lineRule="exact"/>
              <w:jc w:val="center"/>
              <w:rPr>
                <w:color w:val="auto"/>
              </w:rPr>
            </w:pPr>
            <w:r>
              <w:rPr>
                <w:color w:val="auto"/>
                <w:szCs w:val="21"/>
              </w:rPr>
              <w:t>位置</w:t>
            </w:r>
          </w:p>
        </w:tc>
        <w:tc>
          <w:tcPr>
            <w:tcW w:w="2565" w:type="dxa"/>
            <w:noWrap/>
            <w:vAlign w:val="center"/>
          </w:tcPr>
          <w:p w14:paraId="6711B8E7">
            <w:pPr>
              <w:spacing w:line="300" w:lineRule="exact"/>
              <w:jc w:val="center"/>
              <w:rPr>
                <w:color w:val="auto"/>
              </w:rPr>
            </w:pPr>
            <w:r>
              <w:rPr>
                <w:color w:val="auto"/>
                <w:szCs w:val="21"/>
              </w:rPr>
              <w:t>需用时间</w:t>
            </w:r>
          </w:p>
        </w:tc>
      </w:tr>
      <w:tr w14:paraId="0F56E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565" w:type="dxa"/>
            <w:noWrap/>
            <w:vAlign w:val="center"/>
          </w:tcPr>
          <w:p w14:paraId="707978E7">
            <w:pPr>
              <w:spacing w:line="300" w:lineRule="exact"/>
              <w:jc w:val="center"/>
              <w:rPr>
                <w:rFonts w:ascii="宋体" w:hAnsi="宋体"/>
                <w:color w:val="auto"/>
              </w:rPr>
            </w:pPr>
            <w:r>
              <w:rPr>
                <w:rFonts w:hint="eastAsia" w:ascii="宋体" w:hAnsi="宋体"/>
                <w:color w:val="auto"/>
              </w:rPr>
              <w:t>……</w:t>
            </w:r>
          </w:p>
        </w:tc>
        <w:tc>
          <w:tcPr>
            <w:tcW w:w="2565" w:type="dxa"/>
            <w:noWrap/>
          </w:tcPr>
          <w:p w14:paraId="042A3979">
            <w:pPr>
              <w:spacing w:line="300" w:lineRule="exact"/>
              <w:rPr>
                <w:color w:val="auto"/>
              </w:rPr>
            </w:pPr>
          </w:p>
        </w:tc>
        <w:tc>
          <w:tcPr>
            <w:tcW w:w="2565" w:type="dxa"/>
            <w:noWrap/>
          </w:tcPr>
          <w:p w14:paraId="542ED87E">
            <w:pPr>
              <w:spacing w:line="300" w:lineRule="exact"/>
              <w:rPr>
                <w:color w:val="auto"/>
              </w:rPr>
            </w:pPr>
          </w:p>
        </w:tc>
        <w:tc>
          <w:tcPr>
            <w:tcW w:w="2565" w:type="dxa"/>
            <w:noWrap/>
          </w:tcPr>
          <w:p w14:paraId="15C41E81">
            <w:pPr>
              <w:spacing w:line="300" w:lineRule="exact"/>
              <w:rPr>
                <w:color w:val="auto"/>
              </w:rPr>
            </w:pPr>
          </w:p>
        </w:tc>
      </w:tr>
      <w:tr w14:paraId="60A01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565" w:type="dxa"/>
            <w:noWrap/>
            <w:vAlign w:val="center"/>
          </w:tcPr>
          <w:p w14:paraId="730E2428">
            <w:pPr>
              <w:spacing w:line="300" w:lineRule="exact"/>
              <w:jc w:val="center"/>
              <w:rPr>
                <w:rFonts w:ascii="宋体" w:hAnsi="宋体"/>
                <w:color w:val="auto"/>
              </w:rPr>
            </w:pPr>
            <w:r>
              <w:rPr>
                <w:rFonts w:hint="eastAsia" w:ascii="宋体" w:hAnsi="宋体"/>
                <w:color w:val="auto"/>
              </w:rPr>
              <w:t>N</w:t>
            </w:r>
          </w:p>
        </w:tc>
        <w:tc>
          <w:tcPr>
            <w:tcW w:w="2565" w:type="dxa"/>
            <w:noWrap/>
          </w:tcPr>
          <w:p w14:paraId="7A3F1A36">
            <w:pPr>
              <w:spacing w:line="300" w:lineRule="exact"/>
              <w:rPr>
                <w:color w:val="auto"/>
              </w:rPr>
            </w:pPr>
          </w:p>
        </w:tc>
        <w:tc>
          <w:tcPr>
            <w:tcW w:w="2565" w:type="dxa"/>
            <w:noWrap/>
          </w:tcPr>
          <w:p w14:paraId="5AEDBC12">
            <w:pPr>
              <w:spacing w:line="300" w:lineRule="exact"/>
              <w:rPr>
                <w:color w:val="auto"/>
              </w:rPr>
            </w:pPr>
          </w:p>
        </w:tc>
        <w:tc>
          <w:tcPr>
            <w:tcW w:w="2565" w:type="dxa"/>
            <w:noWrap/>
          </w:tcPr>
          <w:p w14:paraId="6844586C">
            <w:pPr>
              <w:spacing w:line="300" w:lineRule="exact"/>
              <w:rPr>
                <w:color w:val="auto"/>
              </w:rPr>
            </w:pPr>
          </w:p>
        </w:tc>
      </w:tr>
    </w:tbl>
    <w:p w14:paraId="0C0F7C44">
      <w:pPr>
        <w:spacing w:line="400" w:lineRule="exact"/>
        <w:rPr>
          <w:color w:val="auto"/>
        </w:rPr>
      </w:pPr>
    </w:p>
    <w:p w14:paraId="6BF2EB62">
      <w:pPr>
        <w:spacing w:line="480" w:lineRule="auto"/>
        <w:jc w:val="center"/>
        <w:rPr>
          <w:rFonts w:ascii="宋体" w:hAnsi="宋体" w:cs="宋体"/>
          <w:color w:val="auto"/>
          <w:sz w:val="24"/>
        </w:rPr>
      </w:pPr>
    </w:p>
    <w:p w14:paraId="262F3F97">
      <w:pPr>
        <w:spacing w:line="480" w:lineRule="auto"/>
        <w:rPr>
          <w:rFonts w:ascii="宋体" w:hAnsi="宋体" w:cs="宋体"/>
          <w:b/>
          <w:color w:val="auto"/>
          <w:sz w:val="24"/>
        </w:rPr>
      </w:pPr>
    </w:p>
    <w:p w14:paraId="7E9B76AE">
      <w:pPr>
        <w:spacing w:line="480" w:lineRule="auto"/>
        <w:rPr>
          <w:rFonts w:ascii="宋体" w:hAnsi="宋体" w:cs="宋体"/>
          <w:b/>
          <w:color w:val="auto"/>
          <w:sz w:val="24"/>
        </w:rPr>
      </w:pPr>
    </w:p>
    <w:p w14:paraId="1F1682C5">
      <w:pPr>
        <w:spacing w:line="480" w:lineRule="auto"/>
        <w:rPr>
          <w:rFonts w:ascii="宋体" w:hAnsi="宋体" w:cs="宋体"/>
          <w:b/>
          <w:color w:val="auto"/>
          <w:sz w:val="24"/>
        </w:rPr>
      </w:pPr>
    </w:p>
    <w:p w14:paraId="7BCFE169">
      <w:pPr>
        <w:spacing w:line="480" w:lineRule="auto"/>
        <w:rPr>
          <w:rFonts w:ascii="宋体" w:hAnsi="宋体" w:cs="宋体"/>
          <w:b/>
          <w:color w:val="auto"/>
          <w:sz w:val="24"/>
        </w:rPr>
      </w:pPr>
    </w:p>
    <w:p w14:paraId="5F478813">
      <w:pPr>
        <w:spacing w:line="480" w:lineRule="auto"/>
        <w:rPr>
          <w:rFonts w:ascii="宋体" w:hAnsi="宋体" w:cs="宋体"/>
          <w:b/>
          <w:color w:val="auto"/>
          <w:sz w:val="24"/>
        </w:rPr>
      </w:pPr>
    </w:p>
    <w:p w14:paraId="62F98B6A">
      <w:pPr>
        <w:spacing w:line="480" w:lineRule="auto"/>
        <w:rPr>
          <w:rFonts w:ascii="宋体" w:hAnsi="宋体" w:cs="宋体"/>
          <w:b/>
          <w:color w:val="auto"/>
          <w:sz w:val="24"/>
        </w:rPr>
      </w:pPr>
    </w:p>
    <w:p w14:paraId="1F946976">
      <w:pPr>
        <w:spacing w:line="480" w:lineRule="auto"/>
        <w:rPr>
          <w:rFonts w:ascii="宋体" w:hAnsi="宋体" w:cs="宋体"/>
          <w:b/>
          <w:color w:val="auto"/>
          <w:sz w:val="24"/>
        </w:rPr>
      </w:pPr>
    </w:p>
    <w:p w14:paraId="6800F25E">
      <w:pPr>
        <w:spacing w:line="480" w:lineRule="auto"/>
        <w:rPr>
          <w:rFonts w:ascii="宋体" w:hAnsi="宋体" w:cs="宋体"/>
          <w:b/>
          <w:color w:val="auto"/>
          <w:sz w:val="24"/>
        </w:rPr>
      </w:pPr>
    </w:p>
    <w:p w14:paraId="769809F2">
      <w:pPr>
        <w:spacing w:line="480" w:lineRule="auto"/>
        <w:rPr>
          <w:rFonts w:ascii="宋体" w:hAnsi="宋体" w:cs="宋体"/>
          <w:b/>
          <w:color w:val="auto"/>
          <w:sz w:val="24"/>
        </w:rPr>
      </w:pPr>
    </w:p>
    <w:p w14:paraId="042F4D4D">
      <w:pPr>
        <w:spacing w:line="480" w:lineRule="auto"/>
        <w:rPr>
          <w:rFonts w:ascii="宋体" w:hAnsi="宋体" w:cs="宋体"/>
          <w:b/>
          <w:color w:val="auto"/>
          <w:sz w:val="24"/>
        </w:rPr>
      </w:pPr>
    </w:p>
    <w:p w14:paraId="26C05EDD">
      <w:pPr>
        <w:spacing w:line="480" w:lineRule="auto"/>
        <w:rPr>
          <w:rFonts w:ascii="宋体" w:hAnsi="宋体" w:cs="宋体"/>
          <w:b/>
          <w:color w:val="auto"/>
          <w:sz w:val="24"/>
        </w:rPr>
      </w:pPr>
    </w:p>
    <w:p w14:paraId="722BCCCE">
      <w:pPr>
        <w:spacing w:line="480" w:lineRule="auto"/>
        <w:rPr>
          <w:rFonts w:ascii="宋体" w:hAnsi="宋体" w:cs="宋体"/>
          <w:b/>
          <w:color w:val="auto"/>
          <w:sz w:val="24"/>
        </w:rPr>
      </w:pPr>
    </w:p>
    <w:p w14:paraId="087998AC">
      <w:pPr>
        <w:spacing w:line="480" w:lineRule="auto"/>
        <w:rPr>
          <w:rFonts w:ascii="宋体" w:hAnsi="宋体" w:cs="宋体"/>
          <w:b/>
          <w:color w:val="auto"/>
          <w:sz w:val="24"/>
        </w:rPr>
      </w:pPr>
    </w:p>
    <w:p w14:paraId="4CBB148B">
      <w:pPr>
        <w:spacing w:line="480" w:lineRule="auto"/>
        <w:rPr>
          <w:rFonts w:ascii="宋体" w:hAnsi="宋体" w:cs="宋体"/>
          <w:b/>
          <w:color w:val="auto"/>
          <w:sz w:val="24"/>
        </w:rPr>
      </w:pPr>
    </w:p>
    <w:p w14:paraId="1356E8D6">
      <w:pPr>
        <w:pStyle w:val="2"/>
        <w:spacing w:before="0"/>
        <w:jc w:val="center"/>
        <w:outlineLvl w:val="9"/>
        <w:rPr>
          <w:rFonts w:hAnsi="宋体"/>
          <w:bCs w:val="0"/>
          <w:color w:val="auto"/>
          <w:sz w:val="28"/>
          <w:szCs w:val="28"/>
        </w:rPr>
      </w:pPr>
      <w:bookmarkStart w:id="1697" w:name="_Toc86935945"/>
      <w:bookmarkStart w:id="1698" w:name="_Toc7153"/>
      <w:bookmarkStart w:id="1699" w:name="_Toc18658"/>
      <w:bookmarkStart w:id="1700" w:name="_Toc13781"/>
      <w:bookmarkStart w:id="1701" w:name="_Toc31440"/>
      <w:bookmarkStart w:id="1702" w:name="_Toc16956"/>
      <w:r>
        <w:rPr>
          <w:rFonts w:hint="eastAsia" w:hAnsi="宋体"/>
          <w:bCs w:val="0"/>
          <w:color w:val="auto"/>
          <w:sz w:val="28"/>
          <w:szCs w:val="28"/>
        </w:rPr>
        <w:t>四、其他资料（如有）</w:t>
      </w:r>
      <w:bookmarkEnd w:id="1697"/>
      <w:bookmarkEnd w:id="1698"/>
      <w:bookmarkEnd w:id="1699"/>
      <w:bookmarkEnd w:id="1700"/>
      <w:bookmarkEnd w:id="1701"/>
      <w:bookmarkEnd w:id="1702"/>
    </w:p>
    <w:p w14:paraId="39288D2B">
      <w:pPr>
        <w:spacing w:line="400" w:lineRule="exact"/>
        <w:outlineLvl w:val="9"/>
        <w:rPr>
          <w:rFonts w:ascii="宋体" w:hAnsi="宋体" w:cs="宋体"/>
          <w:b/>
          <w:color w:val="auto"/>
          <w:szCs w:val="20"/>
        </w:rPr>
      </w:pPr>
      <w:bookmarkStart w:id="1703" w:name="_Toc24511"/>
      <w:bookmarkStart w:id="1704" w:name="_Toc11077"/>
      <w:r>
        <w:rPr>
          <w:rFonts w:hint="eastAsia" w:ascii="宋体" w:hAnsi="宋体" w:cs="宋体"/>
          <w:b/>
          <w:color w:val="auto"/>
          <w:szCs w:val="20"/>
        </w:rPr>
        <w:t>附件1：中小企业声明函（格式）</w:t>
      </w:r>
      <w:bookmarkEnd w:id="1703"/>
      <w:bookmarkEnd w:id="1704"/>
    </w:p>
    <w:p w14:paraId="12BA546D">
      <w:pPr>
        <w:jc w:val="center"/>
        <w:rPr>
          <w:rFonts w:ascii="宋体" w:hAnsi="宋体" w:cs="宋体"/>
          <w:b/>
          <w:color w:val="auto"/>
          <w:sz w:val="30"/>
          <w:szCs w:val="30"/>
        </w:rPr>
      </w:pPr>
      <w:r>
        <w:rPr>
          <w:rFonts w:hint="eastAsia" w:ascii="宋体" w:hAnsi="宋体" w:cs="宋体"/>
          <w:b/>
          <w:color w:val="auto"/>
          <w:sz w:val="30"/>
          <w:szCs w:val="30"/>
        </w:rPr>
        <w:t>中小企业声明函（格式）</w:t>
      </w:r>
    </w:p>
    <w:p w14:paraId="2A535914">
      <w:pPr>
        <w:spacing w:line="400" w:lineRule="exact"/>
        <w:ind w:firstLine="420" w:firstLineChars="200"/>
        <w:rPr>
          <w:rFonts w:ascii="宋体" w:hAnsi="宋体" w:cs="宋体"/>
          <w:color w:val="auto"/>
          <w:szCs w:val="21"/>
        </w:rPr>
      </w:pPr>
      <w:r>
        <w:rPr>
          <w:rFonts w:hint="eastAsia" w:ascii="宋体" w:hAnsi="宋体" w:cs="宋体"/>
          <w:color w:val="auto"/>
          <w:szCs w:val="21"/>
        </w:rPr>
        <w:t>本公司郑重声明，根据《政府采购促进中小企业发展管理办法》（财库﹝2020﹞46 号）的规定，本公司参加</w:t>
      </w:r>
      <w:r>
        <w:rPr>
          <w:rFonts w:hint="eastAsia" w:ascii="宋体" w:hAnsi="宋体" w:cs="宋体"/>
          <w:color w:val="auto"/>
          <w:szCs w:val="21"/>
          <w:u w:val="single"/>
        </w:rPr>
        <w:t xml:space="preserve">    （单位名称）    </w:t>
      </w:r>
      <w:r>
        <w:rPr>
          <w:rFonts w:hint="eastAsia" w:ascii="宋体" w:hAnsi="宋体" w:cs="宋体"/>
          <w:color w:val="auto"/>
          <w:szCs w:val="21"/>
        </w:rPr>
        <w:t>的</w:t>
      </w:r>
      <w:r>
        <w:rPr>
          <w:rFonts w:hint="eastAsia" w:ascii="宋体" w:hAnsi="宋体" w:cs="宋体"/>
          <w:color w:val="auto"/>
          <w:szCs w:val="21"/>
          <w:u w:val="single"/>
        </w:rPr>
        <w:t xml:space="preserve">      （项目名称）     </w:t>
      </w:r>
      <w:r>
        <w:rPr>
          <w:rFonts w:hint="eastAsia" w:ascii="宋体" w:hAnsi="宋体" w:cs="宋体"/>
          <w:color w:val="auto"/>
          <w:szCs w:val="21"/>
        </w:rPr>
        <w:t>采购活动，提供的工程全部由符合政策要求的中小企业建造。相关企业的具体情况如下：</w:t>
      </w:r>
    </w:p>
    <w:p w14:paraId="7C209C89">
      <w:pPr>
        <w:spacing w:line="400" w:lineRule="exact"/>
        <w:ind w:firstLine="420" w:firstLineChars="200"/>
        <w:rPr>
          <w:rFonts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u w:val="single"/>
        </w:rPr>
        <w:t xml:space="preserve">  （标的名称）   </w:t>
      </w:r>
      <w:r>
        <w:rPr>
          <w:rFonts w:hint="eastAsia" w:ascii="宋体" w:hAnsi="宋体" w:cs="宋体"/>
          <w:color w:val="auto"/>
          <w:szCs w:val="21"/>
        </w:rPr>
        <w:t>，属于</w:t>
      </w:r>
      <w:r>
        <w:rPr>
          <w:rFonts w:hint="eastAsia" w:ascii="宋体" w:hAnsi="宋体" w:cs="宋体"/>
          <w:color w:val="auto"/>
          <w:szCs w:val="21"/>
          <w:u w:val="single"/>
        </w:rPr>
        <w:t>（采购文件中明确的所属行业）</w:t>
      </w:r>
      <w:r>
        <w:rPr>
          <w:rFonts w:hint="eastAsia" w:ascii="宋体" w:hAnsi="宋体" w:cs="宋体"/>
          <w:color w:val="auto"/>
          <w:szCs w:val="21"/>
        </w:rPr>
        <w:t>行业；建造商为</w:t>
      </w:r>
      <w:r>
        <w:rPr>
          <w:rFonts w:hint="eastAsia" w:ascii="宋体" w:hAnsi="宋体" w:cs="宋体"/>
          <w:color w:val="auto"/>
          <w:szCs w:val="21"/>
          <w:u w:val="single"/>
        </w:rPr>
        <w:t xml:space="preserve">  （企业名称）   </w:t>
      </w:r>
      <w:r>
        <w:rPr>
          <w:rFonts w:hint="eastAsia" w:ascii="宋体" w:hAnsi="宋体" w:cs="宋体"/>
          <w:color w:val="auto"/>
          <w:szCs w:val="21"/>
        </w:rPr>
        <w:t>，从业人员人，营业收入为万元，资产总额为万元,属于</w:t>
      </w:r>
      <w:r>
        <w:rPr>
          <w:rFonts w:hint="eastAsia" w:ascii="宋体" w:hAnsi="宋体" w:cs="宋体"/>
          <w:color w:val="auto"/>
          <w:szCs w:val="21"/>
          <w:u w:val="single"/>
        </w:rPr>
        <w:t>（中型企业、小型企业或微型企业）</w:t>
      </w:r>
      <w:r>
        <w:rPr>
          <w:rFonts w:hint="eastAsia" w:ascii="宋体" w:hAnsi="宋体" w:cs="宋体"/>
          <w:color w:val="auto"/>
          <w:szCs w:val="21"/>
        </w:rPr>
        <w:t>；</w:t>
      </w:r>
    </w:p>
    <w:p w14:paraId="440FB040">
      <w:pPr>
        <w:spacing w:line="400" w:lineRule="exact"/>
        <w:ind w:firstLine="420" w:firstLineChars="200"/>
        <w:rPr>
          <w:rFonts w:ascii="宋体" w:hAnsi="宋体" w:cs="宋体"/>
          <w:color w:val="auto"/>
          <w:szCs w:val="21"/>
          <w:u w:val="single"/>
        </w:rPr>
      </w:pPr>
      <w:r>
        <w:rPr>
          <w:rFonts w:hint="eastAsia" w:ascii="宋体" w:hAnsi="宋体" w:cs="宋体"/>
          <w:color w:val="auto"/>
          <w:szCs w:val="21"/>
        </w:rPr>
        <w:t>2.</w:t>
      </w:r>
      <w:r>
        <w:rPr>
          <w:rFonts w:hint="eastAsia" w:ascii="宋体" w:hAnsi="宋体" w:cs="宋体"/>
          <w:color w:val="auto"/>
          <w:szCs w:val="21"/>
          <w:u w:val="single"/>
        </w:rPr>
        <w:t xml:space="preserve">  （标的名称）  </w:t>
      </w:r>
      <w:r>
        <w:rPr>
          <w:rFonts w:hint="eastAsia" w:ascii="宋体" w:hAnsi="宋体" w:cs="宋体"/>
          <w:color w:val="auto"/>
          <w:szCs w:val="21"/>
        </w:rPr>
        <w:t xml:space="preserve"> ，属于</w:t>
      </w:r>
      <w:r>
        <w:rPr>
          <w:rFonts w:hint="eastAsia" w:ascii="宋体" w:hAnsi="宋体" w:cs="宋体"/>
          <w:color w:val="auto"/>
          <w:szCs w:val="21"/>
          <w:u w:val="single"/>
        </w:rPr>
        <w:t>（采购文件中明确的所属行业）</w:t>
      </w:r>
      <w:r>
        <w:rPr>
          <w:rFonts w:hint="eastAsia" w:ascii="宋体" w:hAnsi="宋体" w:cs="宋体"/>
          <w:color w:val="auto"/>
          <w:szCs w:val="21"/>
        </w:rPr>
        <w:t>行业；建造商为</w:t>
      </w:r>
      <w:r>
        <w:rPr>
          <w:rFonts w:hint="eastAsia" w:ascii="宋体" w:hAnsi="宋体" w:cs="宋体"/>
          <w:color w:val="auto"/>
          <w:szCs w:val="21"/>
          <w:u w:val="single"/>
        </w:rPr>
        <w:t xml:space="preserve">  （企业名称）   </w:t>
      </w:r>
      <w:r>
        <w:rPr>
          <w:rFonts w:hint="eastAsia" w:ascii="宋体" w:hAnsi="宋体" w:cs="宋体"/>
          <w:color w:val="auto"/>
          <w:szCs w:val="21"/>
        </w:rPr>
        <w:t>，从业人员人，营业收入为万元，资产总额为万元，属于</w:t>
      </w:r>
      <w:r>
        <w:rPr>
          <w:rFonts w:hint="eastAsia" w:ascii="宋体" w:hAnsi="宋体" w:cs="宋体"/>
          <w:color w:val="auto"/>
          <w:szCs w:val="21"/>
          <w:u w:val="single"/>
        </w:rPr>
        <w:t>（中型企业、小型企业或微型企业）；</w:t>
      </w:r>
    </w:p>
    <w:p w14:paraId="3DA9F5B7">
      <w:pPr>
        <w:spacing w:line="400" w:lineRule="exact"/>
        <w:ind w:firstLine="420" w:firstLineChars="200"/>
        <w:rPr>
          <w:rFonts w:ascii="宋体" w:hAnsi="宋体" w:cs="宋体"/>
          <w:color w:val="auto"/>
          <w:szCs w:val="21"/>
        </w:rPr>
      </w:pPr>
      <w:r>
        <w:rPr>
          <w:rFonts w:hint="eastAsia" w:ascii="宋体" w:hAnsi="宋体" w:cs="宋体"/>
          <w:color w:val="auto"/>
          <w:szCs w:val="21"/>
        </w:rPr>
        <w:t>……</w:t>
      </w:r>
    </w:p>
    <w:p w14:paraId="7B51FE0B">
      <w:pPr>
        <w:spacing w:line="400" w:lineRule="exact"/>
        <w:ind w:firstLine="420" w:firstLineChars="200"/>
        <w:rPr>
          <w:rFonts w:ascii="宋体" w:hAnsi="宋体" w:cs="宋体"/>
          <w:color w:val="auto"/>
          <w:szCs w:val="21"/>
        </w:rPr>
      </w:pPr>
      <w:r>
        <w:rPr>
          <w:rFonts w:hint="eastAsia" w:ascii="宋体" w:hAnsi="宋体" w:cs="宋体"/>
          <w:color w:val="auto"/>
          <w:szCs w:val="21"/>
        </w:rPr>
        <w:t>以上企业，不属于大企业的分支机构，不存在控股股东为大企业的情形，也不存在与大企业的负责人为同一人的情形。</w:t>
      </w:r>
    </w:p>
    <w:p w14:paraId="5F1CA387">
      <w:pPr>
        <w:spacing w:line="400" w:lineRule="exact"/>
        <w:ind w:firstLine="420" w:firstLineChars="200"/>
        <w:rPr>
          <w:rFonts w:ascii="宋体" w:hAnsi="宋体" w:cs="宋体"/>
          <w:color w:val="auto"/>
          <w:szCs w:val="21"/>
        </w:rPr>
      </w:pPr>
      <w:r>
        <w:rPr>
          <w:rFonts w:hint="eastAsia" w:ascii="宋体" w:hAnsi="宋体" w:cs="宋体"/>
          <w:color w:val="auto"/>
          <w:szCs w:val="21"/>
        </w:rPr>
        <w:t>本企业对上述声明内容的真实性负责。如有虚假，将依法承担相应责任。</w:t>
      </w:r>
    </w:p>
    <w:p w14:paraId="4819D6C2">
      <w:pPr>
        <w:spacing w:line="400" w:lineRule="exact"/>
        <w:ind w:left="1120" w:firstLine="420" w:firstLineChars="200"/>
        <w:jc w:val="center"/>
        <w:rPr>
          <w:rFonts w:ascii="宋体" w:hAnsi="宋体" w:cs="宋体"/>
          <w:color w:val="auto"/>
          <w:szCs w:val="21"/>
        </w:rPr>
      </w:pPr>
    </w:p>
    <w:p w14:paraId="5E2CF133">
      <w:pPr>
        <w:spacing w:line="400" w:lineRule="exact"/>
        <w:ind w:left="1120" w:hanging="1120"/>
        <w:jc w:val="center"/>
        <w:rPr>
          <w:rFonts w:hint="default" w:ascii="宋体" w:hAnsi="宋体" w:eastAsia="宋体" w:cs="宋体"/>
          <w:color w:val="auto"/>
          <w:szCs w:val="21"/>
          <w:lang w:val="en-US" w:eastAsia="zh-CN"/>
        </w:rPr>
      </w:pPr>
      <w:r>
        <w:rPr>
          <w:rFonts w:hint="eastAsia" w:ascii="宋体" w:hAnsi="宋体" w:cs="宋体"/>
          <w:color w:val="auto"/>
          <w:szCs w:val="21"/>
        </w:rPr>
        <w:t xml:space="preserve">             企业名称（公章或电子签章）：</w:t>
      </w:r>
    </w:p>
    <w:p w14:paraId="3BFFF305">
      <w:pPr>
        <w:spacing w:line="400" w:lineRule="exact"/>
        <w:ind w:left="1120" w:hanging="1120"/>
        <w:jc w:val="center"/>
        <w:rPr>
          <w:rFonts w:ascii="宋体" w:hAnsi="宋体" w:cs="宋体"/>
          <w:b/>
          <w:bCs/>
          <w:color w:val="auto"/>
          <w:szCs w:val="28"/>
        </w:rPr>
      </w:pPr>
      <w:r>
        <w:rPr>
          <w:rFonts w:hint="eastAsia" w:ascii="宋体" w:hAnsi="宋体" w:cs="宋体"/>
          <w:color w:val="auto"/>
          <w:szCs w:val="21"/>
        </w:rPr>
        <w:t xml:space="preserve">                 日 期：</w:t>
      </w:r>
      <w:r>
        <w:rPr>
          <w:rFonts w:hint="eastAsia" w:ascii="宋体" w:hAnsi="宋体" w:cs="宋体"/>
          <w:color w:val="auto"/>
          <w:szCs w:val="21"/>
          <w:u w:val="single"/>
        </w:rPr>
        <w:t xml:space="preserve">      </w:t>
      </w:r>
      <w:r>
        <w:rPr>
          <w:rFonts w:hint="eastAsia" w:ascii="宋体" w:hAnsi="宋体" w:cs="宋体"/>
          <w:color w:val="auto"/>
          <w:szCs w:val="21"/>
          <w:u w:val="none"/>
        </w:rPr>
        <w:t>年</w:t>
      </w:r>
      <w:r>
        <w:rPr>
          <w:rFonts w:hint="eastAsia" w:ascii="宋体" w:hAnsi="宋体" w:cs="宋体"/>
          <w:color w:val="auto"/>
          <w:szCs w:val="21"/>
          <w:u w:val="single"/>
        </w:rPr>
        <w:t xml:space="preserve">   </w:t>
      </w:r>
      <w:r>
        <w:rPr>
          <w:rFonts w:hint="eastAsia" w:ascii="宋体" w:hAnsi="宋体" w:cs="宋体"/>
          <w:color w:val="auto"/>
          <w:szCs w:val="21"/>
          <w:u w:val="none"/>
        </w:rPr>
        <w:t>月</w:t>
      </w:r>
      <w:r>
        <w:rPr>
          <w:rFonts w:hint="eastAsia" w:ascii="宋体" w:hAnsi="宋体" w:cs="宋体"/>
          <w:color w:val="auto"/>
          <w:szCs w:val="21"/>
          <w:u w:val="single"/>
        </w:rPr>
        <w:t xml:space="preserve">   </w:t>
      </w:r>
      <w:r>
        <w:rPr>
          <w:rFonts w:hint="eastAsia" w:ascii="宋体" w:hAnsi="宋体" w:cs="宋体"/>
          <w:color w:val="auto"/>
          <w:szCs w:val="21"/>
          <w:u w:val="none"/>
        </w:rPr>
        <w:t>日</w:t>
      </w:r>
    </w:p>
    <w:p w14:paraId="2966903C">
      <w:pPr>
        <w:spacing w:line="400" w:lineRule="exact"/>
        <w:ind w:firstLine="420" w:firstLineChars="200"/>
        <w:rPr>
          <w:rFonts w:ascii="宋体" w:hAnsi="宋体" w:cs="宋体"/>
          <w:b/>
          <w:color w:val="auto"/>
          <w:szCs w:val="21"/>
        </w:rPr>
      </w:pPr>
    </w:p>
    <w:p w14:paraId="1CD6B60D">
      <w:pPr>
        <w:spacing w:line="320" w:lineRule="exact"/>
        <w:ind w:firstLine="420" w:firstLineChars="200"/>
        <w:rPr>
          <w:rFonts w:ascii="宋体" w:hAnsi="宋体" w:cs="宋体"/>
          <w:b/>
          <w:color w:val="auto"/>
          <w:szCs w:val="21"/>
        </w:rPr>
      </w:pPr>
    </w:p>
    <w:p w14:paraId="62063CBE">
      <w:pPr>
        <w:spacing w:line="320" w:lineRule="exact"/>
        <w:ind w:firstLine="420" w:firstLineChars="200"/>
        <w:rPr>
          <w:rFonts w:ascii="宋体" w:hAnsi="宋体" w:cs="宋体"/>
          <w:b/>
          <w:color w:val="auto"/>
          <w:szCs w:val="21"/>
        </w:rPr>
      </w:pPr>
    </w:p>
    <w:p w14:paraId="760D2609">
      <w:pPr>
        <w:spacing w:line="320" w:lineRule="exact"/>
        <w:ind w:firstLine="420" w:firstLineChars="200"/>
        <w:rPr>
          <w:rFonts w:ascii="宋体" w:hAnsi="宋体" w:cs="宋体"/>
          <w:b/>
          <w:color w:val="auto"/>
          <w:szCs w:val="21"/>
        </w:rPr>
      </w:pPr>
    </w:p>
    <w:p w14:paraId="23F0FF13">
      <w:pPr>
        <w:spacing w:line="320" w:lineRule="exact"/>
        <w:ind w:firstLine="420" w:firstLineChars="200"/>
        <w:rPr>
          <w:rFonts w:ascii="宋体" w:hAnsi="宋体" w:cs="宋体"/>
          <w:b/>
          <w:color w:val="auto"/>
          <w:szCs w:val="21"/>
        </w:rPr>
      </w:pPr>
    </w:p>
    <w:p w14:paraId="67568855">
      <w:pPr>
        <w:widowControl/>
        <w:ind w:firstLine="420" w:firstLineChars="200"/>
        <w:jc w:val="left"/>
        <w:rPr>
          <w:rFonts w:ascii="宋体" w:hAnsi="宋体" w:cs="宋体"/>
          <w:b/>
          <w:bCs/>
          <w:color w:val="auto"/>
          <w:szCs w:val="20"/>
        </w:rPr>
      </w:pPr>
      <w:r>
        <w:rPr>
          <w:rFonts w:hint="eastAsia" w:ascii="宋体" w:hAnsi="宋体" w:cs="宋体"/>
          <w:b/>
          <w:bCs/>
          <w:color w:val="auto"/>
          <w:szCs w:val="20"/>
        </w:rPr>
        <w:t>说明：</w:t>
      </w:r>
    </w:p>
    <w:p w14:paraId="5862F994">
      <w:pPr>
        <w:widowControl/>
        <w:ind w:firstLine="420" w:firstLineChars="200"/>
        <w:jc w:val="left"/>
        <w:rPr>
          <w:rFonts w:ascii="宋体" w:hAnsi="宋体" w:cs="宋体"/>
          <w:b/>
          <w:bCs/>
          <w:color w:val="auto"/>
          <w:szCs w:val="20"/>
        </w:rPr>
      </w:pPr>
      <w:r>
        <w:rPr>
          <w:rFonts w:hint="eastAsia" w:ascii="宋体" w:hAnsi="宋体" w:cs="宋体"/>
          <w:b/>
          <w:bCs/>
          <w:color w:val="auto"/>
          <w:szCs w:val="20"/>
        </w:rPr>
        <w:t>1.从业人员、营业收入、资产总额填报上一年度数据，无上一年度数据的新成立公司可不填报。</w:t>
      </w:r>
    </w:p>
    <w:p w14:paraId="4300AEA0">
      <w:pPr>
        <w:widowControl/>
        <w:ind w:firstLine="420" w:firstLineChars="200"/>
        <w:jc w:val="left"/>
        <w:rPr>
          <w:rFonts w:ascii="宋体" w:hAnsi="宋体" w:cs="宋体"/>
          <w:b/>
          <w:bCs/>
          <w:color w:val="auto"/>
          <w:szCs w:val="20"/>
        </w:rPr>
      </w:pPr>
      <w:r>
        <w:rPr>
          <w:rFonts w:hint="eastAsia" w:ascii="宋体" w:hAnsi="宋体" w:cs="宋体"/>
          <w:b/>
          <w:bCs/>
          <w:color w:val="auto"/>
          <w:szCs w:val="20"/>
        </w:rPr>
        <w:t xml:space="preserve">2.参加政府采购活动的小型、微型企业应当提供《中小企业声明函》。成交供应商的《中小企业声明函》随成交结果一并公告。 </w:t>
      </w:r>
    </w:p>
    <w:p w14:paraId="22A9327A">
      <w:pPr>
        <w:spacing w:line="400" w:lineRule="exact"/>
        <w:ind w:firstLine="420" w:firstLineChars="200"/>
        <w:rPr>
          <w:rFonts w:ascii="宋体" w:hAnsi="宋体" w:cs="宋体"/>
          <w:b/>
          <w:color w:val="auto"/>
          <w:szCs w:val="21"/>
        </w:rPr>
      </w:pPr>
    </w:p>
    <w:p w14:paraId="52CA87C9">
      <w:pPr>
        <w:spacing w:line="400" w:lineRule="exact"/>
        <w:ind w:firstLine="420" w:firstLineChars="200"/>
        <w:rPr>
          <w:rFonts w:ascii="宋体" w:hAnsi="宋体" w:cs="宋体"/>
          <w:b/>
          <w:color w:val="auto"/>
          <w:szCs w:val="21"/>
        </w:rPr>
      </w:pPr>
      <w:r>
        <w:rPr>
          <w:rFonts w:hint="eastAsia" w:ascii="宋体" w:hAnsi="宋体" w:cs="宋体"/>
          <w:b/>
          <w:color w:val="auto"/>
          <w:szCs w:val="21"/>
        </w:rPr>
        <w:br w:type="page"/>
      </w:r>
    </w:p>
    <w:p w14:paraId="444BF4A5">
      <w:pPr>
        <w:spacing w:line="400" w:lineRule="exact"/>
        <w:outlineLvl w:val="9"/>
        <w:rPr>
          <w:rFonts w:ascii="宋体" w:hAnsi="宋体" w:cs="宋体"/>
          <w:b/>
          <w:color w:val="auto"/>
          <w:szCs w:val="21"/>
        </w:rPr>
      </w:pPr>
      <w:bookmarkStart w:id="1705" w:name="_Toc6098"/>
      <w:bookmarkStart w:id="1706" w:name="_Toc26031"/>
      <w:r>
        <w:rPr>
          <w:rFonts w:hint="eastAsia" w:ascii="宋体" w:hAnsi="宋体" w:cs="宋体"/>
          <w:b/>
          <w:color w:val="auto"/>
          <w:szCs w:val="20"/>
        </w:rPr>
        <w:t>附件2：</w:t>
      </w:r>
      <w:r>
        <w:rPr>
          <w:rFonts w:hint="eastAsia" w:ascii="宋体" w:hAnsi="宋体" w:cs="宋体"/>
          <w:b/>
          <w:color w:val="auto"/>
          <w:szCs w:val="21"/>
        </w:rPr>
        <w:t>监狱企业证明文件</w:t>
      </w:r>
      <w:bookmarkEnd w:id="1705"/>
      <w:bookmarkEnd w:id="1706"/>
    </w:p>
    <w:p w14:paraId="2C667E0B">
      <w:pPr>
        <w:spacing w:line="400" w:lineRule="exact"/>
        <w:ind w:firstLine="420" w:firstLineChars="200"/>
        <w:rPr>
          <w:rFonts w:ascii="宋体" w:hAnsi="宋体" w:cs="宋体"/>
          <w:bCs/>
          <w:color w:val="auto"/>
          <w:szCs w:val="21"/>
        </w:rPr>
      </w:pPr>
      <w:r>
        <w:rPr>
          <w:rFonts w:hint="eastAsia" w:ascii="宋体" w:hAnsi="宋体" w:cs="宋体"/>
          <w:bCs/>
          <w:color w:val="auto"/>
          <w:szCs w:val="21"/>
        </w:rPr>
        <w:t>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1BED577D">
      <w:pPr>
        <w:spacing w:line="400" w:lineRule="exact"/>
        <w:ind w:firstLine="420" w:firstLineChars="200"/>
        <w:rPr>
          <w:rFonts w:ascii="宋体" w:hAnsi="宋体" w:cs="宋体"/>
          <w:b/>
          <w:color w:val="auto"/>
          <w:szCs w:val="21"/>
        </w:rPr>
      </w:pPr>
    </w:p>
    <w:p w14:paraId="697E6E0F">
      <w:pPr>
        <w:spacing w:line="400" w:lineRule="exact"/>
        <w:ind w:firstLine="420" w:firstLineChars="200"/>
        <w:rPr>
          <w:rFonts w:ascii="宋体" w:hAnsi="宋体" w:cs="宋体"/>
          <w:b/>
          <w:color w:val="auto"/>
          <w:szCs w:val="21"/>
        </w:rPr>
      </w:pPr>
      <w:r>
        <w:rPr>
          <w:rFonts w:hint="eastAsia" w:ascii="宋体" w:hAnsi="宋体" w:cs="宋体"/>
          <w:b/>
          <w:color w:val="auto"/>
          <w:szCs w:val="21"/>
        </w:rPr>
        <w:t>说明：中标供应商的监狱企业证明文件随中标结果一并公告。</w:t>
      </w:r>
    </w:p>
    <w:p w14:paraId="0B8E78EF">
      <w:pPr>
        <w:spacing w:line="400" w:lineRule="exact"/>
        <w:ind w:firstLine="420" w:firstLineChars="200"/>
        <w:rPr>
          <w:rFonts w:ascii="宋体" w:hAnsi="宋体" w:cs="宋体"/>
          <w:b/>
          <w:color w:val="auto"/>
          <w:szCs w:val="21"/>
        </w:rPr>
      </w:pPr>
    </w:p>
    <w:p w14:paraId="2970B9FF">
      <w:pPr>
        <w:spacing w:line="400" w:lineRule="exact"/>
        <w:rPr>
          <w:rFonts w:ascii="宋体" w:hAnsi="宋体" w:cs="宋体"/>
          <w:b/>
          <w:color w:val="auto"/>
          <w:szCs w:val="20"/>
        </w:rPr>
      </w:pPr>
      <w:r>
        <w:rPr>
          <w:rFonts w:hint="eastAsia" w:ascii="宋体" w:hAnsi="宋体" w:cs="宋体"/>
          <w:b/>
          <w:color w:val="auto"/>
          <w:szCs w:val="20"/>
        </w:rPr>
        <w:br w:type="page"/>
      </w:r>
    </w:p>
    <w:p w14:paraId="1D04F5FB">
      <w:pPr>
        <w:spacing w:line="400" w:lineRule="exact"/>
        <w:outlineLvl w:val="9"/>
        <w:rPr>
          <w:rFonts w:ascii="宋体" w:hAnsi="宋体" w:cs="宋体"/>
          <w:b/>
          <w:color w:val="auto"/>
          <w:szCs w:val="20"/>
        </w:rPr>
      </w:pPr>
      <w:bookmarkStart w:id="1707" w:name="_Toc17125"/>
      <w:bookmarkStart w:id="1708" w:name="_Toc18068"/>
      <w:r>
        <w:rPr>
          <w:rFonts w:hint="eastAsia" w:ascii="宋体" w:hAnsi="宋体" w:cs="宋体"/>
          <w:b/>
          <w:color w:val="auto"/>
          <w:szCs w:val="20"/>
        </w:rPr>
        <w:t>附件3：残疾人福利性单位声明函（格式）</w:t>
      </w:r>
      <w:bookmarkEnd w:id="1707"/>
      <w:bookmarkEnd w:id="1708"/>
    </w:p>
    <w:p w14:paraId="6D3AADD4">
      <w:pPr>
        <w:spacing w:line="400" w:lineRule="exact"/>
        <w:rPr>
          <w:rFonts w:ascii="宋体" w:hAnsi="宋体" w:cs="宋体"/>
          <w:b/>
          <w:color w:val="auto"/>
          <w:sz w:val="32"/>
          <w:szCs w:val="20"/>
        </w:rPr>
      </w:pPr>
    </w:p>
    <w:p w14:paraId="3896A3A6">
      <w:pPr>
        <w:jc w:val="center"/>
        <w:rPr>
          <w:rFonts w:ascii="宋体" w:hAnsi="宋体" w:cs="宋体"/>
          <w:b/>
          <w:color w:val="auto"/>
          <w:sz w:val="30"/>
          <w:szCs w:val="30"/>
        </w:rPr>
      </w:pPr>
      <w:bookmarkStart w:id="1709" w:name="OLE_LINK13"/>
      <w:bookmarkStart w:id="1710" w:name="OLE_LINK14"/>
      <w:r>
        <w:rPr>
          <w:rFonts w:hint="eastAsia" w:ascii="宋体" w:hAnsi="宋体" w:cs="宋体"/>
          <w:b/>
          <w:color w:val="auto"/>
          <w:sz w:val="30"/>
          <w:szCs w:val="30"/>
        </w:rPr>
        <w:t>残疾人福利性单位声明函（格式）</w:t>
      </w:r>
    </w:p>
    <w:bookmarkEnd w:id="1709"/>
    <w:bookmarkEnd w:id="1710"/>
    <w:p w14:paraId="54B75325">
      <w:pPr>
        <w:spacing w:line="400" w:lineRule="exact"/>
        <w:rPr>
          <w:rFonts w:ascii="宋体" w:hAnsi="宋体" w:cs="宋体"/>
          <w:b/>
          <w:color w:val="auto"/>
          <w:spacing w:val="6"/>
          <w:sz w:val="30"/>
          <w:szCs w:val="30"/>
          <w:highlight w:val="yellow"/>
        </w:rPr>
      </w:pPr>
    </w:p>
    <w:p w14:paraId="6FE7463A">
      <w:pPr>
        <w:spacing w:line="400" w:lineRule="exact"/>
        <w:ind w:firstLine="444" w:firstLineChars="200"/>
        <w:rPr>
          <w:rFonts w:ascii="宋体" w:hAnsi="宋体" w:cs="宋体"/>
          <w:color w:val="auto"/>
          <w:spacing w:val="6"/>
          <w:szCs w:val="21"/>
        </w:rPr>
      </w:pPr>
      <w:r>
        <w:rPr>
          <w:rFonts w:hint="eastAsia" w:ascii="宋体" w:hAnsi="宋体" w:cs="宋体"/>
          <w:color w:val="auto"/>
          <w:spacing w:val="6"/>
          <w:szCs w:val="21"/>
        </w:rPr>
        <w:t>本单位郑重声明，根据《财政部 民政部 中国残疾人联合会关于促进残疾人就业政府采购政策的通知》（财库</w:t>
      </w:r>
      <w:r>
        <w:rPr>
          <w:rFonts w:hint="eastAsia" w:ascii="宋体" w:hAnsi="宋体" w:cs="宋体"/>
          <w:color w:val="auto"/>
          <w:szCs w:val="21"/>
        </w:rPr>
        <w:t>〔2017〕 141</w:t>
      </w:r>
      <w:r>
        <w:rPr>
          <w:rFonts w:hint="eastAsia" w:ascii="宋体" w:hAnsi="宋体" w:cs="宋体"/>
          <w:color w:val="auto"/>
          <w:spacing w:val="6"/>
          <w:szCs w:val="21"/>
        </w:rPr>
        <w:t>号）的规定，本单位为符合条件的残疾人福利性单位，且本单位参加</w:t>
      </w:r>
      <w:r>
        <w:rPr>
          <w:rFonts w:hint="eastAsia" w:ascii="宋体" w:hAnsi="宋体" w:cs="宋体"/>
          <w:color w:val="auto"/>
          <w:spacing w:val="6"/>
          <w:szCs w:val="21"/>
          <w:u w:val="single"/>
        </w:rPr>
        <w:t xml:space="preserve">     （采购人名称）     </w:t>
      </w:r>
      <w:r>
        <w:rPr>
          <w:rFonts w:hint="eastAsia" w:ascii="宋体" w:hAnsi="宋体" w:cs="宋体"/>
          <w:color w:val="auto"/>
          <w:spacing w:val="6"/>
          <w:szCs w:val="21"/>
        </w:rPr>
        <w:t>的</w:t>
      </w:r>
      <w:r>
        <w:rPr>
          <w:rFonts w:hint="eastAsia" w:ascii="宋体" w:hAnsi="宋体" w:cs="宋体"/>
          <w:color w:val="auto"/>
          <w:spacing w:val="6"/>
          <w:szCs w:val="21"/>
          <w:u w:val="single"/>
        </w:rPr>
        <w:t xml:space="preserve">    （项目名称）     </w:t>
      </w:r>
      <w:r>
        <w:rPr>
          <w:rFonts w:hint="eastAsia" w:ascii="宋体" w:hAnsi="宋体" w:cs="宋体"/>
          <w:color w:val="auto"/>
          <w:spacing w:val="6"/>
          <w:szCs w:val="21"/>
        </w:rPr>
        <w:t>采购活动提供本单位制造的货物，或者提供其他残疾人福利性单位制造的货物（不包括使用非残疾人福利性单位注册商标的货物）。</w:t>
      </w:r>
    </w:p>
    <w:p w14:paraId="435C3C91">
      <w:pPr>
        <w:spacing w:line="400" w:lineRule="exact"/>
        <w:ind w:firstLine="444" w:firstLineChars="200"/>
        <w:rPr>
          <w:rFonts w:ascii="宋体" w:hAnsi="宋体" w:cs="宋体"/>
          <w:color w:val="auto"/>
          <w:spacing w:val="6"/>
          <w:szCs w:val="21"/>
        </w:rPr>
      </w:pPr>
      <w:r>
        <w:rPr>
          <w:rFonts w:hint="eastAsia" w:ascii="宋体" w:hAnsi="宋体" w:cs="宋体"/>
          <w:color w:val="auto"/>
          <w:spacing w:val="6"/>
          <w:szCs w:val="21"/>
        </w:rPr>
        <w:t>本单位对上述声明的真实性负责。如有虚假，将依法承担相应责任。</w:t>
      </w:r>
    </w:p>
    <w:p w14:paraId="170A5F43">
      <w:pPr>
        <w:spacing w:line="400" w:lineRule="exact"/>
        <w:ind w:firstLine="444" w:firstLineChars="200"/>
        <w:rPr>
          <w:rFonts w:ascii="宋体" w:hAnsi="宋体" w:cs="宋体"/>
          <w:color w:val="auto"/>
          <w:spacing w:val="6"/>
          <w:szCs w:val="21"/>
        </w:rPr>
      </w:pPr>
    </w:p>
    <w:p w14:paraId="33AF9CC2">
      <w:pPr>
        <w:spacing w:line="400" w:lineRule="exact"/>
        <w:ind w:firstLine="444" w:firstLineChars="200"/>
        <w:rPr>
          <w:rFonts w:ascii="宋体" w:hAnsi="宋体" w:cs="宋体"/>
          <w:color w:val="auto"/>
          <w:spacing w:val="6"/>
          <w:szCs w:val="21"/>
        </w:rPr>
      </w:pPr>
    </w:p>
    <w:p w14:paraId="2C6EEF6D">
      <w:pPr>
        <w:spacing w:line="400" w:lineRule="exact"/>
        <w:ind w:firstLine="2940" w:firstLineChars="1400"/>
        <w:rPr>
          <w:rFonts w:ascii="宋体" w:hAnsi="宋体" w:cs="宋体"/>
          <w:color w:val="auto"/>
          <w:szCs w:val="21"/>
          <w:u w:val="single"/>
        </w:rPr>
      </w:pPr>
      <w:r>
        <w:rPr>
          <w:rFonts w:hint="eastAsia" w:ascii="宋体" w:hAnsi="宋体" w:cs="宋体"/>
          <w:color w:val="auto"/>
          <w:szCs w:val="21"/>
        </w:rPr>
        <w:t>单位名称（公章或电子签章）：</w:t>
      </w:r>
    </w:p>
    <w:p w14:paraId="3AD7B26C">
      <w:pPr>
        <w:spacing w:line="400" w:lineRule="exact"/>
        <w:ind w:firstLine="2940" w:firstLineChars="1400"/>
        <w:rPr>
          <w:rFonts w:ascii="宋体" w:hAnsi="宋体" w:cs="宋体"/>
          <w:b/>
          <w:bCs/>
          <w:color w:val="auto"/>
          <w:szCs w:val="28"/>
        </w:rPr>
      </w:pPr>
      <w:r>
        <w:rPr>
          <w:rFonts w:hint="eastAsia" w:ascii="宋体" w:hAnsi="宋体" w:cs="宋体"/>
          <w:color w:val="auto"/>
          <w:szCs w:val="21"/>
        </w:rPr>
        <w:t>日  期：</w:t>
      </w:r>
      <w:r>
        <w:rPr>
          <w:rFonts w:hint="eastAsia" w:ascii="宋体" w:hAnsi="宋体" w:cs="宋体"/>
          <w:color w:val="auto"/>
          <w:szCs w:val="21"/>
          <w:u w:val="single"/>
        </w:rPr>
        <w:t xml:space="preserve">      </w:t>
      </w:r>
      <w:r>
        <w:rPr>
          <w:rFonts w:hint="eastAsia" w:ascii="宋体" w:hAnsi="宋体" w:cs="宋体"/>
          <w:color w:val="auto"/>
          <w:szCs w:val="21"/>
          <w:u w:val="none"/>
        </w:rPr>
        <w:t>年</w:t>
      </w:r>
      <w:r>
        <w:rPr>
          <w:rFonts w:hint="eastAsia" w:ascii="宋体" w:hAnsi="宋体" w:cs="宋体"/>
          <w:color w:val="auto"/>
          <w:szCs w:val="21"/>
          <w:u w:val="single"/>
        </w:rPr>
        <w:t xml:space="preserve">   </w:t>
      </w:r>
      <w:r>
        <w:rPr>
          <w:rFonts w:hint="eastAsia" w:ascii="宋体" w:hAnsi="宋体" w:cs="宋体"/>
          <w:color w:val="auto"/>
          <w:szCs w:val="21"/>
          <w:u w:val="none"/>
        </w:rPr>
        <w:t>月</w:t>
      </w:r>
      <w:r>
        <w:rPr>
          <w:rFonts w:hint="eastAsia" w:ascii="宋体" w:hAnsi="宋体" w:cs="宋体"/>
          <w:color w:val="auto"/>
          <w:szCs w:val="21"/>
          <w:u w:val="single"/>
        </w:rPr>
        <w:t xml:space="preserve">   </w:t>
      </w:r>
      <w:r>
        <w:rPr>
          <w:rFonts w:hint="eastAsia" w:ascii="宋体" w:hAnsi="宋体" w:cs="宋体"/>
          <w:color w:val="auto"/>
          <w:szCs w:val="21"/>
          <w:u w:val="none"/>
        </w:rPr>
        <w:t>日</w:t>
      </w:r>
    </w:p>
    <w:p w14:paraId="78C6476B">
      <w:pPr>
        <w:spacing w:line="400" w:lineRule="exact"/>
        <w:rPr>
          <w:rFonts w:ascii="宋体" w:hAnsi="宋体" w:cs="宋体"/>
          <w:color w:val="auto"/>
          <w:szCs w:val="21"/>
          <w:u w:val="single"/>
        </w:rPr>
      </w:pPr>
    </w:p>
    <w:p w14:paraId="16AB243F">
      <w:pPr>
        <w:widowControl/>
        <w:ind w:firstLine="420" w:firstLineChars="200"/>
        <w:jc w:val="left"/>
        <w:rPr>
          <w:rFonts w:ascii="宋体" w:hAnsi="宋体" w:cs="宋体"/>
          <w:b/>
          <w:bCs/>
          <w:color w:val="auto"/>
          <w:szCs w:val="20"/>
        </w:rPr>
      </w:pPr>
    </w:p>
    <w:p w14:paraId="56DD6C82">
      <w:pPr>
        <w:widowControl/>
        <w:ind w:firstLine="420" w:firstLineChars="200"/>
        <w:jc w:val="left"/>
        <w:rPr>
          <w:rFonts w:ascii="宋体" w:hAnsi="宋体" w:cs="宋体"/>
          <w:b/>
          <w:bCs/>
          <w:color w:val="auto"/>
          <w:szCs w:val="20"/>
        </w:rPr>
      </w:pPr>
    </w:p>
    <w:p w14:paraId="307155EF">
      <w:pPr>
        <w:widowControl/>
        <w:ind w:firstLine="420" w:firstLineChars="200"/>
        <w:jc w:val="left"/>
        <w:rPr>
          <w:rFonts w:ascii="宋体" w:hAnsi="宋体" w:cs="宋体"/>
          <w:b/>
          <w:bCs/>
          <w:color w:val="auto"/>
          <w:szCs w:val="20"/>
        </w:rPr>
      </w:pPr>
      <w:r>
        <w:rPr>
          <w:rFonts w:hint="eastAsia" w:ascii="宋体" w:hAnsi="宋体" w:cs="宋体"/>
          <w:b/>
          <w:bCs/>
          <w:color w:val="auto"/>
          <w:szCs w:val="20"/>
        </w:rPr>
        <w:t>说明：参加政府采购活动的</w:t>
      </w:r>
      <w:r>
        <w:rPr>
          <w:rFonts w:hint="eastAsia" w:ascii="宋体" w:hAnsi="宋体" w:cs="宋体"/>
          <w:b/>
          <w:color w:val="auto"/>
        </w:rPr>
        <w:t>残疾人福利性单位</w:t>
      </w:r>
      <w:r>
        <w:rPr>
          <w:rFonts w:hint="eastAsia" w:ascii="宋体" w:hAnsi="宋体" w:cs="宋体"/>
          <w:b/>
          <w:bCs/>
          <w:color w:val="auto"/>
          <w:szCs w:val="20"/>
        </w:rPr>
        <w:t>应当提供《</w:t>
      </w:r>
      <w:r>
        <w:rPr>
          <w:rFonts w:hint="eastAsia" w:ascii="宋体" w:hAnsi="宋体" w:cs="宋体"/>
          <w:b/>
          <w:color w:val="auto"/>
        </w:rPr>
        <w:t>残疾人福利性单位声明函</w:t>
      </w:r>
      <w:r>
        <w:rPr>
          <w:rFonts w:hint="eastAsia" w:ascii="宋体" w:hAnsi="宋体" w:cs="宋体"/>
          <w:b/>
          <w:bCs/>
          <w:color w:val="auto"/>
          <w:szCs w:val="20"/>
        </w:rPr>
        <w:t>》。</w:t>
      </w:r>
      <w:r>
        <w:rPr>
          <w:rFonts w:hint="eastAsia" w:ascii="宋体" w:hAnsi="宋体" w:cs="宋体"/>
          <w:b/>
          <w:bCs/>
          <w:color w:val="auto"/>
          <w:szCs w:val="21"/>
        </w:rPr>
        <w:t>中标供应商的《残疾人福利性单位声明函》随中标结果一并公告。</w:t>
      </w:r>
    </w:p>
    <w:p w14:paraId="70EB7047">
      <w:pPr>
        <w:spacing w:line="400" w:lineRule="exact"/>
        <w:ind w:firstLine="420" w:firstLineChars="200"/>
        <w:rPr>
          <w:rFonts w:eastAsia="仿宋"/>
          <w:b/>
          <w:color w:val="auto"/>
          <w:szCs w:val="21"/>
        </w:rPr>
      </w:pPr>
    </w:p>
    <w:p w14:paraId="04CE722C">
      <w:pPr>
        <w:spacing w:line="400" w:lineRule="exact"/>
        <w:ind w:left="1120" w:hanging="1120"/>
        <w:rPr>
          <w:rFonts w:eastAsia="仿宋"/>
          <w:b/>
          <w:bCs/>
          <w:color w:val="auto"/>
          <w:szCs w:val="20"/>
        </w:rPr>
      </w:pPr>
    </w:p>
    <w:p w14:paraId="037C4B6B">
      <w:pPr>
        <w:keepNext/>
        <w:keepLines/>
        <w:widowControl w:val="0"/>
        <w:spacing w:before="0" w:after="330" w:line="578" w:lineRule="auto"/>
        <w:jc w:val="center"/>
        <w:outlineLvl w:val="9"/>
        <w:rPr>
          <w:rFonts w:ascii="Times New Roman" w:hAnsi="宋体" w:eastAsia="宋体" w:cs="Times New Roman"/>
          <w:b/>
          <w:bCs/>
          <w:color w:val="auto"/>
          <w:kern w:val="44"/>
          <w:sz w:val="28"/>
          <w:szCs w:val="28"/>
          <w:lang w:val="en-US" w:eastAsia="zh-CN" w:bidi="ar-SA"/>
        </w:rPr>
      </w:pPr>
    </w:p>
    <w:p w14:paraId="5E0942B5">
      <w:pPr>
        <w:keepNext/>
        <w:keepLines/>
        <w:widowControl w:val="0"/>
        <w:spacing w:before="0" w:after="330" w:line="578" w:lineRule="auto"/>
        <w:jc w:val="center"/>
        <w:outlineLvl w:val="9"/>
        <w:rPr>
          <w:rFonts w:ascii="Times New Roman" w:hAnsi="宋体" w:eastAsia="宋体" w:cs="Times New Roman"/>
          <w:b/>
          <w:bCs/>
          <w:color w:val="auto"/>
          <w:kern w:val="44"/>
          <w:sz w:val="28"/>
          <w:szCs w:val="28"/>
          <w:lang w:val="en-US" w:eastAsia="zh-CN" w:bidi="ar-SA"/>
        </w:rPr>
      </w:pPr>
    </w:p>
    <w:p w14:paraId="6408AC3B">
      <w:pPr>
        <w:keepNext/>
        <w:keepLines/>
        <w:widowControl w:val="0"/>
        <w:spacing w:before="0" w:after="330" w:line="578" w:lineRule="auto"/>
        <w:jc w:val="center"/>
        <w:outlineLvl w:val="9"/>
        <w:rPr>
          <w:rFonts w:ascii="Times New Roman" w:hAnsi="宋体" w:eastAsia="宋体" w:cs="Times New Roman"/>
          <w:b/>
          <w:bCs/>
          <w:color w:val="auto"/>
          <w:kern w:val="44"/>
          <w:sz w:val="28"/>
          <w:szCs w:val="28"/>
          <w:lang w:val="en-US" w:eastAsia="zh-CN" w:bidi="ar-SA"/>
        </w:rPr>
      </w:pPr>
    </w:p>
    <w:p w14:paraId="2D6BBF6F">
      <w:pPr>
        <w:keepNext/>
        <w:keepLines/>
        <w:widowControl w:val="0"/>
        <w:spacing w:before="0" w:after="330" w:line="578" w:lineRule="auto"/>
        <w:jc w:val="center"/>
        <w:outlineLvl w:val="9"/>
        <w:rPr>
          <w:rFonts w:ascii="Times New Roman" w:hAnsi="宋体" w:eastAsia="宋体" w:cs="Times New Roman"/>
          <w:b/>
          <w:bCs/>
          <w:color w:val="auto"/>
          <w:kern w:val="44"/>
          <w:sz w:val="28"/>
          <w:szCs w:val="28"/>
          <w:lang w:val="en-US" w:eastAsia="zh-CN" w:bidi="ar-SA"/>
        </w:rPr>
      </w:pPr>
    </w:p>
    <w:p w14:paraId="19D38279">
      <w:pPr>
        <w:keepNext/>
        <w:keepLines/>
        <w:widowControl w:val="0"/>
        <w:spacing w:before="0" w:after="330" w:line="578" w:lineRule="auto"/>
        <w:jc w:val="both"/>
        <w:outlineLvl w:val="9"/>
        <w:rPr>
          <w:rFonts w:ascii="Times New Roman" w:hAnsi="宋体" w:eastAsia="宋体" w:cs="Times New Roman"/>
          <w:b/>
          <w:bCs/>
          <w:color w:val="auto"/>
          <w:kern w:val="44"/>
          <w:sz w:val="28"/>
          <w:szCs w:val="28"/>
          <w:lang w:val="en-US" w:eastAsia="zh-CN" w:bidi="ar-SA"/>
        </w:rPr>
      </w:pPr>
    </w:p>
    <w:p w14:paraId="09BD324D">
      <w:pPr>
        <w:rPr>
          <w:color w:val="auto"/>
        </w:rPr>
      </w:pPr>
    </w:p>
    <w:p w14:paraId="37BCFC7A">
      <w:pPr>
        <w:widowControl/>
        <w:jc w:val="left"/>
        <w:rPr>
          <w:rFonts w:hAnsi="宋体"/>
          <w:b/>
          <w:color w:val="auto"/>
          <w:sz w:val="28"/>
          <w:szCs w:val="28"/>
        </w:rPr>
      </w:pPr>
      <w:bookmarkStart w:id="1711" w:name="_Toc86935946"/>
      <w:r>
        <w:rPr>
          <w:rFonts w:hAnsi="宋体"/>
          <w:b/>
          <w:color w:val="auto"/>
          <w:sz w:val="28"/>
          <w:szCs w:val="28"/>
        </w:rPr>
        <w:br w:type="page"/>
      </w:r>
    </w:p>
    <w:p w14:paraId="7EAFA509">
      <w:pPr>
        <w:spacing w:line="390" w:lineRule="exact"/>
        <w:jc w:val="center"/>
        <w:outlineLvl w:val="0"/>
        <w:rPr>
          <w:rFonts w:hAnsi="宋体"/>
          <w:b/>
          <w:color w:val="auto"/>
          <w:sz w:val="28"/>
          <w:szCs w:val="28"/>
        </w:rPr>
      </w:pPr>
      <w:bookmarkStart w:id="1712" w:name="_Toc28662"/>
      <w:bookmarkStart w:id="1713" w:name="_Toc12326"/>
      <w:r>
        <w:rPr>
          <w:rFonts w:hint="eastAsia" w:hAnsi="宋体"/>
          <w:b/>
          <w:color w:val="auto"/>
          <w:sz w:val="28"/>
          <w:szCs w:val="28"/>
        </w:rPr>
        <w:t>第八章  评标办法</w:t>
      </w:r>
      <w:bookmarkEnd w:id="1711"/>
      <w:bookmarkEnd w:id="1712"/>
      <w:bookmarkEnd w:id="1713"/>
    </w:p>
    <w:p w14:paraId="0E8AAB0D">
      <w:pPr>
        <w:spacing w:after="120"/>
        <w:jc w:val="center"/>
        <w:rPr>
          <w:rFonts w:ascii="宋体" w:hAnsi="宋体" w:cs="宋体"/>
          <w:b/>
          <w:color w:val="auto"/>
          <w:sz w:val="24"/>
        </w:rPr>
      </w:pPr>
      <w:bookmarkStart w:id="1714" w:name="_Toc440877588"/>
    </w:p>
    <w:p w14:paraId="0886A6A5">
      <w:pPr>
        <w:spacing w:after="120"/>
        <w:jc w:val="center"/>
        <w:rPr>
          <w:rFonts w:ascii="Calibri" w:hAnsi="Calibri"/>
          <w:color w:val="auto"/>
        </w:rPr>
      </w:pPr>
      <w:r>
        <w:rPr>
          <w:rFonts w:hint="eastAsia" w:ascii="宋体" w:hAnsi="宋体" w:cs="宋体"/>
          <w:b/>
          <w:color w:val="auto"/>
          <w:sz w:val="24"/>
        </w:rPr>
        <w:t>评分办法前附表</w:t>
      </w:r>
    </w:p>
    <w:tbl>
      <w:tblPr>
        <w:tblStyle w:val="48"/>
        <w:tblW w:w="10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832"/>
        <w:gridCol w:w="2033"/>
        <w:gridCol w:w="413"/>
        <w:gridCol w:w="6397"/>
      </w:tblGrid>
      <w:tr w14:paraId="5201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595" w:type="dxa"/>
            <w:gridSpan w:val="2"/>
            <w:noWrap/>
            <w:vAlign w:val="center"/>
          </w:tcPr>
          <w:p w14:paraId="3ADAD1DE">
            <w:pPr>
              <w:autoSpaceDE w:val="0"/>
              <w:autoSpaceDN w:val="0"/>
              <w:adjustRightInd w:val="0"/>
              <w:spacing w:line="420" w:lineRule="exact"/>
              <w:jc w:val="center"/>
              <w:rPr>
                <w:rFonts w:ascii="宋体" w:hAnsi="宋体" w:cs="宋体"/>
                <w:b/>
                <w:color w:val="auto"/>
                <w:kern w:val="0"/>
                <w:szCs w:val="21"/>
              </w:rPr>
            </w:pPr>
            <w:r>
              <w:rPr>
                <w:rFonts w:hint="eastAsia" w:ascii="宋体" w:hAnsi="宋体" w:cs="宋体"/>
                <w:b/>
                <w:color w:val="auto"/>
                <w:kern w:val="0"/>
                <w:szCs w:val="21"/>
              </w:rPr>
              <w:t>条款名称</w:t>
            </w:r>
          </w:p>
        </w:tc>
        <w:tc>
          <w:tcPr>
            <w:tcW w:w="2446" w:type="dxa"/>
            <w:gridSpan w:val="2"/>
            <w:noWrap/>
            <w:vAlign w:val="center"/>
          </w:tcPr>
          <w:p w14:paraId="6B080532">
            <w:pPr>
              <w:autoSpaceDE w:val="0"/>
              <w:autoSpaceDN w:val="0"/>
              <w:adjustRightInd w:val="0"/>
              <w:spacing w:line="420" w:lineRule="exact"/>
              <w:jc w:val="center"/>
              <w:rPr>
                <w:rFonts w:ascii="宋体" w:hAnsi="宋体" w:cs="宋体"/>
                <w:b/>
                <w:color w:val="auto"/>
                <w:kern w:val="0"/>
                <w:szCs w:val="21"/>
              </w:rPr>
            </w:pPr>
            <w:r>
              <w:rPr>
                <w:rFonts w:hint="eastAsia" w:ascii="宋体" w:hAnsi="宋体" w:cs="宋体"/>
                <w:b/>
                <w:color w:val="auto"/>
                <w:kern w:val="0"/>
                <w:szCs w:val="21"/>
              </w:rPr>
              <w:t>评审因素</w:t>
            </w:r>
          </w:p>
        </w:tc>
        <w:tc>
          <w:tcPr>
            <w:tcW w:w="6397" w:type="dxa"/>
            <w:noWrap/>
            <w:vAlign w:val="center"/>
          </w:tcPr>
          <w:p w14:paraId="570B0830">
            <w:pPr>
              <w:autoSpaceDE w:val="0"/>
              <w:autoSpaceDN w:val="0"/>
              <w:adjustRightInd w:val="0"/>
              <w:spacing w:line="420" w:lineRule="exact"/>
              <w:jc w:val="center"/>
              <w:rPr>
                <w:rFonts w:ascii="宋体" w:hAnsi="宋体" w:cs="宋体"/>
                <w:b/>
                <w:color w:val="auto"/>
                <w:kern w:val="0"/>
                <w:szCs w:val="21"/>
              </w:rPr>
            </w:pPr>
            <w:r>
              <w:rPr>
                <w:rFonts w:hint="eastAsia" w:ascii="宋体" w:hAnsi="宋体" w:cs="宋体"/>
                <w:b/>
                <w:color w:val="auto"/>
                <w:kern w:val="0"/>
                <w:szCs w:val="21"/>
              </w:rPr>
              <w:t>评审标准</w:t>
            </w:r>
          </w:p>
        </w:tc>
      </w:tr>
      <w:tr w14:paraId="3692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trPr>
        <w:tc>
          <w:tcPr>
            <w:tcW w:w="763" w:type="dxa"/>
            <w:vMerge w:val="restart"/>
            <w:noWrap/>
            <w:vAlign w:val="center"/>
          </w:tcPr>
          <w:p w14:paraId="429BC723">
            <w:pPr>
              <w:autoSpaceDE w:val="0"/>
              <w:autoSpaceDN w:val="0"/>
              <w:adjustRightInd w:val="0"/>
              <w:spacing w:line="420" w:lineRule="exact"/>
              <w:jc w:val="center"/>
              <w:rPr>
                <w:rFonts w:ascii="宋体" w:hAnsi="宋体" w:cs="宋体"/>
                <w:color w:val="auto"/>
                <w:kern w:val="0"/>
                <w:szCs w:val="21"/>
              </w:rPr>
            </w:pPr>
            <w:r>
              <w:rPr>
                <w:rFonts w:hint="eastAsia" w:ascii="宋体" w:hAnsi="宋体" w:cs="宋体"/>
                <w:b/>
                <w:bCs/>
                <w:color w:val="auto"/>
                <w:kern w:val="0"/>
                <w:szCs w:val="21"/>
              </w:rPr>
              <w:t>初步评审</w:t>
            </w:r>
          </w:p>
        </w:tc>
        <w:tc>
          <w:tcPr>
            <w:tcW w:w="832" w:type="dxa"/>
            <w:vMerge w:val="restart"/>
            <w:noWrap/>
            <w:vAlign w:val="center"/>
          </w:tcPr>
          <w:p w14:paraId="018F8D14">
            <w:pPr>
              <w:autoSpaceDE w:val="0"/>
              <w:autoSpaceDN w:val="0"/>
              <w:adjustRightInd w:val="0"/>
              <w:spacing w:line="420" w:lineRule="exact"/>
              <w:jc w:val="center"/>
              <w:rPr>
                <w:rFonts w:ascii="宋体" w:hAnsi="宋体" w:cs="宋体"/>
                <w:b/>
                <w:bCs/>
                <w:color w:val="auto"/>
                <w:kern w:val="0"/>
                <w:szCs w:val="21"/>
              </w:rPr>
            </w:pPr>
            <w:r>
              <w:rPr>
                <w:rFonts w:hint="eastAsia" w:ascii="宋体" w:hAnsi="宋体" w:cs="宋体"/>
                <w:b/>
                <w:bCs/>
                <w:color w:val="auto"/>
                <w:kern w:val="0"/>
                <w:szCs w:val="21"/>
              </w:rPr>
              <w:t>资格性审查</w:t>
            </w:r>
          </w:p>
        </w:tc>
        <w:tc>
          <w:tcPr>
            <w:tcW w:w="2446" w:type="dxa"/>
            <w:gridSpan w:val="2"/>
            <w:noWrap/>
            <w:vAlign w:val="center"/>
          </w:tcPr>
          <w:p w14:paraId="1A8AA517">
            <w:pPr>
              <w:spacing w:line="440" w:lineRule="exact"/>
              <w:jc w:val="center"/>
              <w:rPr>
                <w:rFonts w:hint="eastAsia" w:asciiTheme="minorEastAsia" w:hAnsiTheme="minorEastAsia" w:eastAsiaTheme="minorEastAsia" w:cstheme="minorEastAsia"/>
                <w:color w:val="auto"/>
                <w:kern w:val="0"/>
                <w:szCs w:val="21"/>
                <w:lang w:eastAsia="zh-CN"/>
              </w:rPr>
            </w:pPr>
            <w:r>
              <w:rPr>
                <w:rFonts w:hint="eastAsia" w:asciiTheme="minorEastAsia" w:hAnsiTheme="minorEastAsia" w:eastAsiaTheme="minorEastAsia" w:cstheme="minorEastAsia"/>
                <w:color w:val="auto"/>
                <w:kern w:val="0"/>
                <w:szCs w:val="21"/>
                <w:lang w:eastAsia="zh-CN"/>
              </w:rPr>
              <w:t>贺州市平桂区政府采购供应商信用承诺函</w:t>
            </w:r>
          </w:p>
        </w:tc>
        <w:tc>
          <w:tcPr>
            <w:tcW w:w="6397" w:type="dxa"/>
            <w:noWrap/>
            <w:vAlign w:val="center"/>
          </w:tcPr>
          <w:p w14:paraId="20B79CF5">
            <w:pPr>
              <w:spacing w:line="440" w:lineRule="exact"/>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szCs w:val="21"/>
              </w:rPr>
              <w:t>根据贺财采【2023】15号文贺州市财政局关于推行政府采购领域信用承诺制度的通知，凡符合政府采购法第二十二条规定的资格条件，参加贺州市政府采购活动的供应商，在投标（响应）文件中按照采购文件约定提供信用承诺。</w:t>
            </w:r>
          </w:p>
        </w:tc>
      </w:tr>
      <w:tr w14:paraId="29A4F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6FEE6286">
            <w:pPr>
              <w:autoSpaceDE w:val="0"/>
              <w:autoSpaceDN w:val="0"/>
              <w:adjustRightInd w:val="0"/>
              <w:spacing w:line="420" w:lineRule="exact"/>
              <w:jc w:val="center"/>
              <w:rPr>
                <w:rFonts w:ascii="宋体" w:hAnsi="宋体" w:cs="宋体"/>
                <w:color w:val="auto"/>
                <w:kern w:val="0"/>
                <w:szCs w:val="21"/>
              </w:rPr>
            </w:pPr>
          </w:p>
        </w:tc>
        <w:tc>
          <w:tcPr>
            <w:tcW w:w="832" w:type="dxa"/>
            <w:vMerge w:val="continue"/>
            <w:noWrap/>
            <w:vAlign w:val="center"/>
          </w:tcPr>
          <w:p w14:paraId="1FB58906">
            <w:pPr>
              <w:autoSpaceDE w:val="0"/>
              <w:autoSpaceDN w:val="0"/>
              <w:adjustRightInd w:val="0"/>
              <w:spacing w:line="420" w:lineRule="exact"/>
              <w:jc w:val="center"/>
              <w:rPr>
                <w:rFonts w:ascii="宋体" w:hAnsi="宋体" w:cs="宋体"/>
                <w:color w:val="auto"/>
                <w:kern w:val="0"/>
                <w:szCs w:val="21"/>
              </w:rPr>
            </w:pPr>
          </w:p>
        </w:tc>
        <w:tc>
          <w:tcPr>
            <w:tcW w:w="2446" w:type="dxa"/>
            <w:gridSpan w:val="2"/>
            <w:noWrap/>
            <w:vAlign w:val="center"/>
          </w:tcPr>
          <w:p w14:paraId="18853B4F">
            <w:pPr>
              <w:spacing w:line="44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法定代表人身份证明书及授权委托书</w:t>
            </w:r>
          </w:p>
        </w:tc>
        <w:tc>
          <w:tcPr>
            <w:tcW w:w="6397" w:type="dxa"/>
            <w:noWrap/>
            <w:vAlign w:val="center"/>
          </w:tcPr>
          <w:p w14:paraId="7B0D1286">
            <w:pPr>
              <w:spacing w:line="440" w:lineRule="exact"/>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法定代表人身份证明书及授权委托书（委托代理时必须提供，同时加盖单位电子公章）</w:t>
            </w:r>
          </w:p>
        </w:tc>
      </w:tr>
      <w:tr w14:paraId="75BD3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09F71E9C">
            <w:pPr>
              <w:autoSpaceDE w:val="0"/>
              <w:autoSpaceDN w:val="0"/>
              <w:adjustRightInd w:val="0"/>
              <w:spacing w:line="420" w:lineRule="exact"/>
              <w:jc w:val="center"/>
              <w:rPr>
                <w:rFonts w:ascii="宋体" w:hAnsi="宋体" w:cs="宋体"/>
                <w:color w:val="auto"/>
                <w:kern w:val="0"/>
                <w:szCs w:val="21"/>
              </w:rPr>
            </w:pPr>
          </w:p>
        </w:tc>
        <w:tc>
          <w:tcPr>
            <w:tcW w:w="832" w:type="dxa"/>
            <w:vMerge w:val="continue"/>
            <w:noWrap/>
            <w:vAlign w:val="center"/>
          </w:tcPr>
          <w:p w14:paraId="4D3D10DB">
            <w:pPr>
              <w:autoSpaceDE w:val="0"/>
              <w:autoSpaceDN w:val="0"/>
              <w:adjustRightInd w:val="0"/>
              <w:spacing w:line="420" w:lineRule="exact"/>
              <w:jc w:val="center"/>
              <w:rPr>
                <w:rFonts w:ascii="宋体" w:hAnsi="宋体" w:cs="宋体"/>
                <w:color w:val="auto"/>
                <w:kern w:val="0"/>
                <w:szCs w:val="21"/>
              </w:rPr>
            </w:pPr>
          </w:p>
        </w:tc>
        <w:tc>
          <w:tcPr>
            <w:tcW w:w="2446" w:type="dxa"/>
            <w:gridSpan w:val="2"/>
            <w:noWrap/>
            <w:vAlign w:val="center"/>
          </w:tcPr>
          <w:p w14:paraId="43780C8E">
            <w:pPr>
              <w:spacing w:line="44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资质证书</w:t>
            </w:r>
          </w:p>
        </w:tc>
        <w:tc>
          <w:tcPr>
            <w:tcW w:w="6397" w:type="dxa"/>
            <w:noWrap/>
            <w:vAlign w:val="center"/>
          </w:tcPr>
          <w:p w14:paraId="76E892ED">
            <w:pPr>
              <w:spacing w:line="44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具有建筑工程施工总承包叁级（含）及以上资质。</w:t>
            </w:r>
          </w:p>
        </w:tc>
      </w:tr>
      <w:tr w14:paraId="5915C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26469B1F">
            <w:pPr>
              <w:autoSpaceDE w:val="0"/>
              <w:autoSpaceDN w:val="0"/>
              <w:adjustRightInd w:val="0"/>
              <w:spacing w:line="420" w:lineRule="exact"/>
              <w:jc w:val="center"/>
              <w:rPr>
                <w:rFonts w:ascii="宋体" w:hAnsi="宋体" w:cs="宋体"/>
                <w:color w:val="auto"/>
                <w:kern w:val="0"/>
                <w:szCs w:val="21"/>
              </w:rPr>
            </w:pPr>
          </w:p>
        </w:tc>
        <w:tc>
          <w:tcPr>
            <w:tcW w:w="832" w:type="dxa"/>
            <w:vMerge w:val="continue"/>
            <w:noWrap/>
            <w:vAlign w:val="center"/>
          </w:tcPr>
          <w:p w14:paraId="2617A65F">
            <w:pPr>
              <w:autoSpaceDE w:val="0"/>
              <w:autoSpaceDN w:val="0"/>
              <w:adjustRightInd w:val="0"/>
              <w:spacing w:line="420" w:lineRule="exact"/>
              <w:jc w:val="center"/>
              <w:rPr>
                <w:rFonts w:ascii="宋体" w:hAnsi="宋体" w:cs="宋体"/>
                <w:color w:val="auto"/>
                <w:kern w:val="0"/>
                <w:szCs w:val="21"/>
              </w:rPr>
            </w:pPr>
          </w:p>
        </w:tc>
        <w:tc>
          <w:tcPr>
            <w:tcW w:w="2446" w:type="dxa"/>
            <w:gridSpan w:val="2"/>
            <w:noWrap/>
            <w:vAlign w:val="center"/>
          </w:tcPr>
          <w:p w14:paraId="66CA2412">
            <w:pPr>
              <w:spacing w:line="440" w:lineRule="exact"/>
              <w:jc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安全生产许可证</w:t>
            </w:r>
          </w:p>
        </w:tc>
        <w:tc>
          <w:tcPr>
            <w:tcW w:w="6397" w:type="dxa"/>
            <w:noWrap/>
            <w:vAlign w:val="center"/>
          </w:tcPr>
          <w:p w14:paraId="0679B1C7">
            <w:pPr>
              <w:spacing w:line="44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具备有效的安全生产许可证。</w:t>
            </w:r>
          </w:p>
        </w:tc>
      </w:tr>
      <w:tr w14:paraId="336D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0732EFCF">
            <w:pPr>
              <w:autoSpaceDE w:val="0"/>
              <w:autoSpaceDN w:val="0"/>
              <w:adjustRightInd w:val="0"/>
              <w:spacing w:line="420" w:lineRule="exact"/>
              <w:jc w:val="center"/>
              <w:rPr>
                <w:rFonts w:ascii="宋体" w:hAnsi="宋体" w:cs="宋体"/>
                <w:color w:val="auto"/>
                <w:kern w:val="0"/>
                <w:szCs w:val="21"/>
              </w:rPr>
            </w:pPr>
          </w:p>
        </w:tc>
        <w:tc>
          <w:tcPr>
            <w:tcW w:w="832" w:type="dxa"/>
            <w:vMerge w:val="continue"/>
            <w:noWrap/>
            <w:vAlign w:val="center"/>
          </w:tcPr>
          <w:p w14:paraId="7497DEE3">
            <w:pPr>
              <w:autoSpaceDE w:val="0"/>
              <w:autoSpaceDN w:val="0"/>
              <w:adjustRightInd w:val="0"/>
              <w:spacing w:line="420" w:lineRule="exact"/>
              <w:jc w:val="center"/>
              <w:rPr>
                <w:rFonts w:ascii="宋体" w:hAnsi="宋体" w:cs="宋体"/>
                <w:color w:val="auto"/>
                <w:kern w:val="0"/>
                <w:szCs w:val="21"/>
              </w:rPr>
            </w:pPr>
          </w:p>
        </w:tc>
        <w:tc>
          <w:tcPr>
            <w:tcW w:w="2446" w:type="dxa"/>
            <w:gridSpan w:val="2"/>
            <w:noWrap/>
            <w:vAlign w:val="center"/>
          </w:tcPr>
          <w:p w14:paraId="7CECD9E9">
            <w:pPr>
              <w:spacing w:line="440" w:lineRule="exact"/>
              <w:jc w:val="center"/>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szCs w:val="21"/>
              </w:rPr>
              <w:t>项目经理</w:t>
            </w:r>
          </w:p>
        </w:tc>
        <w:tc>
          <w:tcPr>
            <w:tcW w:w="6397" w:type="dxa"/>
            <w:noWrap/>
            <w:vAlign w:val="center"/>
          </w:tcPr>
          <w:p w14:paraId="2AFE9E14">
            <w:pPr>
              <w:spacing w:line="440" w:lineRule="exact"/>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szCs w:val="21"/>
              </w:rPr>
              <w:t>具备</w:t>
            </w:r>
            <w:r>
              <w:rPr>
                <w:rFonts w:hint="eastAsia" w:asciiTheme="minorEastAsia" w:hAnsiTheme="minorEastAsia" w:eastAsiaTheme="minorEastAsia" w:cstheme="minorEastAsia"/>
                <w:color w:val="auto"/>
                <w:szCs w:val="21"/>
                <w:lang w:eastAsia="zh-CN"/>
              </w:rPr>
              <w:t>建筑工程专业贰级</w:t>
            </w:r>
            <w:r>
              <w:rPr>
                <w:rFonts w:hint="eastAsia" w:asciiTheme="minorEastAsia" w:hAnsiTheme="minorEastAsia" w:eastAsiaTheme="minorEastAsia" w:cstheme="minorEastAsia"/>
                <w:color w:val="auto"/>
                <w:szCs w:val="21"/>
              </w:rPr>
              <w:t>（含以上级）注册建造师执业资格（以注册建造师证为准），具备有效的安全生产考核合格证书（B类）。</w:t>
            </w:r>
          </w:p>
        </w:tc>
      </w:tr>
      <w:tr w14:paraId="60B4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41014D49">
            <w:pPr>
              <w:autoSpaceDE w:val="0"/>
              <w:autoSpaceDN w:val="0"/>
              <w:adjustRightInd w:val="0"/>
              <w:spacing w:line="420" w:lineRule="exact"/>
              <w:jc w:val="center"/>
              <w:rPr>
                <w:rFonts w:ascii="宋体" w:hAnsi="宋体" w:cs="宋体"/>
                <w:color w:val="auto"/>
                <w:kern w:val="0"/>
                <w:szCs w:val="21"/>
              </w:rPr>
            </w:pPr>
          </w:p>
        </w:tc>
        <w:tc>
          <w:tcPr>
            <w:tcW w:w="832" w:type="dxa"/>
            <w:vMerge w:val="continue"/>
            <w:noWrap/>
            <w:vAlign w:val="center"/>
          </w:tcPr>
          <w:p w14:paraId="5CA7DFDA">
            <w:pPr>
              <w:autoSpaceDE w:val="0"/>
              <w:autoSpaceDN w:val="0"/>
              <w:adjustRightInd w:val="0"/>
              <w:spacing w:line="420" w:lineRule="exact"/>
              <w:jc w:val="center"/>
              <w:rPr>
                <w:rFonts w:ascii="宋体" w:hAnsi="宋体" w:cs="宋体"/>
                <w:color w:val="auto"/>
                <w:kern w:val="0"/>
                <w:szCs w:val="21"/>
              </w:rPr>
            </w:pPr>
          </w:p>
        </w:tc>
        <w:tc>
          <w:tcPr>
            <w:tcW w:w="2446" w:type="dxa"/>
            <w:gridSpan w:val="2"/>
            <w:noWrap/>
            <w:vAlign w:val="center"/>
          </w:tcPr>
          <w:p w14:paraId="0A542FEA">
            <w:pPr>
              <w:spacing w:line="440" w:lineRule="exact"/>
              <w:jc w:val="center"/>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szCs w:val="21"/>
              </w:rPr>
              <w:t>专职安全员</w:t>
            </w:r>
          </w:p>
        </w:tc>
        <w:tc>
          <w:tcPr>
            <w:tcW w:w="6397" w:type="dxa"/>
            <w:noWrap/>
            <w:vAlign w:val="center"/>
          </w:tcPr>
          <w:p w14:paraId="0535C920">
            <w:pPr>
              <w:spacing w:line="400" w:lineRule="exact"/>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rPr>
              <w:t>须具备有效的安全生产考核合格证书（C类），拟投入的安全管理员不少于1人的扫描件。</w:t>
            </w:r>
          </w:p>
        </w:tc>
      </w:tr>
      <w:tr w14:paraId="2204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24CA8A55">
            <w:pPr>
              <w:autoSpaceDE w:val="0"/>
              <w:autoSpaceDN w:val="0"/>
              <w:adjustRightInd w:val="0"/>
              <w:spacing w:line="420" w:lineRule="exact"/>
              <w:jc w:val="center"/>
              <w:rPr>
                <w:rFonts w:ascii="宋体" w:hAnsi="宋体" w:cs="宋体"/>
                <w:color w:val="auto"/>
                <w:kern w:val="0"/>
                <w:szCs w:val="21"/>
              </w:rPr>
            </w:pPr>
          </w:p>
        </w:tc>
        <w:tc>
          <w:tcPr>
            <w:tcW w:w="832" w:type="dxa"/>
            <w:vMerge w:val="continue"/>
            <w:noWrap/>
            <w:vAlign w:val="center"/>
          </w:tcPr>
          <w:p w14:paraId="40639F7E">
            <w:pPr>
              <w:autoSpaceDE w:val="0"/>
              <w:autoSpaceDN w:val="0"/>
              <w:adjustRightInd w:val="0"/>
              <w:spacing w:line="420" w:lineRule="exact"/>
              <w:jc w:val="center"/>
              <w:rPr>
                <w:rFonts w:ascii="宋体" w:hAnsi="宋体" w:cs="宋体"/>
                <w:color w:val="auto"/>
                <w:kern w:val="0"/>
                <w:szCs w:val="21"/>
              </w:rPr>
            </w:pPr>
          </w:p>
        </w:tc>
        <w:tc>
          <w:tcPr>
            <w:tcW w:w="2446" w:type="dxa"/>
            <w:gridSpan w:val="2"/>
            <w:noWrap/>
            <w:vAlign w:val="center"/>
          </w:tcPr>
          <w:p w14:paraId="16FC4910">
            <w:pPr>
              <w:spacing w:line="440" w:lineRule="exact"/>
              <w:jc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其他</w:t>
            </w:r>
          </w:p>
        </w:tc>
        <w:tc>
          <w:tcPr>
            <w:tcW w:w="6397" w:type="dxa"/>
            <w:noWrap/>
            <w:vAlign w:val="center"/>
          </w:tcPr>
          <w:p w14:paraId="47177C5F">
            <w:pPr>
              <w:spacing w:line="400" w:lineRule="exact"/>
              <w:rPr>
                <w:rFonts w:hint="eastAsia" w:asciiTheme="minorEastAsia" w:hAnsiTheme="minorEastAsia" w:eastAsiaTheme="minorEastAsia" w:cstheme="minorEastAsia"/>
                <w:color w:val="auto"/>
                <w:sz w:val="21"/>
                <w:szCs w:val="21"/>
              </w:rPr>
            </w:pPr>
            <w:r>
              <w:rPr>
                <w:rFonts w:hint="eastAsia"/>
                <w:color w:val="auto"/>
                <w:sz w:val="21"/>
                <w:szCs w:val="21"/>
              </w:rPr>
              <w:t>磋商供应商认为必要提供的声明及文件资料。</w:t>
            </w:r>
          </w:p>
        </w:tc>
      </w:tr>
      <w:tr w14:paraId="486F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14AB010A">
            <w:pPr>
              <w:autoSpaceDE w:val="0"/>
              <w:autoSpaceDN w:val="0"/>
              <w:adjustRightInd w:val="0"/>
              <w:spacing w:line="420" w:lineRule="exact"/>
              <w:rPr>
                <w:rFonts w:ascii="宋体" w:hAnsi="宋体" w:cs="宋体"/>
                <w:color w:val="auto"/>
                <w:kern w:val="0"/>
                <w:szCs w:val="21"/>
              </w:rPr>
            </w:pPr>
          </w:p>
        </w:tc>
        <w:tc>
          <w:tcPr>
            <w:tcW w:w="9675" w:type="dxa"/>
            <w:gridSpan w:val="4"/>
            <w:noWrap/>
            <w:vAlign w:val="center"/>
          </w:tcPr>
          <w:p w14:paraId="32DC32F0">
            <w:pPr>
              <w:autoSpaceDE w:val="0"/>
              <w:autoSpaceDN w:val="0"/>
              <w:adjustRightInd w:val="0"/>
              <w:spacing w:line="420" w:lineRule="exact"/>
              <w:rPr>
                <w:rFonts w:ascii="宋体" w:hAnsi="宋体" w:cs="宋体"/>
                <w:b/>
                <w:color w:val="auto"/>
                <w:szCs w:val="21"/>
              </w:rPr>
            </w:pPr>
            <w:r>
              <w:rPr>
                <w:rFonts w:hint="eastAsia" w:ascii="宋体" w:hAnsi="宋体" w:cs="宋体"/>
                <w:b/>
                <w:color w:val="auto"/>
                <w:szCs w:val="21"/>
              </w:rPr>
              <w:t>资格性审查项中缺少任何一项或有任何一项不合格者其资格审查视为不合格，资格评审不合格的磋商人不得进入符合性评审。</w:t>
            </w:r>
          </w:p>
        </w:tc>
      </w:tr>
      <w:tr w14:paraId="2574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1DBA5793">
            <w:pPr>
              <w:autoSpaceDE w:val="0"/>
              <w:autoSpaceDN w:val="0"/>
              <w:adjustRightInd w:val="0"/>
              <w:spacing w:line="420" w:lineRule="exact"/>
              <w:jc w:val="center"/>
              <w:rPr>
                <w:rFonts w:ascii="宋体" w:hAnsi="宋体" w:cs="宋体"/>
                <w:color w:val="auto"/>
                <w:kern w:val="0"/>
                <w:szCs w:val="21"/>
              </w:rPr>
            </w:pPr>
          </w:p>
        </w:tc>
        <w:tc>
          <w:tcPr>
            <w:tcW w:w="832" w:type="dxa"/>
            <w:vMerge w:val="restart"/>
            <w:noWrap/>
            <w:vAlign w:val="center"/>
          </w:tcPr>
          <w:p w14:paraId="4BA0A599">
            <w:pPr>
              <w:autoSpaceDE w:val="0"/>
              <w:autoSpaceDN w:val="0"/>
              <w:adjustRightInd w:val="0"/>
              <w:spacing w:line="420" w:lineRule="exact"/>
              <w:jc w:val="center"/>
              <w:rPr>
                <w:rFonts w:ascii="宋体" w:hAnsi="宋体" w:cs="宋体"/>
                <w:b/>
                <w:bCs/>
                <w:color w:val="auto"/>
                <w:kern w:val="0"/>
                <w:szCs w:val="21"/>
              </w:rPr>
            </w:pPr>
            <w:r>
              <w:rPr>
                <w:rFonts w:hint="eastAsia" w:ascii="宋体" w:hAnsi="宋体" w:cs="宋体"/>
                <w:b/>
                <w:bCs/>
                <w:color w:val="auto"/>
                <w:kern w:val="0"/>
                <w:szCs w:val="21"/>
              </w:rPr>
              <w:t>符合性审查</w:t>
            </w:r>
          </w:p>
        </w:tc>
        <w:tc>
          <w:tcPr>
            <w:tcW w:w="2446" w:type="dxa"/>
            <w:gridSpan w:val="2"/>
            <w:noWrap/>
            <w:vAlign w:val="center"/>
          </w:tcPr>
          <w:p w14:paraId="4EB55FB9">
            <w:pPr>
              <w:autoSpaceDE w:val="0"/>
              <w:autoSpaceDN w:val="0"/>
              <w:adjustRightInd w:val="0"/>
              <w:spacing w:line="420" w:lineRule="exact"/>
              <w:jc w:val="center"/>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磋商报价</w:t>
            </w:r>
          </w:p>
        </w:tc>
        <w:tc>
          <w:tcPr>
            <w:tcW w:w="6397" w:type="dxa"/>
            <w:noWrap/>
            <w:vAlign w:val="center"/>
          </w:tcPr>
          <w:p w14:paraId="0EC80EE8">
            <w:pPr>
              <w:autoSpaceDE w:val="0"/>
              <w:autoSpaceDN w:val="0"/>
              <w:adjustRightInd w:val="0"/>
              <w:spacing w:line="420" w:lineRule="exact"/>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符合第二章“磋商供应商须知正文”</w:t>
            </w:r>
            <w:r>
              <w:rPr>
                <w:rFonts w:hint="eastAsia" w:asciiTheme="minorEastAsia" w:hAnsiTheme="minorEastAsia" w:eastAsiaTheme="minorEastAsia" w:cstheme="minorEastAsia"/>
                <w:color w:val="auto"/>
                <w:szCs w:val="21"/>
              </w:rPr>
              <w:t>第6项规定。</w:t>
            </w:r>
          </w:p>
        </w:tc>
      </w:tr>
      <w:tr w14:paraId="7124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6B619A55">
            <w:pPr>
              <w:autoSpaceDE w:val="0"/>
              <w:autoSpaceDN w:val="0"/>
              <w:adjustRightInd w:val="0"/>
              <w:spacing w:line="420" w:lineRule="exact"/>
              <w:jc w:val="center"/>
              <w:rPr>
                <w:rFonts w:ascii="宋体" w:hAnsi="宋体" w:cs="宋体"/>
                <w:color w:val="auto"/>
                <w:kern w:val="0"/>
                <w:szCs w:val="21"/>
              </w:rPr>
            </w:pPr>
          </w:p>
        </w:tc>
        <w:tc>
          <w:tcPr>
            <w:tcW w:w="832" w:type="dxa"/>
            <w:vMerge w:val="continue"/>
            <w:noWrap/>
            <w:vAlign w:val="center"/>
          </w:tcPr>
          <w:p w14:paraId="67AF7F18">
            <w:pPr>
              <w:autoSpaceDE w:val="0"/>
              <w:autoSpaceDN w:val="0"/>
              <w:adjustRightInd w:val="0"/>
              <w:spacing w:line="420" w:lineRule="exact"/>
              <w:jc w:val="center"/>
              <w:rPr>
                <w:rFonts w:ascii="宋体" w:hAnsi="宋体" w:cs="宋体"/>
                <w:b/>
                <w:bCs/>
                <w:color w:val="auto"/>
                <w:kern w:val="0"/>
                <w:szCs w:val="21"/>
              </w:rPr>
            </w:pPr>
          </w:p>
        </w:tc>
        <w:tc>
          <w:tcPr>
            <w:tcW w:w="2446" w:type="dxa"/>
            <w:gridSpan w:val="2"/>
            <w:noWrap/>
            <w:vAlign w:val="center"/>
          </w:tcPr>
          <w:p w14:paraId="388D3FEF">
            <w:pPr>
              <w:autoSpaceDE w:val="0"/>
              <w:autoSpaceDN w:val="0"/>
              <w:adjustRightInd w:val="0"/>
              <w:spacing w:line="420" w:lineRule="exact"/>
              <w:jc w:val="center"/>
              <w:rPr>
                <w:rFonts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磋商人</w:t>
            </w:r>
            <w:r>
              <w:rPr>
                <w:rFonts w:hint="eastAsia" w:asciiTheme="minorEastAsia" w:hAnsiTheme="minorEastAsia" w:eastAsiaTheme="minorEastAsia" w:cstheme="minorEastAsia"/>
                <w:color w:val="auto"/>
                <w:kern w:val="0"/>
                <w:szCs w:val="21"/>
              </w:rPr>
              <w:t>名称</w:t>
            </w:r>
          </w:p>
        </w:tc>
        <w:tc>
          <w:tcPr>
            <w:tcW w:w="6397" w:type="dxa"/>
            <w:noWrap/>
            <w:vAlign w:val="center"/>
          </w:tcPr>
          <w:p w14:paraId="3747154B">
            <w:pPr>
              <w:autoSpaceDE w:val="0"/>
              <w:autoSpaceDN w:val="0"/>
              <w:adjustRightInd w:val="0"/>
              <w:spacing w:line="420" w:lineRule="exact"/>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与《营业执照》一致；</w:t>
            </w:r>
          </w:p>
        </w:tc>
      </w:tr>
      <w:tr w14:paraId="5CF09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2B818464">
            <w:pPr>
              <w:autoSpaceDE w:val="0"/>
              <w:autoSpaceDN w:val="0"/>
              <w:adjustRightInd w:val="0"/>
              <w:spacing w:line="420" w:lineRule="exact"/>
              <w:rPr>
                <w:rFonts w:ascii="宋体" w:hAnsi="宋体" w:cs="宋体"/>
                <w:color w:val="auto"/>
                <w:kern w:val="0"/>
                <w:szCs w:val="21"/>
              </w:rPr>
            </w:pPr>
          </w:p>
        </w:tc>
        <w:tc>
          <w:tcPr>
            <w:tcW w:w="832" w:type="dxa"/>
            <w:vMerge w:val="continue"/>
            <w:noWrap/>
            <w:vAlign w:val="center"/>
          </w:tcPr>
          <w:p w14:paraId="5F3968D8">
            <w:pPr>
              <w:autoSpaceDE w:val="0"/>
              <w:autoSpaceDN w:val="0"/>
              <w:adjustRightInd w:val="0"/>
              <w:spacing w:line="420" w:lineRule="exact"/>
              <w:rPr>
                <w:rFonts w:ascii="宋体" w:hAnsi="宋体" w:cs="宋体"/>
                <w:color w:val="auto"/>
                <w:kern w:val="0"/>
                <w:szCs w:val="21"/>
              </w:rPr>
            </w:pPr>
          </w:p>
        </w:tc>
        <w:tc>
          <w:tcPr>
            <w:tcW w:w="2446" w:type="dxa"/>
            <w:gridSpan w:val="2"/>
            <w:noWrap/>
            <w:vAlign w:val="center"/>
          </w:tcPr>
          <w:p w14:paraId="320E3788">
            <w:pPr>
              <w:autoSpaceDE w:val="0"/>
              <w:autoSpaceDN w:val="0"/>
              <w:adjustRightInd w:val="0"/>
              <w:spacing w:line="420" w:lineRule="exact"/>
              <w:jc w:val="center"/>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响应文件签字盖章</w:t>
            </w:r>
          </w:p>
        </w:tc>
        <w:tc>
          <w:tcPr>
            <w:tcW w:w="6397" w:type="dxa"/>
            <w:noWrap/>
            <w:vAlign w:val="center"/>
          </w:tcPr>
          <w:p w14:paraId="67BE1849">
            <w:pPr>
              <w:autoSpaceDE w:val="0"/>
              <w:autoSpaceDN w:val="0"/>
              <w:adjustRightInd w:val="0"/>
              <w:spacing w:line="420" w:lineRule="exact"/>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符合第二章“磋商供应商须知正文”</w:t>
            </w:r>
            <w:r>
              <w:rPr>
                <w:rFonts w:hint="eastAsia" w:asciiTheme="minorEastAsia" w:hAnsiTheme="minorEastAsia" w:eastAsiaTheme="minorEastAsia" w:cstheme="minorEastAsia"/>
                <w:color w:val="auto"/>
                <w:szCs w:val="21"/>
              </w:rPr>
              <w:t>第11项规定。</w:t>
            </w:r>
          </w:p>
        </w:tc>
      </w:tr>
      <w:tr w14:paraId="2904B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46F3B46E">
            <w:pPr>
              <w:autoSpaceDE w:val="0"/>
              <w:autoSpaceDN w:val="0"/>
              <w:adjustRightInd w:val="0"/>
              <w:spacing w:line="420" w:lineRule="exact"/>
              <w:rPr>
                <w:rFonts w:ascii="宋体" w:hAnsi="宋体" w:cs="宋体"/>
                <w:color w:val="auto"/>
                <w:kern w:val="0"/>
                <w:szCs w:val="21"/>
              </w:rPr>
            </w:pPr>
          </w:p>
        </w:tc>
        <w:tc>
          <w:tcPr>
            <w:tcW w:w="832" w:type="dxa"/>
            <w:vMerge w:val="continue"/>
            <w:noWrap/>
            <w:vAlign w:val="center"/>
          </w:tcPr>
          <w:p w14:paraId="34A71C3E">
            <w:pPr>
              <w:autoSpaceDE w:val="0"/>
              <w:autoSpaceDN w:val="0"/>
              <w:adjustRightInd w:val="0"/>
              <w:spacing w:line="420" w:lineRule="exact"/>
              <w:rPr>
                <w:rFonts w:ascii="宋体" w:hAnsi="宋体" w:cs="宋体"/>
                <w:color w:val="auto"/>
                <w:kern w:val="0"/>
                <w:szCs w:val="21"/>
              </w:rPr>
            </w:pPr>
          </w:p>
        </w:tc>
        <w:tc>
          <w:tcPr>
            <w:tcW w:w="2446" w:type="dxa"/>
            <w:gridSpan w:val="2"/>
            <w:noWrap/>
            <w:vAlign w:val="center"/>
          </w:tcPr>
          <w:p w14:paraId="0CF3CDBF">
            <w:pPr>
              <w:autoSpaceDE w:val="0"/>
              <w:autoSpaceDN w:val="0"/>
              <w:adjustRightInd w:val="0"/>
              <w:spacing w:line="420" w:lineRule="exact"/>
              <w:jc w:val="center"/>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响应文件格式</w:t>
            </w:r>
          </w:p>
        </w:tc>
        <w:tc>
          <w:tcPr>
            <w:tcW w:w="6397" w:type="dxa"/>
            <w:noWrap/>
            <w:vAlign w:val="center"/>
          </w:tcPr>
          <w:p w14:paraId="1AF43338">
            <w:pPr>
              <w:autoSpaceDE w:val="0"/>
              <w:autoSpaceDN w:val="0"/>
              <w:adjustRightInd w:val="0"/>
              <w:spacing w:line="420" w:lineRule="exact"/>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符合第七章“响应文件格式”的要求。</w:t>
            </w:r>
          </w:p>
        </w:tc>
      </w:tr>
      <w:tr w14:paraId="3D1D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63" w:type="dxa"/>
            <w:vMerge w:val="continue"/>
            <w:noWrap/>
            <w:vAlign w:val="center"/>
          </w:tcPr>
          <w:p w14:paraId="184024EB">
            <w:pPr>
              <w:autoSpaceDE w:val="0"/>
              <w:autoSpaceDN w:val="0"/>
              <w:adjustRightInd w:val="0"/>
              <w:spacing w:line="420" w:lineRule="exact"/>
              <w:rPr>
                <w:rFonts w:ascii="宋体" w:hAnsi="宋体" w:cs="宋体"/>
                <w:color w:val="auto"/>
                <w:kern w:val="0"/>
                <w:szCs w:val="21"/>
              </w:rPr>
            </w:pPr>
          </w:p>
        </w:tc>
        <w:tc>
          <w:tcPr>
            <w:tcW w:w="832" w:type="dxa"/>
            <w:vMerge w:val="continue"/>
            <w:noWrap/>
            <w:vAlign w:val="center"/>
          </w:tcPr>
          <w:p w14:paraId="519C73B5">
            <w:pPr>
              <w:autoSpaceDE w:val="0"/>
              <w:autoSpaceDN w:val="0"/>
              <w:adjustRightInd w:val="0"/>
              <w:spacing w:line="420" w:lineRule="exact"/>
              <w:rPr>
                <w:rFonts w:ascii="宋体" w:hAnsi="宋体" w:cs="宋体"/>
                <w:color w:val="auto"/>
                <w:kern w:val="0"/>
                <w:szCs w:val="21"/>
              </w:rPr>
            </w:pPr>
          </w:p>
        </w:tc>
        <w:tc>
          <w:tcPr>
            <w:tcW w:w="2446" w:type="dxa"/>
            <w:gridSpan w:val="2"/>
            <w:noWrap/>
            <w:vAlign w:val="center"/>
          </w:tcPr>
          <w:p w14:paraId="2D5540BC">
            <w:pPr>
              <w:spacing w:line="440" w:lineRule="exact"/>
              <w:jc w:val="center"/>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szCs w:val="21"/>
              </w:rPr>
              <w:t>质量要求</w:t>
            </w:r>
          </w:p>
        </w:tc>
        <w:tc>
          <w:tcPr>
            <w:tcW w:w="6397" w:type="dxa"/>
            <w:noWrap/>
            <w:vAlign w:val="center"/>
          </w:tcPr>
          <w:p w14:paraId="6C056FE2">
            <w:pPr>
              <w:spacing w:line="440" w:lineRule="exact"/>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szCs w:val="21"/>
              </w:rPr>
              <w:t>符合“磋商供应商须知前附表”第5项规定。</w:t>
            </w:r>
          </w:p>
        </w:tc>
      </w:tr>
      <w:tr w14:paraId="0C63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vAlign w:val="center"/>
          </w:tcPr>
          <w:p w14:paraId="6C59C3F2">
            <w:pPr>
              <w:autoSpaceDE w:val="0"/>
              <w:autoSpaceDN w:val="0"/>
              <w:adjustRightInd w:val="0"/>
              <w:spacing w:line="420" w:lineRule="exact"/>
              <w:rPr>
                <w:rFonts w:ascii="宋体" w:hAnsi="宋体" w:cs="宋体"/>
                <w:color w:val="auto"/>
                <w:kern w:val="0"/>
                <w:szCs w:val="21"/>
              </w:rPr>
            </w:pPr>
          </w:p>
        </w:tc>
        <w:tc>
          <w:tcPr>
            <w:tcW w:w="832" w:type="dxa"/>
            <w:vMerge w:val="continue"/>
            <w:noWrap/>
            <w:vAlign w:val="center"/>
          </w:tcPr>
          <w:p w14:paraId="467F12DD">
            <w:pPr>
              <w:autoSpaceDE w:val="0"/>
              <w:autoSpaceDN w:val="0"/>
              <w:adjustRightInd w:val="0"/>
              <w:spacing w:line="420" w:lineRule="exact"/>
              <w:rPr>
                <w:rFonts w:ascii="宋体" w:hAnsi="宋体" w:cs="宋体"/>
                <w:color w:val="auto"/>
                <w:kern w:val="0"/>
                <w:szCs w:val="21"/>
              </w:rPr>
            </w:pPr>
          </w:p>
        </w:tc>
        <w:tc>
          <w:tcPr>
            <w:tcW w:w="2446" w:type="dxa"/>
            <w:gridSpan w:val="2"/>
            <w:noWrap/>
            <w:vAlign w:val="center"/>
          </w:tcPr>
          <w:p w14:paraId="251EA90A">
            <w:pPr>
              <w:spacing w:line="440" w:lineRule="exact"/>
              <w:jc w:val="center"/>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szCs w:val="21"/>
              </w:rPr>
              <w:t>工期</w:t>
            </w:r>
          </w:p>
        </w:tc>
        <w:tc>
          <w:tcPr>
            <w:tcW w:w="6397" w:type="dxa"/>
            <w:noWrap/>
            <w:vAlign w:val="center"/>
          </w:tcPr>
          <w:p w14:paraId="67F80F87">
            <w:pPr>
              <w:spacing w:line="440" w:lineRule="exact"/>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szCs w:val="21"/>
              </w:rPr>
              <w:t>符合“磋商供应商须知前附表”第4项规定。</w:t>
            </w:r>
          </w:p>
        </w:tc>
      </w:tr>
      <w:tr w14:paraId="3127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vMerge w:val="continue"/>
            <w:noWrap/>
          </w:tcPr>
          <w:p w14:paraId="5268EA4A">
            <w:pPr>
              <w:autoSpaceDE w:val="0"/>
              <w:autoSpaceDN w:val="0"/>
              <w:adjustRightInd w:val="0"/>
              <w:spacing w:line="420" w:lineRule="exact"/>
              <w:rPr>
                <w:rFonts w:ascii="宋体" w:hAnsi="宋体" w:cs="宋体"/>
                <w:color w:val="auto"/>
                <w:kern w:val="0"/>
                <w:szCs w:val="21"/>
              </w:rPr>
            </w:pPr>
          </w:p>
        </w:tc>
        <w:tc>
          <w:tcPr>
            <w:tcW w:w="832" w:type="dxa"/>
            <w:vMerge w:val="continue"/>
            <w:noWrap/>
          </w:tcPr>
          <w:p w14:paraId="5A2AAB01">
            <w:pPr>
              <w:autoSpaceDE w:val="0"/>
              <w:autoSpaceDN w:val="0"/>
              <w:adjustRightInd w:val="0"/>
              <w:spacing w:line="420" w:lineRule="exact"/>
              <w:rPr>
                <w:rFonts w:ascii="宋体" w:hAnsi="宋体" w:cs="宋体"/>
                <w:b/>
                <w:color w:val="auto"/>
                <w:szCs w:val="21"/>
              </w:rPr>
            </w:pPr>
          </w:p>
        </w:tc>
        <w:tc>
          <w:tcPr>
            <w:tcW w:w="2446" w:type="dxa"/>
            <w:gridSpan w:val="2"/>
            <w:noWrap/>
          </w:tcPr>
          <w:p w14:paraId="0826FE8D">
            <w:pPr>
              <w:autoSpaceDE w:val="0"/>
              <w:autoSpaceDN w:val="0"/>
              <w:adjustRightInd w:val="0"/>
              <w:spacing w:line="420" w:lineRule="exact"/>
              <w:jc w:val="center"/>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kern w:val="0"/>
                <w:szCs w:val="21"/>
              </w:rPr>
              <w:t>其他要求</w:t>
            </w:r>
          </w:p>
        </w:tc>
        <w:tc>
          <w:tcPr>
            <w:tcW w:w="6397" w:type="dxa"/>
            <w:noWrap/>
          </w:tcPr>
          <w:p w14:paraId="42596002">
            <w:pPr>
              <w:autoSpaceDE w:val="0"/>
              <w:autoSpaceDN w:val="0"/>
              <w:adjustRightInd w:val="0"/>
              <w:spacing w:line="420" w:lineRule="exact"/>
              <w:rPr>
                <w:rFonts w:asciiTheme="minorEastAsia" w:hAnsiTheme="minorEastAsia" w:eastAsiaTheme="minorEastAsia" w:cstheme="minorEastAsia"/>
                <w:b/>
                <w:color w:val="auto"/>
                <w:szCs w:val="21"/>
              </w:rPr>
            </w:pPr>
            <w:r>
              <w:rPr>
                <w:rFonts w:hint="eastAsia" w:asciiTheme="minorEastAsia" w:hAnsiTheme="minorEastAsia" w:eastAsiaTheme="minorEastAsia" w:cstheme="minorEastAsia"/>
                <w:color w:val="auto"/>
                <w:kern w:val="0"/>
                <w:szCs w:val="21"/>
              </w:rPr>
              <w:t>不存在第二章“磋商供应商须知”中任意一项否决</w:t>
            </w:r>
            <w:r>
              <w:rPr>
                <w:rFonts w:hint="eastAsia" w:asciiTheme="minorEastAsia" w:hAnsiTheme="minorEastAsia" w:eastAsiaTheme="minorEastAsia" w:cstheme="minorEastAsia"/>
                <w:color w:val="auto"/>
                <w:kern w:val="0"/>
                <w:szCs w:val="21"/>
                <w:lang w:val="en-US" w:eastAsia="zh-CN"/>
              </w:rPr>
              <w:t>11</w:t>
            </w:r>
            <w:r>
              <w:rPr>
                <w:rFonts w:hint="eastAsia" w:asciiTheme="minorEastAsia" w:hAnsiTheme="minorEastAsia" w:eastAsiaTheme="minorEastAsia" w:cstheme="minorEastAsia"/>
                <w:color w:val="auto"/>
                <w:kern w:val="0"/>
                <w:szCs w:val="21"/>
              </w:rPr>
              <w:t>或无效投标情形。</w:t>
            </w:r>
          </w:p>
        </w:tc>
      </w:tr>
      <w:tr w14:paraId="17122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63" w:type="dxa"/>
            <w:noWrap/>
          </w:tcPr>
          <w:p w14:paraId="42EC7C96">
            <w:pPr>
              <w:autoSpaceDE w:val="0"/>
              <w:autoSpaceDN w:val="0"/>
              <w:adjustRightInd w:val="0"/>
              <w:spacing w:line="420" w:lineRule="exact"/>
              <w:rPr>
                <w:rFonts w:ascii="宋体" w:hAnsi="宋体" w:cs="宋体"/>
                <w:color w:val="auto"/>
                <w:kern w:val="0"/>
                <w:szCs w:val="21"/>
              </w:rPr>
            </w:pPr>
          </w:p>
        </w:tc>
        <w:tc>
          <w:tcPr>
            <w:tcW w:w="9675" w:type="dxa"/>
            <w:gridSpan w:val="4"/>
            <w:noWrap/>
          </w:tcPr>
          <w:p w14:paraId="2B139E64">
            <w:pPr>
              <w:autoSpaceDE w:val="0"/>
              <w:autoSpaceDN w:val="0"/>
              <w:adjustRightInd w:val="0"/>
              <w:spacing w:line="420" w:lineRule="exact"/>
              <w:rPr>
                <w:rFonts w:ascii="宋体" w:hAnsi="宋体" w:cs="宋体"/>
                <w:color w:val="auto"/>
                <w:kern w:val="0"/>
                <w:szCs w:val="21"/>
              </w:rPr>
            </w:pPr>
            <w:r>
              <w:rPr>
                <w:rFonts w:hint="eastAsia" w:ascii="宋体" w:hAnsi="宋体" w:cs="宋体"/>
                <w:b/>
                <w:color w:val="auto"/>
                <w:szCs w:val="21"/>
              </w:rPr>
              <w:t>符合性审查项中缺少任何一项或有任何一项不合格者其初步审查视为不合格，初步评审不合格的磋商人不再进入以下各项组成的详细评审。</w:t>
            </w:r>
          </w:p>
        </w:tc>
      </w:tr>
      <w:tr w14:paraId="2D827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38" w:type="dxa"/>
            <w:gridSpan w:val="5"/>
            <w:noWrap/>
          </w:tcPr>
          <w:p w14:paraId="79C7EB11">
            <w:pPr>
              <w:autoSpaceDE w:val="0"/>
              <w:autoSpaceDN w:val="0"/>
              <w:adjustRightInd w:val="0"/>
              <w:spacing w:line="420" w:lineRule="exact"/>
              <w:jc w:val="center"/>
              <w:rPr>
                <w:rFonts w:ascii="宋体" w:hAnsi="宋体" w:cs="宋体"/>
                <w:b/>
                <w:color w:val="auto"/>
                <w:szCs w:val="21"/>
              </w:rPr>
            </w:pPr>
            <w:r>
              <w:rPr>
                <w:rFonts w:hint="eastAsia" w:ascii="宋体" w:hAnsi="宋体" w:cs="宋体"/>
                <w:b/>
                <w:color w:val="auto"/>
                <w:kern w:val="0"/>
                <w:szCs w:val="21"/>
              </w:rPr>
              <w:t>详细评审标准</w:t>
            </w:r>
          </w:p>
        </w:tc>
      </w:tr>
      <w:tr w14:paraId="09C3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595" w:type="dxa"/>
            <w:gridSpan w:val="2"/>
            <w:tcBorders>
              <w:top w:val="single" w:color="auto" w:sz="4" w:space="0"/>
              <w:left w:val="single" w:color="auto" w:sz="4" w:space="0"/>
              <w:bottom w:val="single" w:color="auto" w:sz="4" w:space="0"/>
              <w:right w:val="single" w:color="auto" w:sz="4" w:space="0"/>
            </w:tcBorders>
            <w:noWrap/>
            <w:vAlign w:val="center"/>
          </w:tcPr>
          <w:p w14:paraId="7BDF7021">
            <w:pPr>
              <w:spacing w:line="420" w:lineRule="exact"/>
              <w:jc w:val="center"/>
              <w:rPr>
                <w:rFonts w:ascii="宋体" w:hAnsi="宋体" w:cs="宋体"/>
                <w:b/>
                <w:color w:val="auto"/>
                <w:szCs w:val="21"/>
              </w:rPr>
            </w:pPr>
            <w:r>
              <w:rPr>
                <w:rFonts w:hint="eastAsia" w:ascii="宋体" w:hAnsi="宋体" w:cs="宋体"/>
                <w:b/>
                <w:color w:val="auto"/>
                <w:szCs w:val="21"/>
              </w:rPr>
              <w:t>报价分</w:t>
            </w:r>
          </w:p>
          <w:p w14:paraId="1EF3FEB1">
            <w:pPr>
              <w:autoSpaceDE w:val="0"/>
              <w:autoSpaceDN w:val="0"/>
              <w:adjustRightInd w:val="0"/>
              <w:spacing w:line="420" w:lineRule="exact"/>
              <w:jc w:val="center"/>
              <w:rPr>
                <w:rFonts w:ascii="宋体" w:hAnsi="宋体" w:cs="宋体"/>
                <w:b/>
                <w:color w:val="auto"/>
                <w:kern w:val="0"/>
                <w:szCs w:val="21"/>
              </w:rPr>
            </w:pPr>
            <w:r>
              <w:rPr>
                <w:rFonts w:hint="eastAsia" w:ascii="宋体" w:hAnsi="宋体" w:cs="宋体"/>
                <w:b/>
                <w:color w:val="auto"/>
                <w:kern w:val="0"/>
                <w:szCs w:val="21"/>
              </w:rPr>
              <w:t>评审标准</w:t>
            </w:r>
          </w:p>
          <w:p w14:paraId="6252A2AD">
            <w:pPr>
              <w:spacing w:line="420" w:lineRule="exact"/>
              <w:jc w:val="center"/>
              <w:rPr>
                <w:rFonts w:ascii="宋体" w:hAnsi="宋体" w:cs="宋体"/>
                <w:color w:val="auto"/>
                <w:szCs w:val="21"/>
              </w:rPr>
            </w:pPr>
            <w:r>
              <w:rPr>
                <w:rFonts w:hint="eastAsia" w:ascii="宋体" w:hAnsi="宋体" w:cs="宋体"/>
                <w:b/>
                <w:color w:val="auto"/>
                <w:szCs w:val="21"/>
              </w:rPr>
              <w:t>（</w:t>
            </w:r>
            <w:r>
              <w:rPr>
                <w:rFonts w:hint="eastAsia" w:ascii="宋体" w:hAnsi="宋体" w:cs="宋体"/>
                <w:b/>
                <w:color w:val="auto"/>
                <w:szCs w:val="21"/>
                <w:lang w:val="en-US" w:eastAsia="zh-CN"/>
              </w:rPr>
              <w:t>10</w:t>
            </w:r>
            <w:r>
              <w:rPr>
                <w:rFonts w:hint="eastAsia" w:ascii="宋体" w:hAnsi="宋体" w:cs="宋体"/>
                <w:b/>
                <w:color w:val="auto"/>
                <w:szCs w:val="21"/>
              </w:rPr>
              <w:t>分）</w:t>
            </w:r>
          </w:p>
        </w:tc>
        <w:tc>
          <w:tcPr>
            <w:tcW w:w="8843" w:type="dxa"/>
            <w:gridSpan w:val="3"/>
            <w:tcBorders>
              <w:top w:val="single" w:color="auto" w:sz="4" w:space="0"/>
              <w:left w:val="single" w:color="auto" w:sz="4" w:space="0"/>
              <w:bottom w:val="single" w:color="auto" w:sz="4" w:space="0"/>
            </w:tcBorders>
            <w:noWrap/>
            <w:vAlign w:val="center"/>
          </w:tcPr>
          <w:p w14:paraId="78EBD88A">
            <w:pPr>
              <w:spacing w:line="440" w:lineRule="exact"/>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b/>
                <w:bCs/>
                <w:color w:val="auto"/>
                <w:szCs w:val="21"/>
              </w:rPr>
              <w:t>评标基准价的计算方法：</w:t>
            </w:r>
          </w:p>
          <w:p w14:paraId="717D3351">
            <w:pPr>
              <w:spacing w:line="400" w:lineRule="exact"/>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（1）有效报价范围：为磋商总价低于或等于上限控制价，通过初步评审，经磋商小组审定不存在严重不平衡、不合理、不低于其企业成本的磋商供应商磋商总价。</w:t>
            </w:r>
          </w:p>
          <w:p w14:paraId="326C6B9B">
            <w:pPr>
              <w:spacing w:line="380" w:lineRule="exact"/>
              <w:ind w:firstLine="420" w:firstLineChars="200"/>
              <w:rPr>
                <w:rFonts w:hint="eastAsia" w:asciiTheme="minorEastAsia" w:hAnsiTheme="minorEastAsia" w:eastAsiaTheme="minorEastAsia" w:cstheme="minorEastAsia"/>
                <w:b/>
                <w:bCs/>
                <w:color w:val="auto"/>
                <w:szCs w:val="21"/>
              </w:rPr>
            </w:pPr>
            <w:r>
              <w:rPr>
                <w:rFonts w:hint="eastAsia" w:asciiTheme="minorEastAsia" w:hAnsiTheme="minorEastAsia" w:eastAsiaTheme="minorEastAsia" w:cstheme="minorEastAsia"/>
                <w:color w:val="auto"/>
                <w:kern w:val="0"/>
                <w:szCs w:val="21"/>
              </w:rPr>
              <w:t>（2）</w:t>
            </w:r>
            <w:r>
              <w:rPr>
                <w:rFonts w:hint="eastAsia" w:asciiTheme="minorEastAsia" w:hAnsiTheme="minorEastAsia" w:eastAsiaTheme="minorEastAsia" w:cstheme="minorEastAsia"/>
                <w:color w:val="auto"/>
                <w:szCs w:val="21"/>
              </w:rPr>
              <w:t>评标价折算：</w:t>
            </w:r>
            <w:r>
              <w:rPr>
                <w:rFonts w:hint="eastAsia" w:asciiTheme="minorEastAsia" w:hAnsiTheme="minorEastAsia" w:eastAsiaTheme="minorEastAsia" w:cstheme="minorEastAsia"/>
                <w:b/>
                <w:bCs/>
                <w:color w:val="auto"/>
                <w:szCs w:val="21"/>
              </w:rPr>
              <w:t>本项目为专门面向“中小企业”的项目，不再执行价格评审优惠的扶持政策。</w:t>
            </w:r>
          </w:p>
          <w:p w14:paraId="17A06BC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异常低价竞标（响应）审查：竞标人竞标报价（包含响应文件及竞标最终轮响应函中的竞标报价）不得低于其承包项目时可预见的自身成本。竞标人报价出现下列情形之一的，磋商小组应当启动异常低价竞标（响应）审查程序。磋商小组应当要求相关竞标人在评审现场1小时内对响应价格作出解释，提供项目具体成本测算等与报价合理性相关的书面说明及必要的证明材料，包括但不限于原材料成本、人工成本、制造费用等。其中，属于第（3）项情形，竞标人已随投标（响应）文件一并提交相关书面说明及必要的证明材料的，在评审现场可不再重复提交。逾期未提交，或采购代理机构按磋商会议竞标人签到表无法与该人员联系，或所提供证明材料不齐全，或磋商小组针对其提交证明材料进行核算后仍认为不能证明其报价合理性的，其响应文件（竞标）作否决处理。 </w:t>
            </w:r>
          </w:p>
          <w:p w14:paraId="60EF288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r>
              <w:rPr>
                <w:rFonts w:hint="eastAsia" w:ascii="微软雅黑" w:hAnsi="微软雅黑" w:eastAsia="微软雅黑" w:cs="微软雅黑"/>
                <w:color w:val="auto"/>
                <w:sz w:val="24"/>
                <w:szCs w:val="24"/>
                <w:highlight w:val="none"/>
              </w:rPr>
              <w:t>①</w:t>
            </w:r>
            <w:r>
              <w:rPr>
                <w:rFonts w:hint="eastAsia" w:ascii="宋体" w:hAnsi="宋体" w:eastAsia="宋体" w:cs="宋体"/>
                <w:color w:val="auto"/>
                <w:sz w:val="21"/>
                <w:szCs w:val="21"/>
                <w:highlight w:val="none"/>
              </w:rPr>
              <w:t>投标（响应）报价低于全部通过符合性审查供应商投标（响应）报价平均值65%的，即投标（响应）报价＜全部通过符合性审查供应商投标（响应）报价平均值×65%； </w:t>
            </w:r>
          </w:p>
          <w:p w14:paraId="06A8164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r>
              <w:rPr>
                <w:rFonts w:hint="eastAsia" w:ascii="微软雅黑" w:hAnsi="微软雅黑" w:eastAsia="微软雅黑" w:cs="微软雅黑"/>
                <w:color w:val="auto"/>
                <w:sz w:val="24"/>
                <w:szCs w:val="24"/>
                <w:highlight w:val="none"/>
              </w:rPr>
              <w:t>②</w:t>
            </w:r>
            <w:r>
              <w:rPr>
                <w:rFonts w:hint="eastAsia" w:ascii="宋体" w:hAnsi="宋体" w:eastAsia="宋体" w:cs="宋体"/>
                <w:color w:val="auto"/>
                <w:sz w:val="21"/>
                <w:szCs w:val="21"/>
                <w:highlight w:val="none"/>
              </w:rPr>
              <w:t>投标（响应）报价低于通过符合性审查的次低报价供应商投标（响应）报价65%的，即投标（响应）报价＜通过符合性审查的次低报价供应商投标（响应）报价×65%； </w:t>
            </w:r>
          </w:p>
          <w:p w14:paraId="22922DC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r>
              <w:rPr>
                <w:rFonts w:hint="eastAsia" w:ascii="微软雅黑" w:hAnsi="微软雅黑" w:eastAsia="微软雅黑" w:cs="微软雅黑"/>
                <w:color w:val="auto"/>
                <w:sz w:val="24"/>
                <w:szCs w:val="24"/>
                <w:highlight w:val="none"/>
              </w:rPr>
              <w:t>③</w:t>
            </w:r>
            <w:r>
              <w:rPr>
                <w:rFonts w:hint="eastAsia" w:ascii="宋体" w:hAnsi="宋体" w:eastAsia="宋体" w:cs="宋体"/>
                <w:color w:val="auto"/>
                <w:sz w:val="21"/>
                <w:szCs w:val="21"/>
                <w:highlight w:val="none"/>
              </w:rPr>
              <w:t>投标（响应）报价低于采购项目最高限价65%的，即投标（响应）报价＜采购项目最高限价×65%； </w:t>
            </w:r>
          </w:p>
          <w:p w14:paraId="06F96289">
            <w:pPr>
              <w:spacing w:line="380" w:lineRule="exact"/>
              <w:ind w:firstLine="420" w:firstLineChars="200"/>
              <w:rPr>
                <w:rFonts w:hint="eastAsia" w:asciiTheme="minorEastAsia" w:hAnsiTheme="minorEastAsia" w:eastAsiaTheme="minorEastAsia" w:cstheme="minorEastAsia"/>
                <w:b/>
                <w:bCs/>
                <w:color w:val="auto"/>
                <w:szCs w:val="21"/>
              </w:rPr>
            </w:pPr>
            <w:r>
              <w:rPr>
                <w:rFonts w:hint="eastAsia" w:ascii="宋体" w:hAnsi="宋体" w:eastAsia="宋体" w:cs="宋体"/>
                <w:color w:val="auto"/>
                <w:sz w:val="21"/>
                <w:szCs w:val="21"/>
                <w:highlight w:val="none"/>
              </w:rPr>
              <w:t>　</w:t>
            </w:r>
            <w:r>
              <w:rPr>
                <w:rFonts w:hint="eastAsia" w:ascii="微软雅黑" w:hAnsi="微软雅黑" w:eastAsia="微软雅黑" w:cs="微软雅黑"/>
                <w:color w:val="auto"/>
                <w:sz w:val="24"/>
                <w:szCs w:val="24"/>
                <w:highlight w:val="none"/>
              </w:rPr>
              <w:t>　④</w:t>
            </w:r>
            <w:r>
              <w:rPr>
                <w:rFonts w:hint="eastAsia" w:ascii="宋体" w:hAnsi="宋体" w:eastAsia="宋体" w:cs="宋体"/>
                <w:color w:val="auto"/>
                <w:sz w:val="21"/>
                <w:szCs w:val="21"/>
                <w:highlight w:val="none"/>
              </w:rPr>
              <w:t>磋商小组基于专业判断，认为供应商报价过低，有可能影响产品质量或者不能诚信履约的其他情形。</w:t>
            </w:r>
          </w:p>
          <w:p w14:paraId="512225E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04DD3A59">
            <w:pPr>
              <w:spacing w:line="360" w:lineRule="auto"/>
              <w:ind w:firstLine="420" w:firstLineChars="200"/>
              <w:rPr>
                <w:rFonts w:hint="eastAsia" w:asciiTheme="minorEastAsia" w:hAnsiTheme="minorEastAsia" w:eastAsiaTheme="minorEastAsia" w:cstheme="minorEastAsia"/>
                <w:b/>
                <w:bCs/>
                <w:color w:val="auto"/>
                <w:szCs w:val="21"/>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B22304B">
            <w:pPr>
              <w:spacing w:line="276" w:lineRule="auto"/>
              <w:ind w:firstLine="420" w:firstLineChars="200"/>
              <w:rPr>
                <w:rFonts w:asciiTheme="minorEastAsia" w:hAnsiTheme="minorEastAsia" w:eastAsiaTheme="minorEastAsia" w:cstheme="minorEastAsia"/>
                <w:b/>
                <w:bCs/>
                <w:color w:val="auto"/>
                <w:szCs w:val="21"/>
              </w:rPr>
            </w:pPr>
            <w:r>
              <w:rPr>
                <w:rFonts w:hint="eastAsia" w:asciiTheme="minorEastAsia" w:hAnsiTheme="minorEastAsia" w:eastAsiaTheme="minorEastAsia" w:cstheme="minorEastAsia"/>
                <w:b/>
                <w:bCs/>
                <w:color w:val="auto"/>
                <w:szCs w:val="21"/>
              </w:rPr>
              <w:t>报价分评分标准：</w:t>
            </w:r>
          </w:p>
          <w:p w14:paraId="752375A3">
            <w:pPr>
              <w:spacing w:line="420" w:lineRule="exact"/>
              <w:ind w:firstLine="420" w:firstLineChars="20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以进入详细评审的最低评标价为评标基准价，得</w:t>
            </w:r>
            <w:r>
              <w:rPr>
                <w:rFonts w:hint="eastAsia" w:asciiTheme="minorEastAsia" w:hAnsiTheme="minorEastAsia" w:eastAsiaTheme="minorEastAsia" w:cstheme="minorEastAsia"/>
                <w:color w:val="auto"/>
                <w:szCs w:val="21"/>
                <w:lang w:val="en-US" w:eastAsia="zh-CN"/>
              </w:rPr>
              <w:t>10</w:t>
            </w:r>
            <w:r>
              <w:rPr>
                <w:rFonts w:hint="eastAsia" w:asciiTheme="minorEastAsia" w:hAnsiTheme="minorEastAsia" w:eastAsiaTheme="minorEastAsia" w:cstheme="minorEastAsia"/>
                <w:color w:val="auto"/>
                <w:szCs w:val="21"/>
              </w:rPr>
              <w:t>分。投标报价分计算公式：</w:t>
            </w:r>
          </w:p>
          <w:p w14:paraId="5F963247">
            <w:pPr>
              <w:spacing w:line="420" w:lineRule="exact"/>
              <w:ind w:firstLine="420" w:firstLineChars="200"/>
              <w:rPr>
                <w:rFonts w:ascii="宋体" w:hAnsi="宋体" w:cs="宋体"/>
                <w:color w:val="auto"/>
                <w:szCs w:val="21"/>
              </w:rPr>
            </w:pPr>
            <w:r>
              <w:rPr>
                <w:rFonts w:hint="eastAsia" w:asciiTheme="minorEastAsia" w:hAnsiTheme="minorEastAsia" w:eastAsiaTheme="minorEastAsia" w:cstheme="minorEastAsia"/>
                <w:color w:val="auto"/>
                <w:szCs w:val="21"/>
              </w:rPr>
              <w:t>报价分= 评标基准价（金额）/投标人评标价（金额） ×</w:t>
            </w:r>
            <w:r>
              <w:rPr>
                <w:rFonts w:hint="eastAsia" w:asciiTheme="minorEastAsia" w:hAnsiTheme="minorEastAsia" w:eastAsiaTheme="minorEastAsia" w:cstheme="minorEastAsia"/>
                <w:color w:val="auto"/>
                <w:szCs w:val="21"/>
                <w:lang w:val="en-US" w:eastAsia="zh-CN"/>
              </w:rPr>
              <w:t>1</w:t>
            </w:r>
            <w:r>
              <w:rPr>
                <w:rFonts w:hint="eastAsia" w:asciiTheme="minorEastAsia" w:hAnsiTheme="minorEastAsia" w:eastAsiaTheme="minorEastAsia" w:cstheme="minorEastAsia"/>
                <w:color w:val="auto"/>
                <w:szCs w:val="21"/>
              </w:rPr>
              <w:t>0分。</w:t>
            </w:r>
          </w:p>
        </w:tc>
      </w:tr>
      <w:tr w14:paraId="4F5E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595" w:type="dxa"/>
            <w:gridSpan w:val="2"/>
            <w:vMerge w:val="restart"/>
            <w:noWrap/>
            <w:vAlign w:val="center"/>
          </w:tcPr>
          <w:p w14:paraId="0BD101FE">
            <w:pPr>
              <w:spacing w:line="400" w:lineRule="exact"/>
              <w:jc w:val="left"/>
              <w:rPr>
                <w:rFonts w:ascii="宋体" w:hAnsi="宋体"/>
                <w:b/>
                <w:color w:val="auto"/>
                <w:szCs w:val="21"/>
              </w:rPr>
            </w:pPr>
            <w:r>
              <w:rPr>
                <w:rFonts w:hint="eastAsia" w:ascii="宋体" w:hAnsi="宋体"/>
                <w:b/>
                <w:color w:val="auto"/>
                <w:kern w:val="0"/>
                <w:szCs w:val="21"/>
              </w:rPr>
              <w:t>施工组织设计</w:t>
            </w:r>
          </w:p>
          <w:p w14:paraId="2CEB415A">
            <w:pPr>
              <w:spacing w:line="400" w:lineRule="exact"/>
              <w:jc w:val="left"/>
              <w:rPr>
                <w:rFonts w:ascii="宋体" w:hAnsi="宋体"/>
                <w:b/>
                <w:color w:val="auto"/>
                <w:szCs w:val="21"/>
              </w:rPr>
            </w:pPr>
            <w:r>
              <w:rPr>
                <w:rFonts w:hint="eastAsia" w:ascii="宋体" w:hAnsi="宋体"/>
                <w:b/>
                <w:color w:val="auto"/>
                <w:szCs w:val="21"/>
              </w:rPr>
              <w:t>（满分</w:t>
            </w:r>
            <w:r>
              <w:rPr>
                <w:rFonts w:hint="eastAsia" w:ascii="宋体" w:hAnsi="宋体"/>
                <w:b/>
                <w:color w:val="auto"/>
                <w:szCs w:val="21"/>
                <w:lang w:val="en-US" w:eastAsia="zh-CN"/>
              </w:rPr>
              <w:t>7</w:t>
            </w:r>
            <w:bookmarkStart w:id="1717" w:name="_GoBack"/>
            <w:bookmarkEnd w:id="1717"/>
            <w:r>
              <w:rPr>
                <w:rFonts w:hint="eastAsia" w:ascii="宋体" w:hAnsi="宋体"/>
                <w:b/>
                <w:color w:val="auto"/>
                <w:szCs w:val="21"/>
                <w:lang w:val="en-US" w:eastAsia="zh-CN"/>
              </w:rPr>
              <w:t>0</w:t>
            </w:r>
            <w:r>
              <w:rPr>
                <w:rFonts w:hint="eastAsia" w:ascii="宋体" w:hAnsi="宋体"/>
                <w:b/>
                <w:color w:val="auto"/>
                <w:szCs w:val="21"/>
              </w:rPr>
              <w:t>分）</w:t>
            </w:r>
          </w:p>
          <w:p w14:paraId="7348868F">
            <w:pPr>
              <w:spacing w:line="400" w:lineRule="exact"/>
              <w:jc w:val="left"/>
              <w:rPr>
                <w:rFonts w:hint="eastAsia" w:ascii="宋体" w:hAnsi="宋体" w:eastAsia="宋体"/>
                <w:b/>
                <w:color w:val="auto"/>
                <w:kern w:val="0"/>
                <w:szCs w:val="21"/>
                <w:lang w:eastAsia="zh-CN"/>
              </w:rPr>
            </w:pPr>
            <w:r>
              <w:rPr>
                <w:rFonts w:hint="eastAsia" w:ascii="宋体" w:hAnsi="宋体" w:cs="宋体"/>
                <w:color w:val="auto"/>
                <w:kern w:val="0"/>
                <w:szCs w:val="21"/>
              </w:rPr>
              <w:t>由评委根据竞标人施工组织设计编制内容</w:t>
            </w:r>
            <w:r>
              <w:rPr>
                <w:rFonts w:hint="eastAsia" w:ascii="宋体" w:hAnsi="宋体" w:cs="宋体"/>
                <w:bCs/>
                <w:color w:val="auto"/>
                <w:szCs w:val="21"/>
              </w:rPr>
              <w:t>优劣进行独立打分。</w:t>
            </w:r>
            <w:r>
              <w:rPr>
                <w:rFonts w:hint="eastAsia" w:ascii="宋体" w:hAnsi="宋体" w:cs="宋体"/>
                <w:color w:val="auto"/>
                <w:kern w:val="0"/>
                <w:szCs w:val="21"/>
              </w:rPr>
              <w:t>【一档</w:t>
            </w:r>
            <w:r>
              <w:rPr>
                <w:rFonts w:hint="eastAsia" w:ascii="宋体" w:hAnsi="宋体"/>
                <w:color w:val="auto"/>
                <w:lang w:val="en-US" w:eastAsia="zh-CN"/>
              </w:rPr>
              <w:t>7</w:t>
            </w:r>
            <w:r>
              <w:rPr>
                <w:rFonts w:hint="eastAsia" w:ascii="宋体" w:hAnsi="宋体"/>
                <w:color w:val="auto"/>
              </w:rPr>
              <w:t>分；二档</w:t>
            </w:r>
            <w:r>
              <w:rPr>
                <w:rFonts w:hint="eastAsia" w:ascii="宋体" w:hAnsi="宋体"/>
                <w:color w:val="auto"/>
                <w:lang w:val="en-US" w:eastAsia="zh-CN"/>
              </w:rPr>
              <w:t>5</w:t>
            </w:r>
            <w:r>
              <w:rPr>
                <w:rFonts w:hint="eastAsia" w:ascii="宋体" w:hAnsi="宋体"/>
                <w:color w:val="auto"/>
              </w:rPr>
              <w:t>分；三档</w:t>
            </w:r>
            <w:r>
              <w:rPr>
                <w:rFonts w:hint="eastAsia" w:ascii="宋体" w:hAnsi="宋体"/>
                <w:color w:val="auto"/>
                <w:lang w:val="en-US" w:eastAsia="zh-CN"/>
              </w:rPr>
              <w:t>3</w:t>
            </w:r>
            <w:r>
              <w:rPr>
                <w:rFonts w:hint="eastAsia" w:ascii="宋体" w:hAnsi="宋体"/>
                <w:color w:val="auto"/>
              </w:rPr>
              <w:t>分；四档1分</w:t>
            </w:r>
            <w:r>
              <w:rPr>
                <w:rFonts w:hint="eastAsia" w:ascii="宋体" w:hAnsi="宋体" w:cs="宋体"/>
                <w:color w:val="auto"/>
                <w:kern w:val="0"/>
                <w:szCs w:val="21"/>
              </w:rPr>
              <w:t>】</w:t>
            </w:r>
          </w:p>
          <w:p w14:paraId="1CE8B21F">
            <w:pPr>
              <w:spacing w:line="400" w:lineRule="exact"/>
              <w:jc w:val="left"/>
              <w:rPr>
                <w:rFonts w:ascii="宋体" w:hAnsi="宋体"/>
                <w:b/>
                <w:color w:val="auto"/>
                <w:kern w:val="0"/>
                <w:szCs w:val="21"/>
              </w:rPr>
            </w:pPr>
          </w:p>
          <w:p w14:paraId="3359556B">
            <w:pPr>
              <w:spacing w:line="400" w:lineRule="exact"/>
              <w:jc w:val="left"/>
              <w:rPr>
                <w:rFonts w:ascii="宋体" w:hAnsi="宋体"/>
                <w:b/>
                <w:color w:val="auto"/>
                <w:kern w:val="0"/>
                <w:szCs w:val="21"/>
              </w:rPr>
            </w:pPr>
          </w:p>
          <w:p w14:paraId="4953159E">
            <w:pPr>
              <w:spacing w:line="400" w:lineRule="exact"/>
              <w:jc w:val="left"/>
              <w:rPr>
                <w:rFonts w:ascii="宋体" w:hAnsi="宋体"/>
                <w:b/>
                <w:color w:val="auto"/>
                <w:kern w:val="0"/>
                <w:szCs w:val="21"/>
              </w:rPr>
            </w:pPr>
          </w:p>
          <w:p w14:paraId="0D85014B">
            <w:pPr>
              <w:spacing w:line="420" w:lineRule="exact"/>
              <w:jc w:val="center"/>
              <w:rPr>
                <w:rFonts w:ascii="宋体" w:hAnsi="宋体" w:cs="宋体"/>
                <w:color w:val="auto"/>
                <w:kern w:val="0"/>
                <w:szCs w:val="21"/>
              </w:rPr>
            </w:pPr>
          </w:p>
        </w:tc>
        <w:tc>
          <w:tcPr>
            <w:tcW w:w="2033" w:type="dxa"/>
            <w:noWrap/>
            <w:vAlign w:val="center"/>
          </w:tcPr>
          <w:p w14:paraId="6A8A3C38">
            <w:pPr>
              <w:spacing w:line="360" w:lineRule="auto"/>
              <w:jc w:val="center"/>
              <w:rPr>
                <w:rFonts w:ascii="宋体"/>
                <w:color w:val="auto"/>
              </w:rPr>
            </w:pPr>
            <w:r>
              <w:rPr>
                <w:rFonts w:hint="eastAsia" w:ascii="宋体" w:hAnsi="宋体"/>
                <w:color w:val="auto"/>
              </w:rPr>
              <w:t>主要施工方法</w:t>
            </w:r>
          </w:p>
          <w:p w14:paraId="13A8342F">
            <w:pPr>
              <w:spacing w:line="420" w:lineRule="exact"/>
              <w:jc w:val="center"/>
              <w:rPr>
                <w:rFonts w:ascii="宋体" w:hAnsi="宋体" w:cs="宋体"/>
                <w:b/>
                <w:color w:val="auto"/>
                <w:szCs w:val="21"/>
              </w:rPr>
            </w:pPr>
            <w:r>
              <w:rPr>
                <w:rFonts w:hint="eastAsia" w:ascii="宋体" w:hAnsi="宋体"/>
                <w:color w:val="auto"/>
              </w:rPr>
              <w:t>（</w:t>
            </w:r>
            <w:r>
              <w:rPr>
                <w:rFonts w:hint="eastAsia" w:ascii="宋体" w:hAnsi="宋体"/>
                <w:color w:val="auto"/>
                <w:lang w:val="en-US" w:eastAsia="zh-CN"/>
              </w:rPr>
              <w:t>7</w:t>
            </w:r>
            <w:r>
              <w:rPr>
                <w:rFonts w:hint="eastAsia" w:ascii="宋体" w:hAnsi="宋体"/>
                <w:color w:val="auto"/>
              </w:rPr>
              <w:t>分）</w:t>
            </w:r>
            <w:r>
              <w:rPr>
                <w:rFonts w:hint="eastAsia" w:ascii="宋体" w:hAnsi="宋体"/>
                <w:color w:val="auto"/>
                <w:lang w:eastAsia="zh-CN"/>
              </w:rPr>
              <w:t>（该项不提供不得分）</w:t>
            </w:r>
          </w:p>
        </w:tc>
        <w:tc>
          <w:tcPr>
            <w:tcW w:w="6810" w:type="dxa"/>
            <w:gridSpan w:val="2"/>
            <w:noWrap/>
            <w:vAlign w:val="center"/>
          </w:tcPr>
          <w:p w14:paraId="31686E61">
            <w:pPr>
              <w:spacing w:line="420" w:lineRule="exact"/>
              <w:rPr>
                <w:rFonts w:ascii="宋体" w:hAnsi="宋体" w:cs="宋体"/>
                <w:color w:val="auto"/>
                <w:szCs w:val="21"/>
              </w:rPr>
            </w:pPr>
            <w:r>
              <w:rPr>
                <w:rFonts w:hint="eastAsia" w:ascii="宋体" w:hAnsi="宋体"/>
                <w:color w:val="auto"/>
              </w:rPr>
              <w:t>各主要分部施工方法符合项目实际，须有详尽的施工技术方案，工艺先进、方法科学合理、可行，能指导具体施工并确保安全。</w:t>
            </w:r>
          </w:p>
        </w:tc>
      </w:tr>
      <w:tr w14:paraId="7588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1595" w:type="dxa"/>
            <w:gridSpan w:val="2"/>
            <w:vMerge w:val="continue"/>
            <w:noWrap/>
            <w:vAlign w:val="center"/>
          </w:tcPr>
          <w:p w14:paraId="0716278A">
            <w:pPr>
              <w:spacing w:line="420" w:lineRule="exact"/>
              <w:jc w:val="center"/>
              <w:rPr>
                <w:rFonts w:ascii="宋体" w:hAnsi="宋体" w:cs="宋体"/>
                <w:b/>
                <w:color w:val="auto"/>
                <w:kern w:val="0"/>
                <w:szCs w:val="21"/>
              </w:rPr>
            </w:pPr>
          </w:p>
        </w:tc>
        <w:tc>
          <w:tcPr>
            <w:tcW w:w="2033" w:type="dxa"/>
            <w:noWrap/>
            <w:vAlign w:val="center"/>
          </w:tcPr>
          <w:p w14:paraId="54749243">
            <w:pPr>
              <w:spacing w:line="420" w:lineRule="exact"/>
              <w:jc w:val="center"/>
              <w:rPr>
                <w:rFonts w:ascii="宋体" w:hAnsi="宋体" w:cs="宋体"/>
                <w:b/>
                <w:color w:val="auto"/>
                <w:szCs w:val="21"/>
              </w:rPr>
            </w:pPr>
            <w:r>
              <w:rPr>
                <w:rFonts w:hint="eastAsia" w:ascii="宋体" w:hAnsi="宋体"/>
                <w:color w:val="auto"/>
              </w:rPr>
              <w:t>拟投入的主要物资计划（</w:t>
            </w:r>
            <w:r>
              <w:rPr>
                <w:rFonts w:hint="eastAsia" w:ascii="宋体" w:hAnsi="宋体"/>
                <w:color w:val="auto"/>
                <w:lang w:val="en-US" w:eastAsia="zh-CN"/>
              </w:rPr>
              <w:t>7</w:t>
            </w:r>
            <w:r>
              <w:rPr>
                <w:rFonts w:hint="eastAsia" w:ascii="宋体" w:hAnsi="宋体"/>
                <w:color w:val="auto"/>
              </w:rPr>
              <w:t>分）</w:t>
            </w:r>
            <w:r>
              <w:rPr>
                <w:rFonts w:hint="eastAsia" w:ascii="宋体" w:hAnsi="宋体"/>
                <w:color w:val="auto"/>
                <w:lang w:eastAsia="zh-CN"/>
              </w:rPr>
              <w:t>（该项不提供不得分）</w:t>
            </w:r>
          </w:p>
        </w:tc>
        <w:tc>
          <w:tcPr>
            <w:tcW w:w="6810" w:type="dxa"/>
            <w:gridSpan w:val="2"/>
            <w:noWrap/>
            <w:vAlign w:val="center"/>
          </w:tcPr>
          <w:p w14:paraId="74DCDC52">
            <w:pPr>
              <w:widowControl/>
              <w:spacing w:line="360" w:lineRule="auto"/>
              <w:rPr>
                <w:rFonts w:ascii="宋体" w:hAnsi="宋体" w:cs="宋体"/>
                <w:color w:val="auto"/>
                <w:szCs w:val="21"/>
              </w:rPr>
            </w:pPr>
            <w:r>
              <w:rPr>
                <w:rFonts w:hint="eastAsia" w:ascii="宋体" w:hAnsi="宋体"/>
                <w:color w:val="auto"/>
              </w:rPr>
              <w:t>投入的施工材料有详细的组织计划且计划周密，数量、选型配置、进场时间安排合理，满足施工需要。</w:t>
            </w:r>
          </w:p>
        </w:tc>
      </w:tr>
      <w:tr w14:paraId="1C22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1595" w:type="dxa"/>
            <w:gridSpan w:val="2"/>
            <w:vMerge w:val="continue"/>
            <w:noWrap/>
            <w:vAlign w:val="center"/>
          </w:tcPr>
          <w:p w14:paraId="74632A35">
            <w:pPr>
              <w:spacing w:line="420" w:lineRule="exact"/>
              <w:ind w:firstLine="420" w:firstLineChars="200"/>
              <w:rPr>
                <w:color w:val="auto"/>
              </w:rPr>
            </w:pPr>
          </w:p>
        </w:tc>
        <w:tc>
          <w:tcPr>
            <w:tcW w:w="2033" w:type="dxa"/>
            <w:noWrap/>
            <w:vAlign w:val="center"/>
          </w:tcPr>
          <w:p w14:paraId="028C8F6E">
            <w:pPr>
              <w:widowControl/>
              <w:spacing w:line="360" w:lineRule="auto"/>
              <w:jc w:val="center"/>
              <w:rPr>
                <w:rFonts w:ascii="宋体" w:hAnsi="宋体"/>
                <w:color w:val="auto"/>
              </w:rPr>
            </w:pPr>
            <w:r>
              <w:rPr>
                <w:rFonts w:hint="eastAsia" w:ascii="宋体" w:hAnsi="宋体"/>
                <w:color w:val="auto"/>
              </w:rPr>
              <w:t>拟投入的主要施工机械、设备计划</w:t>
            </w:r>
          </w:p>
          <w:p w14:paraId="3F3D43DD">
            <w:pPr>
              <w:widowControl/>
              <w:spacing w:line="360" w:lineRule="auto"/>
              <w:jc w:val="center"/>
              <w:rPr>
                <w:color w:val="auto"/>
              </w:rPr>
            </w:pPr>
            <w:r>
              <w:rPr>
                <w:rFonts w:hint="eastAsia" w:ascii="宋体" w:hAnsi="宋体"/>
                <w:color w:val="auto"/>
              </w:rPr>
              <w:t>（</w:t>
            </w:r>
            <w:r>
              <w:rPr>
                <w:rFonts w:hint="eastAsia" w:ascii="宋体" w:hAnsi="宋体"/>
                <w:color w:val="auto"/>
                <w:lang w:val="en-US" w:eastAsia="zh-CN"/>
              </w:rPr>
              <w:t>7</w:t>
            </w:r>
            <w:r>
              <w:rPr>
                <w:rFonts w:hint="eastAsia" w:ascii="宋体" w:hAnsi="宋体"/>
                <w:color w:val="auto"/>
              </w:rPr>
              <w:t>分）</w:t>
            </w:r>
            <w:r>
              <w:rPr>
                <w:rFonts w:hint="eastAsia" w:ascii="宋体" w:hAnsi="宋体"/>
                <w:color w:val="auto"/>
                <w:lang w:eastAsia="zh-CN"/>
              </w:rPr>
              <w:t>（该项不提供不得分）</w:t>
            </w:r>
          </w:p>
        </w:tc>
        <w:tc>
          <w:tcPr>
            <w:tcW w:w="6810" w:type="dxa"/>
            <w:gridSpan w:val="2"/>
            <w:noWrap/>
            <w:vAlign w:val="center"/>
          </w:tcPr>
          <w:p w14:paraId="51A0C8E9">
            <w:pPr>
              <w:widowControl/>
              <w:spacing w:line="360" w:lineRule="auto"/>
              <w:rPr>
                <w:rFonts w:ascii="宋体" w:hAnsi="宋体" w:cs="宋体"/>
                <w:bCs/>
                <w:color w:val="auto"/>
                <w:szCs w:val="21"/>
              </w:rPr>
            </w:pPr>
            <w:r>
              <w:rPr>
                <w:rFonts w:hint="eastAsia" w:ascii="宋体" w:hAnsi="宋体"/>
                <w:color w:val="auto"/>
              </w:rPr>
              <w:t>投入的施工机械、设备、机具有详细的组织计划且计划周密，设备数量、选型配置、进场时间安排合理，满足施工需要。</w:t>
            </w:r>
          </w:p>
        </w:tc>
      </w:tr>
      <w:tr w14:paraId="59F6A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1595" w:type="dxa"/>
            <w:gridSpan w:val="2"/>
            <w:vMerge w:val="continue"/>
            <w:noWrap/>
            <w:vAlign w:val="center"/>
          </w:tcPr>
          <w:p w14:paraId="66894C8E">
            <w:pPr>
              <w:spacing w:line="420" w:lineRule="exact"/>
              <w:ind w:firstLine="420" w:firstLineChars="200"/>
              <w:rPr>
                <w:rFonts w:ascii="宋体" w:hAnsi="宋体" w:cs="宋体"/>
                <w:bCs/>
                <w:color w:val="auto"/>
                <w:szCs w:val="21"/>
              </w:rPr>
            </w:pPr>
          </w:p>
        </w:tc>
        <w:tc>
          <w:tcPr>
            <w:tcW w:w="2033" w:type="dxa"/>
            <w:noWrap/>
            <w:vAlign w:val="center"/>
          </w:tcPr>
          <w:p w14:paraId="69599164">
            <w:pPr>
              <w:widowControl/>
              <w:spacing w:line="360" w:lineRule="auto"/>
              <w:jc w:val="center"/>
              <w:rPr>
                <w:rFonts w:ascii="宋体" w:hAnsi="宋体"/>
                <w:color w:val="auto"/>
              </w:rPr>
            </w:pPr>
            <w:r>
              <w:rPr>
                <w:rFonts w:hint="eastAsia" w:ascii="宋体" w:hAnsi="宋体"/>
                <w:color w:val="auto"/>
              </w:rPr>
              <w:t>劳动力安排计划</w:t>
            </w:r>
          </w:p>
          <w:p w14:paraId="41F15930">
            <w:pPr>
              <w:widowControl/>
              <w:spacing w:line="360" w:lineRule="auto"/>
              <w:jc w:val="center"/>
              <w:rPr>
                <w:rFonts w:ascii="宋体" w:hAnsi="宋体" w:cs="宋体"/>
                <w:bCs/>
                <w:color w:val="auto"/>
                <w:szCs w:val="21"/>
              </w:rPr>
            </w:pPr>
            <w:r>
              <w:rPr>
                <w:rFonts w:hint="eastAsia" w:ascii="宋体" w:hAnsi="宋体"/>
                <w:color w:val="auto"/>
              </w:rPr>
              <w:t>（</w:t>
            </w:r>
            <w:r>
              <w:rPr>
                <w:rFonts w:hint="eastAsia" w:ascii="宋体" w:hAnsi="宋体"/>
                <w:color w:val="auto"/>
                <w:lang w:val="en-US" w:eastAsia="zh-CN"/>
              </w:rPr>
              <w:t>7</w:t>
            </w:r>
            <w:r>
              <w:rPr>
                <w:rFonts w:hint="eastAsia" w:ascii="宋体" w:hAnsi="宋体"/>
                <w:color w:val="auto"/>
              </w:rPr>
              <w:t>分）</w:t>
            </w:r>
            <w:r>
              <w:rPr>
                <w:rFonts w:hint="eastAsia" w:ascii="宋体" w:hAnsi="宋体"/>
                <w:color w:val="auto"/>
                <w:lang w:eastAsia="zh-CN"/>
              </w:rPr>
              <w:t>（该项不提供不得分）</w:t>
            </w:r>
          </w:p>
        </w:tc>
        <w:tc>
          <w:tcPr>
            <w:tcW w:w="6810" w:type="dxa"/>
            <w:gridSpan w:val="2"/>
            <w:noWrap/>
            <w:vAlign w:val="center"/>
          </w:tcPr>
          <w:p w14:paraId="252D95E4">
            <w:pPr>
              <w:widowControl/>
              <w:spacing w:line="360" w:lineRule="auto"/>
              <w:rPr>
                <w:rFonts w:ascii="宋体" w:hAnsi="宋体" w:cs="宋体"/>
                <w:bCs/>
                <w:color w:val="auto"/>
                <w:szCs w:val="21"/>
              </w:rPr>
            </w:pPr>
            <w:r>
              <w:rPr>
                <w:rFonts w:hint="eastAsia" w:ascii="宋体" w:hAnsi="宋体"/>
                <w:color w:val="auto"/>
              </w:rPr>
              <w:t>各主要施工工序应有详细周密的劳动力安排计划，有各工种劳动力安排计划，劳动力投入合理，满足施工需要。</w:t>
            </w:r>
          </w:p>
        </w:tc>
      </w:tr>
      <w:tr w14:paraId="520C8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trPr>
        <w:tc>
          <w:tcPr>
            <w:tcW w:w="1595" w:type="dxa"/>
            <w:gridSpan w:val="2"/>
            <w:vMerge w:val="continue"/>
            <w:noWrap/>
            <w:vAlign w:val="center"/>
          </w:tcPr>
          <w:p w14:paraId="4EC0BD8C">
            <w:pPr>
              <w:spacing w:line="420" w:lineRule="exact"/>
              <w:ind w:firstLine="420" w:firstLineChars="200"/>
              <w:rPr>
                <w:rFonts w:ascii="宋体" w:hAnsi="宋体" w:cs="宋体"/>
                <w:bCs/>
                <w:color w:val="auto"/>
                <w:szCs w:val="21"/>
              </w:rPr>
            </w:pPr>
          </w:p>
        </w:tc>
        <w:tc>
          <w:tcPr>
            <w:tcW w:w="2033" w:type="dxa"/>
            <w:noWrap/>
            <w:vAlign w:val="center"/>
          </w:tcPr>
          <w:p w14:paraId="53FA8AC7">
            <w:pPr>
              <w:widowControl/>
              <w:spacing w:line="360" w:lineRule="auto"/>
              <w:jc w:val="center"/>
              <w:rPr>
                <w:rFonts w:ascii="宋体" w:hAnsi="宋体" w:cs="宋体"/>
                <w:bCs/>
                <w:color w:val="auto"/>
                <w:szCs w:val="21"/>
              </w:rPr>
            </w:pPr>
            <w:r>
              <w:rPr>
                <w:rFonts w:hint="eastAsia" w:ascii="宋体" w:hAnsi="宋体"/>
                <w:color w:val="auto"/>
              </w:rPr>
              <w:t>确保工程质量的技术组织措施（</w:t>
            </w:r>
            <w:r>
              <w:rPr>
                <w:rFonts w:hint="eastAsia" w:ascii="宋体" w:hAnsi="宋体"/>
                <w:color w:val="auto"/>
                <w:lang w:val="en-US" w:eastAsia="zh-CN"/>
              </w:rPr>
              <w:t>7</w:t>
            </w:r>
            <w:r>
              <w:rPr>
                <w:rFonts w:hint="eastAsia" w:ascii="宋体" w:hAnsi="宋体"/>
                <w:color w:val="auto"/>
              </w:rPr>
              <w:t>分）</w:t>
            </w:r>
            <w:r>
              <w:rPr>
                <w:rFonts w:hint="eastAsia" w:ascii="宋体" w:hAnsi="宋体"/>
                <w:color w:val="auto"/>
                <w:lang w:eastAsia="zh-CN"/>
              </w:rPr>
              <w:t>（该项不提供不得分）</w:t>
            </w:r>
          </w:p>
        </w:tc>
        <w:tc>
          <w:tcPr>
            <w:tcW w:w="6810" w:type="dxa"/>
            <w:gridSpan w:val="2"/>
            <w:noWrap/>
            <w:vAlign w:val="center"/>
          </w:tcPr>
          <w:p w14:paraId="1DCE97A1">
            <w:pPr>
              <w:widowControl/>
              <w:spacing w:line="360" w:lineRule="auto"/>
              <w:rPr>
                <w:rFonts w:ascii="宋体" w:hAnsi="宋体" w:cs="宋体"/>
                <w:bCs/>
                <w:color w:val="auto"/>
                <w:szCs w:val="21"/>
              </w:rPr>
            </w:pPr>
            <w:r>
              <w:rPr>
                <w:rFonts w:hint="eastAsia" w:ascii="宋体" w:hAnsi="宋体"/>
                <w:color w:val="auto"/>
              </w:rPr>
              <w:t>应有专门的质量技术管理班子和制度，且人员配备合理，制度健全。主要工序应有质量技术保证措施和手段，自控体系完整，能有效保证技术质量，达到承诺的质量标准。</w:t>
            </w:r>
          </w:p>
        </w:tc>
      </w:tr>
      <w:tr w14:paraId="71A5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1595" w:type="dxa"/>
            <w:gridSpan w:val="2"/>
            <w:vMerge w:val="continue"/>
            <w:noWrap/>
            <w:vAlign w:val="center"/>
          </w:tcPr>
          <w:p w14:paraId="0AF89538">
            <w:pPr>
              <w:spacing w:line="420" w:lineRule="exact"/>
              <w:ind w:firstLine="420" w:firstLineChars="200"/>
              <w:rPr>
                <w:rFonts w:ascii="宋体" w:hAnsi="宋体" w:cs="宋体"/>
                <w:bCs/>
                <w:color w:val="auto"/>
                <w:szCs w:val="21"/>
              </w:rPr>
            </w:pPr>
          </w:p>
        </w:tc>
        <w:tc>
          <w:tcPr>
            <w:tcW w:w="2033" w:type="dxa"/>
            <w:noWrap/>
            <w:vAlign w:val="center"/>
          </w:tcPr>
          <w:p w14:paraId="12494F2E">
            <w:pPr>
              <w:widowControl/>
              <w:spacing w:line="360" w:lineRule="auto"/>
              <w:jc w:val="center"/>
              <w:rPr>
                <w:rFonts w:ascii="宋体" w:hAnsi="宋体" w:cs="宋体"/>
                <w:bCs/>
                <w:color w:val="auto"/>
                <w:szCs w:val="21"/>
              </w:rPr>
            </w:pPr>
            <w:r>
              <w:rPr>
                <w:rFonts w:hint="eastAsia" w:ascii="宋体" w:hAnsi="宋体"/>
                <w:color w:val="auto"/>
              </w:rPr>
              <w:t>确保安全生产的技术组织措施（</w:t>
            </w:r>
            <w:r>
              <w:rPr>
                <w:rFonts w:hint="eastAsia" w:ascii="宋体" w:hAnsi="宋体"/>
                <w:color w:val="auto"/>
                <w:lang w:val="en-US" w:eastAsia="zh-CN"/>
              </w:rPr>
              <w:t>7</w:t>
            </w:r>
            <w:r>
              <w:rPr>
                <w:rFonts w:hint="eastAsia" w:ascii="宋体" w:hAnsi="宋体"/>
                <w:color w:val="auto"/>
              </w:rPr>
              <w:t>分）</w:t>
            </w:r>
            <w:r>
              <w:rPr>
                <w:rFonts w:hint="eastAsia" w:ascii="宋体" w:hAnsi="宋体"/>
                <w:color w:val="auto"/>
                <w:lang w:eastAsia="zh-CN"/>
              </w:rPr>
              <w:t>（该项不提供不得分）</w:t>
            </w:r>
          </w:p>
        </w:tc>
        <w:tc>
          <w:tcPr>
            <w:tcW w:w="6810" w:type="dxa"/>
            <w:gridSpan w:val="2"/>
            <w:noWrap/>
            <w:vAlign w:val="center"/>
          </w:tcPr>
          <w:p w14:paraId="3FAB6E2A">
            <w:pPr>
              <w:widowControl/>
              <w:spacing w:line="360" w:lineRule="auto"/>
              <w:rPr>
                <w:rFonts w:ascii="宋体" w:hAnsi="宋体" w:cs="宋体"/>
                <w:bCs/>
                <w:color w:val="auto"/>
                <w:szCs w:val="21"/>
              </w:rPr>
            </w:pPr>
            <w:r>
              <w:rPr>
                <w:rFonts w:hint="eastAsia" w:ascii="宋体" w:hAnsi="宋体"/>
                <w:color w:val="auto"/>
              </w:rPr>
              <w:t>应有专门的安全管理人员和制度，且人员配备合理，制度健全，各道工序安全技术措施针对性强，符合实际且满足有关安全技术标准要求。现场防火、应急救援、社会治安安全措施得力。</w:t>
            </w:r>
          </w:p>
        </w:tc>
      </w:tr>
      <w:tr w14:paraId="69B99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1595" w:type="dxa"/>
            <w:gridSpan w:val="2"/>
            <w:vMerge w:val="continue"/>
            <w:noWrap/>
            <w:vAlign w:val="center"/>
          </w:tcPr>
          <w:p w14:paraId="4E0F4E22">
            <w:pPr>
              <w:spacing w:line="420" w:lineRule="exact"/>
              <w:ind w:firstLine="420" w:firstLineChars="200"/>
              <w:rPr>
                <w:rFonts w:ascii="宋体" w:hAnsi="宋体" w:cs="宋体"/>
                <w:bCs/>
                <w:color w:val="auto"/>
                <w:szCs w:val="21"/>
              </w:rPr>
            </w:pPr>
          </w:p>
        </w:tc>
        <w:tc>
          <w:tcPr>
            <w:tcW w:w="2033" w:type="dxa"/>
            <w:noWrap/>
            <w:vAlign w:val="center"/>
          </w:tcPr>
          <w:p w14:paraId="3BD04FDD">
            <w:pPr>
              <w:widowControl/>
              <w:spacing w:line="360" w:lineRule="auto"/>
              <w:jc w:val="center"/>
              <w:rPr>
                <w:rFonts w:ascii="宋体" w:hAnsi="宋体"/>
                <w:color w:val="auto"/>
              </w:rPr>
            </w:pPr>
            <w:r>
              <w:rPr>
                <w:rFonts w:hint="eastAsia" w:ascii="宋体" w:hAnsi="宋体"/>
                <w:color w:val="auto"/>
              </w:rPr>
              <w:t>确保工期的技术组织措施（</w:t>
            </w:r>
            <w:r>
              <w:rPr>
                <w:rFonts w:hint="eastAsia" w:ascii="宋体" w:hAnsi="宋体"/>
                <w:color w:val="auto"/>
                <w:lang w:val="en-US" w:eastAsia="zh-CN"/>
              </w:rPr>
              <w:t>7</w:t>
            </w:r>
            <w:r>
              <w:rPr>
                <w:rFonts w:hint="eastAsia" w:ascii="宋体" w:hAnsi="宋体"/>
                <w:color w:val="auto"/>
              </w:rPr>
              <w:t>分）</w:t>
            </w:r>
            <w:r>
              <w:rPr>
                <w:rFonts w:hint="eastAsia" w:ascii="宋体" w:hAnsi="宋体"/>
                <w:color w:val="auto"/>
                <w:lang w:eastAsia="zh-CN"/>
              </w:rPr>
              <w:t>（该项不提供不得分）</w:t>
            </w:r>
          </w:p>
        </w:tc>
        <w:tc>
          <w:tcPr>
            <w:tcW w:w="6810" w:type="dxa"/>
            <w:gridSpan w:val="2"/>
            <w:noWrap/>
            <w:vAlign w:val="center"/>
          </w:tcPr>
          <w:p w14:paraId="02BF4F5E">
            <w:pPr>
              <w:widowControl/>
              <w:spacing w:line="360" w:lineRule="auto"/>
              <w:rPr>
                <w:rFonts w:ascii="宋体" w:hAnsi="宋体"/>
                <w:color w:val="auto"/>
              </w:rPr>
            </w:pPr>
            <w:r>
              <w:rPr>
                <w:rFonts w:hint="eastAsia" w:ascii="宋体" w:hAnsi="宋体"/>
                <w:color w:val="auto"/>
              </w:rPr>
              <w:t>在施工工艺、施工方法、材料选用、劳动力安排、技术等方面有保证工期的具体措施且措施得当。有控制工期的施工进度计划。应有施工总进度表或施工网络图，各项计划图表编制完善，安排科学合理，符合本项目施工实际要求。</w:t>
            </w:r>
          </w:p>
        </w:tc>
      </w:tr>
      <w:tr w14:paraId="559D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1595" w:type="dxa"/>
            <w:gridSpan w:val="2"/>
            <w:vMerge w:val="continue"/>
            <w:noWrap/>
            <w:vAlign w:val="center"/>
          </w:tcPr>
          <w:p w14:paraId="17AEF47D">
            <w:pPr>
              <w:spacing w:line="420" w:lineRule="exact"/>
              <w:ind w:firstLine="420" w:firstLineChars="200"/>
              <w:rPr>
                <w:rFonts w:ascii="宋体" w:hAnsi="宋体" w:cs="宋体"/>
                <w:bCs/>
                <w:color w:val="auto"/>
                <w:szCs w:val="21"/>
              </w:rPr>
            </w:pPr>
          </w:p>
        </w:tc>
        <w:tc>
          <w:tcPr>
            <w:tcW w:w="2033" w:type="dxa"/>
            <w:noWrap/>
            <w:vAlign w:val="center"/>
          </w:tcPr>
          <w:p w14:paraId="3A86BA99">
            <w:pPr>
              <w:widowControl/>
              <w:spacing w:line="360" w:lineRule="auto"/>
              <w:jc w:val="center"/>
              <w:rPr>
                <w:rFonts w:ascii="宋体" w:hAnsi="宋体"/>
                <w:color w:val="auto"/>
              </w:rPr>
            </w:pPr>
            <w:r>
              <w:rPr>
                <w:rFonts w:hint="eastAsia" w:ascii="宋体" w:hAnsi="宋体"/>
                <w:color w:val="auto"/>
              </w:rPr>
              <w:t>确保文明施工的技术组织措施（</w:t>
            </w:r>
            <w:r>
              <w:rPr>
                <w:rFonts w:hint="eastAsia" w:ascii="宋体" w:hAnsi="宋体"/>
                <w:color w:val="auto"/>
                <w:lang w:val="en-US" w:eastAsia="zh-CN"/>
              </w:rPr>
              <w:t>7</w:t>
            </w:r>
            <w:r>
              <w:rPr>
                <w:rFonts w:hint="eastAsia" w:ascii="宋体" w:hAnsi="宋体"/>
                <w:color w:val="auto"/>
              </w:rPr>
              <w:t>分）</w:t>
            </w:r>
            <w:r>
              <w:rPr>
                <w:rFonts w:hint="eastAsia" w:ascii="宋体" w:hAnsi="宋体"/>
                <w:color w:val="auto"/>
                <w:lang w:eastAsia="zh-CN"/>
              </w:rPr>
              <w:t>（该项不提供不得分）</w:t>
            </w:r>
          </w:p>
        </w:tc>
        <w:tc>
          <w:tcPr>
            <w:tcW w:w="6810" w:type="dxa"/>
            <w:gridSpan w:val="2"/>
            <w:noWrap/>
            <w:vAlign w:val="center"/>
          </w:tcPr>
          <w:p w14:paraId="5C50C459">
            <w:pPr>
              <w:widowControl/>
              <w:spacing w:line="360" w:lineRule="auto"/>
              <w:rPr>
                <w:rFonts w:ascii="宋体" w:hAnsi="宋体"/>
                <w:color w:val="auto"/>
              </w:rPr>
            </w:pPr>
            <w:r>
              <w:rPr>
                <w:rFonts w:hint="eastAsia" w:ascii="宋体" w:hAnsi="宋体"/>
                <w:color w:val="auto"/>
              </w:rPr>
              <w:t>针对本工程项目特点，应有现场文明施工、环境保护措施，且措施内容应达到《建筑施工安全生产检查标准》（</w:t>
            </w:r>
            <w:r>
              <w:rPr>
                <w:rFonts w:ascii="宋体" w:hAnsi="宋体"/>
                <w:color w:val="auto"/>
              </w:rPr>
              <w:t>JGJ59-2011</w:t>
            </w:r>
            <w:r>
              <w:rPr>
                <w:rFonts w:hint="eastAsia" w:ascii="宋体" w:hAnsi="宋体"/>
                <w:color w:val="auto"/>
              </w:rPr>
              <w:t>）合格标准并符合《广西壮族自治区市政公用工程文明施工导则》要求。各项措施周全、具体、有效。有具体实现现场文明施工目标的承诺。</w:t>
            </w:r>
          </w:p>
        </w:tc>
      </w:tr>
      <w:tr w14:paraId="6CC7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1595" w:type="dxa"/>
            <w:gridSpan w:val="2"/>
            <w:vMerge w:val="continue"/>
            <w:noWrap/>
            <w:vAlign w:val="center"/>
          </w:tcPr>
          <w:p w14:paraId="7972AA76">
            <w:pPr>
              <w:spacing w:line="420" w:lineRule="exact"/>
              <w:ind w:firstLine="420" w:firstLineChars="200"/>
              <w:rPr>
                <w:rFonts w:ascii="宋体" w:hAnsi="宋体" w:cs="宋体"/>
                <w:bCs/>
                <w:color w:val="auto"/>
                <w:szCs w:val="21"/>
              </w:rPr>
            </w:pPr>
          </w:p>
        </w:tc>
        <w:tc>
          <w:tcPr>
            <w:tcW w:w="2033" w:type="dxa"/>
            <w:noWrap/>
            <w:vAlign w:val="center"/>
          </w:tcPr>
          <w:p w14:paraId="149F4360">
            <w:pPr>
              <w:widowControl/>
              <w:spacing w:line="360" w:lineRule="auto"/>
              <w:jc w:val="center"/>
              <w:rPr>
                <w:rFonts w:ascii="宋体"/>
                <w:color w:val="auto"/>
              </w:rPr>
            </w:pPr>
            <w:r>
              <w:rPr>
                <w:rFonts w:hint="eastAsia" w:ascii="宋体" w:hAnsi="宋体"/>
                <w:color w:val="auto"/>
              </w:rPr>
              <w:t>工程施工的重点和难点及保证措施</w:t>
            </w:r>
          </w:p>
          <w:p w14:paraId="2C098529">
            <w:pPr>
              <w:widowControl/>
              <w:spacing w:line="360" w:lineRule="auto"/>
              <w:jc w:val="center"/>
              <w:rPr>
                <w:rFonts w:ascii="宋体" w:hAnsi="宋体"/>
                <w:color w:val="auto"/>
              </w:rPr>
            </w:pPr>
            <w:r>
              <w:rPr>
                <w:rFonts w:hint="eastAsia" w:ascii="宋体" w:hAnsi="宋体"/>
                <w:color w:val="auto"/>
              </w:rPr>
              <w:t>（</w:t>
            </w:r>
            <w:r>
              <w:rPr>
                <w:rFonts w:hint="eastAsia" w:ascii="宋体" w:hAnsi="宋体"/>
                <w:color w:val="auto"/>
                <w:lang w:val="en-US" w:eastAsia="zh-CN"/>
              </w:rPr>
              <w:t>7</w:t>
            </w:r>
            <w:r>
              <w:rPr>
                <w:rFonts w:hint="eastAsia" w:ascii="宋体" w:hAnsi="宋体"/>
                <w:color w:val="auto"/>
              </w:rPr>
              <w:t>分）</w:t>
            </w:r>
            <w:r>
              <w:rPr>
                <w:rFonts w:hint="eastAsia" w:ascii="宋体" w:hAnsi="宋体"/>
                <w:color w:val="auto"/>
                <w:lang w:eastAsia="zh-CN"/>
              </w:rPr>
              <w:t>（该项不提供不得分）</w:t>
            </w:r>
          </w:p>
        </w:tc>
        <w:tc>
          <w:tcPr>
            <w:tcW w:w="6810" w:type="dxa"/>
            <w:gridSpan w:val="2"/>
            <w:noWrap/>
            <w:vAlign w:val="center"/>
          </w:tcPr>
          <w:p w14:paraId="200B458B">
            <w:pPr>
              <w:widowControl/>
              <w:spacing w:line="360" w:lineRule="auto"/>
              <w:rPr>
                <w:rFonts w:ascii="宋体" w:hAnsi="宋体"/>
                <w:color w:val="auto"/>
              </w:rPr>
            </w:pPr>
            <w:r>
              <w:rPr>
                <w:rFonts w:hint="eastAsia" w:ascii="宋体" w:hAnsi="宋体"/>
                <w:color w:val="auto"/>
              </w:rPr>
              <w:t>针对本工程的特点，阐述本工程的重点和难点，解决重点和难点问题的方法是否合理。</w:t>
            </w:r>
          </w:p>
        </w:tc>
      </w:tr>
      <w:tr w14:paraId="088E4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1595" w:type="dxa"/>
            <w:gridSpan w:val="2"/>
            <w:vMerge w:val="continue"/>
            <w:noWrap/>
            <w:vAlign w:val="center"/>
          </w:tcPr>
          <w:p w14:paraId="4B23B1FE">
            <w:pPr>
              <w:spacing w:line="420" w:lineRule="exact"/>
              <w:ind w:firstLine="420" w:firstLineChars="200"/>
              <w:rPr>
                <w:rFonts w:ascii="宋体" w:hAnsi="宋体" w:cs="宋体"/>
                <w:bCs/>
                <w:color w:val="auto"/>
                <w:szCs w:val="21"/>
              </w:rPr>
            </w:pPr>
          </w:p>
        </w:tc>
        <w:tc>
          <w:tcPr>
            <w:tcW w:w="2033" w:type="dxa"/>
            <w:noWrap/>
            <w:vAlign w:val="center"/>
          </w:tcPr>
          <w:p w14:paraId="5F2F53DF">
            <w:pPr>
              <w:widowControl/>
              <w:spacing w:line="360" w:lineRule="auto"/>
              <w:jc w:val="center"/>
              <w:rPr>
                <w:rFonts w:ascii="宋体" w:hAnsi="宋体"/>
                <w:color w:val="auto"/>
              </w:rPr>
            </w:pPr>
            <w:r>
              <w:rPr>
                <w:rFonts w:hint="eastAsia" w:ascii="宋体" w:hAnsi="宋体"/>
                <w:color w:val="auto"/>
              </w:rPr>
              <w:t>施工总平面布置图（</w:t>
            </w:r>
            <w:r>
              <w:rPr>
                <w:rFonts w:hint="eastAsia" w:ascii="宋体" w:hAnsi="宋体"/>
                <w:color w:val="auto"/>
                <w:lang w:val="en-US" w:eastAsia="zh-CN"/>
              </w:rPr>
              <w:t>7</w:t>
            </w:r>
            <w:r>
              <w:rPr>
                <w:rFonts w:hint="eastAsia" w:ascii="宋体" w:hAnsi="宋体"/>
                <w:color w:val="auto"/>
              </w:rPr>
              <w:t>分）</w:t>
            </w:r>
            <w:r>
              <w:rPr>
                <w:rFonts w:hint="eastAsia" w:ascii="宋体" w:hAnsi="宋体"/>
                <w:color w:val="auto"/>
                <w:lang w:eastAsia="zh-CN"/>
              </w:rPr>
              <w:t>（该项不提供不得分）</w:t>
            </w:r>
          </w:p>
        </w:tc>
        <w:tc>
          <w:tcPr>
            <w:tcW w:w="6810" w:type="dxa"/>
            <w:gridSpan w:val="2"/>
            <w:noWrap/>
            <w:vAlign w:val="center"/>
          </w:tcPr>
          <w:p w14:paraId="2276F185">
            <w:pPr>
              <w:widowControl/>
              <w:spacing w:line="360" w:lineRule="auto"/>
              <w:rPr>
                <w:rFonts w:ascii="宋体" w:hAnsi="宋体"/>
                <w:color w:val="auto"/>
              </w:rPr>
            </w:pPr>
            <w:r>
              <w:rPr>
                <w:rFonts w:hint="eastAsia" w:ascii="宋体" w:hAnsi="宋体"/>
                <w:color w:val="auto"/>
              </w:rPr>
              <w:t>应有施工总平面布置图，安排科学合理，符合本项目施工实际要求。</w:t>
            </w:r>
          </w:p>
        </w:tc>
      </w:tr>
      <w:tr w14:paraId="162B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595" w:type="dxa"/>
            <w:gridSpan w:val="2"/>
            <w:vMerge w:val="restart"/>
            <w:noWrap/>
            <w:vAlign w:val="center"/>
          </w:tcPr>
          <w:p w14:paraId="474DF132">
            <w:pPr>
              <w:spacing w:line="400" w:lineRule="exact"/>
              <w:jc w:val="center"/>
              <w:rPr>
                <w:rFonts w:ascii="宋体" w:hAnsi="宋体" w:cs="宋体"/>
                <w:b/>
                <w:color w:val="auto"/>
                <w:szCs w:val="21"/>
              </w:rPr>
            </w:pPr>
            <w:r>
              <w:rPr>
                <w:rFonts w:hint="eastAsia" w:ascii="宋体" w:hAnsi="宋体" w:cs="宋体"/>
                <w:b/>
                <w:color w:val="auto"/>
                <w:szCs w:val="21"/>
              </w:rPr>
              <w:t>项目管理机构</w:t>
            </w:r>
          </w:p>
          <w:p w14:paraId="5D324495">
            <w:pPr>
              <w:autoSpaceDE w:val="0"/>
              <w:autoSpaceDN w:val="0"/>
              <w:adjustRightInd w:val="0"/>
              <w:spacing w:line="420" w:lineRule="exact"/>
              <w:jc w:val="center"/>
              <w:rPr>
                <w:rFonts w:ascii="宋体" w:hAnsi="宋体" w:cs="宋体"/>
                <w:bCs/>
                <w:color w:val="auto"/>
                <w:kern w:val="0"/>
                <w:szCs w:val="21"/>
              </w:rPr>
            </w:pPr>
            <w:r>
              <w:rPr>
                <w:rFonts w:hint="eastAsia" w:ascii="宋体" w:hAnsi="宋体" w:cs="宋体"/>
                <w:b/>
                <w:color w:val="auto"/>
                <w:szCs w:val="21"/>
              </w:rPr>
              <w:t>（满分1</w:t>
            </w:r>
            <w:r>
              <w:rPr>
                <w:rFonts w:hint="eastAsia" w:ascii="宋体" w:hAnsi="宋体" w:cs="宋体"/>
                <w:b/>
                <w:color w:val="auto"/>
                <w:szCs w:val="21"/>
                <w:lang w:val="en-US" w:eastAsia="zh-CN"/>
              </w:rPr>
              <w:t>1</w:t>
            </w:r>
            <w:r>
              <w:rPr>
                <w:rFonts w:hint="eastAsia" w:ascii="宋体" w:hAnsi="宋体" w:cs="宋体"/>
                <w:b/>
                <w:color w:val="auto"/>
                <w:szCs w:val="21"/>
              </w:rPr>
              <w:t>分）</w:t>
            </w:r>
          </w:p>
        </w:tc>
        <w:tc>
          <w:tcPr>
            <w:tcW w:w="8843" w:type="dxa"/>
            <w:gridSpan w:val="3"/>
            <w:noWrap/>
            <w:vAlign w:val="center"/>
          </w:tcPr>
          <w:p w14:paraId="3F68B1F2">
            <w:pPr>
              <w:widowControl/>
              <w:numPr>
                <w:ilvl w:val="0"/>
                <w:numId w:val="13"/>
              </w:numPr>
              <w:spacing w:line="400" w:lineRule="exact"/>
              <w:ind w:right="-44" w:rightChars="-21"/>
              <w:jc w:val="left"/>
              <w:rPr>
                <w:color w:val="auto"/>
              </w:rPr>
            </w:pPr>
            <w:r>
              <w:rPr>
                <w:rFonts w:hint="eastAsia"/>
                <w:color w:val="auto"/>
              </w:rPr>
              <w:t>项目经理（</w:t>
            </w:r>
            <w:r>
              <w:rPr>
                <w:rFonts w:hint="eastAsia"/>
                <w:color w:val="auto"/>
                <w:lang w:val="en-US" w:eastAsia="zh-CN"/>
              </w:rPr>
              <w:t>5</w:t>
            </w:r>
            <w:r>
              <w:rPr>
                <w:rFonts w:hint="eastAsia"/>
                <w:color w:val="auto"/>
              </w:rPr>
              <w:t>分）</w:t>
            </w:r>
          </w:p>
          <w:p w14:paraId="79E5D28E">
            <w:pPr>
              <w:widowControl/>
              <w:numPr>
                <w:ilvl w:val="0"/>
                <w:numId w:val="14"/>
              </w:numPr>
              <w:spacing w:line="440" w:lineRule="exact"/>
              <w:ind w:firstLine="420" w:firstLineChars="200"/>
              <w:jc w:val="left"/>
              <w:rPr>
                <w:color w:val="auto"/>
              </w:rPr>
            </w:pPr>
            <w:r>
              <w:rPr>
                <w:rFonts w:hint="eastAsia" w:ascii="宋体" w:hAnsi="宋体" w:cs="宋体"/>
                <w:bCs/>
                <w:color w:val="auto"/>
                <w:szCs w:val="21"/>
              </w:rPr>
              <w:t>拟派往本项目的</w:t>
            </w:r>
            <w:r>
              <w:rPr>
                <w:rFonts w:hint="eastAsia"/>
                <w:color w:val="auto"/>
              </w:rPr>
              <w:t>项目经理</w:t>
            </w:r>
            <w:r>
              <w:rPr>
                <w:rFonts w:hint="eastAsia" w:ascii="宋体" w:hAnsi="宋体" w:cs="宋体"/>
                <w:bCs/>
                <w:color w:val="auto"/>
                <w:szCs w:val="21"/>
                <w:lang w:eastAsia="zh-CN"/>
              </w:rPr>
              <w:t>具有</w:t>
            </w:r>
            <w:r>
              <w:rPr>
                <w:rFonts w:hint="eastAsia" w:ascii="宋体" w:hAnsi="宋体" w:cs="宋体"/>
                <w:bCs/>
                <w:color w:val="auto"/>
                <w:szCs w:val="21"/>
                <w:lang w:val="en-US" w:eastAsia="zh-CN"/>
              </w:rPr>
              <w:t>5年及以上执业资历的，得2.5分</w:t>
            </w:r>
            <w:r>
              <w:rPr>
                <w:rFonts w:hint="eastAsia" w:ascii="宋体" w:hAnsi="宋体" w:eastAsia="宋体" w:cs="宋体"/>
                <w:color w:val="auto"/>
                <w:kern w:val="0"/>
                <w:szCs w:val="21"/>
              </w:rPr>
              <w:t>（</w:t>
            </w:r>
            <w:r>
              <w:rPr>
                <w:rFonts w:ascii="宋体" w:hAnsi="宋体" w:eastAsia="宋体" w:cs="宋体"/>
                <w:color w:val="auto"/>
                <w:kern w:val="0"/>
                <w:szCs w:val="21"/>
              </w:rPr>
              <w:t>以其</w:t>
            </w:r>
            <w:r>
              <w:rPr>
                <w:rFonts w:hint="eastAsia" w:ascii="宋体" w:hAnsi="宋体" w:eastAsia="宋体" w:cs="宋体"/>
                <w:color w:val="auto"/>
                <w:kern w:val="0"/>
                <w:szCs w:val="21"/>
              </w:rPr>
              <w:t>注册建造师证载明的时间</w:t>
            </w:r>
            <w:r>
              <w:rPr>
                <w:rFonts w:ascii="宋体" w:hAnsi="宋体" w:eastAsia="宋体" w:cs="宋体"/>
                <w:color w:val="auto"/>
                <w:kern w:val="0"/>
                <w:szCs w:val="21"/>
              </w:rPr>
              <w:t>为准</w:t>
            </w:r>
            <w:r>
              <w:rPr>
                <w:rFonts w:hint="eastAsia" w:ascii="宋体" w:hAnsi="宋体" w:eastAsia="宋体" w:cs="宋体"/>
                <w:color w:val="auto"/>
                <w:kern w:val="0"/>
                <w:szCs w:val="21"/>
              </w:rPr>
              <w:t>）</w:t>
            </w:r>
            <w:r>
              <w:rPr>
                <w:rFonts w:hint="eastAsia" w:ascii="宋体" w:hAnsi="宋体" w:cs="宋体"/>
                <w:bCs/>
                <w:color w:val="auto"/>
                <w:szCs w:val="21"/>
                <w:lang w:val="en-US" w:eastAsia="zh-CN"/>
              </w:rPr>
              <w:t>。</w:t>
            </w:r>
          </w:p>
          <w:p w14:paraId="5B41EABE">
            <w:pPr>
              <w:widowControl/>
              <w:numPr>
                <w:ilvl w:val="0"/>
                <w:numId w:val="14"/>
              </w:numPr>
              <w:spacing w:line="440" w:lineRule="exact"/>
              <w:ind w:firstLine="420" w:firstLineChars="200"/>
              <w:jc w:val="left"/>
              <w:rPr>
                <w:color w:val="auto"/>
              </w:rPr>
            </w:pPr>
            <w:r>
              <w:rPr>
                <w:rFonts w:hint="eastAsia" w:ascii="宋体" w:hAnsi="宋体" w:cs="宋体"/>
                <w:bCs/>
                <w:color w:val="auto"/>
                <w:szCs w:val="21"/>
              </w:rPr>
              <w:t>拟派往本项目的</w:t>
            </w:r>
            <w:r>
              <w:rPr>
                <w:rFonts w:hint="eastAsia"/>
                <w:color w:val="auto"/>
              </w:rPr>
              <w:t>项目经理</w:t>
            </w:r>
            <w:r>
              <w:rPr>
                <w:rFonts w:hint="eastAsia" w:ascii="宋体" w:hAnsi="宋体" w:cs="宋体"/>
                <w:bCs/>
                <w:color w:val="auto"/>
                <w:szCs w:val="21"/>
              </w:rPr>
              <w:t>具备工程师及以上职称的，得</w:t>
            </w:r>
            <w:r>
              <w:rPr>
                <w:rFonts w:hint="eastAsia" w:ascii="宋体" w:hAnsi="宋体" w:cs="宋体"/>
                <w:bCs/>
                <w:color w:val="auto"/>
                <w:szCs w:val="21"/>
                <w:lang w:val="en-US" w:eastAsia="zh-CN"/>
              </w:rPr>
              <w:t>2.5</w:t>
            </w:r>
            <w:r>
              <w:rPr>
                <w:rFonts w:hint="eastAsia" w:ascii="宋体" w:hAnsi="宋体" w:cs="宋体"/>
                <w:bCs/>
                <w:color w:val="auto"/>
                <w:szCs w:val="21"/>
              </w:rPr>
              <w:t>分。</w:t>
            </w:r>
          </w:p>
        </w:tc>
      </w:tr>
      <w:tr w14:paraId="4ABD2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595" w:type="dxa"/>
            <w:gridSpan w:val="2"/>
            <w:vMerge w:val="continue"/>
            <w:noWrap/>
          </w:tcPr>
          <w:p w14:paraId="5B65F2D5">
            <w:pPr>
              <w:spacing w:after="120"/>
              <w:ind w:firstLine="420" w:firstLineChars="200"/>
              <w:rPr>
                <w:bCs/>
                <w:color w:val="auto"/>
              </w:rPr>
            </w:pPr>
          </w:p>
        </w:tc>
        <w:tc>
          <w:tcPr>
            <w:tcW w:w="8843" w:type="dxa"/>
            <w:gridSpan w:val="3"/>
            <w:noWrap/>
            <w:vAlign w:val="center"/>
          </w:tcPr>
          <w:p w14:paraId="1593E0A5">
            <w:pPr>
              <w:spacing w:line="400" w:lineRule="exact"/>
              <w:jc w:val="left"/>
              <w:rPr>
                <w:rFonts w:ascii="宋体" w:hAnsi="宋体" w:cs="宋体"/>
                <w:bCs/>
                <w:color w:val="auto"/>
                <w:szCs w:val="21"/>
              </w:rPr>
            </w:pPr>
            <w:r>
              <w:rPr>
                <w:rFonts w:hint="eastAsia" w:ascii="宋体" w:hAnsi="宋体" w:cs="宋体"/>
                <w:bCs/>
                <w:color w:val="auto"/>
                <w:szCs w:val="21"/>
              </w:rPr>
              <w:t>2、技术负责人（</w:t>
            </w:r>
            <w:r>
              <w:rPr>
                <w:rFonts w:hint="eastAsia" w:ascii="宋体" w:hAnsi="宋体" w:cs="宋体"/>
                <w:bCs/>
                <w:color w:val="auto"/>
                <w:szCs w:val="21"/>
                <w:lang w:val="en-US" w:eastAsia="zh-CN"/>
              </w:rPr>
              <w:t>2</w:t>
            </w:r>
            <w:r>
              <w:rPr>
                <w:rFonts w:hint="eastAsia" w:ascii="宋体" w:hAnsi="宋体" w:cs="宋体"/>
                <w:bCs/>
                <w:color w:val="auto"/>
                <w:szCs w:val="21"/>
              </w:rPr>
              <w:t>分）</w:t>
            </w:r>
          </w:p>
          <w:p w14:paraId="0BF0A009">
            <w:pPr>
              <w:spacing w:line="400" w:lineRule="exact"/>
              <w:ind w:firstLine="420" w:firstLineChars="200"/>
              <w:rPr>
                <w:rFonts w:hint="eastAsia" w:ascii="宋体" w:hAnsi="宋体" w:cs="宋体"/>
                <w:bCs/>
                <w:color w:val="auto"/>
                <w:szCs w:val="21"/>
              </w:rPr>
            </w:pPr>
            <w:r>
              <w:rPr>
                <w:rFonts w:hint="eastAsia" w:ascii="宋体" w:hAnsi="宋体" w:cs="宋体"/>
                <w:bCs/>
                <w:color w:val="auto"/>
                <w:szCs w:val="21"/>
              </w:rPr>
              <w:t>（1）拟派往本项目的技术负责人</w:t>
            </w:r>
            <w:r>
              <w:rPr>
                <w:rFonts w:hint="eastAsia" w:ascii="宋体" w:hAnsi="宋体" w:cs="宋体"/>
                <w:bCs/>
                <w:color w:val="auto"/>
                <w:szCs w:val="21"/>
                <w:lang w:eastAsia="zh-CN"/>
              </w:rPr>
              <w:t>具有</w:t>
            </w:r>
            <w:r>
              <w:rPr>
                <w:rFonts w:hint="eastAsia" w:ascii="宋体" w:hAnsi="宋体" w:cs="宋体"/>
                <w:bCs/>
                <w:color w:val="auto"/>
                <w:szCs w:val="21"/>
                <w:lang w:val="en-US" w:eastAsia="zh-CN"/>
              </w:rPr>
              <w:t>5年及以上执业资历的</w:t>
            </w:r>
            <w:r>
              <w:rPr>
                <w:rFonts w:hint="eastAsia" w:ascii="宋体" w:hAnsi="宋体" w:cs="宋体"/>
                <w:bCs/>
                <w:color w:val="auto"/>
                <w:szCs w:val="21"/>
              </w:rPr>
              <w:t>，得</w:t>
            </w:r>
            <w:r>
              <w:rPr>
                <w:rFonts w:hint="eastAsia" w:ascii="宋体" w:hAnsi="宋体" w:cs="宋体"/>
                <w:bCs/>
                <w:color w:val="auto"/>
                <w:szCs w:val="21"/>
                <w:lang w:val="en-US" w:eastAsia="zh-CN"/>
              </w:rPr>
              <w:t>1</w:t>
            </w:r>
            <w:r>
              <w:rPr>
                <w:rFonts w:hint="eastAsia" w:ascii="宋体" w:hAnsi="宋体" w:cs="宋体"/>
                <w:bCs/>
                <w:color w:val="auto"/>
                <w:szCs w:val="21"/>
              </w:rPr>
              <w:t>分</w:t>
            </w:r>
            <w:r>
              <w:rPr>
                <w:rFonts w:hint="eastAsia" w:ascii="宋体" w:hAnsi="宋体" w:eastAsia="宋体" w:cs="宋体"/>
                <w:color w:val="auto"/>
                <w:kern w:val="0"/>
                <w:szCs w:val="21"/>
              </w:rPr>
              <w:t>（</w:t>
            </w:r>
            <w:r>
              <w:rPr>
                <w:rFonts w:ascii="宋体" w:hAnsi="宋体" w:eastAsia="宋体" w:cs="宋体"/>
                <w:color w:val="auto"/>
                <w:kern w:val="0"/>
                <w:szCs w:val="21"/>
              </w:rPr>
              <w:t>以其</w:t>
            </w:r>
            <w:r>
              <w:rPr>
                <w:rFonts w:hint="eastAsia" w:ascii="宋体" w:hAnsi="宋体" w:eastAsia="宋体" w:cs="宋体"/>
                <w:color w:val="auto"/>
                <w:kern w:val="0"/>
                <w:szCs w:val="21"/>
              </w:rPr>
              <w:t>注册</w:t>
            </w:r>
            <w:r>
              <w:rPr>
                <w:rFonts w:hint="eastAsia" w:ascii="宋体" w:hAnsi="宋体" w:eastAsia="宋体" w:cs="宋体"/>
                <w:color w:val="auto"/>
                <w:kern w:val="0"/>
                <w:szCs w:val="21"/>
                <w:lang w:eastAsia="zh-CN"/>
              </w:rPr>
              <w:t>职称</w:t>
            </w:r>
            <w:r>
              <w:rPr>
                <w:rFonts w:hint="eastAsia" w:ascii="宋体" w:hAnsi="宋体" w:eastAsia="宋体" w:cs="宋体"/>
                <w:color w:val="auto"/>
                <w:kern w:val="0"/>
                <w:szCs w:val="21"/>
              </w:rPr>
              <w:t>师证载明的时间</w:t>
            </w:r>
            <w:r>
              <w:rPr>
                <w:rFonts w:ascii="宋体" w:hAnsi="宋体" w:eastAsia="宋体" w:cs="宋体"/>
                <w:color w:val="auto"/>
                <w:kern w:val="0"/>
                <w:szCs w:val="21"/>
              </w:rPr>
              <w:t>为准</w:t>
            </w:r>
            <w:r>
              <w:rPr>
                <w:rFonts w:hint="eastAsia" w:ascii="宋体" w:hAnsi="宋体" w:eastAsia="宋体" w:cs="宋体"/>
                <w:color w:val="auto"/>
                <w:kern w:val="0"/>
                <w:szCs w:val="21"/>
              </w:rPr>
              <w:t>）</w:t>
            </w:r>
            <w:r>
              <w:rPr>
                <w:rFonts w:hint="eastAsia" w:ascii="宋体" w:hAnsi="宋体" w:cs="宋体"/>
                <w:bCs/>
                <w:color w:val="auto"/>
                <w:szCs w:val="21"/>
                <w:lang w:val="en-US" w:eastAsia="zh-CN"/>
              </w:rPr>
              <w:t>。</w:t>
            </w:r>
          </w:p>
          <w:p w14:paraId="62D4CB49">
            <w:pPr>
              <w:spacing w:line="400" w:lineRule="exact"/>
              <w:ind w:firstLine="420" w:firstLineChars="200"/>
              <w:rPr>
                <w:rFonts w:hint="default" w:ascii="宋体" w:hAnsi="宋体" w:cs="宋体"/>
                <w:bCs/>
                <w:color w:val="auto"/>
                <w:szCs w:val="21"/>
                <w:lang w:val="en-US" w:eastAsia="zh-CN"/>
              </w:rPr>
            </w:pPr>
            <w:r>
              <w:rPr>
                <w:rFonts w:hint="eastAsia" w:ascii="宋体" w:hAnsi="宋体" w:cs="宋体"/>
                <w:bCs/>
                <w:color w:val="auto"/>
                <w:szCs w:val="21"/>
                <w:lang w:eastAsia="zh-CN"/>
              </w:rPr>
              <w:t>（</w:t>
            </w:r>
            <w:r>
              <w:rPr>
                <w:rFonts w:hint="eastAsia" w:ascii="宋体" w:hAnsi="宋体" w:cs="宋体"/>
                <w:bCs/>
                <w:color w:val="auto"/>
                <w:szCs w:val="21"/>
                <w:lang w:val="en-US" w:eastAsia="zh-CN"/>
              </w:rPr>
              <w:t>2</w:t>
            </w:r>
            <w:r>
              <w:rPr>
                <w:rFonts w:hint="eastAsia" w:ascii="宋体" w:hAnsi="宋体" w:cs="宋体"/>
                <w:bCs/>
                <w:color w:val="auto"/>
                <w:szCs w:val="21"/>
                <w:lang w:eastAsia="zh-CN"/>
              </w:rPr>
              <w:t>）</w:t>
            </w:r>
            <w:r>
              <w:rPr>
                <w:rFonts w:hint="eastAsia" w:ascii="宋体" w:hAnsi="宋体" w:cs="宋体"/>
                <w:bCs/>
                <w:color w:val="auto"/>
                <w:szCs w:val="21"/>
              </w:rPr>
              <w:t>拟派往本项目的技术负责人具备工程师及以上职称的，得</w:t>
            </w:r>
            <w:r>
              <w:rPr>
                <w:rFonts w:hint="eastAsia" w:ascii="宋体" w:hAnsi="宋体" w:cs="宋体"/>
                <w:bCs/>
                <w:color w:val="auto"/>
                <w:szCs w:val="21"/>
                <w:lang w:val="en-US" w:eastAsia="zh-CN"/>
              </w:rPr>
              <w:t>1</w:t>
            </w:r>
            <w:r>
              <w:rPr>
                <w:rFonts w:hint="eastAsia" w:ascii="宋体" w:hAnsi="宋体" w:cs="宋体"/>
                <w:bCs/>
                <w:color w:val="auto"/>
                <w:szCs w:val="21"/>
              </w:rPr>
              <w:t>分。</w:t>
            </w:r>
          </w:p>
        </w:tc>
      </w:tr>
      <w:tr w14:paraId="0365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595" w:type="dxa"/>
            <w:gridSpan w:val="2"/>
            <w:vMerge w:val="continue"/>
            <w:noWrap/>
          </w:tcPr>
          <w:p w14:paraId="3CFE0BA2">
            <w:pPr>
              <w:spacing w:after="120"/>
              <w:ind w:firstLine="420" w:firstLineChars="200"/>
              <w:rPr>
                <w:rFonts w:ascii="Calibri" w:hAnsi="Calibri"/>
                <w:color w:val="auto"/>
              </w:rPr>
            </w:pPr>
          </w:p>
        </w:tc>
        <w:tc>
          <w:tcPr>
            <w:tcW w:w="8843" w:type="dxa"/>
            <w:gridSpan w:val="3"/>
            <w:noWrap/>
            <w:vAlign w:val="center"/>
          </w:tcPr>
          <w:p w14:paraId="437B9EDF">
            <w:pPr>
              <w:spacing w:line="400" w:lineRule="exact"/>
              <w:jc w:val="left"/>
              <w:rPr>
                <w:rFonts w:ascii="宋体" w:hAnsi="宋体" w:cs="宋体"/>
                <w:color w:val="auto"/>
                <w:szCs w:val="21"/>
              </w:rPr>
            </w:pPr>
            <w:r>
              <w:rPr>
                <w:rFonts w:hint="eastAsia" w:ascii="宋体" w:hAnsi="宋体" w:cs="宋体"/>
                <w:color w:val="auto"/>
                <w:szCs w:val="21"/>
              </w:rPr>
              <w:t>3、其他管理人员</w:t>
            </w:r>
            <w:r>
              <w:rPr>
                <w:rFonts w:hint="eastAsia" w:ascii="宋体" w:hAnsi="宋体" w:cs="宋体"/>
                <w:color w:val="auto"/>
                <w:kern w:val="0"/>
                <w:szCs w:val="21"/>
              </w:rPr>
              <w:t>（</w:t>
            </w:r>
            <w:r>
              <w:rPr>
                <w:rFonts w:hint="eastAsia" w:ascii="宋体" w:hAnsi="宋体" w:cs="宋体"/>
                <w:color w:val="auto"/>
                <w:kern w:val="0"/>
                <w:szCs w:val="21"/>
                <w:lang w:val="en-US" w:eastAsia="zh-CN"/>
              </w:rPr>
              <w:t>4</w:t>
            </w:r>
            <w:r>
              <w:rPr>
                <w:rFonts w:hint="eastAsia" w:ascii="宋体" w:hAnsi="宋体" w:cs="宋体"/>
                <w:color w:val="auto"/>
                <w:kern w:val="0"/>
                <w:szCs w:val="21"/>
              </w:rPr>
              <w:t>分）</w:t>
            </w:r>
          </w:p>
          <w:p w14:paraId="6A0A249F">
            <w:pPr>
              <w:spacing w:line="400" w:lineRule="exact"/>
              <w:ind w:firstLine="420" w:firstLineChars="200"/>
              <w:rPr>
                <w:rFonts w:hint="eastAsia" w:ascii="宋体" w:hAnsi="宋体" w:eastAsia="宋体" w:cs="宋体"/>
                <w:color w:val="auto"/>
                <w:szCs w:val="21"/>
                <w:lang w:eastAsia="zh-CN"/>
              </w:rPr>
            </w:pPr>
            <w:r>
              <w:rPr>
                <w:rFonts w:hint="eastAsia" w:ascii="宋体" w:hAnsi="宋体" w:cs="宋体"/>
                <w:color w:val="auto"/>
                <w:szCs w:val="21"/>
              </w:rPr>
              <w:t>（1）至少需投入安全员、施工员、质检</w:t>
            </w:r>
            <w:r>
              <w:rPr>
                <w:rFonts w:hint="eastAsia" w:ascii="宋体" w:hAnsi="宋体" w:cs="宋体"/>
                <w:color w:val="auto"/>
                <w:szCs w:val="21"/>
                <w:lang w:eastAsia="zh-CN"/>
              </w:rPr>
              <w:t>（量）</w:t>
            </w:r>
            <w:r>
              <w:rPr>
                <w:rFonts w:hint="eastAsia" w:ascii="宋体" w:hAnsi="宋体" w:cs="宋体"/>
                <w:color w:val="auto"/>
                <w:szCs w:val="21"/>
              </w:rPr>
              <w:t>员、材料员各1名，且具有相应岗位资格证书，</w:t>
            </w:r>
            <w:r>
              <w:rPr>
                <w:rFonts w:hint="eastAsia" w:ascii="宋体" w:hAnsi="宋体" w:cs="宋体"/>
                <w:color w:val="auto"/>
                <w:szCs w:val="21"/>
                <w:lang w:eastAsia="zh-CN"/>
              </w:rPr>
              <w:t>每人</w:t>
            </w:r>
            <w:r>
              <w:rPr>
                <w:rFonts w:hint="eastAsia" w:ascii="宋体" w:hAnsi="宋体" w:cs="宋体"/>
                <w:color w:val="auto"/>
                <w:szCs w:val="21"/>
                <w:lang w:val="en-US" w:eastAsia="zh-CN"/>
              </w:rPr>
              <w:t>1</w:t>
            </w:r>
            <w:r>
              <w:rPr>
                <w:rFonts w:hint="eastAsia" w:ascii="宋体" w:hAnsi="宋体" w:cs="宋体"/>
                <w:color w:val="auto"/>
                <w:szCs w:val="21"/>
              </w:rPr>
              <w:t>分</w:t>
            </w:r>
            <w:r>
              <w:rPr>
                <w:rFonts w:hint="eastAsia" w:ascii="宋体" w:hAnsi="宋体" w:cs="宋体"/>
                <w:color w:val="auto"/>
                <w:szCs w:val="21"/>
                <w:lang w:eastAsia="zh-CN"/>
              </w:rPr>
              <w:t>，满分</w:t>
            </w:r>
            <w:r>
              <w:rPr>
                <w:rFonts w:hint="eastAsia" w:ascii="宋体" w:hAnsi="宋体" w:cs="宋体"/>
                <w:color w:val="auto"/>
                <w:szCs w:val="21"/>
                <w:lang w:val="en-US" w:eastAsia="zh-CN"/>
              </w:rPr>
              <w:t>4分</w:t>
            </w:r>
            <w:r>
              <w:rPr>
                <w:rFonts w:hint="eastAsia" w:ascii="宋体" w:hAnsi="宋体" w:cs="宋体"/>
                <w:color w:val="auto"/>
                <w:szCs w:val="21"/>
              </w:rPr>
              <w:t>。</w:t>
            </w:r>
          </w:p>
        </w:tc>
      </w:tr>
      <w:tr w14:paraId="2755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1595" w:type="dxa"/>
            <w:gridSpan w:val="2"/>
            <w:noWrap/>
            <w:vAlign w:val="center"/>
          </w:tcPr>
          <w:p w14:paraId="5DB98B96">
            <w:pPr>
              <w:spacing w:line="400" w:lineRule="exact"/>
              <w:jc w:val="center"/>
              <w:rPr>
                <w:rFonts w:ascii="宋体" w:hAnsi="宋体" w:cs="宋体"/>
                <w:b/>
                <w:color w:val="auto"/>
                <w:szCs w:val="21"/>
              </w:rPr>
            </w:pPr>
            <w:r>
              <w:rPr>
                <w:rFonts w:hint="eastAsia" w:ascii="宋体" w:hAnsi="宋体" w:cs="宋体"/>
                <w:b/>
                <w:color w:val="auto"/>
                <w:szCs w:val="21"/>
              </w:rPr>
              <w:t>企业信誉实力</w:t>
            </w:r>
          </w:p>
          <w:p w14:paraId="71A0277F">
            <w:pPr>
              <w:spacing w:line="400" w:lineRule="exact"/>
              <w:jc w:val="center"/>
              <w:rPr>
                <w:rFonts w:ascii="Calibri" w:hAnsi="Calibri"/>
                <w:color w:val="auto"/>
              </w:rPr>
            </w:pPr>
            <w:r>
              <w:rPr>
                <w:rFonts w:hint="eastAsia" w:ascii="宋体" w:hAnsi="宋体" w:cs="宋体"/>
                <w:b/>
                <w:color w:val="auto"/>
                <w:szCs w:val="21"/>
              </w:rPr>
              <w:t>（满分</w:t>
            </w:r>
            <w:r>
              <w:rPr>
                <w:rFonts w:hint="eastAsia" w:ascii="宋体" w:hAnsi="宋体" w:cs="宋体"/>
                <w:b/>
                <w:color w:val="auto"/>
                <w:szCs w:val="21"/>
                <w:lang w:val="en-US" w:eastAsia="zh-CN"/>
              </w:rPr>
              <w:t>9</w:t>
            </w:r>
            <w:r>
              <w:rPr>
                <w:rFonts w:hint="eastAsia" w:ascii="宋体" w:hAnsi="宋体" w:cs="宋体"/>
                <w:b/>
                <w:color w:val="auto"/>
                <w:szCs w:val="21"/>
              </w:rPr>
              <w:t>分）</w:t>
            </w:r>
          </w:p>
        </w:tc>
        <w:tc>
          <w:tcPr>
            <w:tcW w:w="8843" w:type="dxa"/>
            <w:gridSpan w:val="3"/>
            <w:noWrap/>
            <w:vAlign w:val="center"/>
          </w:tcPr>
          <w:p w14:paraId="11507AF9">
            <w:pPr>
              <w:spacing w:line="400" w:lineRule="exact"/>
              <w:jc w:val="left"/>
              <w:rPr>
                <w:rFonts w:ascii="宋体" w:hAnsi="宋体" w:cs="宋体"/>
                <w:color w:val="auto"/>
                <w:szCs w:val="21"/>
              </w:rPr>
            </w:pPr>
            <w:r>
              <w:rPr>
                <w:rFonts w:hint="eastAsia" w:ascii="宋体" w:hAnsi="宋体" w:cs="宋体"/>
                <w:color w:val="auto"/>
                <w:szCs w:val="21"/>
              </w:rPr>
              <w:t>202</w:t>
            </w:r>
            <w:r>
              <w:rPr>
                <w:rFonts w:hint="eastAsia" w:ascii="宋体" w:hAnsi="宋体" w:cs="宋体"/>
                <w:color w:val="auto"/>
                <w:szCs w:val="21"/>
                <w:lang w:val="en-US" w:eastAsia="zh-CN"/>
              </w:rPr>
              <w:t>3</w:t>
            </w:r>
            <w:r>
              <w:rPr>
                <w:rFonts w:hint="eastAsia" w:ascii="宋体" w:hAnsi="宋体" w:cs="宋体"/>
                <w:color w:val="auto"/>
                <w:szCs w:val="21"/>
              </w:rPr>
              <w:t>年</w:t>
            </w:r>
            <w:r>
              <w:rPr>
                <w:rFonts w:hint="eastAsia" w:ascii="宋体" w:hAnsi="宋体" w:cs="宋体"/>
                <w:color w:val="auto"/>
                <w:szCs w:val="21"/>
                <w:lang w:val="en-US" w:eastAsia="zh-CN"/>
              </w:rPr>
              <w:t>08月</w:t>
            </w:r>
            <w:r>
              <w:rPr>
                <w:rFonts w:hint="eastAsia" w:ascii="宋体" w:hAnsi="宋体" w:cs="宋体"/>
                <w:color w:val="auto"/>
                <w:szCs w:val="21"/>
              </w:rPr>
              <w:t>至本项目磋商截止时间止，磋商单位承接过工程类项目业绩，每个得3分，满分9分。（须附中标通知书复印件或合同协议书复印件）</w:t>
            </w:r>
          </w:p>
        </w:tc>
      </w:tr>
      <w:tr w14:paraId="06DE3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438" w:type="dxa"/>
            <w:gridSpan w:val="5"/>
            <w:noWrap/>
          </w:tcPr>
          <w:p w14:paraId="30EF6639">
            <w:pPr>
              <w:spacing w:line="400" w:lineRule="exact"/>
              <w:rPr>
                <w:rFonts w:ascii="宋体" w:hAnsi="宋体" w:cs="宋体"/>
                <w:b/>
                <w:color w:val="auto"/>
                <w:szCs w:val="21"/>
              </w:rPr>
            </w:pPr>
            <w:r>
              <w:rPr>
                <w:rFonts w:hint="eastAsia" w:ascii="宋体" w:hAnsi="宋体" w:cs="宋体"/>
                <w:b/>
                <w:color w:val="auto"/>
                <w:szCs w:val="21"/>
              </w:rPr>
              <w:t>综合总得分</w:t>
            </w:r>
            <w:r>
              <w:rPr>
                <w:rFonts w:hint="eastAsia" w:ascii="宋体" w:hAnsi="宋体" w:cs="宋体"/>
                <w:b/>
                <w:bCs/>
                <w:color w:val="auto"/>
                <w:szCs w:val="21"/>
              </w:rPr>
              <w:t>＝报价分+</w:t>
            </w:r>
            <w:r>
              <w:rPr>
                <w:rFonts w:hint="eastAsia" w:ascii="宋体" w:hAnsi="宋体"/>
                <w:b/>
                <w:color w:val="auto"/>
                <w:kern w:val="0"/>
                <w:szCs w:val="21"/>
              </w:rPr>
              <w:t>施工组织设计分+</w:t>
            </w:r>
            <w:r>
              <w:rPr>
                <w:rFonts w:hint="eastAsia" w:ascii="宋体" w:hAnsi="宋体" w:cs="宋体"/>
                <w:b/>
                <w:color w:val="auto"/>
                <w:szCs w:val="21"/>
              </w:rPr>
              <w:t>项目管理机构分+企业信誉实力=100分</w:t>
            </w:r>
          </w:p>
        </w:tc>
      </w:tr>
    </w:tbl>
    <w:p w14:paraId="3CAB9EA1">
      <w:pPr>
        <w:snapToGrid w:val="0"/>
        <w:spacing w:line="400" w:lineRule="exact"/>
        <w:jc w:val="center"/>
        <w:rPr>
          <w:rFonts w:ascii="宋体" w:hAnsi="宋体"/>
          <w:b/>
          <w:color w:val="auto"/>
          <w:szCs w:val="21"/>
        </w:rPr>
      </w:pPr>
      <w:r>
        <w:rPr>
          <w:rFonts w:hint="eastAsia" w:ascii="宋体" w:hAnsi="宋体"/>
          <w:b/>
          <w:color w:val="auto"/>
          <w:szCs w:val="21"/>
        </w:rPr>
        <w:br w:type="page"/>
      </w:r>
      <w:r>
        <w:rPr>
          <w:rFonts w:hint="eastAsia" w:ascii="宋体" w:hAnsi="宋体"/>
          <w:b/>
          <w:color w:val="auto"/>
          <w:szCs w:val="21"/>
        </w:rPr>
        <w:t>评标办法正文</w:t>
      </w:r>
    </w:p>
    <w:p w14:paraId="210BD93C">
      <w:pPr>
        <w:snapToGrid w:val="0"/>
        <w:spacing w:line="400" w:lineRule="exact"/>
        <w:ind w:firstLine="420" w:firstLineChars="200"/>
        <w:rPr>
          <w:rFonts w:ascii="宋体" w:hAnsi="宋体"/>
          <w:b/>
          <w:color w:val="auto"/>
          <w:szCs w:val="21"/>
        </w:rPr>
      </w:pPr>
      <w:r>
        <w:rPr>
          <w:rFonts w:hint="eastAsia" w:ascii="宋体" w:hAnsi="宋体"/>
          <w:b/>
          <w:color w:val="auto"/>
          <w:szCs w:val="21"/>
        </w:rPr>
        <w:t>一、评标原则：</w:t>
      </w:r>
    </w:p>
    <w:p w14:paraId="7B5B79F2">
      <w:pPr>
        <w:snapToGrid w:val="0"/>
        <w:spacing w:line="400" w:lineRule="exact"/>
        <w:ind w:firstLine="420" w:firstLineChars="200"/>
        <w:rPr>
          <w:rFonts w:ascii="宋体" w:hAnsi="宋体"/>
          <w:color w:val="auto"/>
          <w:szCs w:val="21"/>
        </w:rPr>
      </w:pPr>
      <w:r>
        <w:rPr>
          <w:rFonts w:hint="eastAsia" w:ascii="宋体" w:hAnsi="宋体"/>
          <w:color w:val="auto"/>
          <w:szCs w:val="21"/>
        </w:rPr>
        <w:t>1、坚持公开、公平、公正、适用合理原则。</w:t>
      </w:r>
    </w:p>
    <w:p w14:paraId="61D18B41">
      <w:pPr>
        <w:tabs>
          <w:tab w:val="left" w:pos="1440"/>
        </w:tabs>
        <w:spacing w:line="400" w:lineRule="exact"/>
        <w:ind w:firstLine="420" w:firstLineChars="200"/>
        <w:rPr>
          <w:rFonts w:ascii="宋体" w:hAnsi="宋体"/>
          <w:color w:val="auto"/>
          <w:szCs w:val="21"/>
        </w:rPr>
      </w:pPr>
      <w:r>
        <w:rPr>
          <w:rFonts w:hint="eastAsia" w:ascii="宋体" w:hAnsi="宋体"/>
          <w:color w:val="auto"/>
          <w:szCs w:val="21"/>
        </w:rPr>
        <w:t>2、开标前由采购代理机构在</w:t>
      </w:r>
      <w:r>
        <w:rPr>
          <w:rFonts w:hint="eastAsia" w:ascii="宋体" w:hAnsi="宋体"/>
          <w:color w:val="auto"/>
          <w:szCs w:val="21"/>
          <w:lang w:eastAsia="zh-CN"/>
        </w:rPr>
        <w:t>广西政府采购云平台</w:t>
      </w:r>
      <w:r>
        <w:rPr>
          <w:rFonts w:hint="eastAsia" w:ascii="宋体" w:hAnsi="宋体"/>
          <w:color w:val="auto"/>
          <w:szCs w:val="21"/>
        </w:rPr>
        <w:t>广西评审专家库中随机抽取的评标专家组成。评标小组为3人，其中，采购人评标代表1人，评标专家库中随机抽取2人。磋商小组以《竞争性磋商文件》、《响应文件》为评标依据，本项目采用</w:t>
      </w:r>
      <w:r>
        <w:rPr>
          <w:rFonts w:hint="eastAsia" w:ascii="宋体" w:hAnsi="宋体"/>
          <w:b/>
          <w:bCs/>
          <w:color w:val="auto"/>
          <w:szCs w:val="21"/>
          <w:u w:val="single"/>
        </w:rPr>
        <w:t>综合评分法</w:t>
      </w:r>
      <w:r>
        <w:rPr>
          <w:rFonts w:hint="eastAsia" w:ascii="宋体" w:hAnsi="宋体"/>
          <w:bCs/>
          <w:color w:val="auto"/>
          <w:szCs w:val="21"/>
        </w:rPr>
        <w:t>进行</w:t>
      </w:r>
      <w:r>
        <w:rPr>
          <w:rFonts w:hint="eastAsia" w:ascii="宋体" w:hAnsi="宋体"/>
          <w:color w:val="auto"/>
          <w:szCs w:val="21"/>
        </w:rPr>
        <w:t>评标。</w:t>
      </w:r>
    </w:p>
    <w:p w14:paraId="2485DA68">
      <w:pPr>
        <w:spacing w:line="400" w:lineRule="exact"/>
        <w:ind w:firstLine="420" w:firstLineChars="200"/>
        <w:rPr>
          <w:rFonts w:ascii="宋体" w:hAnsi="宋体"/>
          <w:b/>
          <w:color w:val="auto"/>
          <w:szCs w:val="21"/>
        </w:rPr>
      </w:pPr>
      <w:r>
        <w:rPr>
          <w:rFonts w:hint="eastAsia" w:ascii="宋体" w:hAnsi="宋体"/>
          <w:b/>
          <w:color w:val="auto"/>
          <w:szCs w:val="21"/>
        </w:rPr>
        <w:t>二、评标次序：</w:t>
      </w:r>
    </w:p>
    <w:p w14:paraId="07F99A49">
      <w:pPr>
        <w:spacing w:line="400" w:lineRule="exact"/>
        <w:ind w:firstLine="420" w:firstLineChars="200"/>
        <w:rPr>
          <w:rFonts w:ascii="宋体" w:hAnsi="宋体"/>
          <w:color w:val="auto"/>
          <w:szCs w:val="21"/>
        </w:rPr>
      </w:pPr>
      <w:r>
        <w:rPr>
          <w:rFonts w:hint="eastAsia" w:ascii="宋体" w:hAnsi="宋体"/>
          <w:b/>
          <w:color w:val="auto"/>
          <w:szCs w:val="21"/>
        </w:rPr>
        <w:t>1、资格审查：</w:t>
      </w:r>
      <w:r>
        <w:rPr>
          <w:rFonts w:hint="eastAsia" w:ascii="宋体" w:hAnsi="宋体"/>
          <w:color w:val="auto"/>
          <w:szCs w:val="21"/>
        </w:rPr>
        <w:t>本项目采用资格后审方式进行资格审查，参加本次磋商的单位均要通过资格后审才能获得磋商资格。资格审查内容为：见评标办法前附表。</w:t>
      </w:r>
    </w:p>
    <w:p w14:paraId="41B93D47">
      <w:pPr>
        <w:spacing w:line="400" w:lineRule="exact"/>
        <w:ind w:firstLine="420" w:firstLineChars="200"/>
        <w:rPr>
          <w:rFonts w:ascii="宋体" w:hAnsi="宋体"/>
          <w:b/>
          <w:bCs/>
          <w:color w:val="auto"/>
          <w:szCs w:val="21"/>
        </w:rPr>
      </w:pPr>
      <w:r>
        <w:rPr>
          <w:rFonts w:hint="eastAsia" w:ascii="宋体" w:hAnsi="宋体"/>
          <w:b/>
          <w:color w:val="auto"/>
          <w:szCs w:val="21"/>
        </w:rPr>
        <w:t>2、</w:t>
      </w:r>
      <w:r>
        <w:rPr>
          <w:rFonts w:hint="eastAsia" w:ascii="宋体" w:hAnsi="宋体"/>
          <w:b/>
          <w:bCs/>
          <w:color w:val="auto"/>
          <w:szCs w:val="21"/>
        </w:rPr>
        <w:t>详细评审（即综合评审）</w:t>
      </w:r>
    </w:p>
    <w:p w14:paraId="0A8A9A8D">
      <w:pPr>
        <w:snapToGrid w:val="0"/>
        <w:spacing w:line="400" w:lineRule="exact"/>
        <w:ind w:firstLine="420" w:firstLineChars="200"/>
        <w:rPr>
          <w:rFonts w:ascii="宋体" w:hAnsi="宋体"/>
          <w:color w:val="auto"/>
          <w:szCs w:val="21"/>
        </w:rPr>
      </w:pPr>
      <w:r>
        <w:rPr>
          <w:rFonts w:hint="eastAsia" w:ascii="宋体" w:hAnsi="宋体"/>
          <w:color w:val="auto"/>
          <w:szCs w:val="21"/>
        </w:rPr>
        <w:t>各评委根据评标办法中相应的要求进行科学评分。在进行施工组织设计方案文件的评审时，各评委评分的算术平均值为该磋商供应商的最终得分。</w:t>
      </w:r>
    </w:p>
    <w:p w14:paraId="3FA33EC7">
      <w:pPr>
        <w:tabs>
          <w:tab w:val="left" w:pos="180"/>
        </w:tabs>
        <w:snapToGrid w:val="0"/>
        <w:spacing w:line="400" w:lineRule="exact"/>
        <w:ind w:firstLine="420" w:firstLineChars="200"/>
        <w:rPr>
          <w:rFonts w:ascii="宋体" w:hAnsi="宋体"/>
          <w:b/>
          <w:bCs/>
          <w:color w:val="auto"/>
          <w:szCs w:val="21"/>
        </w:rPr>
      </w:pPr>
      <w:r>
        <w:rPr>
          <w:rFonts w:hint="eastAsia" w:ascii="宋体" w:hAnsi="宋体"/>
          <w:b/>
          <w:bCs/>
          <w:color w:val="auto"/>
          <w:szCs w:val="21"/>
        </w:rPr>
        <w:t>3、《响应文件》的澄清与修正</w:t>
      </w:r>
    </w:p>
    <w:p w14:paraId="6FBBE86B">
      <w:pPr>
        <w:snapToGrid w:val="0"/>
        <w:spacing w:line="400" w:lineRule="exact"/>
        <w:ind w:firstLine="420" w:firstLineChars="200"/>
        <w:rPr>
          <w:rFonts w:ascii="宋体" w:hAnsi="宋体"/>
          <w:color w:val="auto"/>
          <w:szCs w:val="21"/>
        </w:rPr>
      </w:pPr>
      <w:r>
        <w:rPr>
          <w:rFonts w:hint="eastAsia" w:ascii="宋体" w:hAnsi="宋体"/>
          <w:color w:val="auto"/>
          <w:szCs w:val="21"/>
        </w:rPr>
        <w:t>3.1为了有助于《响应文件》的审查、评价和比较，磋商小组可以要求磋商供应商澄清其《响应文件》。有关澄清的要求与答复，应以书面形式进行。</w:t>
      </w:r>
      <w:r>
        <w:rPr>
          <w:rFonts w:hint="eastAsia" w:ascii="宋体" w:hAnsi="宋体"/>
          <w:bCs/>
          <w:color w:val="auto"/>
          <w:szCs w:val="21"/>
        </w:rPr>
        <w:t>不按磋商小组要求澄清、说明或补正的，《响应文件》作废标处理。</w:t>
      </w:r>
    </w:p>
    <w:p w14:paraId="77A46F77">
      <w:pPr>
        <w:snapToGrid w:val="0"/>
        <w:spacing w:line="400" w:lineRule="exact"/>
        <w:ind w:firstLine="420" w:firstLineChars="200"/>
        <w:rPr>
          <w:rFonts w:ascii="宋体" w:hAnsi="宋体"/>
          <w:color w:val="auto"/>
          <w:szCs w:val="21"/>
        </w:rPr>
      </w:pPr>
      <w:r>
        <w:rPr>
          <w:rFonts w:hint="eastAsia" w:ascii="宋体" w:hAnsi="宋体"/>
          <w:color w:val="auto"/>
          <w:szCs w:val="21"/>
        </w:rPr>
        <w:t>3.2 《响应文件》计算错误的修正</w:t>
      </w:r>
    </w:p>
    <w:p w14:paraId="08868A8B">
      <w:pPr>
        <w:snapToGrid w:val="0"/>
        <w:spacing w:line="400" w:lineRule="exact"/>
        <w:ind w:firstLine="420" w:firstLineChars="200"/>
        <w:rPr>
          <w:rFonts w:ascii="宋体" w:hAnsi="宋体"/>
          <w:color w:val="auto"/>
          <w:szCs w:val="21"/>
        </w:rPr>
      </w:pPr>
      <w:r>
        <w:rPr>
          <w:rFonts w:hint="eastAsia" w:ascii="宋体" w:hAnsi="宋体"/>
          <w:color w:val="auto"/>
          <w:szCs w:val="21"/>
        </w:rPr>
        <w:t xml:space="preserve">3.2.1 </w:t>
      </w:r>
      <w:r>
        <w:rPr>
          <w:rFonts w:hint="eastAsia" w:ascii="宋体" w:hAnsi="宋体"/>
          <w:bCs/>
          <w:color w:val="auto"/>
          <w:szCs w:val="21"/>
        </w:rPr>
        <w:t>磋商小组</w:t>
      </w:r>
      <w:r>
        <w:rPr>
          <w:rFonts w:hint="eastAsia" w:ascii="宋体" w:hAnsi="宋体"/>
          <w:color w:val="auto"/>
          <w:szCs w:val="21"/>
        </w:rPr>
        <w:t>将对确定为实质上响应《竞争性磋商文件》要求的《响应文件》进行校核，看其是否有计算或表达上的错误，修正错误的原则如下：</w:t>
      </w:r>
    </w:p>
    <w:p w14:paraId="23C20E63">
      <w:pPr>
        <w:snapToGrid w:val="0"/>
        <w:spacing w:line="400" w:lineRule="exact"/>
        <w:ind w:firstLine="420" w:firstLineChars="200"/>
        <w:rPr>
          <w:rFonts w:ascii="宋体" w:hAnsi="宋体"/>
          <w:color w:val="auto"/>
          <w:szCs w:val="21"/>
        </w:rPr>
      </w:pPr>
      <w:r>
        <w:rPr>
          <w:rFonts w:hint="eastAsia" w:ascii="宋体" w:hAnsi="宋体"/>
          <w:color w:val="auto"/>
          <w:szCs w:val="21"/>
        </w:rPr>
        <w:t>（1）如果数字表示的金额和用文字表示的金额不一致时，应以文字表示的金额为准；</w:t>
      </w:r>
    </w:p>
    <w:p w14:paraId="58CC6D0D">
      <w:pPr>
        <w:spacing w:line="400" w:lineRule="exact"/>
        <w:ind w:firstLine="420" w:firstLineChars="200"/>
        <w:rPr>
          <w:rFonts w:ascii="宋体" w:hAnsi="宋体"/>
          <w:color w:val="auto"/>
          <w:szCs w:val="21"/>
        </w:rPr>
      </w:pPr>
      <w:r>
        <w:rPr>
          <w:rFonts w:hint="eastAsia" w:ascii="宋体" w:hAnsi="宋体"/>
          <w:color w:val="auto"/>
          <w:szCs w:val="21"/>
        </w:rPr>
        <w:t>3.2.2 按上述修正错误的原则及方法调整或修正《响应文件》的投标报价，在磋商供应商确认后，调整或修正后的磋商报价对磋商供应商起约束作用。如果磋商供应商不接受调整或修正后的报价，则其《响应文件》将被拒绝并且其磋商保证金也将被没收，并不影响评标工作。</w:t>
      </w:r>
    </w:p>
    <w:p w14:paraId="6A80016A">
      <w:pPr>
        <w:tabs>
          <w:tab w:val="left" w:pos="180"/>
        </w:tabs>
        <w:snapToGrid w:val="0"/>
        <w:spacing w:line="400" w:lineRule="exact"/>
        <w:ind w:firstLine="420" w:firstLineChars="200"/>
        <w:rPr>
          <w:rFonts w:ascii="宋体" w:hAnsi="宋体"/>
          <w:b/>
          <w:bCs/>
          <w:color w:val="auto"/>
          <w:szCs w:val="21"/>
        </w:rPr>
      </w:pPr>
      <w:r>
        <w:rPr>
          <w:rFonts w:hint="eastAsia" w:ascii="宋体" w:hAnsi="宋体"/>
          <w:b/>
          <w:bCs/>
          <w:color w:val="auto"/>
          <w:szCs w:val="21"/>
        </w:rPr>
        <w:t>三、推荐成交候选供应商原则</w:t>
      </w:r>
    </w:p>
    <w:bookmarkEnd w:id="1714"/>
    <w:p w14:paraId="6BD07B2D">
      <w:pPr>
        <w:tabs>
          <w:tab w:val="left" w:pos="4214"/>
        </w:tabs>
        <w:spacing w:line="500" w:lineRule="exact"/>
        <w:ind w:firstLine="420" w:firstLineChars="200"/>
        <w:rPr>
          <w:rFonts w:ascii="宋体" w:hAnsi="宋体" w:cs="宋体"/>
          <w:color w:val="auto"/>
          <w:szCs w:val="21"/>
        </w:rPr>
      </w:pPr>
      <w:r>
        <w:rPr>
          <w:rFonts w:hint="eastAsia" w:ascii="宋体" w:hAnsi="宋体" w:cs="宋体"/>
          <w:color w:val="auto"/>
          <w:szCs w:val="21"/>
        </w:rPr>
        <w:t>1、磋商小组将根据总得分由高到低排列次序并推荐成交候选供应商。（总得分相同的，按照最后报价由低到高的顺序推荐。总得分且最后报价相同的，则按供应商的施工组织设计等方面综合评价择优确定成交候选供应商）。</w:t>
      </w:r>
    </w:p>
    <w:p w14:paraId="14286B00">
      <w:pPr>
        <w:tabs>
          <w:tab w:val="left" w:pos="4214"/>
        </w:tabs>
        <w:spacing w:line="500" w:lineRule="exact"/>
        <w:ind w:firstLine="420" w:firstLineChars="200"/>
        <w:rPr>
          <w:rFonts w:ascii="宋体" w:hAnsi="宋体" w:cs="宋体"/>
          <w:color w:val="auto"/>
          <w:szCs w:val="21"/>
        </w:rPr>
      </w:pPr>
      <w:r>
        <w:rPr>
          <w:rFonts w:hint="eastAsia" w:ascii="宋体" w:hAnsi="宋体" w:cs="宋体"/>
          <w:color w:val="auto"/>
          <w:szCs w:val="21"/>
        </w:rPr>
        <w:t>2、磋商小组确定排名第一的成交候选供应商为成交供应商。</w:t>
      </w:r>
    </w:p>
    <w:p w14:paraId="296316BF">
      <w:pPr>
        <w:spacing w:line="500" w:lineRule="exact"/>
        <w:ind w:firstLine="420" w:firstLineChars="200"/>
        <w:rPr>
          <w:rFonts w:hint="eastAsia" w:ascii="宋体" w:hAnsi="宋体" w:cs="宋体"/>
          <w:color w:val="auto"/>
          <w:szCs w:val="21"/>
        </w:rPr>
      </w:pPr>
      <w:r>
        <w:rPr>
          <w:rFonts w:hint="eastAsia" w:ascii="宋体" w:hAnsi="宋体" w:cs="宋体"/>
          <w:color w:val="auto"/>
          <w:szCs w:val="21"/>
        </w:rPr>
        <w:t>3、排名第一的成交候选供应商放弃成交、因不可抗力提出不能履行合同，或者磋商文件规定应当提交履约保证金而在规定的期限内未能提交的，采购单位可以确定排名第二的成交候选供应商为成交供应商。第二成交候选供应商因前款规定的同样原因不能签订合同的，采购单位可以确定排名第三的成交候选供应商为成交供应商。</w:t>
      </w:r>
    </w:p>
    <w:p w14:paraId="1B84E2CB">
      <w:pPr>
        <w:rPr>
          <w:rFonts w:hint="eastAsia" w:ascii="宋体" w:hAnsi="宋体" w:cs="宋体"/>
          <w:color w:val="auto"/>
          <w:szCs w:val="21"/>
        </w:rPr>
      </w:pPr>
      <w:r>
        <w:rPr>
          <w:rFonts w:hint="eastAsia" w:ascii="宋体" w:hAnsi="宋体" w:cs="宋体"/>
          <w:color w:val="auto"/>
          <w:szCs w:val="21"/>
        </w:rPr>
        <w:br w:type="page"/>
      </w:r>
    </w:p>
    <w:p w14:paraId="24EE24B1">
      <w:pPr>
        <w:jc w:val="left"/>
        <w:outlineLvl w:val="9"/>
        <w:rPr>
          <w:rFonts w:hint="eastAsia" w:ascii="方正小标宋简体" w:hAnsi="方正小标宋简体" w:eastAsia="方正小标宋简体" w:cs="方正小标宋简体"/>
          <w:color w:val="auto"/>
          <w:sz w:val="44"/>
          <w:szCs w:val="44"/>
          <w:lang w:eastAsia="zh-CN"/>
        </w:rPr>
      </w:pPr>
      <w:bookmarkStart w:id="1715" w:name="_Toc11249"/>
      <w:bookmarkStart w:id="1716" w:name="_Toc9555"/>
      <w:r>
        <w:rPr>
          <w:rFonts w:hint="eastAsia" w:ascii="方正小标宋简体" w:hAnsi="方正小标宋简体" w:eastAsia="方正小标宋简体" w:cs="方正小标宋简体"/>
          <w:color w:val="auto"/>
          <w:sz w:val="44"/>
          <w:szCs w:val="44"/>
          <w:lang w:eastAsia="zh-CN"/>
        </w:rPr>
        <w:t>附件：</w:t>
      </w:r>
      <w:bookmarkEnd w:id="1715"/>
      <w:bookmarkEnd w:id="1716"/>
    </w:p>
    <w:p w14:paraId="425A5945">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“政采贷”政策告知函</w:t>
      </w:r>
    </w:p>
    <w:p w14:paraId="42BA92C2">
      <w:pPr>
        <w:keepNext w:val="0"/>
        <w:keepLines w:val="0"/>
        <w:pageBreakBefore w:val="0"/>
        <w:kinsoku/>
        <w:wordWrap/>
        <w:overflowPunct/>
        <w:topLinePunct w:val="0"/>
        <w:autoSpaceDE/>
        <w:autoSpaceDN/>
        <w:bidi w:val="0"/>
        <w:spacing w:line="46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各供应商:</w:t>
      </w:r>
    </w:p>
    <w:p w14:paraId="7AED1151">
      <w:pPr>
        <w:keepNext w:val="0"/>
        <w:keepLines w:val="0"/>
        <w:pageBreakBefore w:val="0"/>
        <w:kinsoku/>
        <w:wordWrap/>
        <w:overflowPunct/>
        <w:topLinePunct w:val="0"/>
        <w:autoSpaceDE/>
        <w:autoSpaceDN/>
        <w:bidi w:val="0"/>
        <w:spacing w:line="46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欢迎贵公司参与贺州市平桂区政府采购活动!</w:t>
      </w:r>
    </w:p>
    <w:p w14:paraId="20D42998">
      <w:pPr>
        <w:keepNext w:val="0"/>
        <w:keepLines w:val="0"/>
        <w:pageBreakBefore w:val="0"/>
        <w:widowControl/>
        <w:kinsoku/>
        <w:wordWrap/>
        <w:overflowPunct/>
        <w:topLinePunct w:val="0"/>
        <w:autoSpaceDE/>
        <w:autoSpaceDN/>
        <w:bidi w:val="0"/>
        <w:adjustRightInd w:val="0"/>
        <w:snapToGrid w:val="0"/>
        <w:spacing w:after="0" w:line="4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采购合同融资是支持中小微企业发展，针对参与政府采购活动的供应商融资难、融资贵问题推出的融资政策。参与政府采购的供应商凭借包括中标（成交）通知书或政府采购合同等在内的相关材料、信息向银行业金融机构申请融资，银行业金融机构依托供应商信用和政府采购信息信誉，为其发放贷款，包括银行业金融机构以供应商的历史中标及履约情况等政府采购信息作为授信参考并发放的贷款。贵公司若成为本次政府采购项目的中标成交供应商，可持政府采购合同</w:t>
      </w:r>
      <w:r>
        <w:rPr>
          <w:rFonts w:hint="eastAsia" w:ascii="仿宋_GB2312" w:hAnsi="仿宋_GB2312" w:eastAsia="仿宋_GB2312" w:cs="仿宋_GB2312"/>
          <w:color w:val="auto"/>
          <w:sz w:val="32"/>
          <w:szCs w:val="32"/>
          <w:lang w:eastAsia="zh-CN"/>
        </w:rPr>
        <w:t>等相关材料</w:t>
      </w:r>
      <w:r>
        <w:rPr>
          <w:rFonts w:hint="eastAsia" w:ascii="仿宋_GB2312" w:hAnsi="仿宋_GB2312" w:eastAsia="仿宋_GB2312" w:cs="仿宋_GB2312"/>
          <w:color w:val="auto"/>
          <w:sz w:val="32"/>
          <w:szCs w:val="32"/>
        </w:rPr>
        <w:t>向金融机构申请贷款，金融机构核实信息，按照双方自愿的原则提供便捷、优惠的贷款服务。</w:t>
      </w:r>
    </w:p>
    <w:p w14:paraId="773189DD">
      <w:pPr>
        <w:keepNext w:val="0"/>
        <w:keepLines w:val="0"/>
        <w:pageBreakBefore w:val="0"/>
        <w:widowControl/>
        <w:kinsoku/>
        <w:wordWrap/>
        <w:overflowPunct/>
        <w:topLinePunct w:val="0"/>
        <w:autoSpaceDE/>
        <w:autoSpaceDN/>
        <w:bidi w:val="0"/>
        <w:adjustRightInd w:val="0"/>
        <w:snapToGrid w:val="0"/>
        <w:spacing w:after="0" w:line="460" w:lineRule="exact"/>
        <w:ind w:left="0" w:leftChars="0" w:right="0" w:rightChars="0" w:firstLine="640" w:firstLineChars="200"/>
        <w:jc w:val="both"/>
        <w:textAlignment w:val="auto"/>
        <w:outlineLvl w:val="9"/>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一、“政采贷”操作流程</w:t>
      </w:r>
    </w:p>
    <w:p w14:paraId="6E68AC8E">
      <w:pPr>
        <w:keepNext w:val="0"/>
        <w:keepLines w:val="0"/>
        <w:pageBreakBefore w:val="0"/>
        <w:widowControl/>
        <w:kinsoku/>
        <w:wordWrap/>
        <w:overflowPunct/>
        <w:topLinePunct w:val="0"/>
        <w:autoSpaceDE/>
        <w:autoSpaceDN/>
        <w:bidi w:val="0"/>
        <w:adjustRightInd w:val="0"/>
        <w:snapToGrid w:val="0"/>
        <w:spacing w:after="0" w:line="460" w:lineRule="exact"/>
        <w:ind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进入“广西政府采购网”（</w:t>
      </w:r>
      <w:r>
        <w:rPr>
          <w:rFonts w:hint="eastAsia" w:ascii="Times New Roman" w:hAnsi="Times New Roman" w:eastAsia="仿宋_GB2312" w:cs="仿宋_GB2312"/>
          <w:color w:val="auto"/>
          <w:sz w:val="32"/>
          <w:szCs w:val="32"/>
          <w:highlight w:val="none"/>
          <w:lang w:eastAsia="zh-CN"/>
        </w:rPr>
        <w:fldChar w:fldCharType="begin"/>
      </w:r>
      <w:r>
        <w:rPr>
          <w:rFonts w:hint="eastAsia" w:ascii="Times New Roman" w:hAnsi="Times New Roman" w:eastAsia="仿宋_GB2312" w:cs="仿宋_GB2312"/>
          <w:color w:val="auto"/>
          <w:sz w:val="32"/>
          <w:szCs w:val="32"/>
          <w:highlight w:val="none"/>
          <w:lang w:eastAsia="zh-CN"/>
        </w:rPr>
        <w:instrText xml:space="preserve"> HYPERLINK "http://zfcg.gxzf.gov.cn/" </w:instrText>
      </w:r>
      <w:r>
        <w:rPr>
          <w:rFonts w:hint="eastAsia" w:ascii="Times New Roman" w:hAnsi="Times New Roman" w:eastAsia="仿宋_GB2312" w:cs="仿宋_GB2312"/>
          <w:color w:val="auto"/>
          <w:sz w:val="32"/>
          <w:szCs w:val="32"/>
          <w:highlight w:val="none"/>
          <w:lang w:eastAsia="zh-CN"/>
        </w:rPr>
        <w:fldChar w:fldCharType="separate"/>
      </w:r>
      <w:r>
        <w:rPr>
          <w:rStyle w:val="60"/>
          <w:rFonts w:hint="eastAsia" w:ascii="Times New Roman" w:hAnsi="Times New Roman" w:eastAsia="仿宋_GB2312" w:cs="仿宋_GB2312"/>
          <w:color w:val="auto"/>
          <w:sz w:val="32"/>
          <w:szCs w:val="32"/>
          <w:highlight w:val="none"/>
          <w:lang w:eastAsia="zh-CN"/>
        </w:rPr>
        <w:t>http</w:t>
      </w:r>
      <w:r>
        <w:rPr>
          <w:rStyle w:val="60"/>
          <w:rFonts w:hint="eastAsia" w:ascii="仿宋_GB2312" w:hAnsi="仿宋_GB2312" w:eastAsia="仿宋_GB2312" w:cs="仿宋_GB2312"/>
          <w:color w:val="auto"/>
          <w:sz w:val="32"/>
          <w:szCs w:val="32"/>
          <w:highlight w:val="none"/>
          <w:lang w:eastAsia="zh-CN"/>
        </w:rPr>
        <w:t>://</w:t>
      </w:r>
      <w:r>
        <w:rPr>
          <w:rStyle w:val="60"/>
          <w:rFonts w:hint="eastAsia" w:ascii="Times New Roman" w:hAnsi="Times New Roman" w:eastAsia="仿宋_GB2312" w:cs="仿宋_GB2312"/>
          <w:color w:val="auto"/>
          <w:sz w:val="32"/>
          <w:szCs w:val="32"/>
          <w:highlight w:val="none"/>
          <w:lang w:eastAsia="zh-CN"/>
        </w:rPr>
        <w:t>zfcg</w:t>
      </w:r>
      <w:r>
        <w:rPr>
          <w:rStyle w:val="60"/>
          <w:rFonts w:hint="eastAsia" w:ascii="仿宋_GB2312" w:hAnsi="仿宋_GB2312" w:eastAsia="仿宋_GB2312" w:cs="仿宋_GB2312"/>
          <w:color w:val="auto"/>
          <w:sz w:val="32"/>
          <w:szCs w:val="32"/>
          <w:highlight w:val="none"/>
          <w:lang w:eastAsia="zh-CN"/>
        </w:rPr>
        <w:t>.</w:t>
      </w:r>
      <w:r>
        <w:rPr>
          <w:rStyle w:val="60"/>
          <w:rFonts w:hint="eastAsia" w:ascii="Times New Roman" w:hAnsi="Times New Roman" w:eastAsia="仿宋_GB2312" w:cs="仿宋_GB2312"/>
          <w:color w:val="auto"/>
          <w:sz w:val="32"/>
          <w:szCs w:val="32"/>
          <w:highlight w:val="none"/>
          <w:lang w:eastAsia="zh-CN"/>
        </w:rPr>
        <w:t>gxzf</w:t>
      </w:r>
      <w:r>
        <w:rPr>
          <w:rStyle w:val="60"/>
          <w:rFonts w:hint="eastAsia" w:ascii="仿宋_GB2312" w:hAnsi="仿宋_GB2312" w:eastAsia="仿宋_GB2312" w:cs="仿宋_GB2312"/>
          <w:color w:val="auto"/>
          <w:sz w:val="32"/>
          <w:szCs w:val="32"/>
          <w:highlight w:val="none"/>
          <w:lang w:eastAsia="zh-CN"/>
        </w:rPr>
        <w:t>.</w:t>
      </w:r>
      <w:r>
        <w:rPr>
          <w:rStyle w:val="60"/>
          <w:rFonts w:hint="eastAsia" w:ascii="Times New Roman" w:hAnsi="Times New Roman" w:eastAsia="仿宋_GB2312" w:cs="仿宋_GB2312"/>
          <w:color w:val="auto"/>
          <w:sz w:val="32"/>
          <w:szCs w:val="32"/>
          <w:highlight w:val="none"/>
          <w:lang w:eastAsia="zh-CN"/>
        </w:rPr>
        <w:t>gov</w:t>
      </w:r>
      <w:r>
        <w:rPr>
          <w:rStyle w:val="60"/>
          <w:rFonts w:hint="eastAsia" w:ascii="仿宋_GB2312" w:hAnsi="仿宋_GB2312" w:eastAsia="仿宋_GB2312" w:cs="仿宋_GB2312"/>
          <w:color w:val="auto"/>
          <w:sz w:val="32"/>
          <w:szCs w:val="32"/>
          <w:highlight w:val="none"/>
          <w:lang w:eastAsia="zh-CN"/>
        </w:rPr>
        <w:t>.</w:t>
      </w:r>
      <w:r>
        <w:rPr>
          <w:rStyle w:val="60"/>
          <w:rFonts w:hint="eastAsia" w:ascii="Times New Roman" w:hAnsi="Times New Roman" w:eastAsia="仿宋_GB2312" w:cs="仿宋_GB2312"/>
          <w:color w:val="auto"/>
          <w:sz w:val="32"/>
          <w:szCs w:val="32"/>
          <w:highlight w:val="none"/>
          <w:lang w:eastAsia="zh-CN"/>
        </w:rPr>
        <w:t>cn</w:t>
      </w:r>
      <w:r>
        <w:rPr>
          <w:rStyle w:val="60"/>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eastAsia="zh-CN"/>
        </w:rPr>
        <w:fldChar w:fldCharType="end"/>
      </w:r>
      <w:r>
        <w:rPr>
          <w:rFonts w:hint="eastAsia" w:ascii="仿宋_GB2312" w:hAnsi="仿宋_GB2312" w:eastAsia="仿宋_GB2312" w:cs="仿宋_GB2312"/>
          <w:color w:val="auto"/>
          <w:sz w:val="32"/>
          <w:szCs w:val="32"/>
          <w:highlight w:val="none"/>
          <w:lang w:eastAsia="zh-CN"/>
        </w:rPr>
        <w:t>）“办事指南”专栏找到“金融融资”板块，进入“广西政府采购金融服务平台”登录，选择试点银行机构进行合同融资预申请。</w:t>
      </w:r>
    </w:p>
    <w:p w14:paraId="2DBBD44B">
      <w:pPr>
        <w:keepNext w:val="0"/>
        <w:keepLines w:val="0"/>
        <w:pageBreakBefore w:val="0"/>
        <w:widowControl/>
        <w:kinsoku/>
        <w:wordWrap/>
        <w:overflowPunct/>
        <w:topLinePunct w:val="0"/>
        <w:autoSpaceDE/>
        <w:autoSpaceDN/>
        <w:bidi w:val="0"/>
        <w:adjustRightInd w:val="0"/>
        <w:snapToGrid w:val="0"/>
        <w:spacing w:after="0" w:line="460" w:lineRule="exact"/>
        <w:ind w:left="0" w:leftChars="0" w:right="0" w:rightChars="0" w:firstLine="640" w:firstLineChars="20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二、</w:t>
      </w:r>
      <w:r>
        <w:rPr>
          <w:rFonts w:hint="eastAsia" w:ascii="黑体" w:hAnsi="黑体" w:eastAsia="黑体" w:cs="黑体"/>
          <w:color w:val="auto"/>
          <w:sz w:val="32"/>
          <w:szCs w:val="32"/>
          <w:lang w:val="en-US" w:eastAsia="zh-CN"/>
        </w:rPr>
        <w:t>承接银行联系方式</w:t>
      </w:r>
    </w:p>
    <w:p w14:paraId="3683DF6B">
      <w:pPr>
        <w:keepNext w:val="0"/>
        <w:keepLines w:val="0"/>
        <w:pageBreakBefore w:val="0"/>
        <w:widowControl/>
        <w:tabs>
          <w:tab w:val="left" w:pos="207"/>
          <w:tab w:val="left" w:pos="2172"/>
        </w:tabs>
        <w:kinsoku/>
        <w:wordWrap/>
        <w:overflowPunct/>
        <w:topLinePunct w:val="0"/>
        <w:autoSpaceDE/>
        <w:autoSpaceDN/>
        <w:bidi w:val="0"/>
        <w:adjustRightInd w:val="0"/>
        <w:snapToGrid w:val="0"/>
        <w:spacing w:after="0" w:line="460" w:lineRule="exact"/>
        <w:jc w:val="left"/>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1.中国建设银行贺州分行</w:t>
      </w:r>
      <w:r>
        <w:rPr>
          <w:rFonts w:hint="eastAsia" w:ascii="仿宋_GB2312" w:hAnsi="仿宋_GB2312" w:eastAsia="仿宋_GB2312" w:cs="仿宋_GB2312"/>
          <w:color w:val="auto"/>
          <w:sz w:val="32"/>
          <w:szCs w:val="32"/>
          <w:lang w:val="en-US" w:eastAsia="zh-CN"/>
        </w:rPr>
        <w:tab/>
      </w:r>
    </w:p>
    <w:tbl>
      <w:tblPr>
        <w:tblStyle w:val="49"/>
        <w:tblpPr w:leftFromText="180" w:rightFromText="180" w:vertAnchor="text" w:horzAnchor="page" w:tblpX="1232" w:tblpY="17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0"/>
        <w:gridCol w:w="1510"/>
        <w:gridCol w:w="1462"/>
        <w:gridCol w:w="2359"/>
        <w:gridCol w:w="2927"/>
      </w:tblGrid>
      <w:tr w14:paraId="527FA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0138" w:type="dxa"/>
            <w:gridSpan w:val="5"/>
            <w:vAlign w:val="bottom"/>
          </w:tcPr>
          <w:p w14:paraId="4EEE5EBF">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both"/>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中国建设银行贺州分行   总协调人：杨宏毅    职务：公司业务部副总经理  手机号码：18077397188</w:t>
            </w:r>
          </w:p>
        </w:tc>
      </w:tr>
      <w:tr w14:paraId="18A3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0" w:type="dxa"/>
          </w:tcPr>
          <w:p w14:paraId="6DAC6A25">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金融机构</w:t>
            </w:r>
          </w:p>
        </w:tc>
        <w:tc>
          <w:tcPr>
            <w:tcW w:w="1510" w:type="dxa"/>
          </w:tcPr>
          <w:p w14:paraId="2B855684">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联系人</w:t>
            </w:r>
          </w:p>
        </w:tc>
        <w:tc>
          <w:tcPr>
            <w:tcW w:w="1462" w:type="dxa"/>
          </w:tcPr>
          <w:p w14:paraId="7DA86F0F">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职务</w:t>
            </w:r>
          </w:p>
        </w:tc>
        <w:tc>
          <w:tcPr>
            <w:tcW w:w="2359" w:type="dxa"/>
          </w:tcPr>
          <w:p w14:paraId="045ABE28">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手机号码</w:t>
            </w:r>
          </w:p>
        </w:tc>
        <w:tc>
          <w:tcPr>
            <w:tcW w:w="2927" w:type="dxa"/>
          </w:tcPr>
          <w:p w14:paraId="07C29122">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银行地址</w:t>
            </w:r>
          </w:p>
        </w:tc>
      </w:tr>
      <w:tr w14:paraId="38FD5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1880" w:type="dxa"/>
            <w:vAlign w:val="center"/>
          </w:tcPr>
          <w:p w14:paraId="07458C81">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中国建设银行贺州平桂支行</w:t>
            </w:r>
          </w:p>
        </w:tc>
        <w:tc>
          <w:tcPr>
            <w:tcW w:w="1510" w:type="dxa"/>
            <w:vAlign w:val="center"/>
          </w:tcPr>
          <w:p w14:paraId="64E5E1A6">
            <w:pPr>
              <w:keepNext w:val="0"/>
              <w:keepLines w:val="0"/>
              <w:pageBreakBefore w:val="0"/>
              <w:widowControl/>
              <w:suppressLineNumbers w:val="0"/>
              <w:kinsoku/>
              <w:wordWrap/>
              <w:overflowPunct/>
              <w:topLinePunct w:val="0"/>
              <w:autoSpaceDE/>
              <w:autoSpaceDN/>
              <w:bidi w:val="0"/>
              <w:spacing w:line="460" w:lineRule="exact"/>
              <w:ind w:firstLine="280" w:firstLineChars="100"/>
              <w:jc w:val="both"/>
              <w:textAlignment w:val="center"/>
              <w:rPr>
                <w:rFonts w:hint="eastAsia" w:ascii="仿宋_GB2312" w:hAnsi="仿宋_GB2312" w:eastAsia="仿宋_GB2312" w:cs="仿宋_GB2312"/>
                <w:i w:val="0"/>
                <w:iCs w:val="0"/>
                <w:color w:val="auto"/>
                <w:sz w:val="28"/>
                <w:szCs w:val="28"/>
                <w:u w:val="none"/>
                <w:lang w:val="en-US" w:eastAsia="zh-CN" w:bidi="ar-SA"/>
              </w:rPr>
            </w:pPr>
            <w:r>
              <w:rPr>
                <w:rFonts w:hint="eastAsia" w:ascii="仿宋_GB2312" w:hAnsi="仿宋_GB2312" w:eastAsia="仿宋_GB2312" w:cs="仿宋_GB2312"/>
                <w:i w:val="0"/>
                <w:iCs w:val="0"/>
                <w:color w:val="auto"/>
                <w:kern w:val="0"/>
                <w:sz w:val="28"/>
                <w:szCs w:val="28"/>
                <w:u w:val="none"/>
                <w:lang w:val="en-US" w:eastAsia="zh-CN" w:bidi="ar"/>
              </w:rPr>
              <w:t>邱 伟</w:t>
            </w:r>
          </w:p>
        </w:tc>
        <w:tc>
          <w:tcPr>
            <w:tcW w:w="1462" w:type="dxa"/>
            <w:vAlign w:val="center"/>
          </w:tcPr>
          <w:p w14:paraId="2D6B6812">
            <w:pPr>
              <w:keepNext w:val="0"/>
              <w:keepLines w:val="0"/>
              <w:pageBreakBefore w:val="0"/>
              <w:widowControl/>
              <w:suppressLineNumbers w:val="0"/>
              <w:kinsoku/>
              <w:wordWrap/>
              <w:overflowPunct/>
              <w:topLinePunct w:val="0"/>
              <w:autoSpaceDE/>
              <w:autoSpaceDN/>
              <w:bidi w:val="0"/>
              <w:spacing w:line="460" w:lineRule="exact"/>
              <w:jc w:val="center"/>
              <w:textAlignment w:val="center"/>
              <w:rPr>
                <w:rFonts w:hint="eastAsia" w:ascii="仿宋_GB2312" w:hAnsi="仿宋_GB2312" w:eastAsia="仿宋_GB2312" w:cs="仿宋_GB2312"/>
                <w:i w:val="0"/>
                <w:iCs w:val="0"/>
                <w:color w:val="auto"/>
                <w:kern w:val="0"/>
                <w:sz w:val="28"/>
                <w:szCs w:val="28"/>
                <w:u w:val="none"/>
                <w:lang w:val="en-US" w:eastAsia="zh-CN" w:bidi="ar"/>
              </w:rPr>
            </w:pPr>
            <w:r>
              <w:rPr>
                <w:rFonts w:hint="eastAsia" w:ascii="仿宋_GB2312" w:hAnsi="仿宋_GB2312" w:eastAsia="仿宋_GB2312" w:cs="仿宋_GB2312"/>
                <w:i w:val="0"/>
                <w:iCs w:val="0"/>
                <w:color w:val="auto"/>
                <w:kern w:val="0"/>
                <w:sz w:val="28"/>
                <w:szCs w:val="28"/>
                <w:u w:val="none"/>
                <w:lang w:val="en-US" w:eastAsia="zh-CN" w:bidi="ar"/>
              </w:rPr>
              <w:t>客户</w:t>
            </w:r>
          </w:p>
          <w:p w14:paraId="78FF3972">
            <w:pPr>
              <w:keepNext w:val="0"/>
              <w:keepLines w:val="0"/>
              <w:pageBreakBefore w:val="0"/>
              <w:widowControl/>
              <w:suppressLineNumbers w:val="0"/>
              <w:kinsoku/>
              <w:wordWrap/>
              <w:overflowPunct/>
              <w:topLinePunct w:val="0"/>
              <w:autoSpaceDE/>
              <w:autoSpaceDN/>
              <w:bidi w:val="0"/>
              <w:spacing w:line="460" w:lineRule="exact"/>
              <w:jc w:val="center"/>
              <w:textAlignment w:val="center"/>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经理</w:t>
            </w:r>
          </w:p>
        </w:tc>
        <w:tc>
          <w:tcPr>
            <w:tcW w:w="2359" w:type="dxa"/>
            <w:vAlign w:val="center"/>
          </w:tcPr>
          <w:p w14:paraId="73C20ADA">
            <w:pPr>
              <w:keepNext w:val="0"/>
              <w:keepLines w:val="0"/>
              <w:pageBreakBefore w:val="0"/>
              <w:widowControl/>
              <w:suppressLineNumbers w:val="0"/>
              <w:kinsoku/>
              <w:wordWrap/>
              <w:overflowPunct/>
              <w:topLinePunct w:val="0"/>
              <w:autoSpaceDE/>
              <w:autoSpaceDN/>
              <w:bidi w:val="0"/>
              <w:spacing w:line="460" w:lineRule="exact"/>
              <w:ind w:firstLine="280" w:firstLineChars="100"/>
              <w:jc w:val="center"/>
              <w:textAlignment w:val="center"/>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18007840720</w:t>
            </w:r>
          </w:p>
        </w:tc>
        <w:tc>
          <w:tcPr>
            <w:tcW w:w="2927" w:type="dxa"/>
            <w:vAlign w:val="bottom"/>
          </w:tcPr>
          <w:p w14:paraId="3A33A872">
            <w:pPr>
              <w:keepNext w:val="0"/>
              <w:keepLines w:val="0"/>
              <w:pageBreakBefore w:val="0"/>
              <w:widowControl/>
              <w:suppressLineNumbers w:val="0"/>
              <w:kinsoku/>
              <w:wordWrap/>
              <w:overflowPunct/>
              <w:topLinePunct w:val="0"/>
              <w:autoSpaceDE/>
              <w:autoSpaceDN/>
              <w:bidi w:val="0"/>
              <w:spacing w:line="460" w:lineRule="exact"/>
              <w:jc w:val="both"/>
              <w:textAlignment w:val="center"/>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i w:val="0"/>
                <w:iCs w:val="0"/>
                <w:color w:val="auto"/>
                <w:kern w:val="0"/>
                <w:sz w:val="28"/>
                <w:szCs w:val="28"/>
                <w:u w:val="none"/>
                <w:lang w:val="en-US" w:eastAsia="zh-CN" w:bidi="ar"/>
              </w:rPr>
              <w:t>贺州市平桂区平桂大道15号富旺小区1号楼105号商铺</w:t>
            </w:r>
          </w:p>
        </w:tc>
      </w:tr>
    </w:tbl>
    <w:p w14:paraId="6CE23F25">
      <w:pPr>
        <w:keepNext w:val="0"/>
        <w:keepLines w:val="0"/>
        <w:pageBreakBefore w:val="0"/>
        <w:widowControl/>
        <w:kinsoku/>
        <w:wordWrap/>
        <w:overflowPunct/>
        <w:topLinePunct w:val="0"/>
        <w:autoSpaceDE/>
        <w:autoSpaceDN/>
        <w:bidi w:val="0"/>
        <w:adjustRightInd w:val="0"/>
        <w:snapToGrid w:val="0"/>
        <w:spacing w:after="0" w:line="460" w:lineRule="exact"/>
        <w:jc w:val="both"/>
        <w:textAlignment w:val="auto"/>
        <w:rPr>
          <w:rFonts w:hint="eastAsia" w:ascii="黑体" w:hAnsi="黑体" w:eastAsia="黑体" w:cs="黑体"/>
          <w:color w:val="auto"/>
          <w:sz w:val="28"/>
          <w:szCs w:val="28"/>
          <w:lang w:val="en-US" w:eastAsia="zh-CN"/>
        </w:rPr>
      </w:pPr>
    </w:p>
    <w:p w14:paraId="47185F71">
      <w:pPr>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br w:type="page"/>
      </w:r>
    </w:p>
    <w:p w14:paraId="66C2B066">
      <w:pPr>
        <w:keepNext w:val="0"/>
        <w:keepLines w:val="0"/>
        <w:pageBreakBefore w:val="0"/>
        <w:widowControl/>
        <w:kinsoku/>
        <w:wordWrap/>
        <w:overflowPunct/>
        <w:topLinePunct w:val="0"/>
        <w:autoSpaceDE/>
        <w:autoSpaceDN/>
        <w:bidi w:val="0"/>
        <w:adjustRightInd w:val="0"/>
        <w:snapToGrid w:val="0"/>
        <w:spacing w:after="0" w:line="460" w:lineRule="exact"/>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2.广西北部湾银行</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5"/>
        <w:gridCol w:w="1290"/>
        <w:gridCol w:w="1215"/>
        <w:gridCol w:w="2130"/>
        <w:gridCol w:w="2588"/>
      </w:tblGrid>
      <w:tr w14:paraId="5D6B7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738" w:type="dxa"/>
            <w:gridSpan w:val="5"/>
            <w:vAlign w:val="bottom"/>
          </w:tcPr>
          <w:p w14:paraId="4F07A049">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both"/>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广西北部湾银行贺州分行    总协调人：杨政     职务：普惠金融部总经理  手机号码：18978413000</w:t>
            </w:r>
          </w:p>
        </w:tc>
      </w:tr>
      <w:tr w14:paraId="4360A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515" w:type="dxa"/>
            <w:vAlign w:val="top"/>
          </w:tcPr>
          <w:p w14:paraId="143921C3">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金融机构</w:t>
            </w:r>
          </w:p>
        </w:tc>
        <w:tc>
          <w:tcPr>
            <w:tcW w:w="1290" w:type="dxa"/>
            <w:vAlign w:val="top"/>
          </w:tcPr>
          <w:p w14:paraId="5939A059">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联系人</w:t>
            </w:r>
          </w:p>
        </w:tc>
        <w:tc>
          <w:tcPr>
            <w:tcW w:w="1215" w:type="dxa"/>
            <w:vAlign w:val="top"/>
          </w:tcPr>
          <w:p w14:paraId="723A9814">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职务</w:t>
            </w:r>
          </w:p>
        </w:tc>
        <w:tc>
          <w:tcPr>
            <w:tcW w:w="2130" w:type="dxa"/>
            <w:vAlign w:val="top"/>
          </w:tcPr>
          <w:p w14:paraId="672E83C9">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手机号码</w:t>
            </w:r>
          </w:p>
        </w:tc>
        <w:tc>
          <w:tcPr>
            <w:tcW w:w="2588" w:type="dxa"/>
            <w:vAlign w:val="top"/>
          </w:tcPr>
          <w:p w14:paraId="5C897B83">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银行地址</w:t>
            </w:r>
          </w:p>
        </w:tc>
      </w:tr>
      <w:tr w14:paraId="65A2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515" w:type="dxa"/>
            <w:vAlign w:val="center"/>
          </w:tcPr>
          <w:p w14:paraId="583FF7DA">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lef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广西北部湾银行贺州市平桂支行</w:t>
            </w:r>
          </w:p>
        </w:tc>
        <w:tc>
          <w:tcPr>
            <w:tcW w:w="1290" w:type="dxa"/>
            <w:vAlign w:val="center"/>
          </w:tcPr>
          <w:p w14:paraId="7CA9D359">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firstLine="280" w:firstLineChars="100"/>
              <w:jc w:val="lef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刘 乐</w:t>
            </w:r>
          </w:p>
        </w:tc>
        <w:tc>
          <w:tcPr>
            <w:tcW w:w="1215" w:type="dxa"/>
            <w:vAlign w:val="center"/>
          </w:tcPr>
          <w:p w14:paraId="7E1BEA29">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lef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公司客户经理</w:t>
            </w:r>
          </w:p>
        </w:tc>
        <w:tc>
          <w:tcPr>
            <w:tcW w:w="2130" w:type="dxa"/>
            <w:vAlign w:val="center"/>
          </w:tcPr>
          <w:p w14:paraId="7F823900">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584" w:leftChars="145" w:hanging="280" w:hangingChars="100"/>
              <w:jc w:val="lef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13036871008</w:t>
            </w:r>
          </w:p>
        </w:tc>
        <w:tc>
          <w:tcPr>
            <w:tcW w:w="2588" w:type="dxa"/>
            <w:vAlign w:val="center"/>
          </w:tcPr>
          <w:p w14:paraId="0F3ED8C2">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both"/>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贺州市平桂区平桂大道4号3号楼103号商铺</w:t>
            </w:r>
          </w:p>
        </w:tc>
      </w:tr>
    </w:tbl>
    <w:p w14:paraId="259F7060">
      <w:pPr>
        <w:keepNext w:val="0"/>
        <w:keepLines w:val="0"/>
        <w:pageBreakBefore w:val="0"/>
        <w:widowControl/>
        <w:kinsoku/>
        <w:wordWrap/>
        <w:overflowPunct/>
        <w:topLinePunct w:val="0"/>
        <w:autoSpaceDE/>
        <w:autoSpaceDN/>
        <w:bidi w:val="0"/>
        <w:adjustRightInd w:val="0"/>
        <w:snapToGrid w:val="0"/>
        <w:spacing w:after="0" w:line="460" w:lineRule="exact"/>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3.广西贺州桂东农村合作银行</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1"/>
        <w:gridCol w:w="1154"/>
        <w:gridCol w:w="1230"/>
        <w:gridCol w:w="2160"/>
        <w:gridCol w:w="2558"/>
      </w:tblGrid>
      <w:tr w14:paraId="5CEE5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3" w:type="dxa"/>
            <w:gridSpan w:val="5"/>
          </w:tcPr>
          <w:p w14:paraId="284D895C">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lef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广西贺州桂东农村合作银行   总协调人：卢士强    职务：授信审批部总经理  手机号码：18077409115</w:t>
            </w:r>
          </w:p>
        </w:tc>
      </w:tr>
      <w:tr w14:paraId="0964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1" w:type="dxa"/>
            <w:vAlign w:val="top"/>
          </w:tcPr>
          <w:p w14:paraId="53D74B88">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金融机构</w:t>
            </w:r>
          </w:p>
        </w:tc>
        <w:tc>
          <w:tcPr>
            <w:tcW w:w="1154" w:type="dxa"/>
            <w:vAlign w:val="top"/>
          </w:tcPr>
          <w:p w14:paraId="7CDC591E">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联系人</w:t>
            </w:r>
          </w:p>
        </w:tc>
        <w:tc>
          <w:tcPr>
            <w:tcW w:w="1230" w:type="dxa"/>
            <w:vAlign w:val="top"/>
          </w:tcPr>
          <w:p w14:paraId="6DE19F46">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职务</w:t>
            </w:r>
          </w:p>
        </w:tc>
        <w:tc>
          <w:tcPr>
            <w:tcW w:w="2160" w:type="dxa"/>
            <w:vAlign w:val="top"/>
          </w:tcPr>
          <w:p w14:paraId="23CE3CF6">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手机号码</w:t>
            </w:r>
          </w:p>
        </w:tc>
        <w:tc>
          <w:tcPr>
            <w:tcW w:w="2558" w:type="dxa"/>
            <w:vAlign w:val="top"/>
          </w:tcPr>
          <w:p w14:paraId="5C212494">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银行地址</w:t>
            </w:r>
          </w:p>
        </w:tc>
      </w:tr>
      <w:tr w14:paraId="7060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1" w:type="dxa"/>
            <w:vAlign w:val="center"/>
          </w:tcPr>
          <w:p w14:paraId="6E7B0F0E">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lef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广西贺州桂东农村合作银行平桂支行</w:t>
            </w:r>
          </w:p>
        </w:tc>
        <w:tc>
          <w:tcPr>
            <w:tcW w:w="1154" w:type="dxa"/>
            <w:vAlign w:val="center"/>
          </w:tcPr>
          <w:p w14:paraId="4005F2A2">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jc w:val="both"/>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古 睿</w:t>
            </w:r>
          </w:p>
        </w:tc>
        <w:tc>
          <w:tcPr>
            <w:tcW w:w="1230" w:type="dxa"/>
            <w:vAlign w:val="center"/>
          </w:tcPr>
          <w:p w14:paraId="640D9858">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信贷副</w:t>
            </w:r>
          </w:p>
          <w:p w14:paraId="72136E38">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行长</w:t>
            </w:r>
          </w:p>
        </w:tc>
        <w:tc>
          <w:tcPr>
            <w:tcW w:w="2160" w:type="dxa"/>
            <w:vAlign w:val="center"/>
          </w:tcPr>
          <w:p w14:paraId="4E769380">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18007840375</w:t>
            </w:r>
          </w:p>
        </w:tc>
        <w:tc>
          <w:tcPr>
            <w:tcW w:w="2558" w:type="dxa"/>
            <w:vAlign w:val="center"/>
          </w:tcPr>
          <w:p w14:paraId="52C2EF88">
            <w:pPr>
              <w:keepNext w:val="0"/>
              <w:keepLines w:val="0"/>
              <w:pageBreakBefore w:val="0"/>
              <w:widowControl/>
              <w:tabs>
                <w:tab w:val="left" w:pos="2172"/>
              </w:tabs>
              <w:kinsoku/>
              <w:wordWrap/>
              <w:overflowPunct/>
              <w:topLinePunct w:val="0"/>
              <w:autoSpaceDE/>
              <w:autoSpaceDN/>
              <w:bidi w:val="0"/>
              <w:adjustRightInd w:val="0"/>
              <w:snapToGrid w:val="0"/>
              <w:spacing w:after="0" w:line="460" w:lineRule="exact"/>
              <w:ind w:left="0" w:leftChars="0" w:firstLine="0" w:firstLineChars="0"/>
              <w:jc w:val="both"/>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贺州市平桂区平桂大道财政局一楼</w:t>
            </w:r>
          </w:p>
        </w:tc>
      </w:tr>
    </w:tbl>
    <w:p w14:paraId="3C166942">
      <w:pPr>
        <w:pStyle w:val="68"/>
        <w:rPr>
          <w:rFonts w:hint="eastAsia"/>
          <w:color w:val="auto"/>
          <w:lang w:eastAsia="zh-CN"/>
        </w:rPr>
      </w:pPr>
    </w:p>
    <w:sectPr>
      <w:pgSz w:w="11850" w:h="16783"/>
      <w:pgMar w:top="1247" w:right="964" w:bottom="1247" w:left="964" w:header="851" w:footer="890"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MS Mincho">
    <w:panose1 w:val="02020609040205080304"/>
    <w:charset w:val="80"/>
    <w:family w:val="modern"/>
    <w:pitch w:val="default"/>
    <w:sig w:usb0="E00002FF" w:usb1="6AC7FDFB" w:usb2="00000012" w:usb3="00000000" w:csb0="4002009F" w:csb1="DFD70000"/>
  </w:font>
  <w:font w:name="MingLiU_HKSCS">
    <w:panose1 w:val="02020500000000000000"/>
    <w:charset w:val="88"/>
    <w:family w:val="roman"/>
    <w:pitch w:val="default"/>
    <w:sig w:usb0="A00002FF" w:usb1="38CFFCFA" w:usb2="00000016" w:usb3="00000000" w:csb0="0010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C53E9">
    <w:pPr>
      <w:pStyle w:val="30"/>
      <w:ind w:right="90"/>
      <w:jc w:val="right"/>
      <w:rPr>
        <w:rFonts w:ascii="宋体" w:hAnsi="宋体"/>
        <w:sz w:val="21"/>
        <w:szCs w:val="21"/>
        <w:u w:val="single"/>
      </w:rPr>
    </w:pPr>
    <w:r>
      <w:rPr>
        <w:rFonts w:hint="eastAsia" w:ascii="宋体" w:hAnsi="宋体"/>
        <w:lang w:eastAsia="zh-CN"/>
      </w:rPr>
      <w:t>广西云泽项目管理有限公司</w:t>
    </w:r>
    <w:r>
      <w:rPr>
        <w:rFonts w:hint="eastAsia" w:ascii="宋体" w:hAnsi="宋体"/>
      </w:rPr>
      <w:t>编制</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88D85">
    <w:pPr>
      <w:pStyle w:val="30"/>
      <w:framePr w:wrap="around" w:vAnchor="text" w:hAnchor="margin" w:xAlign="right" w:y="1"/>
      <w:rPr>
        <w:rStyle w:val="53"/>
      </w:rPr>
    </w:pPr>
    <w:r>
      <w:fldChar w:fldCharType="begin"/>
    </w:r>
    <w:r>
      <w:rPr>
        <w:rStyle w:val="53"/>
      </w:rPr>
      <w:instrText xml:space="preserve">PAGE  </w:instrText>
    </w:r>
    <w:r>
      <w:fldChar w:fldCharType="end"/>
    </w:r>
  </w:p>
  <w:p w14:paraId="414143DE">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7286D">
    <w:pPr>
      <w:pStyle w:val="30"/>
      <w:ind w:right="90"/>
      <w:jc w:val="right"/>
      <w:rPr>
        <w:rFonts w:ascii="宋体" w:hAnsi="宋体"/>
        <w:sz w:val="18"/>
        <w:szCs w:val="18"/>
        <w:u w:val="single"/>
      </w:rPr>
    </w:pPr>
    <w:r>
      <w:rPr>
        <w:rFonts w:hint="eastAsia" w:ascii="宋体" w:hAnsi="宋体"/>
        <w:sz w:val="18"/>
        <w:szCs w:val="18"/>
        <w:lang w:eastAsia="zh-CN"/>
      </w:rPr>
      <w:t>广西云泽项目管理有限公司</w:t>
    </w:r>
    <w:r>
      <w:rPr>
        <w:rFonts w:hint="eastAsia" w:ascii="宋体" w:hAnsi="宋体"/>
        <w:sz w:val="18"/>
        <w:szCs w:val="18"/>
      </w:rPr>
      <w:t>编制</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E4118">
    <w:pPr>
      <w:pStyle w:val="30"/>
      <w:ind w:right="90"/>
      <w:jc w:val="right"/>
      <w:rPr>
        <w:rFonts w:ascii="宋体" w:hAnsi="宋体"/>
        <w:sz w:val="18"/>
        <w:szCs w:val="18"/>
        <w:u w:val="single"/>
      </w:rPr>
    </w:pPr>
    <w:r>
      <w:rPr>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D77D416">
                          <w:pPr>
                            <w:pStyle w:val="3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5D77D416">
                    <w:pPr>
                      <w:pStyle w:val="30"/>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ascii="宋体" w:hAnsi="宋体"/>
        <w:sz w:val="18"/>
        <w:szCs w:val="18"/>
        <w:lang w:eastAsia="zh-CN"/>
      </w:rPr>
      <w:t>广西云泽项目管理有限公司</w:t>
    </w:r>
    <w:r>
      <w:rPr>
        <w:rFonts w:hint="eastAsia" w:ascii="宋体" w:hAnsi="宋体"/>
        <w:sz w:val="18"/>
        <w:szCs w:val="18"/>
      </w:rPr>
      <w:t>编制</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B53E3">
    <w:pPr>
      <w:pStyle w:val="31"/>
      <w:jc w:val="left"/>
      <w:rPr>
        <w:rFonts w:hint="eastAsia" w:eastAsia="宋体"/>
        <w:sz w:val="21"/>
        <w:szCs w:val="21"/>
        <w:lang w:eastAsia="zh-CN"/>
      </w:rPr>
    </w:pPr>
    <w:r>
      <w:rPr>
        <w:rFonts w:hint="eastAsia"/>
        <w:sz w:val="21"/>
        <w:szCs w:val="21"/>
      </w:rPr>
      <w:t>项目名称：</w:t>
    </w:r>
    <w:r>
      <w:rPr>
        <w:rFonts w:hint="eastAsia"/>
        <w:sz w:val="21"/>
        <w:szCs w:val="21"/>
        <w:lang w:eastAsia="zh-CN"/>
      </w:rPr>
      <w:t>平桂区公会镇联合村至双洋村节能照明及主路地下管廊建设工程</w:t>
    </w:r>
  </w:p>
  <w:p w14:paraId="2DA9FF74">
    <w:pPr>
      <w:pStyle w:val="31"/>
      <w:jc w:val="left"/>
      <w:rPr>
        <w:sz w:val="21"/>
        <w:szCs w:val="21"/>
      </w:rPr>
    </w:pPr>
    <w:r>
      <w:rPr>
        <w:rFonts w:hint="eastAsia"/>
        <w:sz w:val="21"/>
        <w:szCs w:val="21"/>
      </w:rPr>
      <w:t>项目编号：HZZC2022-C2-030089-GXJH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1B322">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A6D12">
    <w:pPr>
      <w:pStyle w:val="31"/>
      <w:jc w:val="left"/>
      <w:rPr>
        <w:rFonts w:hint="eastAsia" w:ascii="宋体" w:hAnsi="宋体" w:eastAsia="宋体" w:cs="宋体"/>
        <w:snapToGrid w:val="0"/>
        <w:color w:val="000000"/>
        <w:kern w:val="0"/>
        <w:lang w:eastAsia="zh-CN"/>
      </w:rPr>
    </w:pPr>
    <w:r>
      <w:rPr>
        <w:rFonts w:hint="eastAsia"/>
      </w:rPr>
      <w:t>项目名称：</w:t>
    </w:r>
    <w:r>
      <w:rPr>
        <w:rFonts w:hint="eastAsia"/>
        <w:lang w:eastAsia="zh-CN"/>
      </w:rPr>
      <w:t>平桂区公会镇联合村至双洋村节能照明及主路地下管廊建设工程</w:t>
    </w:r>
    <w:r>
      <w:rPr>
        <w:rFonts w:hint="eastAsia"/>
      </w:rPr>
      <w:t xml:space="preserve">          </w:t>
    </w:r>
    <w:r>
      <w:rPr>
        <w:rFonts w:hint="eastAsia"/>
        <w:lang w:val="en-US" w:eastAsia="zh-CN"/>
      </w:rPr>
      <w:t xml:space="preserve"> </w:t>
    </w:r>
    <w:r>
      <w:rPr>
        <w:rFonts w:hint="eastAsia"/>
      </w:rPr>
      <w:t>项目编号：HZZC2026-C2-030043-GXYZ</w:t>
    </w:r>
  </w:p>
  <w:p w14:paraId="7E9AFBE9">
    <w:pPr>
      <w:tabs>
        <w:tab w:val="left" w:pos="973"/>
      </w:tabs>
      <w:spacing w:line="237" w:lineRule="auto"/>
      <w:rPr>
        <w:rFonts w:ascii="宋体" w:hAnsi="宋体" w:cs="宋体"/>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DEA74D"/>
    <w:multiLevelType w:val="singleLevel"/>
    <w:tmpl w:val="82DEA74D"/>
    <w:lvl w:ilvl="0" w:tentative="0">
      <w:start w:val="1"/>
      <w:numFmt w:val="decimal"/>
      <w:suff w:val="nothing"/>
      <w:lvlText w:val="%1、"/>
      <w:lvlJc w:val="left"/>
    </w:lvl>
  </w:abstractNum>
  <w:abstractNum w:abstractNumId="1">
    <w:nsid w:val="85CB960E"/>
    <w:multiLevelType w:val="singleLevel"/>
    <w:tmpl w:val="85CB960E"/>
    <w:lvl w:ilvl="0" w:tentative="0">
      <w:start w:val="7"/>
      <w:numFmt w:val="chineseCounting"/>
      <w:suff w:val="nothing"/>
      <w:lvlText w:val="%1、"/>
      <w:lvlJc w:val="left"/>
      <w:rPr>
        <w:rFonts w:hint="eastAsia"/>
      </w:rPr>
    </w:lvl>
  </w:abstractNum>
  <w:abstractNum w:abstractNumId="2">
    <w:nsid w:val="B2FD2B48"/>
    <w:multiLevelType w:val="singleLevel"/>
    <w:tmpl w:val="B2FD2B48"/>
    <w:lvl w:ilvl="0" w:tentative="0">
      <w:start w:val="1"/>
      <w:numFmt w:val="decimal"/>
      <w:suff w:val="nothing"/>
      <w:lvlText w:val="（%1）"/>
      <w:lvlJc w:val="left"/>
    </w:lvl>
  </w:abstractNum>
  <w:abstractNum w:abstractNumId="3">
    <w:nsid w:val="C89EAEAC"/>
    <w:multiLevelType w:val="singleLevel"/>
    <w:tmpl w:val="C89EAEAC"/>
    <w:lvl w:ilvl="0" w:tentative="0">
      <w:start w:val="1"/>
      <w:numFmt w:val="decimal"/>
      <w:suff w:val="nothing"/>
      <w:lvlText w:val="（%1）"/>
      <w:lvlJc w:val="left"/>
    </w:lvl>
  </w:abstractNum>
  <w:abstractNum w:abstractNumId="4">
    <w:nsid w:val="C932187E"/>
    <w:multiLevelType w:val="singleLevel"/>
    <w:tmpl w:val="C932187E"/>
    <w:lvl w:ilvl="0" w:tentative="0">
      <w:start w:val="1"/>
      <w:numFmt w:val="chineseCounting"/>
      <w:suff w:val="space"/>
      <w:lvlText w:val="第%1章"/>
      <w:lvlJc w:val="left"/>
      <w:rPr>
        <w:rFonts w:hint="eastAsia"/>
      </w:rPr>
    </w:lvl>
  </w:abstractNum>
  <w:abstractNum w:abstractNumId="5">
    <w:nsid w:val="FC6F0F38"/>
    <w:multiLevelType w:val="singleLevel"/>
    <w:tmpl w:val="FC6F0F38"/>
    <w:lvl w:ilvl="0" w:tentative="0">
      <w:start w:val="2"/>
      <w:numFmt w:val="decimal"/>
      <w:lvlText w:val="%1."/>
      <w:lvlJc w:val="left"/>
      <w:pPr>
        <w:tabs>
          <w:tab w:val="left" w:pos="312"/>
        </w:tabs>
      </w:pPr>
    </w:lvl>
  </w:abstractNum>
  <w:abstractNum w:abstractNumId="6">
    <w:nsid w:val="1BCAB29B"/>
    <w:multiLevelType w:val="singleLevel"/>
    <w:tmpl w:val="1BCAB29B"/>
    <w:lvl w:ilvl="0" w:tentative="0">
      <w:start w:val="27"/>
      <w:numFmt w:val="decimal"/>
      <w:lvlText w:val="%1."/>
      <w:lvlJc w:val="left"/>
      <w:pPr>
        <w:tabs>
          <w:tab w:val="left" w:pos="312"/>
        </w:tabs>
      </w:pPr>
    </w:lvl>
  </w:abstractNum>
  <w:abstractNum w:abstractNumId="7">
    <w:nsid w:val="20189991"/>
    <w:multiLevelType w:val="singleLevel"/>
    <w:tmpl w:val="20189991"/>
    <w:lvl w:ilvl="0" w:tentative="0">
      <w:start w:val="4"/>
      <w:numFmt w:val="decimal"/>
      <w:lvlText w:val="%1."/>
      <w:lvlJc w:val="left"/>
      <w:pPr>
        <w:tabs>
          <w:tab w:val="left" w:pos="312"/>
        </w:tabs>
      </w:pPr>
    </w:lvl>
  </w:abstractNum>
  <w:abstractNum w:abstractNumId="8">
    <w:nsid w:val="2B172B78"/>
    <w:multiLevelType w:val="singleLevel"/>
    <w:tmpl w:val="2B172B78"/>
    <w:lvl w:ilvl="0" w:tentative="0">
      <w:start w:val="2"/>
      <w:numFmt w:val="chineseCounting"/>
      <w:suff w:val="space"/>
      <w:lvlText w:val="第%1部分"/>
      <w:lvlJc w:val="left"/>
      <w:rPr>
        <w:rFonts w:hint="eastAsia"/>
      </w:rPr>
    </w:lvl>
  </w:abstractNum>
  <w:abstractNum w:abstractNumId="9">
    <w:nsid w:val="2C031271"/>
    <w:multiLevelType w:val="singleLevel"/>
    <w:tmpl w:val="2C031271"/>
    <w:lvl w:ilvl="0" w:tentative="0">
      <w:start w:val="1"/>
      <w:numFmt w:val="decimal"/>
      <w:lvlText w:val="%1."/>
      <w:lvlJc w:val="left"/>
      <w:pPr>
        <w:tabs>
          <w:tab w:val="left" w:pos="312"/>
        </w:tabs>
      </w:pPr>
    </w:lvl>
  </w:abstractNum>
  <w:abstractNum w:abstractNumId="10">
    <w:nsid w:val="4E1E67FD"/>
    <w:multiLevelType w:val="singleLevel"/>
    <w:tmpl w:val="4E1E67FD"/>
    <w:lvl w:ilvl="0" w:tentative="0">
      <w:start w:val="1"/>
      <w:numFmt w:val="decimal"/>
      <w:lvlText w:val="(%1)"/>
      <w:lvlJc w:val="left"/>
      <w:pPr>
        <w:tabs>
          <w:tab w:val="left" w:pos="312"/>
        </w:tabs>
      </w:pPr>
    </w:lvl>
  </w:abstractNum>
  <w:abstractNum w:abstractNumId="11">
    <w:nsid w:val="58483E20"/>
    <w:multiLevelType w:val="singleLevel"/>
    <w:tmpl w:val="58483E20"/>
    <w:lvl w:ilvl="0" w:tentative="0">
      <w:start w:val="14"/>
      <w:numFmt w:val="decimal"/>
      <w:suff w:val="space"/>
      <w:lvlText w:val="%1."/>
      <w:lvlJc w:val="left"/>
    </w:lvl>
  </w:abstractNum>
  <w:abstractNum w:abstractNumId="12">
    <w:nsid w:val="621B027D"/>
    <w:multiLevelType w:val="multilevel"/>
    <w:tmpl w:val="621B027D"/>
    <w:lvl w:ilvl="0" w:tentative="0">
      <w:start w:val="1"/>
      <w:numFmt w:val="decimal"/>
      <w:lvlText w:val="(%1)"/>
      <w:lvlJc w:val="left"/>
      <w:pPr>
        <w:tabs>
          <w:tab w:val="left" w:pos="840"/>
        </w:tabs>
        <w:ind w:left="840" w:hanging="420"/>
      </w:pPr>
      <w:rPr>
        <w:rFonts w:hint="eastAsia"/>
        <w:sz w:val="21"/>
        <w:szCs w:val="21"/>
      </w:rPr>
    </w:lvl>
    <w:lvl w:ilvl="1" w:tentative="0">
      <w:start w:val="1"/>
      <w:numFmt w:val="decimal"/>
      <w:lvlText w:val="%2、"/>
      <w:lvlJc w:val="left"/>
      <w:pPr>
        <w:tabs>
          <w:tab w:val="left" w:pos="1200"/>
        </w:tabs>
        <w:ind w:left="1200" w:hanging="360"/>
      </w:pPr>
      <w:rPr>
        <w:rFonts w:hint="default"/>
      </w:rPr>
    </w:lvl>
    <w:lvl w:ilvl="2" w:tentative="0">
      <w:start w:val="16"/>
      <w:numFmt w:val="bullet"/>
      <w:lvlText w:val="★"/>
      <w:lvlJc w:val="left"/>
      <w:pPr>
        <w:tabs>
          <w:tab w:val="left" w:pos="1620"/>
        </w:tabs>
        <w:ind w:left="1620" w:hanging="360"/>
      </w:pPr>
      <w:rPr>
        <w:rFonts w:hint="eastAsia" w:ascii="宋体" w:hAnsi="宋体" w:eastAsia="宋体" w:cs="Times New Roman"/>
      </w:r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3">
    <w:nsid w:val="6EDD6597"/>
    <w:multiLevelType w:val="singleLevel"/>
    <w:tmpl w:val="6EDD6597"/>
    <w:lvl w:ilvl="0" w:tentative="0">
      <w:start w:val="1"/>
      <w:numFmt w:val="decimal"/>
      <w:suff w:val="space"/>
      <w:lvlText w:val="%1."/>
      <w:lvlJc w:val="left"/>
    </w:lvl>
  </w:abstractNum>
  <w:num w:numId="1">
    <w:abstractNumId w:val="4"/>
  </w:num>
  <w:num w:numId="2">
    <w:abstractNumId w:val="1"/>
  </w:num>
  <w:num w:numId="3">
    <w:abstractNumId w:val="7"/>
  </w:num>
  <w:num w:numId="4">
    <w:abstractNumId w:val="9"/>
  </w:num>
  <w:num w:numId="5">
    <w:abstractNumId w:val="2"/>
  </w:num>
  <w:num w:numId="6">
    <w:abstractNumId w:val="12"/>
  </w:num>
  <w:num w:numId="7">
    <w:abstractNumId w:val="10"/>
  </w:num>
  <w:num w:numId="8">
    <w:abstractNumId w:val="6"/>
  </w:num>
  <w:num w:numId="9">
    <w:abstractNumId w:val="8"/>
  </w:num>
  <w:num w:numId="10">
    <w:abstractNumId w:val="13"/>
  </w:num>
  <w:num w:numId="11">
    <w:abstractNumId w:val="11"/>
  </w:num>
  <w:num w:numId="12">
    <w:abstractNumId w:val="5"/>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0ZDUyMmI4YTY2ZTgyODA3Njg3NWJiZWNmYTkwZTAifQ=="/>
  </w:docVars>
  <w:rsids>
    <w:rsidRoot w:val="431B3150"/>
    <w:rsid w:val="000A583A"/>
    <w:rsid w:val="000E5390"/>
    <w:rsid w:val="000E6BE6"/>
    <w:rsid w:val="000F46A3"/>
    <w:rsid w:val="00147173"/>
    <w:rsid w:val="00184221"/>
    <w:rsid w:val="00192579"/>
    <w:rsid w:val="001938CA"/>
    <w:rsid w:val="001942CA"/>
    <w:rsid w:val="001C387A"/>
    <w:rsid w:val="001E023D"/>
    <w:rsid w:val="00204D8D"/>
    <w:rsid w:val="00210EC7"/>
    <w:rsid w:val="00227846"/>
    <w:rsid w:val="0026538F"/>
    <w:rsid w:val="002922F4"/>
    <w:rsid w:val="0029260F"/>
    <w:rsid w:val="002E5449"/>
    <w:rsid w:val="002E741D"/>
    <w:rsid w:val="003255B6"/>
    <w:rsid w:val="003654A5"/>
    <w:rsid w:val="00371604"/>
    <w:rsid w:val="0037738B"/>
    <w:rsid w:val="003946E7"/>
    <w:rsid w:val="003963CB"/>
    <w:rsid w:val="00396ED9"/>
    <w:rsid w:val="00397894"/>
    <w:rsid w:val="00403DB3"/>
    <w:rsid w:val="004321CC"/>
    <w:rsid w:val="00447701"/>
    <w:rsid w:val="0046176F"/>
    <w:rsid w:val="00481DEF"/>
    <w:rsid w:val="004B5B6B"/>
    <w:rsid w:val="004E74CD"/>
    <w:rsid w:val="004F2C92"/>
    <w:rsid w:val="005339DD"/>
    <w:rsid w:val="005460CC"/>
    <w:rsid w:val="005675C5"/>
    <w:rsid w:val="00576793"/>
    <w:rsid w:val="005854DB"/>
    <w:rsid w:val="005935FC"/>
    <w:rsid w:val="005C30BD"/>
    <w:rsid w:val="005D5B5F"/>
    <w:rsid w:val="005D7C5D"/>
    <w:rsid w:val="005F7D62"/>
    <w:rsid w:val="006134A2"/>
    <w:rsid w:val="006148AD"/>
    <w:rsid w:val="0067308E"/>
    <w:rsid w:val="006D7404"/>
    <w:rsid w:val="006F7312"/>
    <w:rsid w:val="006F798B"/>
    <w:rsid w:val="00716BD4"/>
    <w:rsid w:val="0073473F"/>
    <w:rsid w:val="007507F1"/>
    <w:rsid w:val="007537E7"/>
    <w:rsid w:val="00764E20"/>
    <w:rsid w:val="00764F7C"/>
    <w:rsid w:val="00783F61"/>
    <w:rsid w:val="007A00C0"/>
    <w:rsid w:val="007D55EE"/>
    <w:rsid w:val="007D58AE"/>
    <w:rsid w:val="008218C0"/>
    <w:rsid w:val="0082214A"/>
    <w:rsid w:val="00846AB7"/>
    <w:rsid w:val="00863E56"/>
    <w:rsid w:val="008A0878"/>
    <w:rsid w:val="008A1291"/>
    <w:rsid w:val="008E28B1"/>
    <w:rsid w:val="00912DBE"/>
    <w:rsid w:val="00915132"/>
    <w:rsid w:val="00916D2E"/>
    <w:rsid w:val="00944D1D"/>
    <w:rsid w:val="009C79CD"/>
    <w:rsid w:val="009C7C1F"/>
    <w:rsid w:val="009F276B"/>
    <w:rsid w:val="00A3103B"/>
    <w:rsid w:val="00A42194"/>
    <w:rsid w:val="00A44352"/>
    <w:rsid w:val="00A62F03"/>
    <w:rsid w:val="00A975F3"/>
    <w:rsid w:val="00AD6E3B"/>
    <w:rsid w:val="00AE5359"/>
    <w:rsid w:val="00AE6BC9"/>
    <w:rsid w:val="00B00229"/>
    <w:rsid w:val="00B02F71"/>
    <w:rsid w:val="00B169B5"/>
    <w:rsid w:val="00B32339"/>
    <w:rsid w:val="00B6331A"/>
    <w:rsid w:val="00B66881"/>
    <w:rsid w:val="00B66CA6"/>
    <w:rsid w:val="00B71903"/>
    <w:rsid w:val="00B75461"/>
    <w:rsid w:val="00B77BAF"/>
    <w:rsid w:val="00B83EC1"/>
    <w:rsid w:val="00BA11D5"/>
    <w:rsid w:val="00BB1176"/>
    <w:rsid w:val="00BB239B"/>
    <w:rsid w:val="00BB6769"/>
    <w:rsid w:val="00BB6CBD"/>
    <w:rsid w:val="00BE0161"/>
    <w:rsid w:val="00C03418"/>
    <w:rsid w:val="00C06F35"/>
    <w:rsid w:val="00C2098E"/>
    <w:rsid w:val="00C260FC"/>
    <w:rsid w:val="00C61027"/>
    <w:rsid w:val="00CA662D"/>
    <w:rsid w:val="00CD0A84"/>
    <w:rsid w:val="00CE1EDE"/>
    <w:rsid w:val="00D013D4"/>
    <w:rsid w:val="00D33331"/>
    <w:rsid w:val="00D601E6"/>
    <w:rsid w:val="00D93197"/>
    <w:rsid w:val="00D953EC"/>
    <w:rsid w:val="00D9579C"/>
    <w:rsid w:val="00DE6005"/>
    <w:rsid w:val="00E01B73"/>
    <w:rsid w:val="00E02C7A"/>
    <w:rsid w:val="00E23735"/>
    <w:rsid w:val="00E345F9"/>
    <w:rsid w:val="00E43420"/>
    <w:rsid w:val="00E43562"/>
    <w:rsid w:val="00E95BB6"/>
    <w:rsid w:val="00EA3391"/>
    <w:rsid w:val="00EB04A8"/>
    <w:rsid w:val="00EC63DE"/>
    <w:rsid w:val="00EF0D38"/>
    <w:rsid w:val="00F26AA1"/>
    <w:rsid w:val="00F460B2"/>
    <w:rsid w:val="00F46885"/>
    <w:rsid w:val="00F8605C"/>
    <w:rsid w:val="00FD19AD"/>
    <w:rsid w:val="00FE00F1"/>
    <w:rsid w:val="00FE7080"/>
    <w:rsid w:val="010F43CF"/>
    <w:rsid w:val="010F5FE2"/>
    <w:rsid w:val="013E6345"/>
    <w:rsid w:val="01510D91"/>
    <w:rsid w:val="015E1378"/>
    <w:rsid w:val="01712B58"/>
    <w:rsid w:val="01732FB3"/>
    <w:rsid w:val="018E7F8D"/>
    <w:rsid w:val="021B4271"/>
    <w:rsid w:val="021C4F4B"/>
    <w:rsid w:val="021E110F"/>
    <w:rsid w:val="021F0ED1"/>
    <w:rsid w:val="0228604D"/>
    <w:rsid w:val="025B30F8"/>
    <w:rsid w:val="02732751"/>
    <w:rsid w:val="02901E05"/>
    <w:rsid w:val="02910441"/>
    <w:rsid w:val="02A75804"/>
    <w:rsid w:val="02AC0ABD"/>
    <w:rsid w:val="02B37ED6"/>
    <w:rsid w:val="02CB6880"/>
    <w:rsid w:val="02CF2660"/>
    <w:rsid w:val="02D752BA"/>
    <w:rsid w:val="02DA018C"/>
    <w:rsid w:val="02DB1135"/>
    <w:rsid w:val="02F60B92"/>
    <w:rsid w:val="030229A5"/>
    <w:rsid w:val="03073BD8"/>
    <w:rsid w:val="038A0F5C"/>
    <w:rsid w:val="038F0666"/>
    <w:rsid w:val="03994F4E"/>
    <w:rsid w:val="03A52EF2"/>
    <w:rsid w:val="03B52281"/>
    <w:rsid w:val="03BD679A"/>
    <w:rsid w:val="03E513A6"/>
    <w:rsid w:val="04025A79"/>
    <w:rsid w:val="041B70C4"/>
    <w:rsid w:val="04453E55"/>
    <w:rsid w:val="047948EC"/>
    <w:rsid w:val="047E311D"/>
    <w:rsid w:val="0488552C"/>
    <w:rsid w:val="04C23D52"/>
    <w:rsid w:val="051518EF"/>
    <w:rsid w:val="0521531D"/>
    <w:rsid w:val="05577D8B"/>
    <w:rsid w:val="057523EE"/>
    <w:rsid w:val="05875732"/>
    <w:rsid w:val="05BD29CF"/>
    <w:rsid w:val="05BE1120"/>
    <w:rsid w:val="060C2EBB"/>
    <w:rsid w:val="06415C54"/>
    <w:rsid w:val="06595497"/>
    <w:rsid w:val="06C95EDE"/>
    <w:rsid w:val="06FD746A"/>
    <w:rsid w:val="072C591E"/>
    <w:rsid w:val="076D0ECF"/>
    <w:rsid w:val="077568E0"/>
    <w:rsid w:val="07906755"/>
    <w:rsid w:val="07963C8B"/>
    <w:rsid w:val="07A94B5D"/>
    <w:rsid w:val="07BC46FF"/>
    <w:rsid w:val="07BC49C1"/>
    <w:rsid w:val="07C27992"/>
    <w:rsid w:val="07CB5F01"/>
    <w:rsid w:val="07D93375"/>
    <w:rsid w:val="07DD4C5D"/>
    <w:rsid w:val="080374BA"/>
    <w:rsid w:val="08415506"/>
    <w:rsid w:val="08553CEE"/>
    <w:rsid w:val="0860559E"/>
    <w:rsid w:val="087728B5"/>
    <w:rsid w:val="08A5245F"/>
    <w:rsid w:val="08A54CD2"/>
    <w:rsid w:val="08E144CF"/>
    <w:rsid w:val="09150178"/>
    <w:rsid w:val="093056E2"/>
    <w:rsid w:val="09656872"/>
    <w:rsid w:val="098C3ADE"/>
    <w:rsid w:val="09981DD6"/>
    <w:rsid w:val="09C03FB0"/>
    <w:rsid w:val="09DE1E60"/>
    <w:rsid w:val="09E22B15"/>
    <w:rsid w:val="09EB2195"/>
    <w:rsid w:val="0A0855DF"/>
    <w:rsid w:val="0A203224"/>
    <w:rsid w:val="0A323A7B"/>
    <w:rsid w:val="0A421BF4"/>
    <w:rsid w:val="0A4B25DC"/>
    <w:rsid w:val="0A5A428B"/>
    <w:rsid w:val="0AA70ADC"/>
    <w:rsid w:val="0AD57C4B"/>
    <w:rsid w:val="0ADE7A8F"/>
    <w:rsid w:val="0B0333A3"/>
    <w:rsid w:val="0B0A635A"/>
    <w:rsid w:val="0B144F2B"/>
    <w:rsid w:val="0B1536C0"/>
    <w:rsid w:val="0B4E39F7"/>
    <w:rsid w:val="0B643590"/>
    <w:rsid w:val="0B66416A"/>
    <w:rsid w:val="0B721FDD"/>
    <w:rsid w:val="0B7314D5"/>
    <w:rsid w:val="0BB07C71"/>
    <w:rsid w:val="0BEE5A66"/>
    <w:rsid w:val="0BF9008B"/>
    <w:rsid w:val="0BFA6FD1"/>
    <w:rsid w:val="0C373216"/>
    <w:rsid w:val="0C3E7E08"/>
    <w:rsid w:val="0C406B21"/>
    <w:rsid w:val="0C6915E0"/>
    <w:rsid w:val="0CEE7400"/>
    <w:rsid w:val="0D1333E0"/>
    <w:rsid w:val="0D1462F4"/>
    <w:rsid w:val="0D1C2527"/>
    <w:rsid w:val="0D324D94"/>
    <w:rsid w:val="0D363981"/>
    <w:rsid w:val="0DB40D43"/>
    <w:rsid w:val="0DB71BE3"/>
    <w:rsid w:val="0DBC70F1"/>
    <w:rsid w:val="0E0722AE"/>
    <w:rsid w:val="0E2F3A82"/>
    <w:rsid w:val="0E44027A"/>
    <w:rsid w:val="0E53028D"/>
    <w:rsid w:val="0E5D3349"/>
    <w:rsid w:val="0E857647"/>
    <w:rsid w:val="0E905815"/>
    <w:rsid w:val="0EA271EC"/>
    <w:rsid w:val="0ECD528C"/>
    <w:rsid w:val="0EE61D33"/>
    <w:rsid w:val="0EE70E8E"/>
    <w:rsid w:val="0EE81876"/>
    <w:rsid w:val="0F0A282B"/>
    <w:rsid w:val="0F470702"/>
    <w:rsid w:val="0F515C5A"/>
    <w:rsid w:val="0F6D3AD1"/>
    <w:rsid w:val="0FA42666"/>
    <w:rsid w:val="0FD2057A"/>
    <w:rsid w:val="0FD571EC"/>
    <w:rsid w:val="108522C5"/>
    <w:rsid w:val="109C55C2"/>
    <w:rsid w:val="10A36CEB"/>
    <w:rsid w:val="10DA2622"/>
    <w:rsid w:val="11240204"/>
    <w:rsid w:val="11A23E24"/>
    <w:rsid w:val="11AF3192"/>
    <w:rsid w:val="11D44407"/>
    <w:rsid w:val="11F4325E"/>
    <w:rsid w:val="122B23DB"/>
    <w:rsid w:val="12432BED"/>
    <w:rsid w:val="128A57C3"/>
    <w:rsid w:val="12921F42"/>
    <w:rsid w:val="12B2792E"/>
    <w:rsid w:val="12C33517"/>
    <w:rsid w:val="12D45BC9"/>
    <w:rsid w:val="12E5148C"/>
    <w:rsid w:val="13375F7C"/>
    <w:rsid w:val="133B072C"/>
    <w:rsid w:val="139A144D"/>
    <w:rsid w:val="13D80628"/>
    <w:rsid w:val="13E62DBC"/>
    <w:rsid w:val="141C07D5"/>
    <w:rsid w:val="14237CCA"/>
    <w:rsid w:val="14505136"/>
    <w:rsid w:val="146F1A40"/>
    <w:rsid w:val="14776EFE"/>
    <w:rsid w:val="147B5855"/>
    <w:rsid w:val="14904A9F"/>
    <w:rsid w:val="14AD2FB9"/>
    <w:rsid w:val="14B4689D"/>
    <w:rsid w:val="14DA11D6"/>
    <w:rsid w:val="14FA43F4"/>
    <w:rsid w:val="14FE7D0A"/>
    <w:rsid w:val="15312467"/>
    <w:rsid w:val="15442DDA"/>
    <w:rsid w:val="157A4E72"/>
    <w:rsid w:val="15801337"/>
    <w:rsid w:val="159C20F2"/>
    <w:rsid w:val="15A14DEA"/>
    <w:rsid w:val="15A52288"/>
    <w:rsid w:val="15B37428"/>
    <w:rsid w:val="15C16A04"/>
    <w:rsid w:val="15D17694"/>
    <w:rsid w:val="15E622AE"/>
    <w:rsid w:val="15F455B0"/>
    <w:rsid w:val="15FC2035"/>
    <w:rsid w:val="162006D2"/>
    <w:rsid w:val="162114BD"/>
    <w:rsid w:val="163B35AF"/>
    <w:rsid w:val="16497123"/>
    <w:rsid w:val="169541A1"/>
    <w:rsid w:val="16DF0663"/>
    <w:rsid w:val="170279F1"/>
    <w:rsid w:val="170711DD"/>
    <w:rsid w:val="171E6442"/>
    <w:rsid w:val="174357EB"/>
    <w:rsid w:val="176D51CA"/>
    <w:rsid w:val="177D1E82"/>
    <w:rsid w:val="17830C7D"/>
    <w:rsid w:val="179B2596"/>
    <w:rsid w:val="17EA0A1A"/>
    <w:rsid w:val="17EB2521"/>
    <w:rsid w:val="17FC09DB"/>
    <w:rsid w:val="18406853"/>
    <w:rsid w:val="18410550"/>
    <w:rsid w:val="184A630F"/>
    <w:rsid w:val="18902AC0"/>
    <w:rsid w:val="18A36F04"/>
    <w:rsid w:val="18C633D3"/>
    <w:rsid w:val="18F92709"/>
    <w:rsid w:val="190711B8"/>
    <w:rsid w:val="191B4643"/>
    <w:rsid w:val="1929549B"/>
    <w:rsid w:val="193713E3"/>
    <w:rsid w:val="19446B85"/>
    <w:rsid w:val="195C7B85"/>
    <w:rsid w:val="19CC7E03"/>
    <w:rsid w:val="19D86A17"/>
    <w:rsid w:val="19DA3387"/>
    <w:rsid w:val="19F4305A"/>
    <w:rsid w:val="1A1C02B0"/>
    <w:rsid w:val="1A53371E"/>
    <w:rsid w:val="1A580897"/>
    <w:rsid w:val="1A59708B"/>
    <w:rsid w:val="1A5C344B"/>
    <w:rsid w:val="1A761580"/>
    <w:rsid w:val="1A886D43"/>
    <w:rsid w:val="1AC54D70"/>
    <w:rsid w:val="1AFB42ED"/>
    <w:rsid w:val="1B1656CF"/>
    <w:rsid w:val="1B1A4796"/>
    <w:rsid w:val="1B1A5B25"/>
    <w:rsid w:val="1B4E306E"/>
    <w:rsid w:val="1B631D4E"/>
    <w:rsid w:val="1B662947"/>
    <w:rsid w:val="1B677C92"/>
    <w:rsid w:val="1B837D67"/>
    <w:rsid w:val="1B9F0E54"/>
    <w:rsid w:val="1BCD65A0"/>
    <w:rsid w:val="1C127C1D"/>
    <w:rsid w:val="1C2E4F86"/>
    <w:rsid w:val="1C330BCB"/>
    <w:rsid w:val="1C3B6CE8"/>
    <w:rsid w:val="1C422BD3"/>
    <w:rsid w:val="1C526437"/>
    <w:rsid w:val="1C751ABE"/>
    <w:rsid w:val="1C7840B1"/>
    <w:rsid w:val="1C8745E6"/>
    <w:rsid w:val="1C8E3E2E"/>
    <w:rsid w:val="1C8F7072"/>
    <w:rsid w:val="1C92728F"/>
    <w:rsid w:val="1CB74342"/>
    <w:rsid w:val="1CBC5B9E"/>
    <w:rsid w:val="1CC70E5A"/>
    <w:rsid w:val="1CC826ED"/>
    <w:rsid w:val="1CC858AA"/>
    <w:rsid w:val="1CE4446C"/>
    <w:rsid w:val="1CFB6772"/>
    <w:rsid w:val="1D012DC8"/>
    <w:rsid w:val="1D2A50FE"/>
    <w:rsid w:val="1D473FC4"/>
    <w:rsid w:val="1D750D86"/>
    <w:rsid w:val="1DA55ED4"/>
    <w:rsid w:val="1DCD16C2"/>
    <w:rsid w:val="1DEA1AED"/>
    <w:rsid w:val="1DEC7B59"/>
    <w:rsid w:val="1DF545FF"/>
    <w:rsid w:val="1E132584"/>
    <w:rsid w:val="1E1D1B02"/>
    <w:rsid w:val="1E211AF4"/>
    <w:rsid w:val="1E2D414F"/>
    <w:rsid w:val="1E7C3880"/>
    <w:rsid w:val="1EA3020C"/>
    <w:rsid w:val="1EBC02B7"/>
    <w:rsid w:val="1EC21DA9"/>
    <w:rsid w:val="1EC428AC"/>
    <w:rsid w:val="1EEB6780"/>
    <w:rsid w:val="1F0F1A50"/>
    <w:rsid w:val="1F3F4D79"/>
    <w:rsid w:val="1FA928B8"/>
    <w:rsid w:val="1FAF33D0"/>
    <w:rsid w:val="1FD61FB0"/>
    <w:rsid w:val="1FE97514"/>
    <w:rsid w:val="200709D9"/>
    <w:rsid w:val="200A5C3C"/>
    <w:rsid w:val="203370CC"/>
    <w:rsid w:val="203D48DF"/>
    <w:rsid w:val="2042635B"/>
    <w:rsid w:val="204949D4"/>
    <w:rsid w:val="20567420"/>
    <w:rsid w:val="2069588E"/>
    <w:rsid w:val="20786BE9"/>
    <w:rsid w:val="208257CE"/>
    <w:rsid w:val="208A1D0B"/>
    <w:rsid w:val="208C4B5A"/>
    <w:rsid w:val="20A03B82"/>
    <w:rsid w:val="20B3324D"/>
    <w:rsid w:val="20B74704"/>
    <w:rsid w:val="20DB5C6F"/>
    <w:rsid w:val="2122049F"/>
    <w:rsid w:val="21251B33"/>
    <w:rsid w:val="21437AE8"/>
    <w:rsid w:val="214D0AB3"/>
    <w:rsid w:val="217A0435"/>
    <w:rsid w:val="218775AB"/>
    <w:rsid w:val="2188729D"/>
    <w:rsid w:val="21B77545"/>
    <w:rsid w:val="21BA022A"/>
    <w:rsid w:val="21BD48B9"/>
    <w:rsid w:val="21C42C5D"/>
    <w:rsid w:val="21CE69EC"/>
    <w:rsid w:val="21D431C3"/>
    <w:rsid w:val="21D75B28"/>
    <w:rsid w:val="21E1157B"/>
    <w:rsid w:val="21E9116E"/>
    <w:rsid w:val="21F33F8B"/>
    <w:rsid w:val="22047B62"/>
    <w:rsid w:val="220C503A"/>
    <w:rsid w:val="22432FD4"/>
    <w:rsid w:val="22637F74"/>
    <w:rsid w:val="226A7BB5"/>
    <w:rsid w:val="227350E1"/>
    <w:rsid w:val="227A2DCD"/>
    <w:rsid w:val="227D3355"/>
    <w:rsid w:val="22811AD1"/>
    <w:rsid w:val="228150C7"/>
    <w:rsid w:val="22851D24"/>
    <w:rsid w:val="22996C92"/>
    <w:rsid w:val="22CD66D0"/>
    <w:rsid w:val="22DF6B31"/>
    <w:rsid w:val="22F476EF"/>
    <w:rsid w:val="23055B61"/>
    <w:rsid w:val="23111068"/>
    <w:rsid w:val="23242C16"/>
    <w:rsid w:val="233B32F2"/>
    <w:rsid w:val="23417E1B"/>
    <w:rsid w:val="23503C84"/>
    <w:rsid w:val="238846BF"/>
    <w:rsid w:val="23A3588C"/>
    <w:rsid w:val="23AA7239"/>
    <w:rsid w:val="23BB3004"/>
    <w:rsid w:val="23C7681E"/>
    <w:rsid w:val="24082174"/>
    <w:rsid w:val="24145594"/>
    <w:rsid w:val="24381C76"/>
    <w:rsid w:val="24513B95"/>
    <w:rsid w:val="24531BE4"/>
    <w:rsid w:val="245E60EA"/>
    <w:rsid w:val="24945841"/>
    <w:rsid w:val="249F3629"/>
    <w:rsid w:val="25060596"/>
    <w:rsid w:val="25097325"/>
    <w:rsid w:val="25292606"/>
    <w:rsid w:val="25580E26"/>
    <w:rsid w:val="257F343A"/>
    <w:rsid w:val="25A062B3"/>
    <w:rsid w:val="25A93B8E"/>
    <w:rsid w:val="25F95738"/>
    <w:rsid w:val="261D222D"/>
    <w:rsid w:val="263C430E"/>
    <w:rsid w:val="26584507"/>
    <w:rsid w:val="26A61651"/>
    <w:rsid w:val="26CA20A0"/>
    <w:rsid w:val="26CC4D9A"/>
    <w:rsid w:val="26CF5C04"/>
    <w:rsid w:val="26DC7985"/>
    <w:rsid w:val="26E8451F"/>
    <w:rsid w:val="26FE033B"/>
    <w:rsid w:val="271B54EF"/>
    <w:rsid w:val="2723127F"/>
    <w:rsid w:val="27330B47"/>
    <w:rsid w:val="2735298E"/>
    <w:rsid w:val="27597B64"/>
    <w:rsid w:val="27796A8A"/>
    <w:rsid w:val="278860CF"/>
    <w:rsid w:val="27A140D3"/>
    <w:rsid w:val="27C873ED"/>
    <w:rsid w:val="27DB0EE6"/>
    <w:rsid w:val="27F33DF7"/>
    <w:rsid w:val="27F426C8"/>
    <w:rsid w:val="27F83A99"/>
    <w:rsid w:val="283A5429"/>
    <w:rsid w:val="28450962"/>
    <w:rsid w:val="284A1F5D"/>
    <w:rsid w:val="284B7EE7"/>
    <w:rsid w:val="28605BD0"/>
    <w:rsid w:val="28664D86"/>
    <w:rsid w:val="286E51BD"/>
    <w:rsid w:val="287A1C4C"/>
    <w:rsid w:val="28E1506C"/>
    <w:rsid w:val="292C4BDC"/>
    <w:rsid w:val="29431FF9"/>
    <w:rsid w:val="295807BB"/>
    <w:rsid w:val="296C6763"/>
    <w:rsid w:val="296D189C"/>
    <w:rsid w:val="29745A9F"/>
    <w:rsid w:val="2990340C"/>
    <w:rsid w:val="299D7047"/>
    <w:rsid w:val="29CF7CBC"/>
    <w:rsid w:val="29D3130E"/>
    <w:rsid w:val="2A040E61"/>
    <w:rsid w:val="2A0B7E6D"/>
    <w:rsid w:val="2A13200D"/>
    <w:rsid w:val="2A221ED3"/>
    <w:rsid w:val="2A3B381A"/>
    <w:rsid w:val="2A8736BE"/>
    <w:rsid w:val="2A93499D"/>
    <w:rsid w:val="2AC603DE"/>
    <w:rsid w:val="2AE6082F"/>
    <w:rsid w:val="2B010556"/>
    <w:rsid w:val="2B026E96"/>
    <w:rsid w:val="2B0674C1"/>
    <w:rsid w:val="2B1321DC"/>
    <w:rsid w:val="2B30560E"/>
    <w:rsid w:val="2B400334"/>
    <w:rsid w:val="2B445780"/>
    <w:rsid w:val="2B4C758A"/>
    <w:rsid w:val="2B633D6E"/>
    <w:rsid w:val="2B6C4A0B"/>
    <w:rsid w:val="2BE92768"/>
    <w:rsid w:val="2BED16F8"/>
    <w:rsid w:val="2C1D027F"/>
    <w:rsid w:val="2C6D4CDD"/>
    <w:rsid w:val="2C6F5E1F"/>
    <w:rsid w:val="2C755243"/>
    <w:rsid w:val="2C7C4EE5"/>
    <w:rsid w:val="2C876C23"/>
    <w:rsid w:val="2C9F5B89"/>
    <w:rsid w:val="2CE72985"/>
    <w:rsid w:val="2CFB5B68"/>
    <w:rsid w:val="2D1C4591"/>
    <w:rsid w:val="2D286ADB"/>
    <w:rsid w:val="2D8B0FF1"/>
    <w:rsid w:val="2DA70645"/>
    <w:rsid w:val="2DE971E2"/>
    <w:rsid w:val="2DF53318"/>
    <w:rsid w:val="2E116E66"/>
    <w:rsid w:val="2E1D6EDE"/>
    <w:rsid w:val="2E220AB6"/>
    <w:rsid w:val="2E2A3561"/>
    <w:rsid w:val="2E2D5F9E"/>
    <w:rsid w:val="2E3B6C3B"/>
    <w:rsid w:val="2E3D4C27"/>
    <w:rsid w:val="2E50759F"/>
    <w:rsid w:val="2E5A5CE3"/>
    <w:rsid w:val="2E774352"/>
    <w:rsid w:val="2EC66A23"/>
    <w:rsid w:val="2ECE06FE"/>
    <w:rsid w:val="2F334578"/>
    <w:rsid w:val="2F5109A4"/>
    <w:rsid w:val="2F546A4D"/>
    <w:rsid w:val="2F5E6B8C"/>
    <w:rsid w:val="2F631BC5"/>
    <w:rsid w:val="2F6B042A"/>
    <w:rsid w:val="2F700DF1"/>
    <w:rsid w:val="2F916997"/>
    <w:rsid w:val="2FB601D0"/>
    <w:rsid w:val="2FBF4699"/>
    <w:rsid w:val="2FE573AB"/>
    <w:rsid w:val="301471FC"/>
    <w:rsid w:val="30245D01"/>
    <w:rsid w:val="30265D71"/>
    <w:rsid w:val="304D7130"/>
    <w:rsid w:val="30682984"/>
    <w:rsid w:val="306D2235"/>
    <w:rsid w:val="309F2E19"/>
    <w:rsid w:val="30EF2A10"/>
    <w:rsid w:val="30F019A9"/>
    <w:rsid w:val="30F76722"/>
    <w:rsid w:val="31132550"/>
    <w:rsid w:val="311D0750"/>
    <w:rsid w:val="313F4D9A"/>
    <w:rsid w:val="314A36B4"/>
    <w:rsid w:val="3161595D"/>
    <w:rsid w:val="317E4255"/>
    <w:rsid w:val="3184602D"/>
    <w:rsid w:val="319C6943"/>
    <w:rsid w:val="31AD66FD"/>
    <w:rsid w:val="31B21D95"/>
    <w:rsid w:val="31B96AA6"/>
    <w:rsid w:val="31DF34F0"/>
    <w:rsid w:val="31EE0D17"/>
    <w:rsid w:val="31FC7ADB"/>
    <w:rsid w:val="3221596B"/>
    <w:rsid w:val="32222E7F"/>
    <w:rsid w:val="322F17B7"/>
    <w:rsid w:val="325A6FC8"/>
    <w:rsid w:val="33255513"/>
    <w:rsid w:val="33283607"/>
    <w:rsid w:val="336A17DF"/>
    <w:rsid w:val="336D27D3"/>
    <w:rsid w:val="33762B88"/>
    <w:rsid w:val="338565A5"/>
    <w:rsid w:val="338E4505"/>
    <w:rsid w:val="33AD0AAD"/>
    <w:rsid w:val="33FC056B"/>
    <w:rsid w:val="34133F4C"/>
    <w:rsid w:val="34176FDD"/>
    <w:rsid w:val="34186F72"/>
    <w:rsid w:val="34195674"/>
    <w:rsid w:val="34246EDC"/>
    <w:rsid w:val="346C5CA1"/>
    <w:rsid w:val="34793796"/>
    <w:rsid w:val="34A04E07"/>
    <w:rsid w:val="34DB1E65"/>
    <w:rsid w:val="34E24C33"/>
    <w:rsid w:val="34E25912"/>
    <w:rsid w:val="34F3029F"/>
    <w:rsid w:val="34F74832"/>
    <w:rsid w:val="351013A8"/>
    <w:rsid w:val="351940B0"/>
    <w:rsid w:val="3531020B"/>
    <w:rsid w:val="35364074"/>
    <w:rsid w:val="355E4683"/>
    <w:rsid w:val="35A07E22"/>
    <w:rsid w:val="35E53C1A"/>
    <w:rsid w:val="360302A9"/>
    <w:rsid w:val="36041F50"/>
    <w:rsid w:val="360A4309"/>
    <w:rsid w:val="361976C3"/>
    <w:rsid w:val="361E08B4"/>
    <w:rsid w:val="362463DF"/>
    <w:rsid w:val="3638711E"/>
    <w:rsid w:val="364B4CD7"/>
    <w:rsid w:val="36572F64"/>
    <w:rsid w:val="36674C84"/>
    <w:rsid w:val="366B28CE"/>
    <w:rsid w:val="367819C0"/>
    <w:rsid w:val="36EB5BF2"/>
    <w:rsid w:val="371A1ED1"/>
    <w:rsid w:val="3729787B"/>
    <w:rsid w:val="372D4055"/>
    <w:rsid w:val="374A73ED"/>
    <w:rsid w:val="374C74AC"/>
    <w:rsid w:val="37596EB2"/>
    <w:rsid w:val="3761641C"/>
    <w:rsid w:val="37641FEB"/>
    <w:rsid w:val="376E1EFB"/>
    <w:rsid w:val="377E78FE"/>
    <w:rsid w:val="37CF0FD9"/>
    <w:rsid w:val="37F073C9"/>
    <w:rsid w:val="381559D1"/>
    <w:rsid w:val="381C1B69"/>
    <w:rsid w:val="381C6932"/>
    <w:rsid w:val="386023AC"/>
    <w:rsid w:val="38B8462D"/>
    <w:rsid w:val="38BE13DB"/>
    <w:rsid w:val="38C33D5C"/>
    <w:rsid w:val="38C43921"/>
    <w:rsid w:val="38CB2C57"/>
    <w:rsid w:val="38D17DB3"/>
    <w:rsid w:val="38DD1BC1"/>
    <w:rsid w:val="38F511B0"/>
    <w:rsid w:val="38F864C1"/>
    <w:rsid w:val="391336F3"/>
    <w:rsid w:val="396D4CB7"/>
    <w:rsid w:val="39CA407F"/>
    <w:rsid w:val="3A126618"/>
    <w:rsid w:val="3A4D15EB"/>
    <w:rsid w:val="3A876423"/>
    <w:rsid w:val="3AB421E7"/>
    <w:rsid w:val="3AC64035"/>
    <w:rsid w:val="3AD47F64"/>
    <w:rsid w:val="3AEA6895"/>
    <w:rsid w:val="3B060213"/>
    <w:rsid w:val="3B0931F8"/>
    <w:rsid w:val="3B097A32"/>
    <w:rsid w:val="3B30693B"/>
    <w:rsid w:val="3B4C32CD"/>
    <w:rsid w:val="3B5E1D06"/>
    <w:rsid w:val="3BAA25AB"/>
    <w:rsid w:val="3BCD08D5"/>
    <w:rsid w:val="3BD97860"/>
    <w:rsid w:val="3BF97445"/>
    <w:rsid w:val="3C0D6F5C"/>
    <w:rsid w:val="3C28777B"/>
    <w:rsid w:val="3C775FC8"/>
    <w:rsid w:val="3CC022CE"/>
    <w:rsid w:val="3CE225EA"/>
    <w:rsid w:val="3CE24EAA"/>
    <w:rsid w:val="3CF4761C"/>
    <w:rsid w:val="3D004621"/>
    <w:rsid w:val="3D122352"/>
    <w:rsid w:val="3D192AA5"/>
    <w:rsid w:val="3D3906E0"/>
    <w:rsid w:val="3D404023"/>
    <w:rsid w:val="3D484466"/>
    <w:rsid w:val="3D4E79E6"/>
    <w:rsid w:val="3D695218"/>
    <w:rsid w:val="3D7E1270"/>
    <w:rsid w:val="3D957D7E"/>
    <w:rsid w:val="3DAB5207"/>
    <w:rsid w:val="3DC212DD"/>
    <w:rsid w:val="3DCE1AC2"/>
    <w:rsid w:val="3DD03B65"/>
    <w:rsid w:val="3DD37FEC"/>
    <w:rsid w:val="3DEE2762"/>
    <w:rsid w:val="3DF5283C"/>
    <w:rsid w:val="3DFF292D"/>
    <w:rsid w:val="3E236E55"/>
    <w:rsid w:val="3E4A0A14"/>
    <w:rsid w:val="3E5324BC"/>
    <w:rsid w:val="3E734463"/>
    <w:rsid w:val="3E991E30"/>
    <w:rsid w:val="3E99447C"/>
    <w:rsid w:val="3EAF3CA0"/>
    <w:rsid w:val="3EC74FD8"/>
    <w:rsid w:val="3F292150"/>
    <w:rsid w:val="3F3423F7"/>
    <w:rsid w:val="3F4C2599"/>
    <w:rsid w:val="3F7A30D9"/>
    <w:rsid w:val="3FCB386C"/>
    <w:rsid w:val="3FE10A2A"/>
    <w:rsid w:val="3FEB3166"/>
    <w:rsid w:val="4005779A"/>
    <w:rsid w:val="40077FD7"/>
    <w:rsid w:val="40110E1B"/>
    <w:rsid w:val="40363A3A"/>
    <w:rsid w:val="403657E9"/>
    <w:rsid w:val="40410D61"/>
    <w:rsid w:val="40880BFA"/>
    <w:rsid w:val="40AA542D"/>
    <w:rsid w:val="40B27D42"/>
    <w:rsid w:val="40D46C24"/>
    <w:rsid w:val="40D5031E"/>
    <w:rsid w:val="40DD11B1"/>
    <w:rsid w:val="40EA0F95"/>
    <w:rsid w:val="40EC23F8"/>
    <w:rsid w:val="41070804"/>
    <w:rsid w:val="411E1BAD"/>
    <w:rsid w:val="41246C1D"/>
    <w:rsid w:val="41417D67"/>
    <w:rsid w:val="41556D77"/>
    <w:rsid w:val="415F78F5"/>
    <w:rsid w:val="419304EB"/>
    <w:rsid w:val="41A47355"/>
    <w:rsid w:val="41AB0C0C"/>
    <w:rsid w:val="41AC3D91"/>
    <w:rsid w:val="41C430DD"/>
    <w:rsid w:val="41C51421"/>
    <w:rsid w:val="41E23D2A"/>
    <w:rsid w:val="422E3F0C"/>
    <w:rsid w:val="42653193"/>
    <w:rsid w:val="428C098D"/>
    <w:rsid w:val="42B06238"/>
    <w:rsid w:val="42BC71DD"/>
    <w:rsid w:val="42EB5D13"/>
    <w:rsid w:val="431B161F"/>
    <w:rsid w:val="431B3150"/>
    <w:rsid w:val="432D0F3D"/>
    <w:rsid w:val="434F476D"/>
    <w:rsid w:val="43716B39"/>
    <w:rsid w:val="4376196D"/>
    <w:rsid w:val="437B23A2"/>
    <w:rsid w:val="43A62258"/>
    <w:rsid w:val="43C52CE9"/>
    <w:rsid w:val="43C542E7"/>
    <w:rsid w:val="43EB2023"/>
    <w:rsid w:val="44053A18"/>
    <w:rsid w:val="440C2621"/>
    <w:rsid w:val="44286EF0"/>
    <w:rsid w:val="444A6201"/>
    <w:rsid w:val="444E3969"/>
    <w:rsid w:val="446E3444"/>
    <w:rsid w:val="447F2700"/>
    <w:rsid w:val="44F34738"/>
    <w:rsid w:val="450C30C1"/>
    <w:rsid w:val="450F36BC"/>
    <w:rsid w:val="453440B9"/>
    <w:rsid w:val="45380EEC"/>
    <w:rsid w:val="45BA1C5F"/>
    <w:rsid w:val="45DF1A0C"/>
    <w:rsid w:val="45E2649C"/>
    <w:rsid w:val="45EC2CDD"/>
    <w:rsid w:val="45F624B2"/>
    <w:rsid w:val="46026227"/>
    <w:rsid w:val="460E6BC6"/>
    <w:rsid w:val="462D0958"/>
    <w:rsid w:val="463B528E"/>
    <w:rsid w:val="463C4B2E"/>
    <w:rsid w:val="466220A0"/>
    <w:rsid w:val="46845C84"/>
    <w:rsid w:val="46AC64DE"/>
    <w:rsid w:val="46B571C0"/>
    <w:rsid w:val="46B94085"/>
    <w:rsid w:val="46E70B37"/>
    <w:rsid w:val="46E90904"/>
    <w:rsid w:val="46FD31FB"/>
    <w:rsid w:val="470B2D93"/>
    <w:rsid w:val="472D2B16"/>
    <w:rsid w:val="472F5E58"/>
    <w:rsid w:val="473B5852"/>
    <w:rsid w:val="4754407A"/>
    <w:rsid w:val="47556D3E"/>
    <w:rsid w:val="47755093"/>
    <w:rsid w:val="479A7B66"/>
    <w:rsid w:val="479A7EA7"/>
    <w:rsid w:val="47B41CA6"/>
    <w:rsid w:val="47C00C39"/>
    <w:rsid w:val="47C47222"/>
    <w:rsid w:val="47E81C34"/>
    <w:rsid w:val="4812452D"/>
    <w:rsid w:val="4839166B"/>
    <w:rsid w:val="4841673B"/>
    <w:rsid w:val="485A5DA1"/>
    <w:rsid w:val="48894FF4"/>
    <w:rsid w:val="48914606"/>
    <w:rsid w:val="48E33D07"/>
    <w:rsid w:val="48F919B1"/>
    <w:rsid w:val="48FE1C8E"/>
    <w:rsid w:val="490E61A1"/>
    <w:rsid w:val="491D50F4"/>
    <w:rsid w:val="494A0352"/>
    <w:rsid w:val="49C06738"/>
    <w:rsid w:val="49CF0180"/>
    <w:rsid w:val="49D70D45"/>
    <w:rsid w:val="49F9518C"/>
    <w:rsid w:val="4A3661D0"/>
    <w:rsid w:val="4A3E685E"/>
    <w:rsid w:val="4A4857B3"/>
    <w:rsid w:val="4A506F08"/>
    <w:rsid w:val="4A54254B"/>
    <w:rsid w:val="4A5B122B"/>
    <w:rsid w:val="4A986188"/>
    <w:rsid w:val="4AAF0D17"/>
    <w:rsid w:val="4AC7490F"/>
    <w:rsid w:val="4AEC19C9"/>
    <w:rsid w:val="4AF40C8C"/>
    <w:rsid w:val="4B0C7BF8"/>
    <w:rsid w:val="4B3913B6"/>
    <w:rsid w:val="4B6F6273"/>
    <w:rsid w:val="4B7033C1"/>
    <w:rsid w:val="4BA318E2"/>
    <w:rsid w:val="4BB113E9"/>
    <w:rsid w:val="4BB71830"/>
    <w:rsid w:val="4BFC452E"/>
    <w:rsid w:val="4C421637"/>
    <w:rsid w:val="4C450062"/>
    <w:rsid w:val="4C7344BE"/>
    <w:rsid w:val="4C7A5A5B"/>
    <w:rsid w:val="4C8C73CE"/>
    <w:rsid w:val="4C990605"/>
    <w:rsid w:val="4CB46ABA"/>
    <w:rsid w:val="4CB86758"/>
    <w:rsid w:val="4CC97F4D"/>
    <w:rsid w:val="4CF318E9"/>
    <w:rsid w:val="4D0E60AF"/>
    <w:rsid w:val="4D197F32"/>
    <w:rsid w:val="4D1A3053"/>
    <w:rsid w:val="4D4B2C63"/>
    <w:rsid w:val="4D5D426D"/>
    <w:rsid w:val="4D5E468E"/>
    <w:rsid w:val="4D746CD8"/>
    <w:rsid w:val="4D801A08"/>
    <w:rsid w:val="4D890873"/>
    <w:rsid w:val="4DC31516"/>
    <w:rsid w:val="4DC82B8E"/>
    <w:rsid w:val="4DFC001D"/>
    <w:rsid w:val="4E14737C"/>
    <w:rsid w:val="4E390CA3"/>
    <w:rsid w:val="4E432638"/>
    <w:rsid w:val="4E4522EF"/>
    <w:rsid w:val="4E6C58CE"/>
    <w:rsid w:val="4E6E18E4"/>
    <w:rsid w:val="4E736BEF"/>
    <w:rsid w:val="4E8407C0"/>
    <w:rsid w:val="4EB90B45"/>
    <w:rsid w:val="4EF15467"/>
    <w:rsid w:val="4EF23FB1"/>
    <w:rsid w:val="4F3C67C6"/>
    <w:rsid w:val="4F5B1333"/>
    <w:rsid w:val="4F9B578A"/>
    <w:rsid w:val="4FA841F2"/>
    <w:rsid w:val="4FB25A88"/>
    <w:rsid w:val="4FD20AA0"/>
    <w:rsid w:val="4FE42133"/>
    <w:rsid w:val="5007249F"/>
    <w:rsid w:val="500E2412"/>
    <w:rsid w:val="501200D5"/>
    <w:rsid w:val="50156172"/>
    <w:rsid w:val="503304DD"/>
    <w:rsid w:val="50541E93"/>
    <w:rsid w:val="50717643"/>
    <w:rsid w:val="509B494D"/>
    <w:rsid w:val="50B9474C"/>
    <w:rsid w:val="50DE7355"/>
    <w:rsid w:val="50E96E23"/>
    <w:rsid w:val="512978FE"/>
    <w:rsid w:val="51502F0F"/>
    <w:rsid w:val="51627BA7"/>
    <w:rsid w:val="51752176"/>
    <w:rsid w:val="51755C30"/>
    <w:rsid w:val="517B6174"/>
    <w:rsid w:val="51B5269E"/>
    <w:rsid w:val="51B85C65"/>
    <w:rsid w:val="51BA22D2"/>
    <w:rsid w:val="51BB1571"/>
    <w:rsid w:val="51CF7F71"/>
    <w:rsid w:val="51DC0CC0"/>
    <w:rsid w:val="51F81AE0"/>
    <w:rsid w:val="521006CF"/>
    <w:rsid w:val="521273EF"/>
    <w:rsid w:val="522154D7"/>
    <w:rsid w:val="525E72CD"/>
    <w:rsid w:val="52A15BF0"/>
    <w:rsid w:val="52AE43C7"/>
    <w:rsid w:val="52C63793"/>
    <w:rsid w:val="52D96C12"/>
    <w:rsid w:val="52DC6BD6"/>
    <w:rsid w:val="52EC56F1"/>
    <w:rsid w:val="52FE69C4"/>
    <w:rsid w:val="53055FDE"/>
    <w:rsid w:val="53157358"/>
    <w:rsid w:val="534B3E00"/>
    <w:rsid w:val="53526694"/>
    <w:rsid w:val="536B5C0C"/>
    <w:rsid w:val="537474CC"/>
    <w:rsid w:val="539219AD"/>
    <w:rsid w:val="53FC3441"/>
    <w:rsid w:val="54095716"/>
    <w:rsid w:val="540E4F17"/>
    <w:rsid w:val="5425170C"/>
    <w:rsid w:val="54333A58"/>
    <w:rsid w:val="54473660"/>
    <w:rsid w:val="54475507"/>
    <w:rsid w:val="5453362B"/>
    <w:rsid w:val="545B53B5"/>
    <w:rsid w:val="54617825"/>
    <w:rsid w:val="546C70C7"/>
    <w:rsid w:val="54BE7CEF"/>
    <w:rsid w:val="54F90306"/>
    <w:rsid w:val="55027786"/>
    <w:rsid w:val="551001EE"/>
    <w:rsid w:val="55165BD1"/>
    <w:rsid w:val="557800F9"/>
    <w:rsid w:val="5590336F"/>
    <w:rsid w:val="55A80492"/>
    <w:rsid w:val="55EC58B0"/>
    <w:rsid w:val="55F45560"/>
    <w:rsid w:val="55FD133D"/>
    <w:rsid w:val="563B1413"/>
    <w:rsid w:val="564C4930"/>
    <w:rsid w:val="56951840"/>
    <w:rsid w:val="569A0457"/>
    <w:rsid w:val="56AD149F"/>
    <w:rsid w:val="56AD3DDC"/>
    <w:rsid w:val="56DF222E"/>
    <w:rsid w:val="56E228AD"/>
    <w:rsid w:val="57210593"/>
    <w:rsid w:val="5724302A"/>
    <w:rsid w:val="57635A67"/>
    <w:rsid w:val="576F7780"/>
    <w:rsid w:val="57760786"/>
    <w:rsid w:val="577C5E86"/>
    <w:rsid w:val="57950D74"/>
    <w:rsid w:val="579E01EB"/>
    <w:rsid w:val="57A97082"/>
    <w:rsid w:val="57DC0ABA"/>
    <w:rsid w:val="57E7336B"/>
    <w:rsid w:val="57F14DE1"/>
    <w:rsid w:val="582B308E"/>
    <w:rsid w:val="583078E1"/>
    <w:rsid w:val="583D4A6D"/>
    <w:rsid w:val="58482CED"/>
    <w:rsid w:val="585F108A"/>
    <w:rsid w:val="589208FF"/>
    <w:rsid w:val="58EC2414"/>
    <w:rsid w:val="590654F0"/>
    <w:rsid w:val="59814FD1"/>
    <w:rsid w:val="59936051"/>
    <w:rsid w:val="599C0C57"/>
    <w:rsid w:val="59B00DE5"/>
    <w:rsid w:val="59C53D82"/>
    <w:rsid w:val="59EF38A2"/>
    <w:rsid w:val="59F17B06"/>
    <w:rsid w:val="5A022307"/>
    <w:rsid w:val="5A25561B"/>
    <w:rsid w:val="5A2A6B6D"/>
    <w:rsid w:val="5A336AC1"/>
    <w:rsid w:val="5A516919"/>
    <w:rsid w:val="5A543883"/>
    <w:rsid w:val="5AEB30DF"/>
    <w:rsid w:val="5AF06F6D"/>
    <w:rsid w:val="5AF4287F"/>
    <w:rsid w:val="5B0E53A3"/>
    <w:rsid w:val="5B162139"/>
    <w:rsid w:val="5B255C05"/>
    <w:rsid w:val="5B733364"/>
    <w:rsid w:val="5B920779"/>
    <w:rsid w:val="5BB11FDB"/>
    <w:rsid w:val="5BC3190F"/>
    <w:rsid w:val="5BC80289"/>
    <w:rsid w:val="5BCE70F4"/>
    <w:rsid w:val="5C1860DA"/>
    <w:rsid w:val="5C2A5C11"/>
    <w:rsid w:val="5C6863F1"/>
    <w:rsid w:val="5C8303EE"/>
    <w:rsid w:val="5C855502"/>
    <w:rsid w:val="5CC30ADE"/>
    <w:rsid w:val="5D0F4FED"/>
    <w:rsid w:val="5D2050CC"/>
    <w:rsid w:val="5D952C65"/>
    <w:rsid w:val="5DB4234F"/>
    <w:rsid w:val="5DD30A3B"/>
    <w:rsid w:val="5E724EDA"/>
    <w:rsid w:val="5E8F4115"/>
    <w:rsid w:val="5E935F5E"/>
    <w:rsid w:val="5EAA1002"/>
    <w:rsid w:val="5EC25FFA"/>
    <w:rsid w:val="5F1F713C"/>
    <w:rsid w:val="5F6C7267"/>
    <w:rsid w:val="5F705E6E"/>
    <w:rsid w:val="5F8A3587"/>
    <w:rsid w:val="5FBA1A15"/>
    <w:rsid w:val="5FD25BA0"/>
    <w:rsid w:val="5FE0127C"/>
    <w:rsid w:val="5FE94095"/>
    <w:rsid w:val="5FED17BB"/>
    <w:rsid w:val="601F5C42"/>
    <w:rsid w:val="60256599"/>
    <w:rsid w:val="602E614B"/>
    <w:rsid w:val="60922C1B"/>
    <w:rsid w:val="60952B14"/>
    <w:rsid w:val="609B0963"/>
    <w:rsid w:val="609B64E7"/>
    <w:rsid w:val="60AA2973"/>
    <w:rsid w:val="60B31FF5"/>
    <w:rsid w:val="60C22BBA"/>
    <w:rsid w:val="60D619A0"/>
    <w:rsid w:val="60E41BF1"/>
    <w:rsid w:val="611676B3"/>
    <w:rsid w:val="61303A07"/>
    <w:rsid w:val="61954DC6"/>
    <w:rsid w:val="61A33053"/>
    <w:rsid w:val="61A70E98"/>
    <w:rsid w:val="61C61EB3"/>
    <w:rsid w:val="61C95FF5"/>
    <w:rsid w:val="61D90263"/>
    <w:rsid w:val="624A3B38"/>
    <w:rsid w:val="625306BE"/>
    <w:rsid w:val="62671915"/>
    <w:rsid w:val="62675A58"/>
    <w:rsid w:val="627955F6"/>
    <w:rsid w:val="62796FF0"/>
    <w:rsid w:val="62B960CF"/>
    <w:rsid w:val="62E17600"/>
    <w:rsid w:val="62EA2BFF"/>
    <w:rsid w:val="63084A49"/>
    <w:rsid w:val="6337664F"/>
    <w:rsid w:val="63383ED6"/>
    <w:rsid w:val="6338494C"/>
    <w:rsid w:val="633C7337"/>
    <w:rsid w:val="63775C96"/>
    <w:rsid w:val="637E4F78"/>
    <w:rsid w:val="638929FF"/>
    <w:rsid w:val="63A11ED6"/>
    <w:rsid w:val="63A60F1D"/>
    <w:rsid w:val="64011BAD"/>
    <w:rsid w:val="64061DE2"/>
    <w:rsid w:val="642E732A"/>
    <w:rsid w:val="64471DF2"/>
    <w:rsid w:val="645A7DDA"/>
    <w:rsid w:val="646F3B94"/>
    <w:rsid w:val="6490034D"/>
    <w:rsid w:val="649C5180"/>
    <w:rsid w:val="64D67A48"/>
    <w:rsid w:val="64F06AB3"/>
    <w:rsid w:val="65137EA5"/>
    <w:rsid w:val="65276BAC"/>
    <w:rsid w:val="656578F0"/>
    <w:rsid w:val="65845966"/>
    <w:rsid w:val="65A438ED"/>
    <w:rsid w:val="65DF7E31"/>
    <w:rsid w:val="65FE0525"/>
    <w:rsid w:val="66040C2B"/>
    <w:rsid w:val="660F6F92"/>
    <w:rsid w:val="661C2807"/>
    <w:rsid w:val="661C540A"/>
    <w:rsid w:val="66494E5D"/>
    <w:rsid w:val="664D393D"/>
    <w:rsid w:val="665C09B1"/>
    <w:rsid w:val="666B0F2C"/>
    <w:rsid w:val="66777740"/>
    <w:rsid w:val="668A6A2F"/>
    <w:rsid w:val="669E4476"/>
    <w:rsid w:val="66CB5C45"/>
    <w:rsid w:val="66F1525C"/>
    <w:rsid w:val="66F238E5"/>
    <w:rsid w:val="6729363F"/>
    <w:rsid w:val="677C44FA"/>
    <w:rsid w:val="67B607E5"/>
    <w:rsid w:val="67D21DC4"/>
    <w:rsid w:val="67DC6C2E"/>
    <w:rsid w:val="67DD2D7C"/>
    <w:rsid w:val="67E61BBE"/>
    <w:rsid w:val="67EA67B6"/>
    <w:rsid w:val="67EE44B5"/>
    <w:rsid w:val="67EE479A"/>
    <w:rsid w:val="67FC16DF"/>
    <w:rsid w:val="68120C2B"/>
    <w:rsid w:val="684F79E5"/>
    <w:rsid w:val="68545E49"/>
    <w:rsid w:val="688C1198"/>
    <w:rsid w:val="68B857EF"/>
    <w:rsid w:val="68E11616"/>
    <w:rsid w:val="68E61D98"/>
    <w:rsid w:val="69256781"/>
    <w:rsid w:val="69775CB8"/>
    <w:rsid w:val="69A57FAE"/>
    <w:rsid w:val="69EC374B"/>
    <w:rsid w:val="6A21047C"/>
    <w:rsid w:val="6A2E1E58"/>
    <w:rsid w:val="6A335EA2"/>
    <w:rsid w:val="6A5A799B"/>
    <w:rsid w:val="6A643167"/>
    <w:rsid w:val="6A687450"/>
    <w:rsid w:val="6A6D3B27"/>
    <w:rsid w:val="6A7E1064"/>
    <w:rsid w:val="6A81571E"/>
    <w:rsid w:val="6A922CD0"/>
    <w:rsid w:val="6AA643DB"/>
    <w:rsid w:val="6AAE32C5"/>
    <w:rsid w:val="6ABF313F"/>
    <w:rsid w:val="6ADE3ED8"/>
    <w:rsid w:val="6B052A8D"/>
    <w:rsid w:val="6B0B0382"/>
    <w:rsid w:val="6B240C57"/>
    <w:rsid w:val="6B256EDB"/>
    <w:rsid w:val="6B4D2B9D"/>
    <w:rsid w:val="6B5D7821"/>
    <w:rsid w:val="6B5F6A1E"/>
    <w:rsid w:val="6B9668DB"/>
    <w:rsid w:val="6BA07A01"/>
    <w:rsid w:val="6BC1736F"/>
    <w:rsid w:val="6BC32D7C"/>
    <w:rsid w:val="6BDF630D"/>
    <w:rsid w:val="6BFC153C"/>
    <w:rsid w:val="6C035B55"/>
    <w:rsid w:val="6C041BF9"/>
    <w:rsid w:val="6C4C7015"/>
    <w:rsid w:val="6C6E2EBB"/>
    <w:rsid w:val="6C923F25"/>
    <w:rsid w:val="6C9240BE"/>
    <w:rsid w:val="6C954167"/>
    <w:rsid w:val="6CA47FE8"/>
    <w:rsid w:val="6CA50FD0"/>
    <w:rsid w:val="6CA755E2"/>
    <w:rsid w:val="6CC044DE"/>
    <w:rsid w:val="6CC16398"/>
    <w:rsid w:val="6CE02419"/>
    <w:rsid w:val="6D277E96"/>
    <w:rsid w:val="6D29348F"/>
    <w:rsid w:val="6D372470"/>
    <w:rsid w:val="6D436A1C"/>
    <w:rsid w:val="6D520B87"/>
    <w:rsid w:val="6D5552BA"/>
    <w:rsid w:val="6D6C7621"/>
    <w:rsid w:val="6D916F74"/>
    <w:rsid w:val="6DCE3FFB"/>
    <w:rsid w:val="6E036133"/>
    <w:rsid w:val="6E0E695B"/>
    <w:rsid w:val="6E1B5CDB"/>
    <w:rsid w:val="6E2378A8"/>
    <w:rsid w:val="6E2C49CC"/>
    <w:rsid w:val="6E440EBF"/>
    <w:rsid w:val="6E4826E9"/>
    <w:rsid w:val="6E4C5EDF"/>
    <w:rsid w:val="6E676263"/>
    <w:rsid w:val="6E96065E"/>
    <w:rsid w:val="6E961113"/>
    <w:rsid w:val="6E9F16FC"/>
    <w:rsid w:val="6EA90888"/>
    <w:rsid w:val="6EBE77EF"/>
    <w:rsid w:val="6ECD68F9"/>
    <w:rsid w:val="6EFF239F"/>
    <w:rsid w:val="6F273508"/>
    <w:rsid w:val="6F2D6896"/>
    <w:rsid w:val="6F323823"/>
    <w:rsid w:val="6F3F30A0"/>
    <w:rsid w:val="6F756E95"/>
    <w:rsid w:val="6F8A056E"/>
    <w:rsid w:val="6F8E0354"/>
    <w:rsid w:val="6F992D47"/>
    <w:rsid w:val="70024364"/>
    <w:rsid w:val="70147F6A"/>
    <w:rsid w:val="70755073"/>
    <w:rsid w:val="70A0793D"/>
    <w:rsid w:val="70B54896"/>
    <w:rsid w:val="70BC38E2"/>
    <w:rsid w:val="70E81B75"/>
    <w:rsid w:val="70F040E3"/>
    <w:rsid w:val="70F93A3F"/>
    <w:rsid w:val="71105D50"/>
    <w:rsid w:val="71167CDC"/>
    <w:rsid w:val="71286862"/>
    <w:rsid w:val="712F6F39"/>
    <w:rsid w:val="71475E96"/>
    <w:rsid w:val="71841A31"/>
    <w:rsid w:val="71D02E6A"/>
    <w:rsid w:val="71E45372"/>
    <w:rsid w:val="71E60E06"/>
    <w:rsid w:val="7208644C"/>
    <w:rsid w:val="721A5D7C"/>
    <w:rsid w:val="72264127"/>
    <w:rsid w:val="723E74DE"/>
    <w:rsid w:val="72490994"/>
    <w:rsid w:val="7262525F"/>
    <w:rsid w:val="7280060B"/>
    <w:rsid w:val="72A37A9C"/>
    <w:rsid w:val="72F82D65"/>
    <w:rsid w:val="73205B68"/>
    <w:rsid w:val="732153F5"/>
    <w:rsid w:val="73247F8A"/>
    <w:rsid w:val="735F2141"/>
    <w:rsid w:val="736E5061"/>
    <w:rsid w:val="73937ABF"/>
    <w:rsid w:val="73940EC5"/>
    <w:rsid w:val="73CE337C"/>
    <w:rsid w:val="742931A7"/>
    <w:rsid w:val="74580668"/>
    <w:rsid w:val="74727EA0"/>
    <w:rsid w:val="74872D75"/>
    <w:rsid w:val="74932E66"/>
    <w:rsid w:val="74946305"/>
    <w:rsid w:val="74A108F6"/>
    <w:rsid w:val="74DB38A2"/>
    <w:rsid w:val="74DE788B"/>
    <w:rsid w:val="74EA0AA2"/>
    <w:rsid w:val="74EB5CFC"/>
    <w:rsid w:val="74F7099B"/>
    <w:rsid w:val="751B3609"/>
    <w:rsid w:val="75225626"/>
    <w:rsid w:val="75476EDC"/>
    <w:rsid w:val="754C4F37"/>
    <w:rsid w:val="75602192"/>
    <w:rsid w:val="7562261A"/>
    <w:rsid w:val="756B4AEC"/>
    <w:rsid w:val="75822DE6"/>
    <w:rsid w:val="759C70AE"/>
    <w:rsid w:val="75A12DD8"/>
    <w:rsid w:val="75E3729E"/>
    <w:rsid w:val="75F65D3C"/>
    <w:rsid w:val="75F96328"/>
    <w:rsid w:val="76007311"/>
    <w:rsid w:val="7615617D"/>
    <w:rsid w:val="762C165D"/>
    <w:rsid w:val="767B3EE5"/>
    <w:rsid w:val="76F048AC"/>
    <w:rsid w:val="770056E7"/>
    <w:rsid w:val="77064A55"/>
    <w:rsid w:val="772C0D98"/>
    <w:rsid w:val="774C45E8"/>
    <w:rsid w:val="77817AE3"/>
    <w:rsid w:val="77876814"/>
    <w:rsid w:val="77C43646"/>
    <w:rsid w:val="78103ADF"/>
    <w:rsid w:val="783570B9"/>
    <w:rsid w:val="78357142"/>
    <w:rsid w:val="783B4535"/>
    <w:rsid w:val="785307C2"/>
    <w:rsid w:val="78542BE7"/>
    <w:rsid w:val="787E1BD1"/>
    <w:rsid w:val="78A22999"/>
    <w:rsid w:val="78A31FCF"/>
    <w:rsid w:val="78B478CC"/>
    <w:rsid w:val="78B7255D"/>
    <w:rsid w:val="78C074D3"/>
    <w:rsid w:val="793F5645"/>
    <w:rsid w:val="794848CA"/>
    <w:rsid w:val="796F2C63"/>
    <w:rsid w:val="797101BF"/>
    <w:rsid w:val="79995BEF"/>
    <w:rsid w:val="79D13260"/>
    <w:rsid w:val="79ED66DD"/>
    <w:rsid w:val="7A086037"/>
    <w:rsid w:val="7A2D2E71"/>
    <w:rsid w:val="7A3E3B4E"/>
    <w:rsid w:val="7ABB5F10"/>
    <w:rsid w:val="7ACB24DC"/>
    <w:rsid w:val="7B213550"/>
    <w:rsid w:val="7B343BA1"/>
    <w:rsid w:val="7B3B7ACA"/>
    <w:rsid w:val="7B4B7E21"/>
    <w:rsid w:val="7B52062B"/>
    <w:rsid w:val="7B646217"/>
    <w:rsid w:val="7B677A53"/>
    <w:rsid w:val="7B7349BF"/>
    <w:rsid w:val="7BA613DD"/>
    <w:rsid w:val="7BA62B82"/>
    <w:rsid w:val="7BA7113F"/>
    <w:rsid w:val="7BB16327"/>
    <w:rsid w:val="7BCA0CD8"/>
    <w:rsid w:val="7C187734"/>
    <w:rsid w:val="7C1A10D9"/>
    <w:rsid w:val="7C401F8B"/>
    <w:rsid w:val="7C64659D"/>
    <w:rsid w:val="7C743ED1"/>
    <w:rsid w:val="7C8A46D7"/>
    <w:rsid w:val="7C8B3DE6"/>
    <w:rsid w:val="7C9D2FD9"/>
    <w:rsid w:val="7CAC3111"/>
    <w:rsid w:val="7CE135E6"/>
    <w:rsid w:val="7D0C2EEC"/>
    <w:rsid w:val="7D116942"/>
    <w:rsid w:val="7D1538EC"/>
    <w:rsid w:val="7D2037EF"/>
    <w:rsid w:val="7D3C3E1F"/>
    <w:rsid w:val="7D6E3C91"/>
    <w:rsid w:val="7D926B23"/>
    <w:rsid w:val="7DD13227"/>
    <w:rsid w:val="7DFA5352"/>
    <w:rsid w:val="7E0A4C45"/>
    <w:rsid w:val="7E2F6A34"/>
    <w:rsid w:val="7E416E12"/>
    <w:rsid w:val="7E495F64"/>
    <w:rsid w:val="7E4E03E1"/>
    <w:rsid w:val="7E5B62D2"/>
    <w:rsid w:val="7E6009C6"/>
    <w:rsid w:val="7E734E0F"/>
    <w:rsid w:val="7EC07962"/>
    <w:rsid w:val="7F196B89"/>
    <w:rsid w:val="7F405101"/>
    <w:rsid w:val="7F4D3E60"/>
    <w:rsid w:val="7F555DCE"/>
    <w:rsid w:val="7F8B0C20"/>
    <w:rsid w:val="7FF153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1"/>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72"/>
    <w:qFormat/>
    <w:uiPriority w:val="99"/>
    <w:pPr>
      <w:keepNext/>
      <w:keepLines/>
      <w:spacing w:before="260" w:after="260" w:line="413" w:lineRule="auto"/>
      <w:jc w:val="center"/>
      <w:outlineLvl w:val="1"/>
    </w:pPr>
    <w:rPr>
      <w:rFonts w:ascii="Arial" w:hAnsi="Arial" w:eastAsia="黑体"/>
      <w:b/>
      <w:sz w:val="44"/>
      <w:szCs w:val="20"/>
    </w:rPr>
  </w:style>
  <w:style w:type="paragraph" w:styleId="4">
    <w:name w:val="heading 3"/>
    <w:basedOn w:val="1"/>
    <w:next w:val="1"/>
    <w:link w:val="73"/>
    <w:autoRedefine/>
    <w:qFormat/>
    <w:uiPriority w:val="99"/>
    <w:pPr>
      <w:keepNext/>
      <w:keepLines/>
      <w:spacing w:before="260" w:after="260" w:line="416" w:lineRule="auto"/>
      <w:outlineLvl w:val="2"/>
    </w:pPr>
    <w:rPr>
      <w:b/>
      <w:bCs/>
      <w:sz w:val="32"/>
      <w:szCs w:val="32"/>
    </w:rPr>
  </w:style>
  <w:style w:type="paragraph" w:styleId="5">
    <w:name w:val="heading 4"/>
    <w:basedOn w:val="1"/>
    <w:next w:val="1"/>
    <w:link w:val="74"/>
    <w:autoRedefine/>
    <w:qFormat/>
    <w:uiPriority w:val="99"/>
    <w:pPr>
      <w:keepNext/>
      <w:keepLines/>
      <w:widowControl/>
      <w:spacing w:line="360" w:lineRule="auto"/>
      <w:jc w:val="center"/>
      <w:outlineLvl w:val="3"/>
    </w:pPr>
    <w:rPr>
      <w:rFonts w:ascii="Arial" w:hAnsi="Arial" w:eastAsia="黑体"/>
      <w:kern w:val="0"/>
      <w:sz w:val="28"/>
      <w:szCs w:val="20"/>
    </w:rPr>
  </w:style>
  <w:style w:type="paragraph" w:styleId="6">
    <w:name w:val="heading 5"/>
    <w:basedOn w:val="1"/>
    <w:next w:val="1"/>
    <w:link w:val="75"/>
    <w:autoRedefine/>
    <w:qFormat/>
    <w:uiPriority w:val="99"/>
    <w:pPr>
      <w:keepNext/>
      <w:keepLines/>
      <w:spacing w:line="372" w:lineRule="auto"/>
      <w:outlineLvl w:val="4"/>
    </w:pPr>
    <w:rPr>
      <w:b/>
      <w:bCs/>
      <w:sz w:val="28"/>
      <w:szCs w:val="28"/>
    </w:rPr>
  </w:style>
  <w:style w:type="paragraph" w:styleId="7">
    <w:name w:val="heading 6"/>
    <w:basedOn w:val="1"/>
    <w:next w:val="1"/>
    <w:link w:val="76"/>
    <w:autoRedefine/>
    <w:qFormat/>
    <w:uiPriority w:val="9"/>
    <w:pPr>
      <w:keepNext/>
      <w:keepLines/>
      <w:spacing w:before="240" w:after="64" w:line="317" w:lineRule="auto"/>
      <w:outlineLvl w:val="5"/>
    </w:pPr>
    <w:rPr>
      <w:rFonts w:ascii="Cambria" w:hAnsi="Cambria"/>
      <w:b/>
      <w:bCs/>
      <w:sz w:val="24"/>
    </w:rPr>
  </w:style>
  <w:style w:type="paragraph" w:styleId="8">
    <w:name w:val="heading 7"/>
    <w:basedOn w:val="1"/>
    <w:next w:val="1"/>
    <w:link w:val="77"/>
    <w:autoRedefine/>
    <w:qFormat/>
    <w:uiPriority w:val="9"/>
    <w:pPr>
      <w:keepNext/>
      <w:keepLines/>
      <w:spacing w:before="240" w:after="64" w:line="317" w:lineRule="auto"/>
      <w:outlineLvl w:val="6"/>
    </w:pPr>
    <w:rPr>
      <w:rFonts w:ascii="Calibri" w:hAnsi="Calibri"/>
      <w:b/>
      <w:bCs/>
      <w:sz w:val="24"/>
    </w:rPr>
  </w:style>
  <w:style w:type="paragraph" w:styleId="9">
    <w:name w:val="heading 8"/>
    <w:basedOn w:val="1"/>
    <w:next w:val="1"/>
    <w:link w:val="78"/>
    <w:autoRedefine/>
    <w:qFormat/>
    <w:uiPriority w:val="9"/>
    <w:pPr>
      <w:keepNext/>
      <w:keepLines/>
      <w:spacing w:before="240" w:after="64" w:line="317" w:lineRule="auto"/>
      <w:outlineLvl w:val="7"/>
    </w:pPr>
    <w:rPr>
      <w:rFonts w:ascii="Cambria" w:hAnsi="Cambria"/>
      <w:sz w:val="24"/>
    </w:rPr>
  </w:style>
  <w:style w:type="paragraph" w:styleId="10">
    <w:name w:val="heading 9"/>
    <w:basedOn w:val="1"/>
    <w:next w:val="1"/>
    <w:link w:val="79"/>
    <w:autoRedefine/>
    <w:qFormat/>
    <w:uiPriority w:val="9"/>
    <w:pPr>
      <w:keepNext/>
      <w:keepLines/>
      <w:spacing w:before="240" w:after="64" w:line="317" w:lineRule="auto"/>
      <w:outlineLvl w:val="8"/>
    </w:pPr>
    <w:rPr>
      <w:rFonts w:ascii="Cambria" w:hAnsi="Cambria"/>
      <w:szCs w:val="21"/>
    </w:rPr>
  </w:style>
  <w:style w:type="character" w:default="1" w:styleId="50">
    <w:name w:val="Default Paragraph Font"/>
    <w:autoRedefine/>
    <w:semiHidden/>
    <w:unhideWhenUsed/>
    <w:qFormat/>
    <w:uiPriority w:val="1"/>
  </w:style>
  <w:style w:type="table" w:default="1" w:styleId="48">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39"/>
    <w:pPr>
      <w:ind w:left="2520" w:leftChars="1200"/>
    </w:pPr>
    <w:rPr>
      <w:rFonts w:ascii="Calibri" w:hAnsi="Calibri"/>
      <w:szCs w:val="22"/>
    </w:rPr>
  </w:style>
  <w:style w:type="paragraph" w:styleId="12">
    <w:name w:val="Normal Indent"/>
    <w:basedOn w:val="1"/>
    <w:next w:val="1"/>
    <w:autoRedefine/>
    <w:qFormat/>
    <w:uiPriority w:val="0"/>
    <w:pPr>
      <w:widowControl/>
      <w:ind w:firstLine="420"/>
      <w:jc w:val="left"/>
    </w:pPr>
    <w:rPr>
      <w:sz w:val="20"/>
    </w:rPr>
  </w:style>
  <w:style w:type="paragraph" w:styleId="13">
    <w:name w:val="caption"/>
    <w:basedOn w:val="1"/>
    <w:next w:val="1"/>
    <w:autoRedefine/>
    <w:qFormat/>
    <w:uiPriority w:val="99"/>
    <w:rPr>
      <w:rFonts w:ascii="Cambria" w:hAnsi="Cambria" w:eastAsia="黑体"/>
      <w:sz w:val="20"/>
      <w:szCs w:val="20"/>
    </w:rPr>
  </w:style>
  <w:style w:type="paragraph" w:styleId="14">
    <w:name w:val="Document Map"/>
    <w:basedOn w:val="1"/>
    <w:link w:val="97"/>
    <w:autoRedefine/>
    <w:qFormat/>
    <w:uiPriority w:val="99"/>
    <w:pPr>
      <w:shd w:val="clear" w:color="auto" w:fill="000080"/>
    </w:pPr>
    <w:rPr>
      <w:shd w:val="clear" w:color="auto" w:fill="000080"/>
    </w:rPr>
  </w:style>
  <w:style w:type="paragraph" w:styleId="15">
    <w:name w:val="toa heading"/>
    <w:basedOn w:val="1"/>
    <w:next w:val="1"/>
    <w:autoRedefine/>
    <w:qFormat/>
    <w:uiPriority w:val="0"/>
    <w:pPr>
      <w:spacing w:before="120"/>
    </w:pPr>
    <w:rPr>
      <w:rFonts w:ascii="Arial" w:hAnsi="Arial"/>
      <w:b/>
      <w:szCs w:val="20"/>
    </w:rPr>
  </w:style>
  <w:style w:type="paragraph" w:styleId="16">
    <w:name w:val="annotation text"/>
    <w:basedOn w:val="1"/>
    <w:link w:val="98"/>
    <w:autoRedefine/>
    <w:qFormat/>
    <w:uiPriority w:val="0"/>
    <w:pPr>
      <w:jc w:val="left"/>
    </w:pPr>
  </w:style>
  <w:style w:type="paragraph" w:styleId="17">
    <w:name w:val="Body Text 3"/>
    <w:basedOn w:val="1"/>
    <w:link w:val="100"/>
    <w:autoRedefine/>
    <w:qFormat/>
    <w:uiPriority w:val="0"/>
    <w:pPr>
      <w:spacing w:after="120"/>
    </w:pPr>
    <w:rPr>
      <w:rFonts w:ascii="宋体" w:hAnsi="Courier New"/>
      <w:sz w:val="16"/>
      <w:szCs w:val="16"/>
    </w:rPr>
  </w:style>
  <w:style w:type="paragraph" w:styleId="18">
    <w:name w:val="Body Text"/>
    <w:basedOn w:val="1"/>
    <w:next w:val="1"/>
    <w:link w:val="80"/>
    <w:autoRedefine/>
    <w:qFormat/>
    <w:uiPriority w:val="99"/>
    <w:rPr>
      <w:sz w:val="28"/>
    </w:rPr>
  </w:style>
  <w:style w:type="paragraph" w:styleId="19">
    <w:name w:val="Body Text Indent"/>
    <w:basedOn w:val="1"/>
    <w:link w:val="81"/>
    <w:autoRedefine/>
    <w:qFormat/>
    <w:uiPriority w:val="99"/>
    <w:pPr>
      <w:spacing w:line="200" w:lineRule="exact"/>
      <w:ind w:firstLine="301"/>
    </w:pPr>
    <w:rPr>
      <w:rFonts w:ascii="宋体" w:hAnsi="Courier New"/>
      <w:spacing w:val="-4"/>
      <w:sz w:val="18"/>
      <w:szCs w:val="20"/>
    </w:rPr>
  </w:style>
  <w:style w:type="paragraph" w:styleId="20">
    <w:name w:val="Block Text"/>
    <w:basedOn w:val="1"/>
    <w:autoRedefine/>
    <w:qFormat/>
    <w:uiPriority w:val="0"/>
    <w:pPr>
      <w:ind w:left="113" w:right="113"/>
      <w:jc w:val="center"/>
    </w:pPr>
    <w:rPr>
      <w:sz w:val="44"/>
    </w:rPr>
  </w:style>
  <w:style w:type="paragraph" w:styleId="21">
    <w:name w:val="index 4"/>
    <w:basedOn w:val="1"/>
    <w:next w:val="1"/>
    <w:autoRedefine/>
    <w:qFormat/>
    <w:uiPriority w:val="99"/>
    <w:pPr>
      <w:ind w:left="600" w:leftChars="600"/>
    </w:pPr>
  </w:style>
  <w:style w:type="paragraph" w:styleId="22">
    <w:name w:val="toc 5"/>
    <w:basedOn w:val="1"/>
    <w:next w:val="1"/>
    <w:autoRedefine/>
    <w:qFormat/>
    <w:uiPriority w:val="39"/>
    <w:pPr>
      <w:ind w:left="1680" w:leftChars="800"/>
    </w:pPr>
    <w:rPr>
      <w:rFonts w:ascii="Calibri" w:hAnsi="Calibri"/>
      <w:szCs w:val="22"/>
    </w:rPr>
  </w:style>
  <w:style w:type="paragraph" w:styleId="23">
    <w:name w:val="toc 3"/>
    <w:basedOn w:val="1"/>
    <w:next w:val="1"/>
    <w:autoRedefine/>
    <w:qFormat/>
    <w:uiPriority w:val="39"/>
    <w:pPr>
      <w:ind w:left="840" w:leftChars="400"/>
    </w:pPr>
  </w:style>
  <w:style w:type="paragraph" w:styleId="24">
    <w:name w:val="Plain Text"/>
    <w:basedOn w:val="1"/>
    <w:next w:val="1"/>
    <w:link w:val="83"/>
    <w:autoRedefine/>
    <w:qFormat/>
    <w:uiPriority w:val="0"/>
    <w:rPr>
      <w:rFonts w:ascii="宋体" w:hAnsi="Courier New"/>
      <w:szCs w:val="20"/>
    </w:rPr>
  </w:style>
  <w:style w:type="paragraph" w:styleId="25">
    <w:name w:val="toc 8"/>
    <w:basedOn w:val="1"/>
    <w:next w:val="1"/>
    <w:autoRedefine/>
    <w:qFormat/>
    <w:uiPriority w:val="39"/>
    <w:pPr>
      <w:ind w:left="2940" w:leftChars="1400"/>
    </w:pPr>
    <w:rPr>
      <w:rFonts w:ascii="Calibri" w:hAnsi="Calibri"/>
      <w:szCs w:val="22"/>
    </w:rPr>
  </w:style>
  <w:style w:type="paragraph" w:styleId="26">
    <w:name w:val="Date"/>
    <w:basedOn w:val="1"/>
    <w:next w:val="1"/>
    <w:link w:val="82"/>
    <w:autoRedefine/>
    <w:qFormat/>
    <w:uiPriority w:val="99"/>
    <w:pPr>
      <w:ind w:left="100" w:leftChars="2500"/>
    </w:pPr>
  </w:style>
  <w:style w:type="paragraph" w:styleId="27">
    <w:name w:val="Body Text Indent 2"/>
    <w:basedOn w:val="1"/>
    <w:link w:val="101"/>
    <w:autoRedefine/>
    <w:qFormat/>
    <w:uiPriority w:val="99"/>
    <w:pPr>
      <w:spacing w:line="340" w:lineRule="exact"/>
      <w:ind w:firstLine="524" w:firstLineChars="187"/>
    </w:pPr>
    <w:rPr>
      <w:rFonts w:ascii="仿宋_GB2312" w:eastAsia="仿宋_GB2312"/>
      <w:sz w:val="28"/>
    </w:rPr>
  </w:style>
  <w:style w:type="paragraph" w:styleId="28">
    <w:name w:val="endnote text"/>
    <w:basedOn w:val="1"/>
    <w:link w:val="102"/>
    <w:autoRedefine/>
    <w:qFormat/>
    <w:uiPriority w:val="0"/>
    <w:pPr>
      <w:snapToGrid w:val="0"/>
      <w:jc w:val="left"/>
    </w:pPr>
  </w:style>
  <w:style w:type="paragraph" w:styleId="29">
    <w:name w:val="Balloon Text"/>
    <w:basedOn w:val="1"/>
    <w:link w:val="103"/>
    <w:autoRedefine/>
    <w:qFormat/>
    <w:uiPriority w:val="99"/>
    <w:rPr>
      <w:sz w:val="18"/>
      <w:szCs w:val="18"/>
    </w:rPr>
  </w:style>
  <w:style w:type="paragraph" w:styleId="30">
    <w:name w:val="footer"/>
    <w:next w:val="1"/>
    <w:link w:val="84"/>
    <w:autoRedefine/>
    <w:qFormat/>
    <w:uiPriority w:val="99"/>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styleId="31">
    <w:name w:val="header"/>
    <w:link w:val="85"/>
    <w:autoRedefine/>
    <w:qFormat/>
    <w:uiPriority w:val="99"/>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32">
    <w:name w:val="toc 1"/>
    <w:basedOn w:val="1"/>
    <w:next w:val="1"/>
    <w:autoRedefine/>
    <w:unhideWhenUsed/>
    <w:qFormat/>
    <w:uiPriority w:val="39"/>
    <w:pPr>
      <w:widowControl/>
      <w:tabs>
        <w:tab w:val="left" w:pos="0"/>
        <w:tab w:val="right" w:leader="dot" w:pos="9435"/>
      </w:tabs>
      <w:spacing w:line="440" w:lineRule="exact"/>
      <w:jc w:val="left"/>
    </w:pPr>
    <w:rPr>
      <w:rFonts w:ascii="Calibri" w:hAnsi="Calibri"/>
      <w:kern w:val="0"/>
      <w:sz w:val="22"/>
      <w:szCs w:val="22"/>
    </w:rPr>
  </w:style>
  <w:style w:type="paragraph" w:styleId="33">
    <w:name w:val="toc 4"/>
    <w:basedOn w:val="1"/>
    <w:next w:val="1"/>
    <w:autoRedefine/>
    <w:qFormat/>
    <w:uiPriority w:val="39"/>
    <w:pPr>
      <w:ind w:left="1260" w:leftChars="600"/>
    </w:pPr>
    <w:rPr>
      <w:rFonts w:ascii="Calibri" w:hAnsi="Calibri"/>
      <w:szCs w:val="22"/>
    </w:rPr>
  </w:style>
  <w:style w:type="paragraph" w:styleId="34">
    <w:name w:val="Subtitle"/>
    <w:basedOn w:val="1"/>
    <w:next w:val="1"/>
    <w:link w:val="104"/>
    <w:autoRedefine/>
    <w:qFormat/>
    <w:uiPriority w:val="11"/>
    <w:pPr>
      <w:spacing w:before="240" w:after="60" w:line="312" w:lineRule="auto"/>
      <w:jc w:val="center"/>
      <w:outlineLvl w:val="1"/>
    </w:pPr>
    <w:rPr>
      <w:rFonts w:ascii="Cambria" w:hAnsi="Cambria"/>
      <w:b/>
      <w:bCs/>
      <w:kern w:val="28"/>
      <w:sz w:val="32"/>
      <w:szCs w:val="32"/>
    </w:rPr>
  </w:style>
  <w:style w:type="paragraph" w:styleId="35">
    <w:name w:val="footnote text"/>
    <w:basedOn w:val="1"/>
    <w:link w:val="105"/>
    <w:qFormat/>
    <w:uiPriority w:val="99"/>
    <w:pPr>
      <w:adjustRightInd w:val="0"/>
      <w:spacing w:line="312" w:lineRule="atLeast"/>
      <w:jc w:val="left"/>
      <w:textAlignment w:val="baseline"/>
    </w:pPr>
    <w:rPr>
      <w:kern w:val="0"/>
      <w:sz w:val="18"/>
      <w:szCs w:val="20"/>
    </w:rPr>
  </w:style>
  <w:style w:type="paragraph" w:styleId="36">
    <w:name w:val="toc 6"/>
    <w:basedOn w:val="1"/>
    <w:next w:val="1"/>
    <w:qFormat/>
    <w:uiPriority w:val="39"/>
    <w:pPr>
      <w:ind w:left="2100" w:leftChars="1000"/>
    </w:pPr>
    <w:rPr>
      <w:rFonts w:ascii="Calibri" w:hAnsi="Calibri"/>
      <w:szCs w:val="22"/>
    </w:rPr>
  </w:style>
  <w:style w:type="paragraph" w:styleId="37">
    <w:name w:val="Body Text Indent 3"/>
    <w:basedOn w:val="1"/>
    <w:link w:val="107"/>
    <w:qFormat/>
    <w:uiPriority w:val="0"/>
    <w:pPr>
      <w:spacing w:after="120"/>
      <w:ind w:left="420" w:leftChars="200"/>
    </w:pPr>
    <w:rPr>
      <w:rFonts w:ascii="宋体" w:hAnsi="Courier New"/>
      <w:sz w:val="16"/>
      <w:szCs w:val="16"/>
    </w:rPr>
  </w:style>
  <w:style w:type="paragraph" w:styleId="38">
    <w:name w:val="toc 2"/>
    <w:next w:val="1"/>
    <w:unhideWhenUsed/>
    <w:qFormat/>
    <w:uiPriority w:val="39"/>
    <w:pPr>
      <w:spacing w:after="100" w:line="276" w:lineRule="auto"/>
      <w:ind w:left="220"/>
    </w:pPr>
    <w:rPr>
      <w:rFonts w:ascii="Calibri" w:hAnsi="Calibri" w:eastAsia="宋体" w:cs="Times New Roman"/>
      <w:sz w:val="22"/>
      <w:szCs w:val="22"/>
      <w:lang w:val="en-US" w:eastAsia="zh-CN" w:bidi="ar-SA"/>
    </w:rPr>
  </w:style>
  <w:style w:type="paragraph" w:styleId="39">
    <w:name w:val="toc 9"/>
    <w:basedOn w:val="1"/>
    <w:next w:val="1"/>
    <w:qFormat/>
    <w:uiPriority w:val="39"/>
    <w:pPr>
      <w:ind w:left="3360" w:leftChars="1600"/>
    </w:pPr>
    <w:rPr>
      <w:rFonts w:ascii="Calibri" w:hAnsi="Calibri"/>
      <w:szCs w:val="22"/>
    </w:rPr>
  </w:style>
  <w:style w:type="paragraph" w:styleId="40">
    <w:name w:val="Body Text 2"/>
    <w:basedOn w:val="1"/>
    <w:link w:val="109"/>
    <w:qFormat/>
    <w:uiPriority w:val="0"/>
    <w:rPr>
      <w:rFonts w:ascii="宋体" w:hAnsi="宋体"/>
      <w:sz w:val="28"/>
    </w:rPr>
  </w:style>
  <w:style w:type="paragraph" w:styleId="41">
    <w:name w:val="List 4"/>
    <w:basedOn w:val="1"/>
    <w:qFormat/>
    <w:uiPriority w:val="0"/>
    <w:pPr>
      <w:ind w:left="100" w:leftChars="600" w:hanging="200" w:hangingChars="200"/>
    </w:pPr>
  </w:style>
  <w:style w:type="paragraph" w:styleId="42">
    <w:name w:val="HTML Preformatted"/>
    <w:basedOn w:val="1"/>
    <w:link w:val="11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3">
    <w:name w:val="Normal (Web)"/>
    <w:basedOn w:val="1"/>
    <w:qFormat/>
    <w:uiPriority w:val="99"/>
    <w:pPr>
      <w:jc w:val="left"/>
    </w:pPr>
    <w:rPr>
      <w:kern w:val="0"/>
      <w:sz w:val="24"/>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111"/>
    <w:qFormat/>
    <w:uiPriority w:val="99"/>
    <w:pPr>
      <w:spacing w:before="240" w:after="60"/>
      <w:jc w:val="center"/>
      <w:outlineLvl w:val="0"/>
    </w:pPr>
    <w:rPr>
      <w:rFonts w:ascii="Cambria" w:hAnsi="Cambria"/>
      <w:b/>
      <w:bCs/>
      <w:sz w:val="32"/>
      <w:szCs w:val="32"/>
    </w:rPr>
  </w:style>
  <w:style w:type="paragraph" w:styleId="46">
    <w:name w:val="annotation subject"/>
    <w:basedOn w:val="16"/>
    <w:next w:val="16"/>
    <w:link w:val="112"/>
    <w:qFormat/>
    <w:uiPriority w:val="99"/>
    <w:rPr>
      <w:b/>
      <w:bCs/>
    </w:rPr>
  </w:style>
  <w:style w:type="paragraph" w:styleId="47">
    <w:name w:val="Body Text First Indent"/>
    <w:basedOn w:val="18"/>
    <w:next w:val="1"/>
    <w:qFormat/>
    <w:uiPriority w:val="0"/>
    <w:pPr>
      <w:ind w:firstLine="420" w:firstLineChars="100"/>
    </w:pPr>
  </w:style>
  <w:style w:type="table" w:styleId="49">
    <w:name w:val="Table Grid"/>
    <w:basedOn w:val="48"/>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basedOn w:val="50"/>
    <w:qFormat/>
    <w:uiPriority w:val="22"/>
    <w:rPr>
      <w:b/>
      <w:bCs/>
      <w:bdr w:val="single" w:color="D2D2D2" w:sz="6" w:space="0"/>
      <w:shd w:val="clear" w:fill="FFFFFF"/>
    </w:rPr>
  </w:style>
  <w:style w:type="character" w:styleId="52">
    <w:name w:val="endnote reference"/>
    <w:qFormat/>
    <w:uiPriority w:val="0"/>
    <w:rPr>
      <w:vertAlign w:val="superscript"/>
    </w:rPr>
  </w:style>
  <w:style w:type="character" w:styleId="53">
    <w:name w:val="page number"/>
    <w:qFormat/>
    <w:uiPriority w:val="99"/>
  </w:style>
  <w:style w:type="character" w:styleId="54">
    <w:name w:val="FollowedHyperlink"/>
    <w:basedOn w:val="50"/>
    <w:qFormat/>
    <w:uiPriority w:val="99"/>
    <w:rPr>
      <w:color w:val="800080"/>
      <w:u w:val="none"/>
    </w:rPr>
  </w:style>
  <w:style w:type="character" w:styleId="55">
    <w:name w:val="Emphasis"/>
    <w:qFormat/>
    <w:uiPriority w:val="99"/>
    <w:rPr>
      <w:i/>
      <w:iCs/>
    </w:rPr>
  </w:style>
  <w:style w:type="character" w:styleId="56">
    <w:name w:val="HTML Definition"/>
    <w:basedOn w:val="50"/>
    <w:qFormat/>
    <w:uiPriority w:val="0"/>
  </w:style>
  <w:style w:type="character" w:styleId="57">
    <w:name w:val="HTML Typewriter"/>
    <w:basedOn w:val="50"/>
    <w:qFormat/>
    <w:uiPriority w:val="0"/>
    <w:rPr>
      <w:rFonts w:hint="default" w:ascii="monospace" w:hAnsi="monospace" w:eastAsia="monospace" w:cs="monospace"/>
      <w:sz w:val="20"/>
    </w:rPr>
  </w:style>
  <w:style w:type="character" w:styleId="58">
    <w:name w:val="HTML Acronym"/>
    <w:basedOn w:val="50"/>
    <w:qFormat/>
    <w:uiPriority w:val="0"/>
  </w:style>
  <w:style w:type="character" w:styleId="59">
    <w:name w:val="HTML Variable"/>
    <w:basedOn w:val="50"/>
    <w:qFormat/>
    <w:uiPriority w:val="0"/>
  </w:style>
  <w:style w:type="character" w:styleId="60">
    <w:name w:val="Hyperlink"/>
    <w:basedOn w:val="50"/>
    <w:unhideWhenUsed/>
    <w:qFormat/>
    <w:uiPriority w:val="99"/>
    <w:rPr>
      <w:color w:val="3B5998"/>
      <w:u w:val="none"/>
    </w:rPr>
  </w:style>
  <w:style w:type="character" w:styleId="61">
    <w:name w:val="HTML Code"/>
    <w:basedOn w:val="50"/>
    <w:qFormat/>
    <w:uiPriority w:val="0"/>
    <w:rPr>
      <w:rFonts w:hint="default" w:ascii="monospace" w:hAnsi="monospace" w:eastAsia="monospace" w:cs="monospace"/>
      <w:sz w:val="20"/>
    </w:rPr>
  </w:style>
  <w:style w:type="character" w:styleId="62">
    <w:name w:val="annotation reference"/>
    <w:qFormat/>
    <w:uiPriority w:val="0"/>
    <w:rPr>
      <w:sz w:val="21"/>
      <w:szCs w:val="21"/>
    </w:rPr>
  </w:style>
  <w:style w:type="character" w:styleId="63">
    <w:name w:val="HTML Cite"/>
    <w:basedOn w:val="50"/>
    <w:qFormat/>
    <w:uiPriority w:val="0"/>
  </w:style>
  <w:style w:type="character" w:styleId="64">
    <w:name w:val="footnote reference"/>
    <w:qFormat/>
    <w:uiPriority w:val="0"/>
    <w:rPr>
      <w:vertAlign w:val="superscript"/>
    </w:rPr>
  </w:style>
  <w:style w:type="character" w:styleId="65">
    <w:name w:val="HTML Keyboard"/>
    <w:basedOn w:val="50"/>
    <w:qFormat/>
    <w:uiPriority w:val="0"/>
    <w:rPr>
      <w:rFonts w:ascii="monospace" w:hAnsi="monospace" w:eastAsia="monospace" w:cs="monospace"/>
      <w:sz w:val="20"/>
    </w:rPr>
  </w:style>
  <w:style w:type="character" w:styleId="66">
    <w:name w:val="HTML Sample"/>
    <w:basedOn w:val="50"/>
    <w:qFormat/>
    <w:uiPriority w:val="0"/>
    <w:rPr>
      <w:rFonts w:hint="default" w:ascii="monospace" w:hAnsi="monospace" w:eastAsia="monospace" w:cs="monospace"/>
    </w:rPr>
  </w:style>
  <w:style w:type="paragraph" w:customStyle="1" w:styleId="67">
    <w:name w:val="NormalIndent"/>
    <w:basedOn w:val="1"/>
    <w:qFormat/>
    <w:uiPriority w:val="0"/>
    <w:pPr>
      <w:ind w:firstLine="420"/>
    </w:pPr>
    <w:rPr>
      <w:sz w:val="20"/>
      <w:szCs w:val="20"/>
    </w:rPr>
  </w:style>
  <w:style w:type="paragraph" w:customStyle="1" w:styleId="68">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Default"/>
    <w:next w:val="70"/>
    <w:autoRedefine/>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0">
    <w:name w:val="正文文字 6"/>
    <w:next w:val="1"/>
    <w:autoRedefine/>
    <w:qFormat/>
    <w:uiPriority w:val="99"/>
    <w:pPr>
      <w:widowControl w:val="0"/>
      <w:ind w:left="240"/>
      <w:jc w:val="both"/>
    </w:pPr>
    <w:rPr>
      <w:rFonts w:ascii="宋体" w:hAnsi="Times New Roman" w:eastAsia="宋体" w:cs="Times New Roman"/>
      <w:b/>
      <w:bCs/>
      <w:kern w:val="2"/>
      <w:sz w:val="32"/>
      <w:szCs w:val="32"/>
      <w:lang w:val="en-US" w:eastAsia="zh-CN" w:bidi="ar-SA"/>
    </w:rPr>
  </w:style>
  <w:style w:type="character" w:customStyle="1" w:styleId="71">
    <w:name w:val="标题 1 Char"/>
    <w:link w:val="2"/>
    <w:autoRedefine/>
    <w:qFormat/>
    <w:uiPriority w:val="99"/>
    <w:rPr>
      <w:b/>
      <w:bCs/>
      <w:kern w:val="44"/>
      <w:sz w:val="44"/>
      <w:szCs w:val="44"/>
    </w:rPr>
  </w:style>
  <w:style w:type="character" w:customStyle="1" w:styleId="72">
    <w:name w:val="标题 2 Char"/>
    <w:link w:val="3"/>
    <w:autoRedefine/>
    <w:qFormat/>
    <w:uiPriority w:val="99"/>
    <w:rPr>
      <w:rFonts w:ascii="Arial" w:hAnsi="Arial" w:eastAsia="黑体"/>
      <w:b/>
      <w:kern w:val="2"/>
      <w:sz w:val="44"/>
    </w:rPr>
  </w:style>
  <w:style w:type="character" w:customStyle="1" w:styleId="73">
    <w:name w:val="标题 3 Char"/>
    <w:basedOn w:val="50"/>
    <w:link w:val="4"/>
    <w:autoRedefine/>
    <w:qFormat/>
    <w:uiPriority w:val="99"/>
    <w:rPr>
      <w:b/>
      <w:bCs/>
      <w:kern w:val="2"/>
      <w:sz w:val="32"/>
      <w:szCs w:val="32"/>
    </w:rPr>
  </w:style>
  <w:style w:type="character" w:customStyle="1" w:styleId="74">
    <w:name w:val="标题 4 Char"/>
    <w:link w:val="5"/>
    <w:autoRedefine/>
    <w:qFormat/>
    <w:uiPriority w:val="99"/>
    <w:rPr>
      <w:rFonts w:ascii="Arial" w:hAnsi="Arial" w:eastAsia="黑体"/>
      <w:sz w:val="28"/>
    </w:rPr>
  </w:style>
  <w:style w:type="character" w:customStyle="1" w:styleId="75">
    <w:name w:val="标题 5 Char"/>
    <w:link w:val="6"/>
    <w:autoRedefine/>
    <w:qFormat/>
    <w:uiPriority w:val="99"/>
    <w:rPr>
      <w:b/>
      <w:bCs/>
      <w:kern w:val="2"/>
      <w:sz w:val="28"/>
      <w:szCs w:val="28"/>
    </w:rPr>
  </w:style>
  <w:style w:type="character" w:customStyle="1" w:styleId="76">
    <w:name w:val="标题 6 Char"/>
    <w:basedOn w:val="50"/>
    <w:link w:val="7"/>
    <w:autoRedefine/>
    <w:qFormat/>
    <w:uiPriority w:val="9"/>
    <w:rPr>
      <w:rFonts w:ascii="Cambria" w:hAnsi="Cambria"/>
      <w:b/>
      <w:bCs/>
      <w:kern w:val="2"/>
      <w:sz w:val="24"/>
      <w:szCs w:val="24"/>
    </w:rPr>
  </w:style>
  <w:style w:type="character" w:customStyle="1" w:styleId="77">
    <w:name w:val="标题 7 Char"/>
    <w:basedOn w:val="50"/>
    <w:link w:val="8"/>
    <w:autoRedefine/>
    <w:qFormat/>
    <w:uiPriority w:val="9"/>
    <w:rPr>
      <w:rFonts w:ascii="Calibri" w:hAnsi="Calibri"/>
      <w:b/>
      <w:bCs/>
      <w:kern w:val="2"/>
      <w:sz w:val="24"/>
      <w:szCs w:val="24"/>
    </w:rPr>
  </w:style>
  <w:style w:type="character" w:customStyle="1" w:styleId="78">
    <w:name w:val="标题 8 Char"/>
    <w:basedOn w:val="50"/>
    <w:link w:val="9"/>
    <w:autoRedefine/>
    <w:qFormat/>
    <w:uiPriority w:val="9"/>
    <w:rPr>
      <w:rFonts w:ascii="Cambria" w:hAnsi="Cambria"/>
      <w:kern w:val="2"/>
      <w:sz w:val="24"/>
      <w:szCs w:val="24"/>
    </w:rPr>
  </w:style>
  <w:style w:type="character" w:customStyle="1" w:styleId="79">
    <w:name w:val="标题 9 Char"/>
    <w:basedOn w:val="50"/>
    <w:link w:val="10"/>
    <w:autoRedefine/>
    <w:qFormat/>
    <w:uiPriority w:val="9"/>
    <w:rPr>
      <w:rFonts w:ascii="Cambria" w:hAnsi="Cambria"/>
      <w:kern w:val="2"/>
      <w:sz w:val="21"/>
      <w:szCs w:val="21"/>
    </w:rPr>
  </w:style>
  <w:style w:type="character" w:customStyle="1" w:styleId="80">
    <w:name w:val="正文文本 Char"/>
    <w:link w:val="18"/>
    <w:qFormat/>
    <w:uiPriority w:val="99"/>
    <w:rPr>
      <w:kern w:val="2"/>
      <w:sz w:val="28"/>
      <w:szCs w:val="24"/>
    </w:rPr>
  </w:style>
  <w:style w:type="character" w:customStyle="1" w:styleId="81">
    <w:name w:val="正文文本缩进 Char"/>
    <w:link w:val="19"/>
    <w:qFormat/>
    <w:uiPriority w:val="99"/>
    <w:rPr>
      <w:rFonts w:ascii="宋体" w:hAnsi="Courier New"/>
      <w:spacing w:val="-4"/>
      <w:kern w:val="2"/>
      <w:sz w:val="18"/>
    </w:rPr>
  </w:style>
  <w:style w:type="character" w:customStyle="1" w:styleId="82">
    <w:name w:val="日期 Char"/>
    <w:link w:val="26"/>
    <w:qFormat/>
    <w:uiPriority w:val="99"/>
    <w:rPr>
      <w:kern w:val="2"/>
      <w:sz w:val="21"/>
      <w:szCs w:val="24"/>
    </w:rPr>
  </w:style>
  <w:style w:type="character" w:customStyle="1" w:styleId="83">
    <w:name w:val="纯文本 Char"/>
    <w:link w:val="24"/>
    <w:qFormat/>
    <w:uiPriority w:val="0"/>
    <w:rPr>
      <w:rFonts w:ascii="宋体" w:hAnsi="Courier New"/>
      <w:kern w:val="2"/>
      <w:sz w:val="21"/>
    </w:rPr>
  </w:style>
  <w:style w:type="character" w:customStyle="1" w:styleId="84">
    <w:name w:val="页脚 Char"/>
    <w:link w:val="30"/>
    <w:qFormat/>
    <w:uiPriority w:val="99"/>
    <w:rPr>
      <w:kern w:val="2"/>
      <w:sz w:val="18"/>
      <w:szCs w:val="18"/>
    </w:rPr>
  </w:style>
  <w:style w:type="character" w:customStyle="1" w:styleId="85">
    <w:name w:val="页眉 Char"/>
    <w:link w:val="31"/>
    <w:qFormat/>
    <w:uiPriority w:val="99"/>
    <w:rPr>
      <w:kern w:val="2"/>
      <w:sz w:val="18"/>
      <w:szCs w:val="18"/>
    </w:rPr>
  </w:style>
  <w:style w:type="paragraph" w:customStyle="1" w:styleId="86">
    <w:name w:val="1"/>
    <w:next w:val="24"/>
    <w:qFormat/>
    <w:uiPriority w:val="99"/>
    <w:pPr>
      <w:widowControl w:val="0"/>
      <w:jc w:val="both"/>
    </w:pPr>
    <w:rPr>
      <w:rFonts w:ascii="宋体" w:hAnsi="Courier New" w:eastAsia="宋体" w:cs="Times New Roman"/>
      <w:kern w:val="2"/>
      <w:sz w:val="21"/>
      <w:lang w:val="en-US" w:eastAsia="zh-CN" w:bidi="ar-SA"/>
    </w:rPr>
  </w:style>
  <w:style w:type="paragraph" w:customStyle="1" w:styleId="87">
    <w:name w:val="Body Text First Indent 21"/>
    <w:basedOn w:val="88"/>
    <w:qFormat/>
    <w:uiPriority w:val="0"/>
    <w:pPr>
      <w:ind w:firstLine="420"/>
    </w:pPr>
  </w:style>
  <w:style w:type="paragraph" w:customStyle="1" w:styleId="88">
    <w:name w:val="Body Text Indent1"/>
    <w:qFormat/>
    <w:uiPriority w:val="0"/>
    <w:pPr>
      <w:widowControl w:val="0"/>
      <w:jc w:val="both"/>
    </w:pPr>
    <w:rPr>
      <w:rFonts w:ascii="Times New Roman" w:hAnsi="Times New Roman" w:eastAsia="宋体" w:cs="Times New Roman"/>
      <w:bCs/>
      <w:kern w:val="2"/>
      <w:sz w:val="28"/>
      <w:szCs w:val="24"/>
      <w:lang w:val="en-US" w:eastAsia="zh-CN" w:bidi="ar-SA"/>
    </w:rPr>
  </w:style>
  <w:style w:type="paragraph" w:styleId="89">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91">
    <w:name w:val="段落1"/>
    <w:basedOn w:val="1"/>
    <w:qFormat/>
    <w:uiPriority w:val="0"/>
    <w:pPr>
      <w:spacing w:line="360" w:lineRule="auto"/>
      <w:ind w:firstLine="480" w:firstLineChars="200"/>
    </w:pPr>
    <w:rPr>
      <w:sz w:val="24"/>
      <w:szCs w:val="20"/>
    </w:rPr>
  </w:style>
  <w:style w:type="paragraph" w:customStyle="1" w:styleId="92">
    <w:name w:val="Table Paragraph"/>
    <w:basedOn w:val="1"/>
    <w:qFormat/>
    <w:uiPriority w:val="0"/>
    <w:pPr>
      <w:autoSpaceDE w:val="0"/>
      <w:autoSpaceDN w:val="0"/>
      <w:adjustRightInd w:val="0"/>
      <w:jc w:val="left"/>
    </w:pPr>
    <w:rPr>
      <w:kern w:val="0"/>
      <w:sz w:val="24"/>
    </w:rPr>
  </w:style>
  <w:style w:type="paragraph" w:customStyle="1" w:styleId="93">
    <w:name w:val="列出段落1"/>
    <w:basedOn w:val="1"/>
    <w:qFormat/>
    <w:uiPriority w:val="99"/>
    <w:pPr>
      <w:ind w:firstLine="420" w:firstLineChars="200"/>
    </w:pPr>
  </w:style>
  <w:style w:type="paragraph" w:customStyle="1" w:styleId="94">
    <w:name w:val="正文_1"/>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95">
    <w:name w:val="layui-layer-tabnow"/>
    <w:basedOn w:val="50"/>
    <w:qFormat/>
    <w:uiPriority w:val="0"/>
    <w:rPr>
      <w:bdr w:val="single" w:color="CCCCCC" w:sz="6" w:space="0"/>
      <w:shd w:val="clear" w:color="auto" w:fill="FFFFFF"/>
    </w:rPr>
  </w:style>
  <w:style w:type="character" w:customStyle="1" w:styleId="96">
    <w:name w:val="first-child"/>
    <w:basedOn w:val="50"/>
    <w:qFormat/>
    <w:uiPriority w:val="0"/>
  </w:style>
  <w:style w:type="character" w:customStyle="1" w:styleId="97">
    <w:name w:val="文档结构图 Char"/>
    <w:basedOn w:val="50"/>
    <w:link w:val="14"/>
    <w:qFormat/>
    <w:uiPriority w:val="99"/>
    <w:rPr>
      <w:kern w:val="2"/>
      <w:sz w:val="21"/>
      <w:szCs w:val="24"/>
      <w:shd w:val="clear" w:color="auto" w:fill="000080"/>
    </w:rPr>
  </w:style>
  <w:style w:type="character" w:customStyle="1" w:styleId="98">
    <w:name w:val="批注文字 Char"/>
    <w:basedOn w:val="50"/>
    <w:link w:val="16"/>
    <w:qFormat/>
    <w:uiPriority w:val="99"/>
    <w:rPr>
      <w:kern w:val="2"/>
      <w:sz w:val="21"/>
      <w:szCs w:val="24"/>
    </w:rPr>
  </w:style>
  <w:style w:type="character" w:customStyle="1" w:styleId="99">
    <w:name w:val="正文文本 3 Char1"/>
    <w:link w:val="17"/>
    <w:qFormat/>
    <w:uiPriority w:val="0"/>
    <w:rPr>
      <w:rFonts w:ascii="宋体" w:hAnsi="Courier New"/>
      <w:kern w:val="2"/>
      <w:sz w:val="16"/>
      <w:szCs w:val="16"/>
    </w:rPr>
  </w:style>
  <w:style w:type="character" w:customStyle="1" w:styleId="100">
    <w:name w:val="正文文本 3 Char"/>
    <w:basedOn w:val="50"/>
    <w:link w:val="17"/>
    <w:qFormat/>
    <w:uiPriority w:val="0"/>
    <w:rPr>
      <w:kern w:val="2"/>
      <w:sz w:val="16"/>
      <w:szCs w:val="16"/>
    </w:rPr>
  </w:style>
  <w:style w:type="character" w:customStyle="1" w:styleId="101">
    <w:name w:val="正文文本缩进 2 Char"/>
    <w:basedOn w:val="50"/>
    <w:link w:val="27"/>
    <w:qFormat/>
    <w:uiPriority w:val="99"/>
    <w:rPr>
      <w:rFonts w:ascii="仿宋_GB2312" w:eastAsia="仿宋_GB2312"/>
      <w:kern w:val="2"/>
      <w:sz w:val="28"/>
      <w:szCs w:val="24"/>
    </w:rPr>
  </w:style>
  <w:style w:type="character" w:customStyle="1" w:styleId="102">
    <w:name w:val="尾注文本 Char"/>
    <w:basedOn w:val="50"/>
    <w:link w:val="28"/>
    <w:qFormat/>
    <w:uiPriority w:val="0"/>
    <w:rPr>
      <w:kern w:val="2"/>
      <w:sz w:val="21"/>
      <w:szCs w:val="24"/>
    </w:rPr>
  </w:style>
  <w:style w:type="character" w:customStyle="1" w:styleId="103">
    <w:name w:val="批注框文本 Char"/>
    <w:basedOn w:val="50"/>
    <w:link w:val="29"/>
    <w:qFormat/>
    <w:uiPriority w:val="99"/>
    <w:rPr>
      <w:kern w:val="2"/>
      <w:sz w:val="18"/>
      <w:szCs w:val="18"/>
    </w:rPr>
  </w:style>
  <w:style w:type="character" w:customStyle="1" w:styleId="104">
    <w:name w:val="副标题 Char"/>
    <w:basedOn w:val="50"/>
    <w:link w:val="34"/>
    <w:qFormat/>
    <w:uiPriority w:val="11"/>
    <w:rPr>
      <w:rFonts w:ascii="Cambria" w:hAnsi="Cambria"/>
      <w:b/>
      <w:bCs/>
      <w:kern w:val="28"/>
      <w:sz w:val="32"/>
      <w:szCs w:val="32"/>
    </w:rPr>
  </w:style>
  <w:style w:type="character" w:customStyle="1" w:styleId="105">
    <w:name w:val="脚注文本 Char"/>
    <w:basedOn w:val="50"/>
    <w:link w:val="35"/>
    <w:qFormat/>
    <w:uiPriority w:val="99"/>
    <w:rPr>
      <w:sz w:val="18"/>
    </w:rPr>
  </w:style>
  <w:style w:type="character" w:customStyle="1" w:styleId="106">
    <w:name w:val="正文文本缩进 3 Char1"/>
    <w:link w:val="37"/>
    <w:qFormat/>
    <w:uiPriority w:val="0"/>
    <w:rPr>
      <w:rFonts w:ascii="宋体" w:hAnsi="Courier New"/>
      <w:kern w:val="2"/>
      <w:sz w:val="16"/>
      <w:szCs w:val="16"/>
    </w:rPr>
  </w:style>
  <w:style w:type="character" w:customStyle="1" w:styleId="107">
    <w:name w:val="正文文本缩进 3 Char"/>
    <w:basedOn w:val="50"/>
    <w:link w:val="37"/>
    <w:qFormat/>
    <w:uiPriority w:val="0"/>
    <w:rPr>
      <w:kern w:val="2"/>
      <w:sz w:val="16"/>
      <w:szCs w:val="16"/>
    </w:rPr>
  </w:style>
  <w:style w:type="character" w:customStyle="1" w:styleId="108">
    <w:name w:val="正文文本 2 Char1"/>
    <w:link w:val="40"/>
    <w:qFormat/>
    <w:uiPriority w:val="0"/>
    <w:rPr>
      <w:rFonts w:ascii="宋体" w:hAnsi="宋体"/>
      <w:kern w:val="2"/>
      <w:sz w:val="28"/>
      <w:szCs w:val="24"/>
    </w:rPr>
  </w:style>
  <w:style w:type="character" w:customStyle="1" w:styleId="109">
    <w:name w:val="正文文本 2 Char"/>
    <w:basedOn w:val="50"/>
    <w:link w:val="40"/>
    <w:qFormat/>
    <w:uiPriority w:val="0"/>
    <w:rPr>
      <w:kern w:val="2"/>
      <w:sz w:val="21"/>
      <w:szCs w:val="24"/>
    </w:rPr>
  </w:style>
  <w:style w:type="character" w:customStyle="1" w:styleId="110">
    <w:name w:val="HTML 预设格式 Char"/>
    <w:basedOn w:val="50"/>
    <w:link w:val="42"/>
    <w:qFormat/>
    <w:uiPriority w:val="0"/>
    <w:rPr>
      <w:rFonts w:ascii="黑体" w:hAnsi="Courier New" w:eastAsia="黑体"/>
    </w:rPr>
  </w:style>
  <w:style w:type="character" w:customStyle="1" w:styleId="111">
    <w:name w:val="标题 Char"/>
    <w:basedOn w:val="50"/>
    <w:link w:val="45"/>
    <w:qFormat/>
    <w:uiPriority w:val="99"/>
    <w:rPr>
      <w:rFonts w:ascii="Cambria" w:hAnsi="Cambria"/>
      <w:b/>
      <w:bCs/>
      <w:kern w:val="2"/>
      <w:sz w:val="32"/>
      <w:szCs w:val="32"/>
    </w:rPr>
  </w:style>
  <w:style w:type="character" w:customStyle="1" w:styleId="112">
    <w:name w:val="批注主题 Char"/>
    <w:basedOn w:val="98"/>
    <w:link w:val="46"/>
    <w:qFormat/>
    <w:uiPriority w:val="99"/>
    <w:rPr>
      <w:b/>
      <w:bCs/>
    </w:rPr>
  </w:style>
  <w:style w:type="character" w:customStyle="1" w:styleId="113">
    <w:name w:val="Char Char24"/>
    <w:qFormat/>
    <w:uiPriority w:val="99"/>
    <w:rPr>
      <w:rFonts w:eastAsia="宋体"/>
      <w:b/>
      <w:bCs/>
      <w:kern w:val="44"/>
      <w:sz w:val="32"/>
      <w:szCs w:val="44"/>
      <w:lang w:val="en-US" w:eastAsia="zh-CN" w:bidi="ar-SA"/>
    </w:rPr>
  </w:style>
  <w:style w:type="character" w:customStyle="1" w:styleId="114">
    <w:name w:val="标题5 Char Char"/>
    <w:link w:val="115"/>
    <w:qFormat/>
    <w:uiPriority w:val="99"/>
    <w:rPr>
      <w:rFonts w:ascii="Arial" w:hAnsi="Arial"/>
      <w:b/>
      <w:bCs/>
      <w:sz w:val="24"/>
      <w:szCs w:val="32"/>
    </w:rPr>
  </w:style>
  <w:style w:type="paragraph" w:customStyle="1" w:styleId="115">
    <w:name w:val="标题5"/>
    <w:basedOn w:val="4"/>
    <w:link w:val="114"/>
    <w:qFormat/>
    <w:uiPriority w:val="99"/>
    <w:pPr>
      <w:spacing w:line="413" w:lineRule="auto"/>
    </w:pPr>
    <w:rPr>
      <w:rFonts w:ascii="Arial" w:hAnsi="Arial"/>
      <w:kern w:val="0"/>
      <w:sz w:val="24"/>
    </w:rPr>
  </w:style>
  <w:style w:type="character" w:customStyle="1" w:styleId="116">
    <w:name w:val="Char Char22"/>
    <w:qFormat/>
    <w:uiPriority w:val="99"/>
    <w:rPr>
      <w:rFonts w:ascii="Times New Roman" w:hAnsi="Times New Roman" w:eastAsia="宋体" w:cs="Times New Roman"/>
      <w:b/>
      <w:bCs/>
      <w:kern w:val="44"/>
      <w:sz w:val="32"/>
      <w:szCs w:val="44"/>
    </w:rPr>
  </w:style>
  <w:style w:type="character" w:customStyle="1" w:styleId="117">
    <w:name w:val="批注文字 Char1"/>
    <w:qFormat/>
    <w:uiPriority w:val="99"/>
    <w:rPr>
      <w:rFonts w:ascii="Times New Roman" w:hAnsi="Times New Roman" w:eastAsia="宋体" w:cs="Times New Roman"/>
      <w:szCs w:val="24"/>
    </w:rPr>
  </w:style>
  <w:style w:type="character" w:customStyle="1" w:styleId="118">
    <w:name w:val="引用 Char2"/>
    <w:qFormat/>
    <w:uiPriority w:val="29"/>
    <w:rPr>
      <w:i/>
      <w:iCs/>
      <w:color w:val="000000"/>
      <w:kern w:val="2"/>
      <w:sz w:val="21"/>
      <w:szCs w:val="24"/>
    </w:rPr>
  </w:style>
  <w:style w:type="character" w:customStyle="1" w:styleId="119">
    <w:name w:val="Char Char91"/>
    <w:qFormat/>
    <w:uiPriority w:val="99"/>
    <w:rPr>
      <w:rFonts w:eastAsia="宋体"/>
      <w:b/>
      <w:bCs/>
      <w:kern w:val="44"/>
      <w:sz w:val="32"/>
      <w:szCs w:val="44"/>
      <w:lang w:val="en-US" w:eastAsia="zh-CN" w:bidi="ar-SA"/>
    </w:rPr>
  </w:style>
  <w:style w:type="character" w:customStyle="1" w:styleId="120">
    <w:name w:val="bsharetext"/>
    <w:basedOn w:val="50"/>
    <w:qFormat/>
    <w:uiPriority w:val="0"/>
  </w:style>
  <w:style w:type="character" w:customStyle="1" w:styleId="121">
    <w:name w:val="批注文字 Char Char Char"/>
    <w:qFormat/>
    <w:uiPriority w:val="0"/>
    <w:rPr>
      <w:kern w:val="2"/>
      <w:sz w:val="21"/>
      <w:szCs w:val="24"/>
    </w:rPr>
  </w:style>
  <w:style w:type="character" w:customStyle="1" w:styleId="122">
    <w:name w:val="Header Char"/>
    <w:qFormat/>
    <w:uiPriority w:val="99"/>
    <w:rPr>
      <w:rFonts w:eastAsia="宋体"/>
      <w:kern w:val="2"/>
      <w:sz w:val="18"/>
      <w:szCs w:val="18"/>
      <w:lang w:val="en-US" w:eastAsia="zh-CN" w:bidi="ar-SA"/>
    </w:rPr>
  </w:style>
  <w:style w:type="character" w:customStyle="1" w:styleId="123">
    <w:name w:val="批注文字 Char Char"/>
    <w:qFormat/>
    <w:uiPriority w:val="99"/>
    <w:rPr>
      <w:rFonts w:ascii="宋体" w:hAnsi="Times New Roman" w:eastAsia="宋体" w:cs="Times New Roman"/>
      <w:sz w:val="28"/>
      <w:szCs w:val="20"/>
    </w:rPr>
  </w:style>
  <w:style w:type="character" w:customStyle="1" w:styleId="124">
    <w:name w:val="不明显参考1"/>
    <w:qFormat/>
    <w:uiPriority w:val="99"/>
    <w:rPr>
      <w:smallCaps/>
      <w:color w:val="C0504D"/>
      <w:u w:val="single"/>
    </w:rPr>
  </w:style>
  <w:style w:type="character" w:customStyle="1" w:styleId="125">
    <w:name w:val="访问过的超链接"/>
    <w:qFormat/>
    <w:uiPriority w:val="99"/>
    <w:rPr>
      <w:color w:val="000000"/>
      <w:u w:val="none"/>
    </w:rPr>
  </w:style>
  <w:style w:type="character" w:customStyle="1" w:styleId="126">
    <w:name w:val="引用 Char3"/>
    <w:qFormat/>
    <w:uiPriority w:val="29"/>
    <w:rPr>
      <w:rFonts w:ascii="Times New Roman" w:hAnsi="Times New Roman" w:eastAsia="宋体" w:cs="Times New Roman"/>
      <w:i/>
      <w:iCs/>
      <w:color w:val="000000"/>
      <w:szCs w:val="24"/>
    </w:rPr>
  </w:style>
  <w:style w:type="character" w:customStyle="1" w:styleId="127">
    <w:name w:val="纯文本 Char1"/>
    <w:qFormat/>
    <w:uiPriority w:val="99"/>
    <w:rPr>
      <w:rFonts w:ascii="宋体" w:hAnsi="Courier New" w:eastAsia="宋体"/>
      <w:sz w:val="21"/>
      <w:lang w:val="en-US" w:eastAsia="zh-CN" w:bidi="ar-SA"/>
    </w:rPr>
  </w:style>
  <w:style w:type="character" w:customStyle="1" w:styleId="128">
    <w:name w:val="不明显强调1"/>
    <w:qFormat/>
    <w:uiPriority w:val="99"/>
    <w:rPr>
      <w:i/>
      <w:iCs/>
      <w:color w:val="808080"/>
    </w:rPr>
  </w:style>
  <w:style w:type="character" w:customStyle="1" w:styleId="129">
    <w:name w:val="文档结构图 Char1"/>
    <w:qFormat/>
    <w:uiPriority w:val="99"/>
    <w:rPr>
      <w:rFonts w:ascii="宋体" w:hAnsi="Times New Roman" w:eastAsia="宋体" w:cs="Times New Roman"/>
      <w:sz w:val="18"/>
      <w:szCs w:val="18"/>
    </w:rPr>
  </w:style>
  <w:style w:type="character" w:customStyle="1" w:styleId="130">
    <w:name w:val="Comment Text Char"/>
    <w:qFormat/>
    <w:uiPriority w:val="99"/>
    <w:rPr>
      <w:rFonts w:cs="Times New Roman"/>
      <w:sz w:val="24"/>
      <w:szCs w:val="24"/>
    </w:rPr>
  </w:style>
  <w:style w:type="character" w:customStyle="1" w:styleId="131">
    <w:name w:val="Heading 3 Char"/>
    <w:qFormat/>
    <w:uiPriority w:val="99"/>
    <w:rPr>
      <w:rFonts w:cs="Times New Roman"/>
      <w:b/>
      <w:bCs/>
      <w:kern w:val="2"/>
      <w:sz w:val="32"/>
      <w:szCs w:val="32"/>
    </w:rPr>
  </w:style>
  <w:style w:type="character" w:customStyle="1" w:styleId="132">
    <w:name w:val="Char Char2411"/>
    <w:qFormat/>
    <w:uiPriority w:val="99"/>
    <w:rPr>
      <w:rFonts w:eastAsia="宋体"/>
      <w:b/>
      <w:bCs/>
      <w:kern w:val="44"/>
      <w:sz w:val="32"/>
      <w:szCs w:val="44"/>
      <w:lang w:val="en-US" w:eastAsia="zh-CN" w:bidi="ar-SA"/>
    </w:rPr>
  </w:style>
  <w:style w:type="character" w:customStyle="1" w:styleId="133">
    <w:name w:val="批注文字 Char3"/>
    <w:qFormat/>
    <w:uiPriority w:val="0"/>
    <w:rPr>
      <w:kern w:val="2"/>
      <w:sz w:val="21"/>
      <w:szCs w:val="24"/>
    </w:rPr>
  </w:style>
  <w:style w:type="character" w:customStyle="1" w:styleId="134">
    <w:name w:val="Balloon Text Char"/>
    <w:qFormat/>
    <w:uiPriority w:val="99"/>
    <w:rPr>
      <w:sz w:val="18"/>
      <w:lang w:bidi="ar-SA"/>
    </w:rPr>
  </w:style>
  <w:style w:type="character" w:customStyle="1" w:styleId="135">
    <w:name w:val="不明显强调2"/>
    <w:qFormat/>
    <w:uiPriority w:val="0"/>
    <w:rPr>
      <w:i/>
      <w:iCs/>
      <w:color w:val="808080"/>
    </w:rPr>
  </w:style>
  <w:style w:type="character" w:customStyle="1" w:styleId="136">
    <w:name w:val="ca-21"/>
    <w:qFormat/>
    <w:uiPriority w:val="0"/>
    <w:rPr>
      <w:rFonts w:hint="eastAsia" w:ascii="宋体" w:hAnsi="宋体" w:eastAsia="宋体"/>
      <w:sz w:val="24"/>
      <w:szCs w:val="24"/>
    </w:rPr>
  </w:style>
  <w:style w:type="character" w:customStyle="1" w:styleId="137">
    <w:name w:val="中等深浅网格 3 - 强调文字颜色 2 Char"/>
    <w:link w:val="138"/>
    <w:qFormat/>
    <w:uiPriority w:val="0"/>
    <w:rPr>
      <w:b/>
      <w:bCs/>
      <w:i/>
      <w:iCs/>
      <w:color w:val="4F81BD"/>
    </w:rPr>
  </w:style>
  <w:style w:type="paragraph" w:customStyle="1" w:styleId="138">
    <w:name w:val="中等深浅网格 3 - 强调文字颜色 21"/>
    <w:basedOn w:val="1"/>
    <w:next w:val="1"/>
    <w:link w:val="137"/>
    <w:qFormat/>
    <w:uiPriority w:val="0"/>
    <w:pPr>
      <w:pBdr>
        <w:bottom w:val="single" w:color="4F81BD" w:sz="4" w:space="4"/>
      </w:pBdr>
      <w:spacing w:before="200" w:after="280"/>
      <w:ind w:left="936" w:right="936"/>
    </w:pPr>
    <w:rPr>
      <w:b/>
      <w:bCs/>
      <w:i/>
      <w:iCs/>
      <w:color w:val="4F81BD"/>
      <w:kern w:val="0"/>
      <w:sz w:val="20"/>
      <w:szCs w:val="20"/>
    </w:rPr>
  </w:style>
  <w:style w:type="character" w:customStyle="1" w:styleId="139">
    <w:name w:val="不明显参考2"/>
    <w:qFormat/>
    <w:uiPriority w:val="0"/>
    <w:rPr>
      <w:smallCaps/>
      <w:color w:val="C0504D"/>
      <w:u w:val="single"/>
    </w:rPr>
  </w:style>
  <w:style w:type="character" w:customStyle="1" w:styleId="140">
    <w:name w:val="明显引用 Char"/>
    <w:qFormat/>
    <w:uiPriority w:val="99"/>
    <w:rPr>
      <w:b/>
      <w:bCs/>
      <w:i/>
      <w:iCs/>
      <w:color w:val="4F81BD"/>
    </w:rPr>
  </w:style>
  <w:style w:type="paragraph" w:styleId="141">
    <w:name w:val="Intense Quote"/>
    <w:basedOn w:val="1"/>
    <w:next w:val="1"/>
    <w:link w:val="142"/>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142">
    <w:name w:val="明显引用 Char1"/>
    <w:basedOn w:val="50"/>
    <w:link w:val="141"/>
    <w:qFormat/>
    <w:uiPriority w:val="99"/>
    <w:rPr>
      <w:b/>
      <w:bCs/>
      <w:i/>
      <w:iCs/>
      <w:color w:val="5B9BD5" w:themeColor="accent1"/>
      <w:kern w:val="2"/>
      <w:sz w:val="21"/>
      <w:szCs w:val="24"/>
      <w14:textFill>
        <w14:solidFill>
          <w14:schemeClr w14:val="accent1"/>
        </w14:solidFill>
      </w14:textFill>
    </w:rPr>
  </w:style>
  <w:style w:type="character" w:customStyle="1" w:styleId="143">
    <w:name w:val="font161"/>
    <w:qFormat/>
    <w:uiPriority w:val="0"/>
    <w:rPr>
      <w:b/>
      <w:bCs/>
      <w:sz w:val="32"/>
      <w:szCs w:val="32"/>
    </w:rPr>
  </w:style>
  <w:style w:type="character" w:customStyle="1" w:styleId="144">
    <w:name w:val="明显强调1"/>
    <w:qFormat/>
    <w:uiPriority w:val="99"/>
    <w:rPr>
      <w:b/>
      <w:bCs/>
      <w:i/>
      <w:iCs/>
      <w:color w:val="4F81BD"/>
    </w:rPr>
  </w:style>
  <w:style w:type="character" w:customStyle="1" w:styleId="145">
    <w:name w:val="Title Char"/>
    <w:qFormat/>
    <w:uiPriority w:val="99"/>
    <w:rPr>
      <w:rFonts w:ascii="Cambria" w:hAnsi="Cambria"/>
      <w:b/>
      <w:sz w:val="32"/>
      <w:lang w:bidi="ar-SA"/>
    </w:rPr>
  </w:style>
  <w:style w:type="character" w:customStyle="1" w:styleId="146">
    <w:name w:val="Char Char6"/>
    <w:qFormat/>
    <w:uiPriority w:val="99"/>
    <w:rPr>
      <w:rFonts w:eastAsia="宋体"/>
      <w:b/>
      <w:bCs/>
      <w:kern w:val="44"/>
      <w:sz w:val="32"/>
      <w:szCs w:val="44"/>
      <w:lang w:val="en-US" w:eastAsia="zh-CN" w:bidi="ar-SA"/>
    </w:rPr>
  </w:style>
  <w:style w:type="character" w:customStyle="1" w:styleId="147">
    <w:name w:val="Body Text Indent Char"/>
    <w:qFormat/>
    <w:uiPriority w:val="99"/>
    <w:rPr>
      <w:rFonts w:ascii="宋体" w:hAnsi="宋体" w:eastAsia="宋体"/>
      <w:kern w:val="2"/>
      <w:sz w:val="21"/>
      <w:lang w:val="en-US" w:eastAsia="zh-CN" w:bidi="ar-SA"/>
    </w:rPr>
  </w:style>
  <w:style w:type="character" w:customStyle="1" w:styleId="148">
    <w:name w:val="Char Char19"/>
    <w:qFormat/>
    <w:uiPriority w:val="99"/>
    <w:rPr>
      <w:rFonts w:ascii="Arial" w:hAnsi="Arial" w:eastAsia="宋体" w:cs="Times New Roman"/>
      <w:b/>
      <w:bCs/>
      <w:szCs w:val="28"/>
    </w:rPr>
  </w:style>
  <w:style w:type="character" w:customStyle="1" w:styleId="149">
    <w:name w:val="副标题 Char1"/>
    <w:qFormat/>
    <w:uiPriority w:val="11"/>
    <w:rPr>
      <w:rFonts w:ascii="Cambria" w:hAnsi="Cambria" w:eastAsia="宋体" w:cs="Times New Roman"/>
      <w:b/>
      <w:bCs/>
      <w:kern w:val="28"/>
      <w:sz w:val="32"/>
      <w:szCs w:val="32"/>
    </w:rPr>
  </w:style>
  <w:style w:type="character" w:customStyle="1" w:styleId="150">
    <w:name w:val="明显引用 Char3"/>
    <w:autoRedefine/>
    <w:qFormat/>
    <w:uiPriority w:val="30"/>
    <w:rPr>
      <w:rFonts w:ascii="Times New Roman" w:hAnsi="Times New Roman" w:eastAsia="宋体" w:cs="Times New Roman"/>
      <w:b/>
      <w:bCs/>
      <w:i/>
      <w:iCs/>
      <w:color w:val="4F81BD"/>
      <w:szCs w:val="24"/>
    </w:rPr>
  </w:style>
  <w:style w:type="character" w:customStyle="1" w:styleId="151">
    <w:name w:val="书籍标题1"/>
    <w:qFormat/>
    <w:uiPriority w:val="99"/>
    <w:rPr>
      <w:b/>
      <w:bCs/>
      <w:smallCaps/>
      <w:spacing w:val="5"/>
    </w:rPr>
  </w:style>
  <w:style w:type="character" w:customStyle="1" w:styleId="152">
    <w:name w:val="文档结构图 Char2"/>
    <w:qFormat/>
    <w:uiPriority w:val="99"/>
    <w:rPr>
      <w:rFonts w:ascii="宋体"/>
      <w:kern w:val="2"/>
      <w:sz w:val="18"/>
      <w:szCs w:val="18"/>
    </w:rPr>
  </w:style>
  <w:style w:type="character" w:customStyle="1" w:styleId="153">
    <w:name w:val="Heading 5 Char"/>
    <w:qFormat/>
    <w:uiPriority w:val="99"/>
    <w:rPr>
      <w:rFonts w:eastAsia="宋体"/>
      <w:b/>
      <w:bCs/>
      <w:kern w:val="2"/>
      <w:sz w:val="28"/>
      <w:szCs w:val="28"/>
      <w:lang w:val="en-US" w:eastAsia="zh-CN" w:bidi="ar-SA"/>
    </w:rPr>
  </w:style>
  <w:style w:type="character" w:customStyle="1" w:styleId="154">
    <w:name w:val="style2"/>
    <w:basedOn w:val="50"/>
    <w:qFormat/>
    <w:uiPriority w:val="0"/>
  </w:style>
  <w:style w:type="character" w:customStyle="1" w:styleId="155">
    <w:name w:val="脚注文本 Char1"/>
    <w:qFormat/>
    <w:uiPriority w:val="99"/>
    <w:rPr>
      <w:kern w:val="2"/>
      <w:sz w:val="18"/>
      <w:szCs w:val="18"/>
    </w:rPr>
  </w:style>
  <w:style w:type="character" w:customStyle="1" w:styleId="156">
    <w:name w:val="Char Char21"/>
    <w:qFormat/>
    <w:uiPriority w:val="99"/>
    <w:rPr>
      <w:rFonts w:ascii="Arial" w:hAnsi="Arial" w:eastAsia="黑体" w:cs="Times New Roman"/>
      <w:b/>
      <w:bCs/>
      <w:sz w:val="32"/>
      <w:szCs w:val="32"/>
    </w:rPr>
  </w:style>
  <w:style w:type="character" w:customStyle="1" w:styleId="157">
    <w:name w:val="引用 Char"/>
    <w:qFormat/>
    <w:uiPriority w:val="99"/>
    <w:rPr>
      <w:i/>
      <w:iCs/>
      <w:color w:val="000000"/>
    </w:rPr>
  </w:style>
  <w:style w:type="paragraph" w:styleId="158">
    <w:name w:val="Quote"/>
    <w:basedOn w:val="1"/>
    <w:next w:val="1"/>
    <w:link w:val="159"/>
    <w:qFormat/>
    <w:uiPriority w:val="99"/>
    <w:rPr>
      <w:i/>
      <w:iCs/>
      <w:color w:val="000000"/>
      <w:kern w:val="0"/>
      <w:sz w:val="20"/>
      <w:szCs w:val="20"/>
    </w:rPr>
  </w:style>
  <w:style w:type="character" w:customStyle="1" w:styleId="159">
    <w:name w:val="引用 Char1"/>
    <w:basedOn w:val="50"/>
    <w:link w:val="158"/>
    <w:qFormat/>
    <w:uiPriority w:val="99"/>
    <w:rPr>
      <w:i/>
      <w:iCs/>
      <w:color w:val="000000" w:themeColor="text1"/>
      <w:kern w:val="2"/>
      <w:sz w:val="21"/>
      <w:szCs w:val="24"/>
      <w14:textFill>
        <w14:solidFill>
          <w14:schemeClr w14:val="tx1"/>
        </w14:solidFill>
      </w14:textFill>
    </w:rPr>
  </w:style>
  <w:style w:type="character" w:customStyle="1" w:styleId="160">
    <w:name w:val="Char Char"/>
    <w:qFormat/>
    <w:uiPriority w:val="0"/>
    <w:rPr>
      <w:rFonts w:ascii="Arial" w:hAnsi="Arial" w:eastAsia="黑体"/>
      <w:b/>
      <w:bCs/>
      <w:kern w:val="2"/>
      <w:sz w:val="32"/>
      <w:szCs w:val="32"/>
      <w:lang w:val="en-US" w:eastAsia="zh-CN" w:bidi="ar-SA"/>
    </w:rPr>
  </w:style>
  <w:style w:type="character" w:customStyle="1" w:styleId="161">
    <w:name w:val="标题 Char1"/>
    <w:qFormat/>
    <w:uiPriority w:val="99"/>
    <w:rPr>
      <w:rFonts w:ascii="Cambria" w:hAnsi="Cambria" w:eastAsia="宋体" w:cs="Times New Roman"/>
      <w:b/>
      <w:bCs/>
      <w:sz w:val="32"/>
      <w:szCs w:val="32"/>
    </w:rPr>
  </w:style>
  <w:style w:type="character" w:customStyle="1" w:styleId="162">
    <w:name w:val="Document Map Char"/>
    <w:qFormat/>
    <w:uiPriority w:val="99"/>
    <w:rPr>
      <w:rFonts w:eastAsia="宋体"/>
      <w:kern w:val="2"/>
      <w:sz w:val="21"/>
      <w:szCs w:val="24"/>
      <w:lang w:val="en-US" w:eastAsia="zh-CN" w:bidi="ar-SA"/>
    </w:rPr>
  </w:style>
  <w:style w:type="character" w:customStyle="1" w:styleId="163">
    <w:name w:val="Char Char9"/>
    <w:qFormat/>
    <w:uiPriority w:val="99"/>
    <w:rPr>
      <w:rFonts w:eastAsia="宋体"/>
      <w:b/>
      <w:bCs/>
      <w:kern w:val="44"/>
      <w:sz w:val="32"/>
      <w:szCs w:val="44"/>
      <w:lang w:val="en-US" w:eastAsia="zh-CN" w:bidi="ar-SA"/>
    </w:rPr>
  </w:style>
  <w:style w:type="character" w:customStyle="1" w:styleId="164">
    <w:name w:val="Char Char20"/>
    <w:qFormat/>
    <w:uiPriority w:val="99"/>
    <w:rPr>
      <w:rFonts w:ascii="Times New Roman" w:hAnsi="Times New Roman" w:eastAsia="宋体" w:cs="Times New Roman"/>
      <w:b/>
      <w:bCs/>
      <w:sz w:val="24"/>
      <w:szCs w:val="32"/>
    </w:rPr>
  </w:style>
  <w:style w:type="character" w:customStyle="1" w:styleId="165">
    <w:name w:val="标题 Char3"/>
    <w:qFormat/>
    <w:uiPriority w:val="10"/>
    <w:rPr>
      <w:rFonts w:ascii="Cambria" w:hAnsi="Cambria" w:cs="Times New Roman"/>
      <w:b/>
      <w:bCs/>
      <w:kern w:val="2"/>
      <w:sz w:val="32"/>
      <w:szCs w:val="32"/>
    </w:rPr>
  </w:style>
  <w:style w:type="character" w:customStyle="1" w:styleId="166">
    <w:name w:val="Char Char18"/>
    <w:qFormat/>
    <w:uiPriority w:val="99"/>
    <w:rPr>
      <w:rFonts w:ascii="Times New Roman" w:hAnsi="Times New Roman" w:eastAsia="宋体" w:cs="Times New Roman"/>
      <w:b/>
      <w:bCs/>
      <w:sz w:val="28"/>
      <w:szCs w:val="28"/>
    </w:rPr>
  </w:style>
  <w:style w:type="character" w:customStyle="1" w:styleId="167">
    <w:name w:val="Char Char2"/>
    <w:qFormat/>
    <w:uiPriority w:val="0"/>
    <w:rPr>
      <w:rFonts w:ascii="宋体" w:hAnsi="Courier New" w:eastAsia="宋体"/>
      <w:color w:val="000000"/>
      <w:kern w:val="2"/>
      <w:sz w:val="21"/>
      <w:lang w:val="en-US" w:eastAsia="zh-CN" w:bidi="ar-SA"/>
    </w:rPr>
  </w:style>
  <w:style w:type="character" w:customStyle="1" w:styleId="168">
    <w:name w:val="Footer Char"/>
    <w:qFormat/>
    <w:uiPriority w:val="99"/>
    <w:rPr>
      <w:rFonts w:eastAsia="宋体"/>
      <w:kern w:val="2"/>
      <w:sz w:val="18"/>
      <w:szCs w:val="18"/>
      <w:lang w:val="en-US" w:eastAsia="zh-CN" w:bidi="ar-SA"/>
    </w:rPr>
  </w:style>
  <w:style w:type="character" w:customStyle="1" w:styleId="169">
    <w:name w:val="标题4 Char Char"/>
    <w:link w:val="170"/>
    <w:qFormat/>
    <w:uiPriority w:val="99"/>
    <w:rPr>
      <w:rFonts w:ascii="Arial" w:hAnsi="Arial"/>
      <w:b/>
      <w:bCs/>
      <w:sz w:val="24"/>
      <w:szCs w:val="32"/>
    </w:rPr>
  </w:style>
  <w:style w:type="paragraph" w:customStyle="1" w:styleId="170">
    <w:name w:val="标题4"/>
    <w:basedOn w:val="3"/>
    <w:next w:val="21"/>
    <w:link w:val="169"/>
    <w:qFormat/>
    <w:uiPriority w:val="99"/>
    <w:pPr>
      <w:spacing w:before="60" w:after="60"/>
      <w:jc w:val="both"/>
    </w:pPr>
    <w:rPr>
      <w:rFonts w:eastAsia="宋体"/>
      <w:bCs/>
      <w:kern w:val="0"/>
      <w:sz w:val="24"/>
      <w:szCs w:val="32"/>
    </w:rPr>
  </w:style>
  <w:style w:type="character" w:customStyle="1" w:styleId="171">
    <w:name w:val="textcontents"/>
    <w:qFormat/>
    <w:uiPriority w:val="99"/>
    <w:rPr>
      <w:rFonts w:cs="Times New Roman"/>
    </w:rPr>
  </w:style>
  <w:style w:type="character" w:customStyle="1" w:styleId="172">
    <w:name w:val="书籍标题2"/>
    <w:qFormat/>
    <w:uiPriority w:val="0"/>
    <w:rPr>
      <w:b/>
      <w:bCs/>
      <w:smallCaps/>
      <w:spacing w:val="5"/>
    </w:rPr>
  </w:style>
  <w:style w:type="character" w:customStyle="1" w:styleId="173">
    <w:name w:val="Char Char241"/>
    <w:qFormat/>
    <w:uiPriority w:val="0"/>
    <w:rPr>
      <w:rFonts w:eastAsia="宋体"/>
      <w:b/>
      <w:bCs/>
      <w:kern w:val="44"/>
      <w:sz w:val="32"/>
      <w:szCs w:val="44"/>
      <w:lang w:val="en-US" w:eastAsia="zh-CN" w:bidi="ar-SA"/>
    </w:rPr>
  </w:style>
  <w:style w:type="character" w:customStyle="1" w:styleId="174">
    <w:name w:val="Heading 1 Char"/>
    <w:qFormat/>
    <w:uiPriority w:val="99"/>
    <w:rPr>
      <w:rFonts w:eastAsia="宋体"/>
      <w:b/>
      <w:bCs/>
      <w:kern w:val="44"/>
      <w:sz w:val="32"/>
      <w:szCs w:val="44"/>
      <w:lang w:val="en-US" w:eastAsia="zh-CN" w:bidi="ar-SA"/>
    </w:rPr>
  </w:style>
  <w:style w:type="character" w:customStyle="1" w:styleId="175">
    <w:name w:val="批注主题 Char1"/>
    <w:qFormat/>
    <w:uiPriority w:val="99"/>
    <w:rPr>
      <w:rFonts w:ascii="Times New Roman" w:hAnsi="Times New Roman" w:eastAsia="宋体" w:cs="Times New Roman"/>
      <w:b/>
      <w:bCs/>
      <w:szCs w:val="24"/>
    </w:rPr>
  </w:style>
  <w:style w:type="character" w:customStyle="1" w:styleId="176">
    <w:name w:val="Date Char"/>
    <w:qFormat/>
    <w:uiPriority w:val="99"/>
    <w:rPr>
      <w:rFonts w:eastAsia="宋体"/>
      <w:kern w:val="2"/>
      <w:sz w:val="21"/>
      <w:szCs w:val="24"/>
      <w:lang w:val="en-US" w:eastAsia="zh-CN" w:bidi="ar-SA"/>
    </w:rPr>
  </w:style>
  <w:style w:type="character" w:customStyle="1" w:styleId="177">
    <w:name w:val="中等深浅网格 2 - 强调文字颜色 2 Char"/>
    <w:link w:val="178"/>
    <w:qFormat/>
    <w:uiPriority w:val="0"/>
    <w:rPr>
      <w:i/>
      <w:iCs/>
      <w:color w:val="000000"/>
    </w:rPr>
  </w:style>
  <w:style w:type="paragraph" w:customStyle="1" w:styleId="178">
    <w:name w:val="中等深浅网格 2 - 强调文字颜色 21"/>
    <w:basedOn w:val="1"/>
    <w:next w:val="1"/>
    <w:link w:val="177"/>
    <w:qFormat/>
    <w:uiPriority w:val="0"/>
    <w:rPr>
      <w:i/>
      <w:iCs/>
      <w:color w:val="000000"/>
      <w:kern w:val="0"/>
      <w:sz w:val="20"/>
      <w:szCs w:val="20"/>
    </w:rPr>
  </w:style>
  <w:style w:type="character" w:customStyle="1" w:styleId="179">
    <w:name w:val="纯文本 Char2"/>
    <w:qFormat/>
    <w:uiPriority w:val="0"/>
    <w:rPr>
      <w:rFonts w:ascii="宋体" w:hAnsi="Courier New" w:eastAsia="宋体"/>
      <w:kern w:val="2"/>
      <w:sz w:val="21"/>
      <w:szCs w:val="24"/>
      <w:lang w:val="en-US" w:eastAsia="zh-CN" w:bidi="ar-SA"/>
    </w:rPr>
  </w:style>
  <w:style w:type="character" w:customStyle="1" w:styleId="180">
    <w:name w:val="标题 Char2"/>
    <w:qFormat/>
    <w:uiPriority w:val="99"/>
    <w:rPr>
      <w:rFonts w:ascii="Cambria" w:hAnsi="Cambria" w:eastAsia="宋体" w:cs="Times New Roman"/>
      <w:b/>
      <w:bCs/>
      <w:sz w:val="32"/>
      <w:szCs w:val="32"/>
    </w:rPr>
  </w:style>
  <w:style w:type="character" w:customStyle="1" w:styleId="181">
    <w:name w:val="普通文字 Char Char1"/>
    <w:qFormat/>
    <w:uiPriority w:val="0"/>
    <w:rPr>
      <w:rFonts w:ascii="宋体" w:hAnsi="Courier New" w:eastAsia="宋体"/>
      <w:kern w:val="2"/>
      <w:sz w:val="21"/>
      <w:lang w:val="en-US" w:eastAsia="zh-CN" w:bidi="ar-SA"/>
    </w:rPr>
  </w:style>
  <w:style w:type="character" w:customStyle="1" w:styleId="182">
    <w:name w:val="正文文本 Char2"/>
    <w:qFormat/>
    <w:uiPriority w:val="99"/>
    <w:rPr>
      <w:kern w:val="2"/>
      <w:sz w:val="21"/>
      <w:szCs w:val="24"/>
    </w:rPr>
  </w:style>
  <w:style w:type="character" w:customStyle="1" w:styleId="183">
    <w:name w:val="Heading 3 Char1"/>
    <w:qFormat/>
    <w:uiPriority w:val="99"/>
    <w:rPr>
      <w:rFonts w:eastAsia="宋体"/>
      <w:b/>
      <w:bCs/>
      <w:kern w:val="2"/>
      <w:sz w:val="24"/>
      <w:szCs w:val="32"/>
      <w:lang w:val="en-US" w:eastAsia="zh-CN" w:bidi="ar-SA"/>
    </w:rPr>
  </w:style>
  <w:style w:type="character" w:customStyle="1" w:styleId="184">
    <w:name w:val="批注文字 Char2"/>
    <w:qFormat/>
    <w:uiPriority w:val="0"/>
    <w:rPr>
      <w:kern w:val="2"/>
      <w:sz w:val="21"/>
      <w:szCs w:val="24"/>
      <w:lang w:bidi="ar-SA"/>
    </w:rPr>
  </w:style>
  <w:style w:type="character" w:customStyle="1" w:styleId="185">
    <w:name w:val="Char Char181"/>
    <w:qFormat/>
    <w:uiPriority w:val="99"/>
    <w:rPr>
      <w:b/>
      <w:bCs/>
      <w:kern w:val="44"/>
      <w:sz w:val="44"/>
      <w:szCs w:val="44"/>
    </w:rPr>
  </w:style>
  <w:style w:type="character" w:customStyle="1" w:styleId="186">
    <w:name w:val="明显引用 Char2"/>
    <w:qFormat/>
    <w:uiPriority w:val="30"/>
    <w:rPr>
      <w:b/>
      <w:bCs/>
      <w:i/>
      <w:iCs/>
      <w:color w:val="4F81BD"/>
      <w:kern w:val="2"/>
      <w:sz w:val="21"/>
      <w:szCs w:val="24"/>
    </w:rPr>
  </w:style>
  <w:style w:type="character" w:customStyle="1" w:styleId="187">
    <w:name w:val="Blockquote Char"/>
    <w:link w:val="188"/>
    <w:qFormat/>
    <w:uiPriority w:val="0"/>
    <w:rPr>
      <w:sz w:val="24"/>
    </w:rPr>
  </w:style>
  <w:style w:type="paragraph" w:customStyle="1" w:styleId="188">
    <w:name w:val="Blockquote"/>
    <w:basedOn w:val="1"/>
    <w:link w:val="187"/>
    <w:qFormat/>
    <w:uiPriority w:val="0"/>
    <w:pPr>
      <w:autoSpaceDE w:val="0"/>
      <w:autoSpaceDN w:val="0"/>
      <w:adjustRightInd w:val="0"/>
      <w:spacing w:before="100" w:after="100" w:line="480" w:lineRule="exact"/>
      <w:ind w:left="360" w:right="360"/>
      <w:jc w:val="left"/>
    </w:pPr>
    <w:rPr>
      <w:kern w:val="0"/>
      <w:sz w:val="24"/>
      <w:szCs w:val="20"/>
    </w:rPr>
  </w:style>
  <w:style w:type="character" w:customStyle="1" w:styleId="189">
    <w:name w:val="Heading 4 Char"/>
    <w:qFormat/>
    <w:uiPriority w:val="99"/>
    <w:rPr>
      <w:rFonts w:ascii="Arial" w:hAnsi="Arial" w:eastAsia="宋体"/>
      <w:b/>
      <w:bCs/>
      <w:kern w:val="2"/>
      <w:sz w:val="21"/>
      <w:szCs w:val="28"/>
      <w:lang w:val="en-US" w:eastAsia="zh-CN" w:bidi="ar-SA"/>
    </w:rPr>
  </w:style>
  <w:style w:type="character" w:customStyle="1" w:styleId="190">
    <w:name w:val="Plain Text Char"/>
    <w:qFormat/>
    <w:uiPriority w:val="99"/>
    <w:rPr>
      <w:rFonts w:ascii="宋体" w:hAnsi="Courier New" w:eastAsia="宋体"/>
      <w:sz w:val="24"/>
      <w:lang w:bidi="ar-SA"/>
    </w:rPr>
  </w:style>
  <w:style w:type="character" w:customStyle="1" w:styleId="191">
    <w:name w:val="明显参考1"/>
    <w:qFormat/>
    <w:uiPriority w:val="99"/>
    <w:rPr>
      <w:b/>
      <w:bCs/>
      <w:smallCaps/>
      <w:color w:val="C0504D"/>
      <w:spacing w:val="5"/>
      <w:u w:val="single"/>
    </w:rPr>
  </w:style>
  <w:style w:type="character" w:customStyle="1" w:styleId="192">
    <w:name w:val="Char Char23"/>
    <w:qFormat/>
    <w:uiPriority w:val="99"/>
    <w:rPr>
      <w:rFonts w:eastAsia="宋体"/>
      <w:b/>
      <w:bCs/>
      <w:kern w:val="44"/>
      <w:sz w:val="32"/>
      <w:szCs w:val="44"/>
      <w:lang w:val="en-US" w:eastAsia="zh-CN" w:bidi="ar-SA"/>
    </w:rPr>
  </w:style>
  <w:style w:type="character" w:customStyle="1" w:styleId="193">
    <w:name w:val="日期 Char1"/>
    <w:qFormat/>
    <w:uiPriority w:val="99"/>
    <w:rPr>
      <w:rFonts w:ascii="Times New Roman" w:hAnsi="Times New Roman" w:eastAsia="宋体" w:cs="Times New Roman"/>
      <w:szCs w:val="24"/>
    </w:rPr>
  </w:style>
  <w:style w:type="character" w:customStyle="1" w:styleId="194">
    <w:name w:val="Comment Subject Char"/>
    <w:qFormat/>
    <w:uiPriority w:val="99"/>
    <w:rPr>
      <w:b/>
      <w:sz w:val="24"/>
      <w:lang w:bidi="ar-SA"/>
    </w:rPr>
  </w:style>
  <w:style w:type="character" w:customStyle="1" w:styleId="195">
    <w:name w:val="Comment Text Char1"/>
    <w:qFormat/>
    <w:uiPriority w:val="99"/>
    <w:rPr>
      <w:sz w:val="24"/>
      <w:lang w:bidi="ar-SA"/>
    </w:rPr>
  </w:style>
  <w:style w:type="character" w:customStyle="1" w:styleId="196">
    <w:name w:val="正文文本 Char1"/>
    <w:qFormat/>
    <w:uiPriority w:val="99"/>
    <w:rPr>
      <w:kern w:val="2"/>
      <w:sz w:val="21"/>
      <w:szCs w:val="22"/>
    </w:rPr>
  </w:style>
  <w:style w:type="character" w:customStyle="1" w:styleId="197">
    <w:name w:val="批注框文本 Char2"/>
    <w:qFormat/>
    <w:uiPriority w:val="99"/>
    <w:rPr>
      <w:kern w:val="2"/>
      <w:sz w:val="18"/>
      <w:szCs w:val="18"/>
    </w:rPr>
  </w:style>
  <w:style w:type="character" w:customStyle="1" w:styleId="198">
    <w:name w:val="批注主题 Char2"/>
    <w:qFormat/>
    <w:uiPriority w:val="99"/>
    <w:rPr>
      <w:b/>
      <w:bCs/>
      <w:kern w:val="2"/>
      <w:sz w:val="21"/>
      <w:szCs w:val="24"/>
    </w:rPr>
  </w:style>
  <w:style w:type="character" w:customStyle="1" w:styleId="199">
    <w:name w:val="批注框文本 Char1"/>
    <w:qFormat/>
    <w:uiPriority w:val="99"/>
    <w:rPr>
      <w:rFonts w:ascii="Times New Roman" w:hAnsi="Times New Roman" w:eastAsia="宋体" w:cs="Times New Roman"/>
      <w:sz w:val="18"/>
      <w:szCs w:val="18"/>
    </w:rPr>
  </w:style>
  <w:style w:type="character" w:customStyle="1" w:styleId="200">
    <w:name w:val="Body Text Indent 2 Char"/>
    <w:qFormat/>
    <w:uiPriority w:val="99"/>
    <w:rPr>
      <w:rFonts w:eastAsia="宋体"/>
      <w:kern w:val="2"/>
      <w:sz w:val="21"/>
      <w:szCs w:val="24"/>
      <w:lang w:val="en-US" w:eastAsia="zh-CN" w:bidi="ar-SA"/>
    </w:rPr>
  </w:style>
  <w:style w:type="character" w:customStyle="1" w:styleId="201">
    <w:name w:val="Char Char17"/>
    <w:qFormat/>
    <w:uiPriority w:val="0"/>
    <w:rPr>
      <w:rFonts w:ascii="Arial" w:hAnsi="Arial" w:eastAsia="黑体"/>
      <w:b/>
      <w:bCs/>
      <w:kern w:val="2"/>
      <w:sz w:val="32"/>
      <w:szCs w:val="32"/>
      <w:lang w:val="en-US" w:eastAsia="zh-CN" w:bidi="ar-SA"/>
    </w:rPr>
  </w:style>
  <w:style w:type="character" w:customStyle="1" w:styleId="202">
    <w:name w:val="Footnote Text Char"/>
    <w:qFormat/>
    <w:uiPriority w:val="99"/>
    <w:rPr>
      <w:rFonts w:eastAsia="宋体"/>
      <w:sz w:val="18"/>
      <w:lang w:val="en-US" w:eastAsia="zh-CN" w:bidi="ar-SA"/>
    </w:rPr>
  </w:style>
  <w:style w:type="character" w:customStyle="1" w:styleId="203">
    <w:name w:val="Heading 2 Char"/>
    <w:qFormat/>
    <w:uiPriority w:val="99"/>
    <w:rPr>
      <w:rFonts w:ascii="Arial" w:hAnsi="Arial" w:eastAsia="黑体"/>
      <w:b/>
      <w:bCs/>
      <w:kern w:val="2"/>
      <w:sz w:val="32"/>
      <w:szCs w:val="32"/>
      <w:lang w:val="en-US" w:eastAsia="zh-CN" w:bidi="ar-SA"/>
    </w:rPr>
  </w:style>
  <w:style w:type="character" w:customStyle="1" w:styleId="204">
    <w:name w:val="明显强调2"/>
    <w:qFormat/>
    <w:uiPriority w:val="0"/>
    <w:rPr>
      <w:b/>
      <w:bCs/>
      <w:i/>
      <w:iCs/>
      <w:color w:val="4F81BD"/>
    </w:rPr>
  </w:style>
  <w:style w:type="paragraph" w:customStyle="1" w:styleId="205">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06">
    <w:name w:val="表格文字"/>
    <w:basedOn w:val="1"/>
    <w:qFormat/>
    <w:uiPriority w:val="0"/>
    <w:pPr>
      <w:adjustRightInd w:val="0"/>
      <w:spacing w:line="420" w:lineRule="atLeast"/>
      <w:jc w:val="left"/>
      <w:textAlignment w:val="baseline"/>
    </w:pPr>
    <w:rPr>
      <w:kern w:val="0"/>
      <w:szCs w:val="20"/>
    </w:rPr>
  </w:style>
  <w:style w:type="paragraph" w:customStyle="1" w:styleId="207">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08">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09">
    <w:name w:val="样式1"/>
    <w:basedOn w:val="1"/>
    <w:next w:val="5"/>
    <w:qFormat/>
    <w:uiPriority w:val="99"/>
    <w:pPr>
      <w:spacing w:line="360" w:lineRule="auto"/>
      <w:ind w:firstLine="420" w:firstLineChars="200"/>
    </w:pPr>
    <w:rPr>
      <w:rFonts w:ascii="宋体" w:hAnsi="宋体"/>
      <w:szCs w:val="21"/>
    </w:rPr>
  </w:style>
  <w:style w:type="paragraph" w:customStyle="1" w:styleId="210">
    <w:name w:val="2"/>
    <w:basedOn w:val="1"/>
    <w:next w:val="24"/>
    <w:qFormat/>
    <w:uiPriority w:val="0"/>
    <w:rPr>
      <w:rFonts w:ascii="宋体" w:hAnsi="Courier New"/>
      <w:szCs w:val="20"/>
    </w:rPr>
  </w:style>
  <w:style w:type="paragraph" w:customStyle="1" w:styleId="211">
    <w:name w:val="中等深浅网格 3 - 强调文字颜色 22"/>
    <w:basedOn w:val="1"/>
    <w:next w:val="1"/>
    <w:qFormat/>
    <w:uiPriority w:val="0"/>
    <w:pPr>
      <w:pBdr>
        <w:bottom w:val="single" w:color="4F81BD" w:sz="4" w:space="4"/>
      </w:pBdr>
      <w:spacing w:before="200" w:after="280"/>
      <w:ind w:left="936" w:right="936"/>
    </w:pPr>
    <w:rPr>
      <w:b/>
      <w:bCs/>
      <w:i/>
      <w:iCs/>
      <w:color w:val="4F81BD"/>
      <w:kern w:val="0"/>
      <w:sz w:val="20"/>
      <w:szCs w:val="20"/>
    </w:rPr>
  </w:style>
  <w:style w:type="paragraph" w:customStyle="1" w:styleId="212">
    <w:name w:val="Default Paragraph Font Para Char Char Char Char Char Char"/>
    <w:basedOn w:val="1"/>
    <w:autoRedefine/>
    <w:qFormat/>
    <w:uiPriority w:val="0"/>
    <w:pPr>
      <w:widowControl/>
      <w:spacing w:after="160" w:line="240" w:lineRule="exact"/>
      <w:jc w:val="left"/>
    </w:pPr>
  </w:style>
  <w:style w:type="paragraph" w:customStyle="1" w:styleId="213">
    <w:name w:val="样式 标题 2 + Times New Roman 四号 非加粗 段前: 5 磅 段后: 0 磅 行距: 固定值 20..."/>
    <w:basedOn w:val="3"/>
    <w:qFormat/>
    <w:uiPriority w:val="99"/>
    <w:pPr>
      <w:spacing w:before="100" w:after="0" w:line="400" w:lineRule="exact"/>
      <w:jc w:val="both"/>
    </w:pPr>
    <w:rPr>
      <w:rFonts w:ascii="Times New Roman" w:hAnsi="Times New Roman" w:cs="宋体"/>
      <w:b w:val="0"/>
      <w:kern w:val="0"/>
      <w:sz w:val="28"/>
    </w:rPr>
  </w:style>
  <w:style w:type="paragraph" w:customStyle="1" w:styleId="214">
    <w:name w:val="Char Char1"/>
    <w:basedOn w:val="1"/>
    <w:qFormat/>
    <w:uiPriority w:val="0"/>
    <w:rPr>
      <w:rFonts w:ascii="仿宋_GB2312" w:hAnsi="Courier New" w:eastAsia="仿宋_GB2312"/>
      <w:b/>
      <w:sz w:val="32"/>
      <w:szCs w:val="32"/>
    </w:rPr>
  </w:style>
  <w:style w:type="paragraph" w:customStyle="1" w:styleId="215">
    <w:name w:val="Char3 Char Char Char1 Char Char Char Char Char Char"/>
    <w:basedOn w:val="1"/>
    <w:qFormat/>
    <w:uiPriority w:val="0"/>
    <w:rPr>
      <w:szCs w:val="20"/>
    </w:rPr>
  </w:style>
  <w:style w:type="paragraph" w:customStyle="1" w:styleId="216">
    <w:name w:val="样式 样式 样式 样式 标题 2 + 宋体 五号 非加粗 黑色 + 段前: 6 磅 段后: 0 磅 行距: 单倍行距 + 段前:..."/>
    <w:basedOn w:val="1"/>
    <w:qFormat/>
    <w:uiPriority w:val="0"/>
    <w:pPr>
      <w:keepNext/>
      <w:keepLines/>
      <w:adjustRightInd w:val="0"/>
      <w:spacing w:before="240"/>
      <w:jc w:val="left"/>
      <w:outlineLvl w:val="1"/>
    </w:pPr>
    <w:rPr>
      <w:rFonts w:ascii="宋体" w:hAnsi="宋体"/>
      <w:b/>
      <w:bCs/>
      <w:color w:val="000000"/>
      <w:kern w:val="0"/>
      <w:szCs w:val="20"/>
    </w:rPr>
  </w:style>
  <w:style w:type="paragraph" w:styleId="217">
    <w:name w:val="List Paragraph"/>
    <w:basedOn w:val="1"/>
    <w:qFormat/>
    <w:uiPriority w:val="34"/>
    <w:pPr>
      <w:ind w:firstLine="420" w:firstLineChars="200"/>
    </w:pPr>
    <w:rPr>
      <w:rFonts w:ascii="Calibri" w:hAnsi="Calibri"/>
      <w:szCs w:val="22"/>
    </w:rPr>
  </w:style>
  <w:style w:type="paragraph" w:customStyle="1" w:styleId="218">
    <w:name w:val="TOC 标题1"/>
    <w:basedOn w:val="2"/>
    <w:next w:val="1"/>
    <w:qFormat/>
    <w:uiPriority w:val="99"/>
    <w:pPr>
      <w:spacing w:before="100" w:after="100" w:line="576" w:lineRule="auto"/>
      <w:jc w:val="center"/>
      <w:outlineLvl w:val="9"/>
    </w:pPr>
    <w:rPr>
      <w:rFonts w:ascii="Calibri" w:hAnsi="Calibri" w:eastAsia="黑体"/>
      <w:sz w:val="36"/>
    </w:rPr>
  </w:style>
  <w:style w:type="paragraph" w:customStyle="1" w:styleId="219">
    <w:name w:val="Char1"/>
    <w:basedOn w:val="1"/>
    <w:qFormat/>
    <w:uiPriority w:val="99"/>
    <w:pPr>
      <w:widowControl/>
      <w:spacing w:after="160" w:line="240" w:lineRule="exact"/>
      <w:jc w:val="left"/>
    </w:pPr>
  </w:style>
  <w:style w:type="paragraph" w:customStyle="1" w:styleId="220">
    <w:name w:val="样式 标题 3 + (中文) 黑体 小四 非加粗 段前: 7.8 磅 段后: 0 磅 行距: 固定值 20 磅"/>
    <w:basedOn w:val="4"/>
    <w:qFormat/>
    <w:uiPriority w:val="99"/>
    <w:pPr>
      <w:spacing w:before="0" w:after="0" w:line="400" w:lineRule="exact"/>
    </w:pPr>
    <w:rPr>
      <w:rFonts w:eastAsia="黑体" w:cs="宋体"/>
      <w:b w:val="0"/>
      <w:bCs w:val="0"/>
      <w:sz w:val="21"/>
      <w:szCs w:val="20"/>
    </w:rPr>
  </w:style>
  <w:style w:type="paragraph" w:customStyle="1" w:styleId="221">
    <w:name w:val="xl3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kern w:val="0"/>
      <w:sz w:val="20"/>
      <w:szCs w:val="20"/>
    </w:rPr>
  </w:style>
  <w:style w:type="paragraph" w:customStyle="1" w:styleId="222">
    <w:name w:val="中等深浅网格 1 - 强调文字颜色 22"/>
    <w:basedOn w:val="1"/>
    <w:qFormat/>
    <w:uiPriority w:val="0"/>
    <w:pPr>
      <w:ind w:firstLine="420" w:firstLineChars="200"/>
    </w:pPr>
    <w:rPr>
      <w:rFonts w:ascii="Calibri" w:hAnsi="Calibri"/>
      <w:szCs w:val="22"/>
    </w:rPr>
  </w:style>
  <w:style w:type="paragraph" w:customStyle="1" w:styleId="22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224">
    <w:name w:val="Char Char Char"/>
    <w:basedOn w:val="1"/>
    <w:qFormat/>
    <w:uiPriority w:val="0"/>
    <w:rPr>
      <w:rFonts w:ascii="Tahoma" w:hAnsi="Tahoma"/>
      <w:sz w:val="24"/>
      <w:szCs w:val="20"/>
    </w:rPr>
  </w:style>
  <w:style w:type="paragraph" w:customStyle="1" w:styleId="225">
    <w:name w:val="Char Char Char Char Char Char Char Char Char Char Char Char Char Char Char Char1"/>
    <w:basedOn w:val="1"/>
    <w:autoRedefine/>
    <w:qFormat/>
    <w:uiPriority w:val="0"/>
    <w:pPr>
      <w:tabs>
        <w:tab w:val="left" w:pos="360"/>
      </w:tabs>
      <w:spacing w:line="360" w:lineRule="auto"/>
      <w:ind w:left="482" w:firstLine="200" w:firstLineChars="200"/>
    </w:pPr>
    <w:rPr>
      <w:rFonts w:ascii="宋体"/>
      <w:sz w:val="24"/>
      <w:szCs w:val="20"/>
    </w:rPr>
  </w:style>
  <w:style w:type="paragraph" w:customStyle="1" w:styleId="226">
    <w:name w:val="合同正文"/>
    <w:basedOn w:val="1"/>
    <w:qFormat/>
    <w:uiPriority w:val="0"/>
    <w:pPr>
      <w:adjustRightInd w:val="0"/>
      <w:spacing w:line="580" w:lineRule="exact"/>
    </w:pPr>
    <w:rPr>
      <w:rFonts w:ascii="仿宋_GB2312" w:eastAsia="仿宋_GB2312"/>
      <w:b/>
      <w:sz w:val="24"/>
      <w:szCs w:val="20"/>
    </w:rPr>
  </w:style>
  <w:style w:type="paragraph" w:customStyle="1" w:styleId="227">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8">
    <w:name w:val="表格文字居中"/>
    <w:basedOn w:val="1"/>
    <w:next w:val="1"/>
    <w:qFormat/>
    <w:uiPriority w:val="0"/>
    <w:pPr>
      <w:tabs>
        <w:tab w:val="left" w:pos="720"/>
        <w:tab w:val="left" w:pos="900"/>
      </w:tabs>
      <w:adjustRightInd w:val="0"/>
      <w:snapToGrid w:val="0"/>
      <w:spacing w:beforeLines="20" w:afterLines="20" w:line="360" w:lineRule="auto"/>
      <w:jc w:val="center"/>
    </w:pPr>
    <w:rPr>
      <w:rFonts w:ascii="宋体" w:hAnsi="Arial"/>
      <w:kern w:val="0"/>
      <w:sz w:val="18"/>
      <w:szCs w:val="20"/>
    </w:rPr>
  </w:style>
  <w:style w:type="paragraph" w:customStyle="1" w:styleId="229">
    <w:name w:val="修订1"/>
    <w:qFormat/>
    <w:uiPriority w:val="99"/>
    <w:rPr>
      <w:rFonts w:ascii="Times New Roman" w:hAnsi="Times New Roman" w:eastAsia="宋体" w:cs="Times New Roman"/>
      <w:kern w:val="2"/>
      <w:sz w:val="21"/>
      <w:szCs w:val="24"/>
      <w:lang w:val="en-US" w:eastAsia="zh-CN" w:bidi="ar-SA"/>
    </w:rPr>
  </w:style>
  <w:style w:type="paragraph" w:customStyle="1" w:styleId="230">
    <w:name w:val="列出段落2"/>
    <w:basedOn w:val="1"/>
    <w:qFormat/>
    <w:uiPriority w:val="99"/>
    <w:pPr>
      <w:ind w:firstLine="420" w:firstLineChars="200"/>
    </w:pPr>
  </w:style>
  <w:style w:type="paragraph" w:customStyle="1" w:styleId="231">
    <w:name w:val="Char"/>
    <w:basedOn w:val="1"/>
    <w:qFormat/>
    <w:uiPriority w:val="99"/>
    <w:rPr>
      <w:rFonts w:ascii="Tahoma" w:hAnsi="Tahoma"/>
      <w:sz w:val="24"/>
      <w:szCs w:val="20"/>
    </w:rPr>
  </w:style>
  <w:style w:type="paragraph" w:customStyle="1" w:styleId="232">
    <w:name w:val="flNote"/>
    <w:basedOn w:val="1"/>
    <w:qFormat/>
    <w:uiPriority w:val="99"/>
    <w:pPr>
      <w:adjustRightInd w:val="0"/>
      <w:spacing w:before="320" w:after="160" w:line="360" w:lineRule="atLeast"/>
      <w:jc w:val="center"/>
      <w:textAlignment w:val="baseline"/>
    </w:pPr>
    <w:rPr>
      <w:rFonts w:ascii="Arial" w:eastAsia="黑体"/>
      <w:kern w:val="0"/>
      <w:sz w:val="30"/>
      <w:szCs w:val="20"/>
    </w:rPr>
  </w:style>
  <w:style w:type="paragraph" w:customStyle="1" w:styleId="233">
    <w:name w:val="2-2ji"/>
    <w:basedOn w:val="3"/>
    <w:qFormat/>
    <w:uiPriority w:val="99"/>
    <w:pPr>
      <w:spacing w:before="0" w:after="0" w:line="360" w:lineRule="auto"/>
    </w:pPr>
    <w:rPr>
      <w:rFonts w:ascii="宋体" w:hAnsi="宋体" w:eastAsia="宋体"/>
      <w:bCs/>
      <w:sz w:val="36"/>
      <w:szCs w:val="24"/>
    </w:rPr>
  </w:style>
  <w:style w:type="paragraph" w:customStyle="1" w:styleId="234">
    <w:name w:val="空半行"/>
    <w:basedOn w:val="1"/>
    <w:qFormat/>
    <w:uiPriority w:val="99"/>
    <w:pPr>
      <w:adjustRightInd w:val="0"/>
      <w:spacing w:line="120" w:lineRule="exact"/>
      <w:textAlignment w:val="baseline"/>
    </w:pPr>
    <w:rPr>
      <w:rFonts w:eastAsia="仿宋_GB2312"/>
      <w:color w:val="FFFFFF"/>
      <w:kern w:val="0"/>
      <w:sz w:val="30"/>
      <w:szCs w:val="20"/>
    </w:rPr>
  </w:style>
  <w:style w:type="paragraph" w:customStyle="1" w:styleId="235">
    <w:name w:val="正文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6">
    <w:name w:val="中等深浅网格 2 - 强调文字颜色 22"/>
    <w:basedOn w:val="1"/>
    <w:next w:val="1"/>
    <w:qFormat/>
    <w:uiPriority w:val="0"/>
    <w:rPr>
      <w:i/>
      <w:iCs/>
      <w:color w:val="000000"/>
      <w:kern w:val="0"/>
      <w:sz w:val="20"/>
      <w:szCs w:val="20"/>
    </w:rPr>
  </w:style>
  <w:style w:type="paragraph" w:customStyle="1" w:styleId="237">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238">
    <w:name w:val="Char Char Char Char Char Char Char Char Char Char"/>
    <w:basedOn w:val="1"/>
    <w:qFormat/>
    <w:uiPriority w:val="0"/>
    <w:pPr>
      <w:widowControl/>
      <w:spacing w:after="160" w:line="240" w:lineRule="exact"/>
      <w:jc w:val="left"/>
    </w:pPr>
    <w:rPr>
      <w:rFonts w:ascii="Verdana" w:hAnsi="Verdana"/>
      <w:kern w:val="0"/>
      <w:szCs w:val="20"/>
      <w:lang w:eastAsia="en-US"/>
    </w:rPr>
  </w:style>
  <w:style w:type="paragraph" w:customStyle="1" w:styleId="239">
    <w:name w:val="Char2"/>
    <w:basedOn w:val="1"/>
    <w:qFormat/>
    <w:uiPriority w:val="99"/>
    <w:rPr>
      <w:rFonts w:ascii="Tahoma" w:hAnsi="Tahoma"/>
      <w:sz w:val="24"/>
      <w:szCs w:val="20"/>
    </w:rPr>
  </w:style>
  <w:style w:type="paragraph" w:customStyle="1" w:styleId="240">
    <w:name w:val="表格"/>
    <w:basedOn w:val="1"/>
    <w:qFormat/>
    <w:uiPriority w:val="0"/>
    <w:pPr>
      <w:jc w:val="center"/>
      <w:textAlignment w:val="center"/>
    </w:pPr>
    <w:rPr>
      <w:rFonts w:ascii="华文细黑" w:hAnsi="华文细黑"/>
      <w:kern w:val="0"/>
      <w:szCs w:val="20"/>
    </w:rPr>
  </w:style>
  <w:style w:type="paragraph" w:customStyle="1" w:styleId="24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242">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hAnsi="Courier New"/>
      <w:szCs w:val="20"/>
    </w:rPr>
  </w:style>
  <w:style w:type="paragraph" w:customStyle="1" w:styleId="243">
    <w:name w:val="5 Char Char Char Char Char Char Char Char Char Char"/>
    <w:basedOn w:val="1"/>
    <w:qFormat/>
    <w:uiPriority w:val="0"/>
  </w:style>
  <w:style w:type="paragraph" w:customStyle="1" w:styleId="244">
    <w:name w:val="列出段落21"/>
    <w:basedOn w:val="1"/>
    <w:qFormat/>
    <w:uiPriority w:val="99"/>
    <w:pPr>
      <w:ind w:firstLine="420" w:firstLineChars="200"/>
    </w:pPr>
  </w:style>
  <w:style w:type="paragraph" w:customStyle="1" w:styleId="245">
    <w:name w:val="_Style 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6">
    <w:name w:val="xl24"/>
    <w:basedOn w:val="1"/>
    <w:qFormat/>
    <w:uiPriority w:val="0"/>
    <w:pPr>
      <w:widowControl/>
      <w:spacing w:before="100" w:beforeAutospacing="1" w:after="100" w:afterAutospacing="1"/>
      <w:jc w:val="left"/>
    </w:pPr>
    <w:rPr>
      <w:rFonts w:ascii="宋体" w:hAnsi="宋体"/>
      <w:kern w:val="0"/>
      <w:sz w:val="22"/>
      <w:szCs w:val="22"/>
    </w:rPr>
  </w:style>
  <w:style w:type="paragraph" w:customStyle="1" w:styleId="247">
    <w:name w:val="p0"/>
    <w:basedOn w:val="1"/>
    <w:qFormat/>
    <w:uiPriority w:val="99"/>
    <w:pPr>
      <w:widowControl/>
    </w:pPr>
    <w:rPr>
      <w:kern w:val="0"/>
      <w:szCs w:val="21"/>
    </w:rPr>
  </w:style>
  <w:style w:type="paragraph" w:customStyle="1" w:styleId="248">
    <w:name w:val="_Style 37"/>
    <w:basedOn w:val="1"/>
    <w:next w:val="1"/>
    <w:qFormat/>
    <w:uiPriority w:val="99"/>
  </w:style>
  <w:style w:type="paragraph" w:customStyle="1" w:styleId="249">
    <w:name w:val="Char Char Char Char Char Char Char"/>
    <w:basedOn w:val="1"/>
    <w:qFormat/>
    <w:uiPriority w:val="99"/>
    <w:pPr>
      <w:widowControl/>
      <w:spacing w:after="160" w:line="240" w:lineRule="exact"/>
      <w:jc w:val="left"/>
    </w:pPr>
  </w:style>
  <w:style w:type="paragraph" w:customStyle="1" w:styleId="250">
    <w:name w:val="中等深浅列表 2 - 强调文字颜色 22"/>
    <w:qFormat/>
    <w:uiPriority w:val="0"/>
    <w:rPr>
      <w:rFonts w:ascii="Times New Roman" w:hAnsi="Times New Roman" w:eastAsia="宋体" w:cs="Times New Roman"/>
      <w:kern w:val="2"/>
      <w:sz w:val="21"/>
      <w:szCs w:val="24"/>
      <w:lang w:val="en-US" w:eastAsia="zh-CN" w:bidi="ar-SA"/>
    </w:rPr>
  </w:style>
  <w:style w:type="paragraph" w:customStyle="1" w:styleId="251">
    <w:name w:val="样式 Blockquote + 宋体 (西文)五号 段后: 0.04 厘米 段前: 1 磅 段后: 1 磅 行距: 多...1"/>
    <w:basedOn w:val="188"/>
    <w:qFormat/>
    <w:uiPriority w:val="0"/>
    <w:pPr>
      <w:spacing w:before="20" w:after="20" w:line="300" w:lineRule="auto"/>
      <w:ind w:left="250" w:leftChars="104" w:right="23" w:firstLine="420" w:firstLineChars="200"/>
    </w:pPr>
    <w:rPr>
      <w:rFonts w:ascii="宋体" w:hAnsi="宋体" w:eastAsia="仿宋_GB2312"/>
      <w:sz w:val="21"/>
    </w:rPr>
  </w:style>
  <w:style w:type="paragraph" w:customStyle="1" w:styleId="252">
    <w:name w:val="3"/>
    <w:basedOn w:val="1"/>
    <w:next w:val="24"/>
    <w:qFormat/>
    <w:uiPriority w:val="0"/>
    <w:rPr>
      <w:rFonts w:ascii="宋体" w:hAnsi="Courier New"/>
      <w:szCs w:val="20"/>
    </w:rPr>
  </w:style>
  <w:style w:type="paragraph" w:customStyle="1" w:styleId="253">
    <w:name w:val="Char Char Char 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254">
    <w:name w:val="中等深浅列表 2 - 强调文字颜色 21"/>
    <w:qFormat/>
    <w:uiPriority w:val="0"/>
    <w:rPr>
      <w:rFonts w:ascii="Times New Roman" w:hAnsi="Times New Roman" w:eastAsia="宋体" w:cs="Times New Roman"/>
      <w:kern w:val="2"/>
      <w:sz w:val="21"/>
      <w:szCs w:val="24"/>
      <w:lang w:val="en-US" w:eastAsia="zh-CN" w:bidi="ar-SA"/>
    </w:rPr>
  </w:style>
  <w:style w:type="paragraph" w:customStyle="1" w:styleId="255">
    <w:name w:val="无间距"/>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6">
    <w:name w:val="Char Char Char Char1"/>
    <w:basedOn w:val="14"/>
    <w:qFormat/>
    <w:uiPriority w:val="0"/>
    <w:pPr>
      <w:adjustRightInd w:val="0"/>
      <w:snapToGrid w:val="0"/>
      <w:spacing w:line="360" w:lineRule="auto"/>
    </w:pPr>
    <w:rPr>
      <w:rFonts w:ascii="Tahoma" w:hAnsi="Tahoma"/>
      <w:sz w:val="24"/>
      <w:szCs w:val="22"/>
      <w:shd w:val="clear" w:color="auto" w:fill="auto"/>
    </w:rPr>
  </w:style>
  <w:style w:type="paragraph" w:customStyle="1" w:styleId="257">
    <w:name w:val="中等深浅网格 1 - 强调文字颜色 21"/>
    <w:basedOn w:val="1"/>
    <w:qFormat/>
    <w:uiPriority w:val="0"/>
    <w:pPr>
      <w:ind w:firstLine="420" w:firstLineChars="200"/>
    </w:pPr>
    <w:rPr>
      <w:rFonts w:ascii="Calibri" w:hAnsi="Calibri"/>
      <w:szCs w:val="22"/>
    </w:rPr>
  </w:style>
  <w:style w:type="paragraph" w:customStyle="1" w:styleId="258">
    <w:name w:val="Char3"/>
    <w:basedOn w:val="1"/>
    <w:qFormat/>
    <w:uiPriority w:val="0"/>
    <w:pPr>
      <w:widowControl/>
      <w:spacing w:after="160" w:line="240" w:lineRule="exact"/>
      <w:jc w:val="left"/>
    </w:pPr>
    <w:rPr>
      <w:rFonts w:ascii="Calibri" w:hAnsi="Calibri"/>
      <w:szCs w:val="22"/>
    </w:rPr>
  </w:style>
  <w:style w:type="paragraph" w:customStyle="1" w:styleId="259">
    <w:name w:val="标题6"/>
    <w:basedOn w:val="1"/>
    <w:link w:val="260"/>
    <w:qFormat/>
    <w:uiPriority w:val="0"/>
    <w:pPr>
      <w:keepNext/>
      <w:keepLines/>
      <w:spacing w:line="400" w:lineRule="exact"/>
      <w:jc w:val="center"/>
      <w:outlineLvl w:val="2"/>
    </w:pPr>
    <w:rPr>
      <w:rFonts w:ascii="宋体" w:hAnsi="宋体" w:eastAsia="黑体" w:cs="宋体"/>
      <w:sz w:val="32"/>
      <w:szCs w:val="32"/>
    </w:rPr>
  </w:style>
  <w:style w:type="character" w:customStyle="1" w:styleId="260">
    <w:name w:val="标题6 Char"/>
    <w:link w:val="259"/>
    <w:qFormat/>
    <w:uiPriority w:val="0"/>
    <w:rPr>
      <w:rFonts w:ascii="宋体" w:hAnsi="宋体" w:eastAsia="黑体" w:cs="宋体"/>
      <w:kern w:val="2"/>
      <w:sz w:val="32"/>
      <w:szCs w:val="32"/>
    </w:rPr>
  </w:style>
  <w:style w:type="character" w:customStyle="1" w:styleId="261">
    <w:name w:val="日期 Char2"/>
    <w:semiHidden/>
    <w:qFormat/>
    <w:uiPriority w:val="99"/>
    <w:rPr>
      <w:kern w:val="2"/>
      <w:sz w:val="21"/>
      <w:szCs w:val="24"/>
    </w:rPr>
  </w:style>
  <w:style w:type="character" w:customStyle="1" w:styleId="262">
    <w:name w:val="页脚 Char1"/>
    <w:semiHidden/>
    <w:qFormat/>
    <w:uiPriority w:val="99"/>
    <w:rPr>
      <w:kern w:val="2"/>
      <w:sz w:val="18"/>
      <w:szCs w:val="18"/>
    </w:rPr>
  </w:style>
  <w:style w:type="paragraph" w:customStyle="1" w:styleId="263">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64">
    <w:name w:val="明显引用1"/>
    <w:basedOn w:val="1"/>
    <w:next w:val="1"/>
    <w:qFormat/>
    <w:uiPriority w:val="99"/>
    <w:pPr>
      <w:pBdr>
        <w:bottom w:val="single" w:color="4F81BD" w:sz="4" w:space="4"/>
      </w:pBdr>
      <w:spacing w:before="200" w:after="280"/>
      <w:ind w:left="936" w:right="936"/>
    </w:pPr>
    <w:rPr>
      <w:b/>
      <w:bCs/>
      <w:i/>
      <w:iCs/>
      <w:color w:val="4F81BD"/>
      <w:kern w:val="0"/>
      <w:sz w:val="20"/>
      <w:szCs w:val="20"/>
    </w:rPr>
  </w:style>
  <w:style w:type="paragraph" w:customStyle="1" w:styleId="265">
    <w:name w:val="引用1"/>
    <w:basedOn w:val="1"/>
    <w:next w:val="1"/>
    <w:qFormat/>
    <w:uiPriority w:val="99"/>
    <w:rPr>
      <w:i/>
      <w:iCs/>
      <w:color w:val="000000"/>
      <w:kern w:val="0"/>
      <w:sz w:val="20"/>
      <w:szCs w:val="20"/>
    </w:rPr>
  </w:style>
  <w:style w:type="paragraph" w:customStyle="1" w:styleId="266">
    <w:name w:val="正文1"/>
    <w:qFormat/>
    <w:uiPriority w:val="0"/>
    <w:pPr>
      <w:spacing w:line="384" w:lineRule="auto"/>
    </w:pPr>
    <w:rPr>
      <w:rFonts w:ascii="宋体" w:hAnsi="宋体" w:eastAsia="宋体" w:cs="Times New Roman"/>
      <w:sz w:val="24"/>
      <w:szCs w:val="24"/>
      <w:lang w:val="en-US" w:eastAsia="zh-CN" w:bidi="ar-SA"/>
    </w:rPr>
  </w:style>
  <w:style w:type="paragraph" w:customStyle="1" w:styleId="267">
    <w:name w:val="MsoNormal"/>
    <w:basedOn w:val="266"/>
    <w:qFormat/>
    <w:uiPriority w:val="0"/>
    <w:rPr>
      <w:rFonts w:ascii="Calibri" w:hAnsi="Calibri" w:eastAsia="Calibri"/>
      <w:sz w:val="21"/>
    </w:rPr>
  </w:style>
  <w:style w:type="paragraph" w:customStyle="1" w:styleId="268">
    <w:name w:val="标题 2_0"/>
    <w:basedOn w:val="207"/>
    <w:next w:val="207"/>
    <w:link w:val="269"/>
    <w:unhideWhenUsed/>
    <w:qFormat/>
    <w:uiPriority w:val="9"/>
    <w:pPr>
      <w:keepNext/>
      <w:keepLines/>
      <w:spacing w:before="260" w:after="260" w:line="416" w:lineRule="auto"/>
      <w:outlineLvl w:val="1"/>
    </w:pPr>
    <w:rPr>
      <w:rFonts w:ascii="Cambria" w:hAnsi="Cambria"/>
      <w:b/>
      <w:bCs/>
      <w:sz w:val="32"/>
      <w:szCs w:val="32"/>
    </w:rPr>
  </w:style>
  <w:style w:type="character" w:customStyle="1" w:styleId="269">
    <w:name w:val="标题 2 Char_0"/>
    <w:link w:val="268"/>
    <w:qFormat/>
    <w:uiPriority w:val="9"/>
    <w:rPr>
      <w:rFonts w:ascii="Cambria" w:hAnsi="Cambria"/>
      <w:b/>
      <w:bCs/>
      <w:kern w:val="2"/>
      <w:sz w:val="32"/>
      <w:szCs w:val="32"/>
    </w:rPr>
  </w:style>
  <w:style w:type="paragraph" w:customStyle="1" w:styleId="270">
    <w:name w:val="标题 1_0"/>
    <w:basedOn w:val="205"/>
    <w:next w:val="205"/>
    <w:link w:val="271"/>
    <w:qFormat/>
    <w:uiPriority w:val="0"/>
    <w:pPr>
      <w:keepNext/>
      <w:keepLines/>
      <w:spacing w:line="360" w:lineRule="auto"/>
      <w:outlineLvl w:val="0"/>
    </w:pPr>
    <w:rPr>
      <w:rFonts w:eastAsia="黑体"/>
      <w:b/>
      <w:bCs/>
      <w:kern w:val="44"/>
      <w:sz w:val="32"/>
      <w:szCs w:val="44"/>
    </w:rPr>
  </w:style>
  <w:style w:type="character" w:customStyle="1" w:styleId="271">
    <w:name w:val="Char Char221"/>
    <w:link w:val="270"/>
    <w:qFormat/>
    <w:uiPriority w:val="0"/>
    <w:rPr>
      <w:rFonts w:eastAsia="黑体"/>
      <w:b/>
      <w:bCs/>
      <w:kern w:val="44"/>
      <w:sz w:val="32"/>
      <w:szCs w:val="44"/>
    </w:rPr>
  </w:style>
  <w:style w:type="paragraph" w:customStyle="1" w:styleId="272">
    <w:name w:val="标题 2_1"/>
    <w:basedOn w:val="205"/>
    <w:next w:val="205"/>
    <w:link w:val="273"/>
    <w:autoRedefine/>
    <w:qFormat/>
    <w:uiPriority w:val="0"/>
    <w:pPr>
      <w:keepNext/>
      <w:keepLines/>
      <w:spacing w:before="260" w:after="260" w:line="416" w:lineRule="auto"/>
      <w:outlineLvl w:val="1"/>
    </w:pPr>
    <w:rPr>
      <w:rFonts w:ascii="Cambria" w:hAnsi="Cambria"/>
      <w:b/>
      <w:bCs/>
      <w:sz w:val="32"/>
      <w:szCs w:val="32"/>
    </w:rPr>
  </w:style>
  <w:style w:type="character" w:customStyle="1" w:styleId="273">
    <w:name w:val="Char Char211"/>
    <w:link w:val="272"/>
    <w:qFormat/>
    <w:uiPriority w:val="0"/>
    <w:rPr>
      <w:rFonts w:ascii="Cambria" w:hAnsi="Cambria"/>
      <w:b/>
      <w:bCs/>
      <w:kern w:val="2"/>
      <w:sz w:val="32"/>
      <w:szCs w:val="32"/>
    </w:rPr>
  </w:style>
  <w:style w:type="paragraph" w:customStyle="1" w:styleId="274">
    <w:name w:val="标题 3_0"/>
    <w:basedOn w:val="205"/>
    <w:next w:val="205"/>
    <w:link w:val="275"/>
    <w:qFormat/>
    <w:uiPriority w:val="0"/>
    <w:pPr>
      <w:keepNext/>
      <w:keepLines/>
      <w:spacing w:before="260" w:after="260" w:line="416" w:lineRule="auto"/>
      <w:outlineLvl w:val="2"/>
    </w:pPr>
    <w:rPr>
      <w:rFonts w:ascii="Calibri" w:hAnsi="Calibri"/>
      <w:b/>
      <w:bCs/>
      <w:sz w:val="32"/>
      <w:szCs w:val="32"/>
    </w:rPr>
  </w:style>
  <w:style w:type="character" w:customStyle="1" w:styleId="275">
    <w:name w:val="Char Char201"/>
    <w:link w:val="274"/>
    <w:qFormat/>
    <w:uiPriority w:val="0"/>
    <w:rPr>
      <w:rFonts w:ascii="Calibri" w:hAnsi="Calibri"/>
      <w:b/>
      <w:bCs/>
      <w:kern w:val="2"/>
      <w:sz w:val="32"/>
      <w:szCs w:val="32"/>
    </w:rPr>
  </w:style>
  <w:style w:type="paragraph" w:customStyle="1" w:styleId="276">
    <w:name w:val="纯文本_0"/>
    <w:basedOn w:val="205"/>
    <w:link w:val="277"/>
    <w:qFormat/>
    <w:uiPriority w:val="0"/>
    <w:rPr>
      <w:rFonts w:ascii="宋体" w:hAnsi="Courier New"/>
      <w:szCs w:val="24"/>
    </w:rPr>
  </w:style>
  <w:style w:type="character" w:customStyle="1" w:styleId="277">
    <w:name w:val="Char Char10"/>
    <w:link w:val="276"/>
    <w:qFormat/>
    <w:uiPriority w:val="0"/>
    <w:rPr>
      <w:rFonts w:ascii="宋体" w:hAnsi="Courier New"/>
      <w:kern w:val="2"/>
      <w:sz w:val="21"/>
      <w:szCs w:val="24"/>
    </w:rPr>
  </w:style>
  <w:style w:type="paragraph" w:customStyle="1" w:styleId="278">
    <w:name w:val="正文文本_0"/>
    <w:basedOn w:val="205"/>
    <w:link w:val="279"/>
    <w:qFormat/>
    <w:uiPriority w:val="0"/>
    <w:pPr>
      <w:adjustRightInd w:val="0"/>
      <w:spacing w:after="60" w:line="360" w:lineRule="atLeast"/>
      <w:ind w:left="72" w:leftChars="30" w:right="30" w:rightChars="30"/>
      <w:jc w:val="center"/>
      <w:textAlignment w:val="baseline"/>
    </w:pPr>
    <w:rPr>
      <w:rFonts w:ascii="Calibri" w:hAnsi="Calibri"/>
    </w:rPr>
  </w:style>
  <w:style w:type="character" w:customStyle="1" w:styleId="279">
    <w:name w:val="Char Char4"/>
    <w:link w:val="278"/>
    <w:qFormat/>
    <w:uiPriority w:val="0"/>
    <w:rPr>
      <w:rFonts w:ascii="Calibri" w:hAnsi="Calibri"/>
      <w:kern w:val="2"/>
      <w:sz w:val="21"/>
      <w:szCs w:val="22"/>
    </w:rPr>
  </w:style>
  <w:style w:type="paragraph" w:customStyle="1" w:styleId="28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1">
    <w:name w:val="Revision"/>
    <w:autoRedefine/>
    <w:semiHidden/>
    <w:qFormat/>
    <w:uiPriority w:val="99"/>
    <w:rPr>
      <w:rFonts w:ascii="Times New Roman" w:hAnsi="Times New Roman" w:eastAsia="宋体" w:cs="Times New Roman"/>
      <w:kern w:val="2"/>
      <w:sz w:val="21"/>
      <w:szCs w:val="21"/>
      <w:lang w:val="en-US" w:eastAsia="zh-CN" w:bidi="ar-SA"/>
    </w:rPr>
  </w:style>
  <w:style w:type="character" w:customStyle="1" w:styleId="282">
    <w:name w:val="fontstyle01"/>
    <w:qFormat/>
    <w:uiPriority w:val="0"/>
    <w:rPr>
      <w:rFonts w:hint="eastAsia" w:ascii="宋体" w:hAnsi="宋体" w:eastAsia="宋体"/>
      <w:color w:val="000000"/>
      <w:sz w:val="22"/>
      <w:szCs w:val="22"/>
    </w:rPr>
  </w:style>
  <w:style w:type="character" w:customStyle="1" w:styleId="283">
    <w:name w:val="fontstyle21"/>
    <w:qFormat/>
    <w:uiPriority w:val="0"/>
    <w:rPr>
      <w:rFonts w:hint="default" w:ascii="Times New Roman" w:hAnsi="Times New Roman" w:cs="Times New Roman"/>
      <w:b/>
      <w:bCs/>
      <w:color w:val="000000"/>
      <w:sz w:val="22"/>
      <w:szCs w:val="22"/>
    </w:rPr>
  </w:style>
  <w:style w:type="character" w:customStyle="1" w:styleId="284">
    <w:name w:val="fontstyle31"/>
    <w:qFormat/>
    <w:uiPriority w:val="0"/>
    <w:rPr>
      <w:rFonts w:hint="eastAsia" w:ascii="黑体" w:hAnsi="黑体" w:eastAsia="黑体"/>
      <w:color w:val="000000"/>
      <w:sz w:val="28"/>
      <w:szCs w:val="28"/>
    </w:rPr>
  </w:style>
  <w:style w:type="character" w:customStyle="1" w:styleId="285">
    <w:name w:val="fontstyle41"/>
    <w:qFormat/>
    <w:uiPriority w:val="0"/>
    <w:rPr>
      <w:rFonts w:hint="default" w:ascii="Times New Roman" w:hAnsi="Times New Roman" w:cs="Times New Roman"/>
      <w:color w:val="000000"/>
      <w:sz w:val="18"/>
      <w:szCs w:val="18"/>
    </w:rPr>
  </w:style>
  <w:style w:type="character" w:customStyle="1" w:styleId="286">
    <w:name w:val="fontstyle51"/>
    <w:qFormat/>
    <w:uiPriority w:val="0"/>
    <w:rPr>
      <w:rFonts w:hint="eastAsia" w:ascii="楷体" w:hAnsi="楷体" w:eastAsia="楷体"/>
      <w:color w:val="000000"/>
      <w:sz w:val="22"/>
      <w:szCs w:val="22"/>
    </w:rPr>
  </w:style>
  <w:style w:type="paragraph" w:customStyle="1" w:styleId="287">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8">
    <w:name w:val="Normal_1"/>
    <w:qFormat/>
    <w:uiPriority w:val="0"/>
    <w:rPr>
      <w:rFonts w:ascii="Times New Roman" w:hAnsi="Times New Roman" w:eastAsia="Times New Roman" w:cs="Times New Roman"/>
      <w:sz w:val="24"/>
      <w:szCs w:val="24"/>
      <w:lang w:val="en-US" w:eastAsia="zh-CN" w:bidi="ar-SA"/>
    </w:rPr>
  </w:style>
  <w:style w:type="character" w:customStyle="1" w:styleId="289">
    <w:name w:val="hover1"/>
    <w:basedOn w:val="50"/>
    <w:qFormat/>
    <w:uiPriority w:val="0"/>
  </w:style>
  <w:style w:type="character" w:customStyle="1" w:styleId="290">
    <w:name w:val="hover2"/>
    <w:basedOn w:val="50"/>
    <w:qFormat/>
    <w:uiPriority w:val="0"/>
    <w:rPr>
      <w:color w:val="2590EB"/>
    </w:rPr>
  </w:style>
  <w:style w:type="character" w:customStyle="1" w:styleId="291">
    <w:name w:val="hover3"/>
    <w:basedOn w:val="50"/>
    <w:qFormat/>
    <w:uiPriority w:val="0"/>
    <w:rPr>
      <w:color w:val="2590EB"/>
    </w:rPr>
  </w:style>
  <w:style w:type="paragraph" w:customStyle="1" w:styleId="292">
    <w:name w:val="正文_2_0_0"/>
    <w:basedOn w:val="293"/>
    <w:qFormat/>
    <w:uiPriority w:val="0"/>
    <w:rPr>
      <w:rFonts w:ascii="Calibri" w:hAnsi="Calibri" w:eastAsia="微软雅黑"/>
    </w:rPr>
  </w:style>
  <w:style w:type="paragraph" w:customStyle="1" w:styleId="293">
    <w:name w:val="正文_2_1"/>
    <w:basedOn w:val="280"/>
    <w:qFormat/>
    <w:uiPriority w:val="0"/>
    <w:rPr>
      <w:rFonts w:ascii="Calibri" w:hAnsi="Calibri" w:cs="宋体"/>
      <w:szCs w:val="21"/>
    </w:rPr>
  </w:style>
  <w:style w:type="paragraph" w:customStyle="1" w:styleId="294">
    <w:name w:val="正文_2_1_0"/>
    <w:basedOn w:val="280"/>
    <w:qFormat/>
    <w:uiPriority w:val="0"/>
    <w:rPr>
      <w:rFonts w:ascii="Calibri" w:hAnsi="Calibri" w:cs="宋体"/>
      <w:szCs w:val="21"/>
    </w:rPr>
  </w:style>
  <w:style w:type="paragraph" w:customStyle="1" w:styleId="295">
    <w:name w:val="正文_2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6">
    <w:name w:val="普通(网站)_0_0_0"/>
    <w:basedOn w:val="297"/>
    <w:qFormat/>
    <w:uiPriority w:val="0"/>
    <w:pPr>
      <w:widowControl/>
      <w:spacing w:before="100" w:beforeAutospacing="1" w:after="100" w:afterAutospacing="1" w:line="320" w:lineRule="atLeast"/>
      <w:jc w:val="left"/>
    </w:pPr>
    <w:rPr>
      <w:rFonts w:ascii="宋体" w:hAnsi="宋体"/>
      <w:kern w:val="0"/>
      <w:sz w:val="18"/>
      <w:szCs w:val="18"/>
    </w:rPr>
  </w:style>
  <w:style w:type="paragraph" w:customStyle="1" w:styleId="297">
    <w:name w:val="正文_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8">
    <w:name w:val="正文_2_3_0"/>
    <w:basedOn w:val="297"/>
    <w:qFormat/>
    <w:uiPriority w:val="0"/>
    <w:rPr>
      <w:rFonts w:ascii="Calibri" w:hAnsi="Calibri"/>
      <w:szCs w:val="21"/>
    </w:rPr>
  </w:style>
  <w:style w:type="paragraph" w:customStyle="1" w:styleId="299">
    <w:name w:val="2ji"/>
    <w:basedOn w:val="297"/>
    <w:qFormat/>
    <w:uiPriority w:val="0"/>
    <w:pPr>
      <w:keepNext/>
      <w:keepLines/>
      <w:adjustRightInd w:val="0"/>
      <w:spacing w:line="360" w:lineRule="auto"/>
      <w:outlineLvl w:val="1"/>
    </w:pPr>
    <w:rPr>
      <w:rFonts w:ascii="宋体" w:hAnsi="宋体"/>
      <w:b/>
      <w:kern w:val="0"/>
      <w:szCs w:val="21"/>
    </w:rPr>
  </w:style>
  <w:style w:type="paragraph" w:customStyle="1" w:styleId="300">
    <w:name w:val="普通(网站)_0"/>
    <w:basedOn w:val="297"/>
    <w:qFormat/>
    <w:uiPriority w:val="0"/>
    <w:pPr>
      <w:widowControl/>
      <w:spacing w:before="100" w:beforeAutospacing="1" w:after="100" w:afterAutospacing="1" w:line="320" w:lineRule="atLeast"/>
      <w:jc w:val="left"/>
    </w:pPr>
    <w:rPr>
      <w:rFonts w:ascii="宋体" w:hAnsi="宋体"/>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112</Pages>
  <Words>3823</Words>
  <Characters>4504</Characters>
  <Lines>2248</Lines>
  <Paragraphs>2070</Paragraphs>
  <TotalTime>851</TotalTime>
  <ScaleCrop>false</ScaleCrop>
  <LinksUpToDate>false</LinksUpToDate>
  <CharactersWithSpaces>4584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2021-11-04T08:26:00Z</dcterms:created>
  <dc:creator>Mrs.</dc:creator>
  <cp:lastModifiedBy>永明贺州分</cp:lastModifiedBy>
  <cp:lastPrinted>2025-06-26T02:48:00Z</cp:lastPrinted>
  <dcterms:modified xsi:type="dcterms:W3CDTF">2026-08-31T08:53:58Z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8FEEEE70337B4696A4FF8B29BE0C24FF_13</vt:lpwstr>
  </property>
  <property fmtid="{D5CDD505-2E9C-101B-9397-08002B2CF9AE}" pid="4" name="KSOTemplateDocerSaveRecord">
    <vt:lpwstr>eyJoZGlkIjoiYTU3ZjkzNTE4NmUxZDNhMDExMTRlZmIzNzY4NGM5YjMiLCJ1c2VySWQiOiI0ODY5OTgzIn0=</vt:lpwstr>
  </property>
</Properties>
</file>