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7A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643" w:firstLineChars="20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eastAsia"/>
          <w:b/>
          <w:bCs/>
          <w:sz w:val="32"/>
          <w:szCs w:val="32"/>
          <w:lang w:eastAsia="zh-CN"/>
        </w:rPr>
        <w:t>广西</w:t>
      </w:r>
      <w:r>
        <w:rPr>
          <w:rFonts w:hint="eastAsia"/>
          <w:b/>
          <w:bCs/>
          <w:sz w:val="32"/>
          <w:szCs w:val="32"/>
          <w:lang w:val="en-US" w:eastAsia="zh-CN"/>
        </w:rPr>
        <w:t>睿翼</w:t>
      </w:r>
      <w:r>
        <w:rPr>
          <w:rFonts w:hint="eastAsia"/>
          <w:b/>
          <w:bCs/>
          <w:sz w:val="32"/>
          <w:szCs w:val="32"/>
          <w:lang w:eastAsia="zh-CN"/>
        </w:rPr>
        <w:t>工程咨询有限公司</w:t>
      </w:r>
    </w:p>
    <w:p w14:paraId="5E2E3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321" w:firstLineChars="10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桂林市中医医院设备更新项目（超声诊断仪6台）中标结果公告</w:t>
      </w:r>
    </w:p>
    <w:p w14:paraId="74EE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20" w:firstLineChars="200"/>
        <w:textAlignment w:val="auto"/>
        <w:rPr>
          <w:rFonts w:hint="eastAsia"/>
        </w:rPr>
      </w:pPr>
    </w:p>
    <w:bookmarkEnd w:id="0"/>
    <w:bookmarkEnd w:id="1"/>
    <w:p w14:paraId="67B291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GLZC2026-G1-990223-GXRY</w:t>
      </w:r>
    </w:p>
    <w:p w14:paraId="2DAF2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桂林市中医医院设备更新项目（超声诊断仪6台）</w:t>
      </w:r>
    </w:p>
    <w:p w14:paraId="23A81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三、中标（成交）信息</w:t>
      </w:r>
    </w:p>
    <w:p w14:paraId="1CD631D2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1.中标结果：</w:t>
      </w:r>
    </w:p>
    <w:tbl>
      <w:tblPr>
        <w:tblStyle w:val="13"/>
        <w:tblW w:w="9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2088"/>
        <w:gridCol w:w="1878"/>
        <w:gridCol w:w="1918"/>
        <w:gridCol w:w="3309"/>
      </w:tblGrid>
      <w:tr w14:paraId="74D0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tblHeader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5FE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E30F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57D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04A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D02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</w:tr>
      <w:tr w14:paraId="4037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D7D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2412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一：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彩色多普勒超声诊断仪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0A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：3588000.00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17E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深圳市易达恒通供应链管理有限公司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50B00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深圳市福田区南园街道滨江社区上步南路1001号、1005号锦峰大厦A座12B</w:t>
            </w:r>
          </w:p>
        </w:tc>
      </w:tr>
      <w:tr w14:paraId="67BE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45D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A7C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二：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1C47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：2885000.00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5E1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广东汇康联医疗供应链管理有限公司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54CB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广州市番禺区南村镇兴南大道238号701房</w:t>
            </w:r>
          </w:p>
        </w:tc>
      </w:tr>
      <w:tr w14:paraId="3BDC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D65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173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三：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8FC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：3138000.00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B12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广州普诺医疗设备有限公司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A521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广州市黄埔区黄陂龙朱路1号之一1栋725房(仅限办公)</w:t>
            </w:r>
          </w:p>
        </w:tc>
      </w:tr>
      <w:tr w14:paraId="74E5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01F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CA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四：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CD7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：2978000.00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D94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广州普诺医疗设备有限公司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ADB0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广州市黄埔区黄陂龙朱路1号之一1栋725房(仅限办公)</w:t>
            </w:r>
          </w:p>
        </w:tc>
      </w:tr>
      <w:tr w14:paraId="0380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A7B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A39C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五：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11A4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：2768000.00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33E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广西一航医疗管理有限公司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76DB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临桂区临桂镇凤凰路 13 号金贸中心 3-3＃1717 写字楼</w:t>
            </w:r>
          </w:p>
        </w:tc>
      </w:tr>
      <w:tr w14:paraId="547F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69E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987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六：便携式彩色超声诊断仪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F3F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：1491000.00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8FB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深圳市易达恒通供应链管理有限公司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9CD0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深圳市福田区南园街道滨江社区上步南路1001号、1005号锦峰大厦A座12B</w:t>
            </w:r>
          </w:p>
        </w:tc>
      </w:tr>
    </w:tbl>
    <w:p w14:paraId="20C9DE25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.废标结果:</w:t>
      </w:r>
    </w:p>
    <w:tbl>
      <w:tblPr>
        <w:tblStyle w:val="13"/>
        <w:tblW w:w="50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3"/>
        <w:gridCol w:w="2580"/>
        <w:gridCol w:w="2317"/>
        <w:gridCol w:w="2747"/>
      </w:tblGrid>
      <w:tr w14:paraId="0C22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7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68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A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1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7B81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A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7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4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9B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3CDD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主要标的信息</w:t>
      </w:r>
    </w:p>
    <w:p w14:paraId="6D74CE07">
      <w:pPr>
        <w:pStyle w:val="1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货物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类主要标的信息：    </w:t>
      </w:r>
      <w:r>
        <w:rPr>
          <w:rStyle w:val="18"/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    </w:t>
      </w:r>
    </w:p>
    <w:tbl>
      <w:tblPr>
        <w:tblStyle w:val="13"/>
        <w:tblW w:w="49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407"/>
        <w:gridCol w:w="1549"/>
        <w:gridCol w:w="920"/>
        <w:gridCol w:w="881"/>
        <w:gridCol w:w="920"/>
        <w:gridCol w:w="1578"/>
        <w:gridCol w:w="1701"/>
      </w:tblGrid>
      <w:tr w14:paraId="56B8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B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A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B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5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  <w:t>品牌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0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C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8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  <w:t>单价(元)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0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  <w:t>规格型号</w:t>
            </w:r>
          </w:p>
        </w:tc>
      </w:tr>
      <w:tr w14:paraId="4865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4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57F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一：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彩色多普勒超声诊断仪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D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  <w:t>彩色多普勒超声诊断仪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2D7E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  <w:t>飞利浦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0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B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DD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  <w:t>3588000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4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EPIQ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CVx</w:t>
            </w:r>
          </w:p>
        </w:tc>
      </w:tr>
      <w:tr w14:paraId="49F5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E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60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二：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3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8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1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A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6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2885000.00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4E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Resona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A20 Exp</w:t>
            </w:r>
          </w:p>
        </w:tc>
      </w:tr>
      <w:tr w14:paraId="519A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7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F58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三：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4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C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GE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A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0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B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3138000.00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DD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LOGIQ E20</w:t>
            </w:r>
          </w:p>
        </w:tc>
      </w:tr>
      <w:tr w14:paraId="69F5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83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788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四：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D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A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GE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4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7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A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2978000.00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9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Voluson</w:t>
            </w:r>
          </w:p>
          <w:p w14:paraId="40F8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Expert 20</w:t>
            </w:r>
          </w:p>
          <w:p w14:paraId="29D0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Premium</w:t>
            </w:r>
          </w:p>
        </w:tc>
      </w:tr>
      <w:tr w14:paraId="3873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2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CF2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五：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A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彩色多普勒超声诊断仪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7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西门子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1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C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5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2768000.00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C6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ACUSON</w:t>
            </w:r>
          </w:p>
          <w:p w14:paraId="1DB1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Sequoia</w:t>
            </w:r>
          </w:p>
          <w:p w14:paraId="33F3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Silver S</w:t>
            </w:r>
          </w:p>
        </w:tc>
      </w:tr>
      <w:tr w14:paraId="50C6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91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32C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标项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六：便携式彩色超声诊断仪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D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便携式彩色超声诊断仪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6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  <w:t>飞利浦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5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E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/>
              </w:rPr>
              <w:t>套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8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1491000.00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C4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5500</w:t>
            </w:r>
          </w:p>
        </w:tc>
      </w:tr>
    </w:tbl>
    <w:p w14:paraId="4BB9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评审专家（单一来源采购人员）名名单：</w:t>
      </w:r>
    </w:p>
    <w:p w14:paraId="381D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蒋仙玉、甘勇、周军、韦景勇、张璐、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采购人代表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（陈圣麟、田慧</w:t>
      </w:r>
      <w:bookmarkStart w:id="2" w:name="_GoBack"/>
      <w:bookmarkEnd w:id="2"/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）</w:t>
      </w:r>
    </w:p>
    <w:p w14:paraId="5111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六、代理服务收费标准及金额</w:t>
      </w:r>
    </w:p>
    <w:p w14:paraId="2F7C4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以分标（中标金额）为计费金额，代理服务收费标准：按本须知正文第39.2条规定的收费计算标准（货物招标）采用差额定率累进法计算出收费基准价格，采购代理服务费收费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以签订合同的下浮系数收取。 </w:t>
      </w:r>
    </w:p>
    <w:p w14:paraId="74AC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代理服务费：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147315.00元；</w:t>
      </w:r>
    </w:p>
    <w:p w14:paraId="676B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七、公告期限</w:t>
      </w:r>
    </w:p>
    <w:p w14:paraId="6458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自本公告发布之日起1个工作日。</w:t>
      </w:r>
    </w:p>
    <w:p w14:paraId="35D0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八、其他补充事宜</w:t>
      </w:r>
    </w:p>
    <w:p w14:paraId="24D3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1、项目采购预算金额：总金额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1695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万元（其中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360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290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315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299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281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，标项六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为150万元）。</w:t>
      </w:r>
    </w:p>
    <w:p w14:paraId="28D5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标项一：深圳市易达恒通供应链管理有限公司，得分86.21，排名1；广西微视漫数字科技有限公司，得分67.00，排名2；广西仓盈医疗器械有限公司，得分62.71，排名3；广西荣桂丰科技有限公司，得分56.75，排名4。标项二：广东汇康联医疗供应链管理有限公司，得分85.14，排名1；广西鑫永辰医疗科技有限公司，得分76.95，排名2；广西牧棉商贸有限公司，得分76.50，排名3。标项三：广州普诺医疗设备有限公司，得分89.49，排名1；广西锦洲医疗科技有限公司，得分67.12，排名2；陕西昭安锦业医疗器械有限公司，得分65.29，排名3。标项四：广州普诺医疗设备有限公司，得分89.35，排名1；陕西昭安锦业医疗器械有限公司，得分67.29，排名2；广西锦洲医疗科技有限公司，得分66.69，排名3。标项五：广西一航医疗管理有限公司，得分89.29，排名1；南宁卉东苑医疗科技有限公司，得分68.60，排名2；广西思利及人科技发展有限公司，得分68.58，排名3。标项六：深圳市易达恒通供应链管理有限公司，得分83.18，排名1；广西微视漫数字科技有限公司，得分69.29，排名2；广西仓盈医疗器械有限公司，得分61.38，排名3；广西荣桂丰科技有限公司，得分53.43，排名4。</w:t>
      </w:r>
    </w:p>
    <w:p w14:paraId="50BDD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3.评标日期：202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</w:t>
      </w:r>
    </w:p>
    <w:p w14:paraId="41BFC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4.评审地点：广西政府采购云平台（桂林市公共资源交易中心）。</w:t>
      </w:r>
    </w:p>
    <w:p w14:paraId="7E0A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5.代理服务费：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标项一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：30520.00元，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：25130.00元，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：27055.00元，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：25823.00元，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标项五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：24437.00元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，标项六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：14350.00元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2E0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6.公告媒体：中国政府采购网、广西壮族自治区政府采购网、 桂 林 市 政 府 采 购 网 、全国公共资源交易平台（广西.桂林）。</w:t>
      </w:r>
    </w:p>
    <w:p w14:paraId="5820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7.投标人认为中标结果使自己的权益受到损害的，可以在中标结果公告期限届满之日起七个工作日内以书面形式向（广西睿翼工程咨询有限公司或桂林市中医医院）提出质疑，逾期将不再受理。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九、凡对本次公告内容提出询问，请按以下方式联系。</w:t>
      </w:r>
    </w:p>
    <w:p w14:paraId="0BD31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1.采购人信息</w:t>
      </w:r>
    </w:p>
    <w:p w14:paraId="27C12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 称：桂林市中医医院</w:t>
      </w:r>
    </w:p>
    <w:p w14:paraId="1E1FD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地址：广西壮族自治区桂林市象山区临桂路2号</w:t>
      </w:r>
    </w:p>
    <w:p w14:paraId="03CD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项目联系人：谢工</w:t>
      </w:r>
    </w:p>
    <w:p w14:paraId="36BA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联系方式：0773-2813444   </w:t>
      </w:r>
    </w:p>
    <w:p w14:paraId="4D40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2.采购代理机构信息</w:t>
      </w:r>
    </w:p>
    <w:p w14:paraId="128A7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 称：广西睿翼工程咨询有限公司</w:t>
      </w:r>
    </w:p>
    <w:p w14:paraId="5645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　址：南宁市青秀区民族大道32号宜尚酒店酒店停车场内</w:t>
      </w:r>
    </w:p>
    <w:p w14:paraId="1E96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联系方式：0771-5349283  　</w:t>
      </w:r>
    </w:p>
    <w:p w14:paraId="529C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3.项目联系方式</w:t>
      </w:r>
    </w:p>
    <w:p w14:paraId="7A57A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项目联系人：万永凤、杨丰歌、谢育勤、覃柳桃、农成浩</w:t>
      </w:r>
    </w:p>
    <w:p w14:paraId="3BF4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十、附件</w:t>
      </w:r>
    </w:p>
    <w:p w14:paraId="0D46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1.采购文件</w:t>
      </w:r>
    </w:p>
    <w:p w14:paraId="4A6617B9">
      <w:pPr>
        <w:pStyle w:val="10"/>
        <w:rPr>
          <w:rFonts w:hint="eastAsia"/>
        </w:rPr>
      </w:pPr>
    </w:p>
    <w:sectPr>
      <w:pgSz w:w="11906" w:h="16838"/>
      <w:pgMar w:top="1276" w:right="1196" w:bottom="1276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D116D"/>
    <w:multiLevelType w:val="singleLevel"/>
    <w:tmpl w:val="035D11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GNkNzVmY2MwNDkwOTEwYWI1YjliMDkyOGQ4ZDEifQ=="/>
  </w:docVars>
  <w:rsids>
    <w:rsidRoot w:val="62041762"/>
    <w:rsid w:val="01523B35"/>
    <w:rsid w:val="02FA60D0"/>
    <w:rsid w:val="04E90814"/>
    <w:rsid w:val="05690261"/>
    <w:rsid w:val="07293490"/>
    <w:rsid w:val="08F5221A"/>
    <w:rsid w:val="092C4585"/>
    <w:rsid w:val="096562AC"/>
    <w:rsid w:val="0B737490"/>
    <w:rsid w:val="0CEC16D7"/>
    <w:rsid w:val="0E4D76BA"/>
    <w:rsid w:val="156625E8"/>
    <w:rsid w:val="15BD56C3"/>
    <w:rsid w:val="160D36F9"/>
    <w:rsid w:val="161F2178"/>
    <w:rsid w:val="166C33F4"/>
    <w:rsid w:val="17BE794D"/>
    <w:rsid w:val="18513903"/>
    <w:rsid w:val="18B273C7"/>
    <w:rsid w:val="197D6518"/>
    <w:rsid w:val="1A434D83"/>
    <w:rsid w:val="1B443380"/>
    <w:rsid w:val="1C4634CF"/>
    <w:rsid w:val="1F06090E"/>
    <w:rsid w:val="1FB441B9"/>
    <w:rsid w:val="213B07EB"/>
    <w:rsid w:val="25706D21"/>
    <w:rsid w:val="269134E1"/>
    <w:rsid w:val="288159B9"/>
    <w:rsid w:val="2A435255"/>
    <w:rsid w:val="2C6F0BDC"/>
    <w:rsid w:val="2CB774C7"/>
    <w:rsid w:val="2D02553A"/>
    <w:rsid w:val="30CA146A"/>
    <w:rsid w:val="30EA34ED"/>
    <w:rsid w:val="310905B4"/>
    <w:rsid w:val="33B31B3A"/>
    <w:rsid w:val="34D039BC"/>
    <w:rsid w:val="34F746FF"/>
    <w:rsid w:val="35386E11"/>
    <w:rsid w:val="37B767DE"/>
    <w:rsid w:val="395633F5"/>
    <w:rsid w:val="3BC211E2"/>
    <w:rsid w:val="3CCE6037"/>
    <w:rsid w:val="3DD21E5B"/>
    <w:rsid w:val="3ED268CB"/>
    <w:rsid w:val="41CD14BF"/>
    <w:rsid w:val="41F10FE6"/>
    <w:rsid w:val="428C2B60"/>
    <w:rsid w:val="46B300A5"/>
    <w:rsid w:val="475D3207"/>
    <w:rsid w:val="48E7261F"/>
    <w:rsid w:val="49561A0B"/>
    <w:rsid w:val="4C2757BD"/>
    <w:rsid w:val="4F7F76BE"/>
    <w:rsid w:val="4FCF77AA"/>
    <w:rsid w:val="500D1478"/>
    <w:rsid w:val="504E70CE"/>
    <w:rsid w:val="50512DE8"/>
    <w:rsid w:val="52BD3351"/>
    <w:rsid w:val="56BA7DE8"/>
    <w:rsid w:val="56C51D21"/>
    <w:rsid w:val="571A1A7B"/>
    <w:rsid w:val="57723665"/>
    <w:rsid w:val="58107CF8"/>
    <w:rsid w:val="587D06F7"/>
    <w:rsid w:val="59D351D9"/>
    <w:rsid w:val="59EC022A"/>
    <w:rsid w:val="5A0E7EC0"/>
    <w:rsid w:val="5B384CBC"/>
    <w:rsid w:val="5C5B6594"/>
    <w:rsid w:val="5CF751D0"/>
    <w:rsid w:val="5D6E59CF"/>
    <w:rsid w:val="5D976CA4"/>
    <w:rsid w:val="61907153"/>
    <w:rsid w:val="61B635C9"/>
    <w:rsid w:val="62041762"/>
    <w:rsid w:val="62E30CCD"/>
    <w:rsid w:val="6373252B"/>
    <w:rsid w:val="63FD21A3"/>
    <w:rsid w:val="641526DA"/>
    <w:rsid w:val="65D40990"/>
    <w:rsid w:val="68DB6B6B"/>
    <w:rsid w:val="6AD31045"/>
    <w:rsid w:val="6CAB1E2B"/>
    <w:rsid w:val="6D05193B"/>
    <w:rsid w:val="6D914E97"/>
    <w:rsid w:val="6EB02394"/>
    <w:rsid w:val="6F853540"/>
    <w:rsid w:val="72644811"/>
    <w:rsid w:val="72D57472"/>
    <w:rsid w:val="73C50CF3"/>
    <w:rsid w:val="772B0864"/>
    <w:rsid w:val="7BB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hAnsi="Times New Roman" w:eastAsia="黑体" w:cs="Times New Roman"/>
      <w:kern w:val="0"/>
      <w:sz w:val="28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widowControl w:val="0"/>
      <w:adjustRightInd/>
      <w:snapToGrid/>
      <w:spacing w:after="0"/>
      <w:jc w:val="center"/>
    </w:pPr>
    <w:rPr>
      <w:rFonts w:ascii="Times New Roman" w:hAnsi="Times New Roman" w:eastAsia="宋体" w:cs="Times New Roman"/>
      <w:kern w:val="2"/>
      <w:sz w:val="52"/>
      <w:szCs w:val="24"/>
    </w:rPr>
  </w:style>
  <w:style w:type="paragraph" w:styleId="8">
    <w:name w:val="toc 2"/>
    <w:basedOn w:val="1"/>
    <w:next w:val="1"/>
    <w:qFormat/>
    <w:uiPriority w:val="0"/>
    <w:pPr>
      <w:jc w:val="left"/>
    </w:pPr>
    <w:rPr>
      <w:rFonts w:ascii="Calibri" w:hAnsi="Calibri" w:eastAsia="宋体" w:cs="Times New Roman"/>
      <w:b/>
      <w:bCs/>
      <w:smallCaps/>
      <w:sz w:val="22"/>
      <w:szCs w:val="22"/>
    </w:rPr>
  </w:style>
  <w:style w:type="paragraph" w:styleId="9">
    <w:name w:val="Plain Text"/>
    <w:basedOn w:val="1"/>
    <w:next w:val="5"/>
    <w:qFormat/>
    <w:uiPriority w:val="0"/>
    <w:rPr>
      <w:rFonts w:ascii="宋体" w:hAnsi="Courier New"/>
      <w:kern w:val="0"/>
      <w:sz w:val="20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HTML Sample"/>
    <w:basedOn w:val="15"/>
    <w:qFormat/>
    <w:uiPriority w:val="0"/>
    <w:rPr>
      <w:rFonts w:ascii="Courier New" w:hAnsi="Courier New"/>
    </w:rPr>
  </w:style>
  <w:style w:type="paragraph" w:customStyle="1" w:styleId="19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1573</Words>
  <Characters>1924</Characters>
  <Lines>0</Lines>
  <Paragraphs>0</Paragraphs>
  <TotalTime>6</TotalTime>
  <ScaleCrop>false</ScaleCrop>
  <LinksUpToDate>false</LinksUpToDate>
  <CharactersWithSpaces>1962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2020-06-24T09:25:00Z</dcterms:created>
  <dc:creator>扭腻</dc:creator>
  <cp:lastModifiedBy>123456</cp:lastModifiedBy>
  <cp:lastPrinted>2025-10-14T02:49:00Z</cp:lastPrinted>
  <dcterms:modified xsi:type="dcterms:W3CDTF">2026-07-06T12:39:08Z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54FC6B314A044FC1BB9D5B2FF4E29FE5</vt:lpwstr>
  </property>
  <property fmtid="{D5CDD505-2E9C-101B-9397-08002B2CF9AE}" pid="4" name="KSOTemplateDocerSaveRecord">
    <vt:lpwstr>eyJoZGlkIjoiODI3NjA0MDNiYzZmODAzZDNiYWRjMTRkOWYyYzk1ZTAiLCJ1c2VySWQiOiIyNzE1Njc5MDAifQ==</vt:lpwstr>
  </property>
</Properties>
</file>