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5E29F">
      <w:pPr>
        <w:spacing w:after="0" w:line="240" w:lineRule="auto"/>
        <w:jc w:val="center"/>
        <w:rPr>
          <w:rFonts w:hint="eastAsia" w:ascii="宋体" w:hAnsi="宋体" w:eastAsia="宋体" w:cs="宋体"/>
          <w:color w:val="000000" w:themeColor="text1"/>
          <w:sz w:val="36"/>
          <w:szCs w:val="36"/>
          <w:highlight w:val="none"/>
          <w:lang w:eastAsia="zh-CN"/>
          <w14:textFill>
            <w14:solidFill>
              <w14:schemeClr w14:val="tx1"/>
            </w14:solidFill>
          </w14:textFill>
        </w:rPr>
      </w:pPr>
      <w:bookmarkStart w:id="0" w:name="_Toc246095513"/>
      <w:bookmarkStart w:id="1" w:name="_Toc246095451"/>
      <w:bookmarkStart w:id="2" w:name="_Toc246094907"/>
      <w:r>
        <w:rPr>
          <w:rFonts w:hint="eastAsia" w:ascii="宋体" w:hAnsi="宋体" w:eastAsia="宋体" w:cs="宋体"/>
          <w:color w:val="000000" w:themeColor="text1"/>
          <w:sz w:val="36"/>
          <w:szCs w:val="36"/>
          <w:highlight w:val="none"/>
          <w:lang w:eastAsia="zh-CN"/>
          <w14:textFill>
            <w14:solidFill>
              <w14:schemeClr w14:val="tx1"/>
            </w14:solidFill>
          </w14:textFill>
        </w:rPr>
        <w:drawing>
          <wp:inline distT="0" distB="0" distL="114300" distR="114300">
            <wp:extent cx="6182995" cy="8745220"/>
            <wp:effectExtent l="0" t="0" r="4445" b="2540"/>
            <wp:docPr id="2" name="图片 2" descr="（3份）竞争性磋商文件封面-“广西桂林农业学校智慧校园系统——智慧校园年服务+宿舍人脸识别门禁管理设备”项目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3份）竞争性磋商文件封面-“广西桂林农业学校智慧校园系统——智慧校园年服务+宿舍人脸识别门禁管理设备”项目_01"/>
                    <pic:cNvPicPr>
                      <a:picLocks noChangeAspect="1"/>
                    </pic:cNvPicPr>
                  </pic:nvPicPr>
                  <pic:blipFill>
                    <a:blip r:embed="rId14"/>
                    <a:stretch>
                      <a:fillRect/>
                    </a:stretch>
                  </pic:blipFill>
                  <pic:spPr>
                    <a:xfrm>
                      <a:off x="0" y="0"/>
                      <a:ext cx="6182995" cy="8745220"/>
                    </a:xfrm>
                    <a:prstGeom prst="rect">
                      <a:avLst/>
                    </a:prstGeom>
                  </pic:spPr>
                </pic:pic>
              </a:graphicData>
            </a:graphic>
          </wp:inline>
        </w:drawing>
      </w:r>
    </w:p>
    <w:p w14:paraId="4B7BBD68">
      <w:pPr>
        <w:spacing w:after="0" w:line="440" w:lineRule="exact"/>
        <w:jc w:val="center"/>
        <w:rPr>
          <w:rFonts w:hint="eastAsia" w:ascii="宋体" w:hAnsi="宋体" w:eastAsia="宋体" w:cs="宋体"/>
          <w:b/>
          <w:bCs/>
          <w:color w:val="000000" w:themeColor="text1"/>
          <w:sz w:val="36"/>
          <w:szCs w:val="36"/>
          <w:highlight w:val="none"/>
          <w14:textFill>
            <w14:solidFill>
              <w14:schemeClr w14:val="tx1"/>
            </w14:solidFill>
          </w14:textFill>
        </w:rPr>
      </w:pPr>
    </w:p>
    <w:p w14:paraId="41F403BE">
      <w:pPr>
        <w:spacing w:after="0" w:line="440" w:lineRule="exact"/>
        <w:jc w:val="center"/>
        <w:rPr>
          <w:rFonts w:ascii="宋体" w:hAnsi="宋体" w:eastAsia="宋体" w:cs="宋体"/>
          <w:b/>
          <w:bCs/>
          <w:color w:val="000000" w:themeColor="text1"/>
          <w:sz w:val="36"/>
          <w:szCs w:val="36"/>
          <w:highlight w:val="none"/>
          <w14:textFill>
            <w14:solidFill>
              <w14:schemeClr w14:val="tx1"/>
            </w14:solidFill>
          </w14:textFill>
        </w:rPr>
      </w:pPr>
      <w:bookmarkStart w:id="164" w:name="_GoBack"/>
      <w:bookmarkEnd w:id="164"/>
      <w:r>
        <w:rPr>
          <w:rFonts w:hint="eastAsia" w:ascii="宋体" w:hAnsi="宋体" w:eastAsia="宋体" w:cs="宋体"/>
          <w:b/>
          <w:bCs/>
          <w:color w:val="000000" w:themeColor="text1"/>
          <w:sz w:val="36"/>
          <w:szCs w:val="36"/>
          <w:highlight w:val="none"/>
          <w14:textFill>
            <w14:solidFill>
              <w14:schemeClr w14:val="tx1"/>
            </w14:solidFill>
          </w14:textFill>
        </w:rPr>
        <w:t>目  录</w:t>
      </w:r>
    </w:p>
    <w:p w14:paraId="4ABF7164">
      <w:pPr>
        <w:spacing w:after="0" w:line="440" w:lineRule="exact"/>
        <w:rPr>
          <w:rFonts w:ascii="宋体" w:hAnsi="宋体" w:eastAsia="宋体" w:cs="宋体"/>
          <w:color w:val="000000" w:themeColor="text1"/>
          <w:highlight w:val="none"/>
          <w14:textFill>
            <w14:solidFill>
              <w14:schemeClr w14:val="tx1"/>
            </w14:solidFill>
          </w14:textFill>
        </w:rPr>
      </w:pPr>
    </w:p>
    <w:p w14:paraId="50703985">
      <w:pPr>
        <w:pStyle w:val="30"/>
        <w:tabs>
          <w:tab w:val="right" w:leader="dot" w:pos="9525"/>
        </w:tabs>
        <w:spacing w:line="360" w:lineRule="auto"/>
        <w:rPr>
          <w:color w:val="000000" w:themeColor="text1"/>
          <w:sz w:val="28"/>
          <w:szCs w:val="28"/>
          <w:highlight w:val="none"/>
          <w14:textFill>
            <w14:solidFill>
              <w14:schemeClr w14:val="tx1"/>
            </w14:solidFill>
          </w14:textFill>
        </w:rPr>
      </w:pPr>
      <w:r>
        <w:rPr>
          <w:rFonts w:hint="eastAsia" w:ascii="宋体" w:hAnsi="宋体" w:cs="宋体"/>
          <w:b w:val="0"/>
          <w:bCs w:val="0"/>
          <w:color w:val="000000" w:themeColor="text1"/>
          <w:sz w:val="28"/>
          <w:szCs w:val="28"/>
          <w:highlight w:val="none"/>
          <w14:textFill>
            <w14:solidFill>
              <w14:schemeClr w14:val="tx1"/>
            </w14:solidFill>
          </w14:textFill>
        </w:rPr>
        <w:fldChar w:fldCharType="begin"/>
      </w:r>
      <w:r>
        <w:rPr>
          <w:rFonts w:hint="eastAsia" w:ascii="宋体" w:hAnsi="宋体" w:cs="宋体"/>
          <w:b w:val="0"/>
          <w:bCs w:val="0"/>
          <w:color w:val="000000" w:themeColor="text1"/>
          <w:sz w:val="28"/>
          <w:szCs w:val="28"/>
          <w:highlight w:val="none"/>
          <w14:textFill>
            <w14:solidFill>
              <w14:schemeClr w14:val="tx1"/>
            </w14:solidFill>
          </w14:textFill>
        </w:rPr>
        <w:instrText xml:space="preserve"> TOC \o "1-3" \h \z \u </w:instrText>
      </w:r>
      <w:r>
        <w:rPr>
          <w:rFonts w:hint="eastAsia" w:ascii="宋体" w:hAnsi="宋体" w:cs="宋体"/>
          <w:b w:val="0"/>
          <w:bCs w:val="0"/>
          <w:color w:val="000000" w:themeColor="text1"/>
          <w:sz w:val="28"/>
          <w:szCs w:val="28"/>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"_Toc2916"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第一章  竞争性磋商公告</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_Toc2916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2</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024744B1">
      <w:pPr>
        <w:pStyle w:val="30"/>
        <w:tabs>
          <w:tab w:val="right" w:leader="dot" w:pos="9525"/>
        </w:tabs>
        <w:spacing w:line="360" w:lineRule="auto"/>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"_Toc8113"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第二章   供应商须知</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_Toc8113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7</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2F2CB693">
      <w:pPr>
        <w:pStyle w:val="35"/>
        <w:tabs>
          <w:tab w:val="right" w:leader="dot" w:pos="9525"/>
        </w:tabs>
        <w:spacing w:line="360" w:lineRule="auto"/>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"_Toc31194"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供应商须知前附表</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_Toc31194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7</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4431DC2D">
      <w:pPr>
        <w:pStyle w:val="35"/>
        <w:tabs>
          <w:tab w:val="right" w:leader="dot" w:pos="9525"/>
        </w:tabs>
        <w:spacing w:line="360" w:lineRule="auto"/>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"_Toc8725"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1、总则</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_Toc8725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16</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01BC83AE">
      <w:pPr>
        <w:pStyle w:val="35"/>
        <w:tabs>
          <w:tab w:val="right" w:leader="dot" w:pos="9525"/>
        </w:tabs>
        <w:spacing w:line="360" w:lineRule="auto"/>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"_Toc494"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2、磋商文件</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_Toc494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17</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31A280AB">
      <w:pPr>
        <w:pStyle w:val="35"/>
        <w:tabs>
          <w:tab w:val="right" w:leader="dot" w:pos="9525"/>
        </w:tabs>
        <w:spacing w:line="360" w:lineRule="auto"/>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"_Toc8885"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3、响应文件</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_Toc8885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18</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64D9C474">
      <w:pPr>
        <w:pStyle w:val="35"/>
        <w:tabs>
          <w:tab w:val="right" w:leader="dot" w:pos="9525"/>
        </w:tabs>
        <w:spacing w:line="360" w:lineRule="auto"/>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"_Toc24985"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4、响应文件递交</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_Toc24985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21</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6B2B0DAD">
      <w:pPr>
        <w:pStyle w:val="35"/>
        <w:tabs>
          <w:tab w:val="right" w:leader="dot" w:pos="9525"/>
        </w:tabs>
        <w:spacing w:line="360" w:lineRule="auto"/>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"_Toc23221"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5、评审及磋商</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_Toc23221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22</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720151E9">
      <w:pPr>
        <w:pStyle w:val="35"/>
        <w:tabs>
          <w:tab w:val="right" w:leader="dot" w:pos="9525"/>
        </w:tabs>
        <w:spacing w:line="360" w:lineRule="auto"/>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"_Toc16823"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6、评审结果</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_Toc16823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29</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5C6304F9">
      <w:pPr>
        <w:pStyle w:val="35"/>
        <w:tabs>
          <w:tab w:val="right" w:leader="dot" w:pos="9525"/>
        </w:tabs>
        <w:spacing w:line="360" w:lineRule="auto"/>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"_Toc31393"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7、合同授予</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_Toc31393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30</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07F1459A">
      <w:pPr>
        <w:pStyle w:val="35"/>
        <w:tabs>
          <w:tab w:val="right" w:leader="dot" w:pos="9525"/>
        </w:tabs>
        <w:spacing w:line="360" w:lineRule="auto"/>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"_Toc5948"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sz w:val="28"/>
          <w:szCs w:val="28"/>
          <w:highlight w:val="none"/>
          <w14:textFill>
            <w14:solidFill>
              <w14:schemeClr w14:val="tx1"/>
            </w14:solidFill>
          </w14:textFill>
        </w:rPr>
        <w:t>8、其他</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_Toc5948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31</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0CC3FFB6">
      <w:pPr>
        <w:pStyle w:val="30"/>
        <w:tabs>
          <w:tab w:val="right" w:leader="dot" w:pos="9525"/>
        </w:tabs>
        <w:spacing w:line="360" w:lineRule="auto"/>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"_Toc30675"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第三章 项目采购需求</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_Toc30675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33</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247F5899">
      <w:pPr>
        <w:pStyle w:val="30"/>
        <w:tabs>
          <w:tab w:val="right" w:leader="dot" w:pos="9525"/>
        </w:tabs>
        <w:spacing w:line="360" w:lineRule="auto"/>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"_Toc19850"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第四章 评审方法及评审标准</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_Toc19850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106</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78651103">
      <w:pPr>
        <w:pStyle w:val="30"/>
        <w:tabs>
          <w:tab w:val="right" w:leader="dot" w:pos="9525"/>
        </w:tabs>
        <w:spacing w:line="360" w:lineRule="auto"/>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"_Toc21988"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第五章  合同条款及格式</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_Toc21988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116</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331F4D70">
      <w:pPr>
        <w:pStyle w:val="30"/>
        <w:tabs>
          <w:tab w:val="right" w:leader="dot" w:pos="9525"/>
        </w:tabs>
        <w:spacing w:line="360" w:lineRule="auto"/>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"_Toc18640" </w:instrText>
      </w:r>
      <w:r>
        <w:rPr>
          <w:color w:val="000000" w:themeColor="text1"/>
          <w:highlight w:val="none"/>
          <w14:textFill>
            <w14:solidFill>
              <w14:schemeClr w14:val="tx1"/>
            </w14:solidFill>
          </w14:textFill>
        </w:rPr>
        <w:fldChar w:fldCharType="separate"/>
      </w:r>
      <w:r>
        <w:rPr>
          <w:rFonts w:hint="eastAsia" w:ascii="宋体" w:hAnsi="宋体" w:cs="宋体"/>
          <w:color w:val="000000" w:themeColor="text1"/>
          <w:sz w:val="28"/>
          <w:szCs w:val="28"/>
          <w:highlight w:val="none"/>
          <w14:textFill>
            <w14:solidFill>
              <w14:schemeClr w14:val="tx1"/>
            </w14:solidFill>
          </w14:textFill>
        </w:rPr>
        <w:t>第六章  响应文件格式</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_Toc18640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116</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09BFC367">
      <w:pPr>
        <w:spacing w:after="0" w:line="360" w:lineRule="auto"/>
        <w:ind w:firstLine="280" w:firstLineChars="100"/>
        <w:rPr>
          <w:rFonts w:ascii="宋体" w:hAnsi="宋体" w:eastAsia="宋体" w:cs="宋体"/>
          <w:color w:val="000000" w:themeColor="text1"/>
          <w:sz w:val="20"/>
          <w:szCs w:val="20"/>
          <w:highlight w:val="none"/>
          <w14:textFill>
            <w14:solidFill>
              <w14:schemeClr w14:val="tx1"/>
            </w14:solidFill>
          </w14:textFill>
        </w:rPr>
        <w:sectPr>
          <w:headerReference r:id="rId4" w:type="first"/>
          <w:footerReference r:id="rId6" w:type="first"/>
          <w:footerReference r:id="rId5" w:type="default"/>
          <w:pgSz w:w="11907" w:h="16840"/>
          <w:pgMar w:top="1247" w:right="1191" w:bottom="1304" w:left="1191" w:header="737" w:footer="680" w:gutter="0"/>
          <w:pgNumType w:start="1"/>
          <w:cols w:space="720" w:num="1"/>
          <w:docGrid w:linePitch="312" w:charSpace="0"/>
        </w:sectPr>
      </w:pPr>
      <w:r>
        <w:rPr>
          <w:rFonts w:hint="eastAsia" w:ascii="宋体" w:hAnsi="宋体" w:eastAsia="宋体" w:cs="宋体"/>
          <w:color w:val="000000" w:themeColor="text1"/>
          <w:sz w:val="28"/>
          <w:szCs w:val="28"/>
          <w:highlight w:val="none"/>
          <w14:textFill>
            <w14:solidFill>
              <w14:schemeClr w14:val="tx1"/>
            </w14:solidFill>
          </w14:textFill>
        </w:rPr>
        <w:fldChar w:fldCharType="end"/>
      </w:r>
    </w:p>
    <w:p w14:paraId="52DA6D7E">
      <w:pPr>
        <w:pStyle w:val="2"/>
        <w:spacing w:before="100" w:beforeAutospacing="1" w:after="100" w:afterAutospacing="1" w:line="380" w:lineRule="exact"/>
        <w:rPr>
          <w:rFonts w:ascii="宋体" w:hAnsi="宋体" w:eastAsia="宋体" w:cs="宋体"/>
          <w:b/>
          <w:bCs/>
          <w:color w:val="000000" w:themeColor="text1"/>
          <w:highlight w:val="none"/>
          <w14:textFill>
            <w14:solidFill>
              <w14:schemeClr w14:val="tx1"/>
            </w14:solidFill>
          </w14:textFill>
        </w:rPr>
      </w:pPr>
      <w:bookmarkStart w:id="3" w:name="_Toc2916"/>
      <w:r>
        <w:rPr>
          <w:rFonts w:hint="eastAsia" w:ascii="宋体" w:hAnsi="宋体" w:eastAsia="宋体" w:cs="宋体"/>
          <w:b/>
          <w:bCs/>
          <w:color w:val="000000" w:themeColor="text1"/>
          <w:highlight w:val="none"/>
          <w14:textFill>
            <w14:solidFill>
              <w14:schemeClr w14:val="tx1"/>
            </w14:solidFill>
          </w14:textFill>
        </w:rPr>
        <w:t xml:space="preserve">第一章  </w:t>
      </w:r>
      <w:bookmarkEnd w:id="0"/>
      <w:bookmarkEnd w:id="1"/>
      <w:bookmarkEnd w:id="2"/>
      <w:r>
        <w:rPr>
          <w:rFonts w:hint="eastAsia" w:ascii="宋体" w:hAnsi="宋体" w:eastAsia="宋体" w:cs="宋体"/>
          <w:b/>
          <w:bCs/>
          <w:color w:val="000000" w:themeColor="text1"/>
          <w:highlight w:val="none"/>
          <w14:textFill>
            <w14:solidFill>
              <w14:schemeClr w14:val="tx1"/>
            </w14:solidFill>
          </w14:textFill>
        </w:rPr>
        <w:t>竞争性磋商公告</w:t>
      </w:r>
      <w:bookmarkEnd w:id="3"/>
    </w:p>
    <w:p w14:paraId="52447CC4">
      <w:pPr>
        <w:spacing w:after="0" w:line="500" w:lineRule="exact"/>
        <w:ind w:firstLine="562" w:firstLineChars="200"/>
        <w:jc w:val="center"/>
        <w:rPr>
          <w:rFonts w:ascii="宋体" w:hAnsi="宋体" w:eastAsia="宋体" w:cs="宋体"/>
          <w:b/>
          <w:color w:val="000000" w:themeColor="text1"/>
          <w:sz w:val="28"/>
          <w:szCs w:val="28"/>
          <w:highlight w:val="none"/>
          <w14:textFill>
            <w14:solidFill>
              <w14:schemeClr w14:val="tx1"/>
            </w14:solidFill>
          </w14:textFill>
        </w:rPr>
      </w:pPr>
      <w:bookmarkStart w:id="4" w:name="_Toc246095514"/>
      <w:bookmarkStart w:id="5" w:name="_Toc246094908"/>
      <w:bookmarkStart w:id="6" w:name="_Toc246095452"/>
      <w:r>
        <w:rPr>
          <w:rFonts w:hint="eastAsia" w:ascii="宋体" w:hAnsi="宋体" w:eastAsia="宋体" w:cs="宋体"/>
          <w:b/>
          <w:color w:val="000000" w:themeColor="text1"/>
          <w:sz w:val="28"/>
          <w:szCs w:val="28"/>
          <w:highlight w:val="none"/>
          <w14:textFill>
            <w14:solidFill>
              <w14:schemeClr w14:val="tx1"/>
            </w14:solidFill>
          </w14:textFill>
        </w:rPr>
        <w:t>广西睿翼工程咨询有限公司</w:t>
      </w:r>
    </w:p>
    <w:p w14:paraId="06F8269B">
      <w:pPr>
        <w:spacing w:after="0" w:line="500" w:lineRule="exact"/>
        <w:ind w:firstLine="562" w:firstLineChars="200"/>
        <w:jc w:val="center"/>
        <w:rPr>
          <w:rFonts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关于“广西桂林农业学校智慧校园系统——智慧校园年服务+宿舍  人脸识别门禁管理设备”项目（项目编号：GLZC2026-C3-990383-GXRY）竞争性磋商公告</w:t>
      </w:r>
    </w:p>
    <w:p w14:paraId="28D5A071">
      <w:pPr>
        <w:widowControl w:val="0"/>
        <w:pBdr>
          <w:top w:val="single" w:color="auto" w:sz="4" w:space="1"/>
          <w:left w:val="single" w:color="auto" w:sz="4" w:space="4"/>
          <w:bottom w:val="single" w:color="auto" w:sz="4" w:space="1"/>
          <w:right w:val="single" w:color="auto" w:sz="4" w:space="4"/>
        </w:pBdr>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项目概况：</w:t>
      </w:r>
      <w:r>
        <w:rPr>
          <w:rFonts w:hint="eastAsia" w:ascii="宋体" w:hAnsi="宋体" w:eastAsia="宋体" w:cs="宋体"/>
          <w:color w:val="000000" w:themeColor="text1"/>
          <w:highlight w:val="none"/>
          <w:u w:val="single"/>
          <w14:textFill>
            <w14:solidFill>
              <w14:schemeClr w14:val="tx1"/>
            </w14:solidFill>
          </w14:textFill>
        </w:rPr>
        <w:t>“广西桂林农业学校智慧校园系统——智慧校园年服务+宿舍人脸识别门禁管理设备”项目</w:t>
      </w:r>
      <w:r>
        <w:rPr>
          <w:rFonts w:hint="eastAsia" w:ascii="宋体" w:hAnsi="宋体" w:eastAsia="宋体" w:cs="宋体"/>
          <w:color w:val="000000" w:themeColor="text1"/>
          <w:highlight w:val="none"/>
          <w14:textFill>
            <w14:solidFill>
              <w14:schemeClr w14:val="tx1"/>
            </w14:solidFill>
          </w14:textFill>
        </w:rPr>
        <w:t>采购项目的潜在供应商应在广西政府采购云平台（https://www.gcy.zfcg.gxzf.gov.cn/）获取竞争性磋商文件，并于</w:t>
      </w:r>
      <w:r>
        <w:rPr>
          <w:rFonts w:hint="eastAsia" w:ascii="宋体" w:hAnsi="宋体" w:eastAsia="宋体" w:cs="宋体"/>
          <w:color w:val="000000" w:themeColor="text1"/>
          <w:highlight w:val="none"/>
          <w:u w:val="single"/>
          <w14:textFill>
            <w14:solidFill>
              <w14:schemeClr w14:val="tx1"/>
            </w14:solidFill>
          </w14:textFill>
        </w:rPr>
        <w:t>2026年</w:t>
      </w:r>
      <w:r>
        <w:rPr>
          <w:rFonts w:hint="eastAsia" w:ascii="宋体" w:hAnsi="宋体" w:eastAsia="宋体" w:cs="宋体"/>
          <w:color w:val="000000" w:themeColor="text1"/>
          <w:highlight w:val="none"/>
          <w:u w:val="single"/>
          <w:lang w:val="en-US" w:eastAsia="zh-CN"/>
          <w14:textFill>
            <w14:solidFill>
              <w14:schemeClr w14:val="tx1"/>
            </w14:solidFill>
          </w14:textFill>
        </w:rPr>
        <w:t>09</w:t>
      </w:r>
      <w:r>
        <w:rPr>
          <w:rFonts w:hint="eastAsia" w:ascii="宋体" w:hAnsi="宋体" w:eastAsia="宋体" w:cs="宋体"/>
          <w:color w:val="000000" w:themeColor="text1"/>
          <w:highlight w:val="none"/>
          <w:u w:val="single"/>
          <w14:textFill>
            <w14:solidFill>
              <w14:schemeClr w14:val="tx1"/>
            </w14:solidFill>
          </w14:textFill>
        </w:rPr>
        <w:t>月</w:t>
      </w:r>
      <w:r>
        <w:rPr>
          <w:rFonts w:hint="eastAsia" w:ascii="宋体" w:hAnsi="宋体" w:eastAsia="宋体" w:cs="宋体"/>
          <w:color w:val="000000" w:themeColor="text1"/>
          <w:highlight w:val="none"/>
          <w:u w:val="single"/>
          <w:lang w:val="en-US" w:eastAsia="zh-CN"/>
          <w14:textFill>
            <w14:solidFill>
              <w14:schemeClr w14:val="tx1"/>
            </w14:solidFill>
          </w14:textFill>
        </w:rPr>
        <w:t>08</w:t>
      </w:r>
      <w:r>
        <w:rPr>
          <w:rFonts w:hint="eastAsia" w:ascii="宋体" w:hAnsi="宋体" w:eastAsia="宋体" w:cs="宋体"/>
          <w:color w:val="000000" w:themeColor="text1"/>
          <w:highlight w:val="none"/>
          <w:u w:val="single"/>
          <w14:textFill>
            <w14:solidFill>
              <w14:schemeClr w14:val="tx1"/>
            </w14:solidFill>
          </w14:textFill>
        </w:rPr>
        <w:t>日09时30分</w:t>
      </w:r>
      <w:r>
        <w:rPr>
          <w:rFonts w:hint="eastAsia" w:ascii="宋体" w:hAnsi="宋体" w:eastAsia="宋体" w:cs="宋体"/>
          <w:color w:val="000000" w:themeColor="text1"/>
          <w:highlight w:val="none"/>
          <w14:textFill>
            <w14:solidFill>
              <w14:schemeClr w14:val="tx1"/>
            </w14:solidFill>
          </w14:textFill>
        </w:rPr>
        <w:t>（北京时间）前提交响应文件。</w:t>
      </w:r>
    </w:p>
    <w:p w14:paraId="0C9BAA79">
      <w:pPr>
        <w:pStyle w:val="3"/>
        <w:spacing w:line="500" w:lineRule="exact"/>
        <w:jc w:val="both"/>
        <w:rPr>
          <w:rFonts w:ascii="宋体" w:hAnsi="宋体" w:eastAsia="宋体" w:cs="宋体"/>
          <w:b/>
          <w:color w:val="000000" w:themeColor="text1"/>
          <w:sz w:val="24"/>
          <w:szCs w:val="24"/>
          <w:highlight w:val="none"/>
          <w14:textFill>
            <w14:solidFill>
              <w14:schemeClr w14:val="tx1"/>
            </w14:solidFill>
          </w14:textFill>
        </w:rPr>
      </w:pPr>
      <w:bookmarkStart w:id="7" w:name="_Toc28359012"/>
      <w:bookmarkStart w:id="8" w:name="_Toc35393798"/>
      <w:bookmarkStart w:id="9" w:name="_Toc41"/>
      <w:bookmarkStart w:id="10" w:name="_Toc46307758"/>
      <w:bookmarkStart w:id="11" w:name="_Toc35393629"/>
      <w:bookmarkStart w:id="12" w:name="_Toc28359089"/>
      <w:bookmarkStart w:id="13" w:name="_Toc20588"/>
      <w:r>
        <w:rPr>
          <w:rFonts w:hint="eastAsia" w:ascii="宋体" w:hAnsi="宋体" w:eastAsia="宋体" w:cs="宋体"/>
          <w:b/>
          <w:color w:val="000000" w:themeColor="text1"/>
          <w:sz w:val="24"/>
          <w:szCs w:val="24"/>
          <w:highlight w:val="none"/>
          <w14:textFill>
            <w14:solidFill>
              <w14:schemeClr w14:val="tx1"/>
            </w14:solidFill>
          </w14:textFill>
        </w:rPr>
        <w:t>一、项目基本情况</w:t>
      </w:r>
      <w:bookmarkEnd w:id="7"/>
      <w:bookmarkEnd w:id="8"/>
      <w:bookmarkEnd w:id="9"/>
      <w:bookmarkEnd w:id="10"/>
      <w:bookmarkEnd w:id="11"/>
      <w:bookmarkEnd w:id="12"/>
      <w:bookmarkEnd w:id="13"/>
    </w:p>
    <w:p w14:paraId="693505C9">
      <w:pPr>
        <w:widowControl w:val="0"/>
        <w:adjustRightInd/>
        <w:snapToGrid/>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项目编号： GLZC2026-C3-990383-GXRY </w:t>
      </w:r>
    </w:p>
    <w:p w14:paraId="03260E89">
      <w:pPr>
        <w:widowControl w:val="0"/>
        <w:adjustRightInd/>
        <w:snapToGrid/>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项目名称：“广西桂林农业学校智慧校园系统——智慧校园年服务+宿舍人脸识别门禁管理设备”项目</w:t>
      </w:r>
    </w:p>
    <w:p w14:paraId="7D14D5A8">
      <w:pPr>
        <w:widowControl w:val="0"/>
        <w:adjustRightInd/>
        <w:snapToGrid/>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采购方式：☑竞争性磋商</w:t>
      </w:r>
    </w:p>
    <w:p w14:paraId="5C1B03C0">
      <w:pPr>
        <w:widowControl w:val="0"/>
        <w:adjustRightInd/>
        <w:snapToGrid/>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预算金额：人民币</w:t>
      </w:r>
      <w:r>
        <w:rPr>
          <w:rFonts w:hint="eastAsia" w:ascii="宋体" w:hAnsi="宋体" w:eastAsia="宋体"/>
          <w:color w:val="000000" w:themeColor="text1"/>
          <w:szCs w:val="21"/>
          <w:highlight w:val="none"/>
          <w14:textFill>
            <w14:solidFill>
              <w14:schemeClr w14:val="tx1"/>
            </w14:solidFill>
          </w14:textFill>
        </w:rPr>
        <w:t>86.4</w:t>
      </w:r>
      <w:r>
        <w:rPr>
          <w:rFonts w:hint="eastAsia" w:ascii="宋体" w:hAnsi="宋体" w:cs="宋体"/>
          <w:color w:val="000000" w:themeColor="text1"/>
          <w:szCs w:val="21"/>
          <w:highlight w:val="none"/>
          <w14:textFill>
            <w14:solidFill>
              <w14:schemeClr w14:val="tx1"/>
            </w14:solidFill>
          </w14:textFill>
        </w:rPr>
        <w:t>万元</w:t>
      </w:r>
    </w:p>
    <w:p w14:paraId="59DD785C">
      <w:pPr>
        <w:widowControl w:val="0"/>
        <w:adjustRightInd/>
        <w:snapToGrid/>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最高限价：人民币</w:t>
      </w:r>
      <w:r>
        <w:rPr>
          <w:rFonts w:hint="eastAsia" w:ascii="宋体" w:hAnsi="宋体" w:eastAsia="宋体"/>
          <w:color w:val="000000" w:themeColor="text1"/>
          <w:szCs w:val="21"/>
          <w:highlight w:val="none"/>
          <w14:textFill>
            <w14:solidFill>
              <w14:schemeClr w14:val="tx1"/>
            </w14:solidFill>
          </w14:textFill>
        </w:rPr>
        <w:t>86.4</w:t>
      </w:r>
      <w:r>
        <w:rPr>
          <w:rFonts w:hint="eastAsia" w:ascii="宋体" w:hAnsi="宋体" w:cs="宋体"/>
          <w:color w:val="000000" w:themeColor="text1"/>
          <w:szCs w:val="21"/>
          <w:highlight w:val="none"/>
          <w14:textFill>
            <w14:solidFill>
              <w14:schemeClr w14:val="tx1"/>
            </w14:solidFill>
          </w14:textFill>
        </w:rPr>
        <w:t>万元</w:t>
      </w:r>
    </w:p>
    <w:p w14:paraId="173410AD">
      <w:pPr>
        <w:widowControl w:val="0"/>
        <w:adjustRightInd/>
        <w:snapToGrid/>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采购需求：</w:t>
      </w:r>
    </w:p>
    <w:tbl>
      <w:tblPr>
        <w:tblStyle w:val="45"/>
        <w:tblW w:w="994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44"/>
        <w:gridCol w:w="3394"/>
        <w:gridCol w:w="1014"/>
        <w:gridCol w:w="4795"/>
      </w:tblGrid>
      <w:tr w14:paraId="2EF887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92" w:hRule="atLeast"/>
          <w:jc w:val="center"/>
        </w:trPr>
        <w:tc>
          <w:tcPr>
            <w:tcW w:w="744" w:type="dxa"/>
            <w:vAlign w:val="center"/>
          </w:tcPr>
          <w:p w14:paraId="230B6AFF">
            <w:pPr>
              <w:spacing w:after="0"/>
              <w:rPr>
                <w:rFonts w:ascii="宋体" w:hAnsi="宋体" w:eastAsia="宋体" w:cs="宋体"/>
                <w:b/>
                <w:bCs/>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序号</w:t>
            </w:r>
          </w:p>
        </w:tc>
        <w:tc>
          <w:tcPr>
            <w:tcW w:w="3394" w:type="dxa"/>
            <w:vAlign w:val="center"/>
          </w:tcPr>
          <w:p w14:paraId="036BB2B5">
            <w:pPr>
              <w:spacing w:after="0"/>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服务名称</w:t>
            </w:r>
          </w:p>
        </w:tc>
        <w:tc>
          <w:tcPr>
            <w:tcW w:w="1014" w:type="dxa"/>
            <w:vAlign w:val="center"/>
          </w:tcPr>
          <w:p w14:paraId="4CCA6996">
            <w:pPr>
              <w:spacing w:after="0"/>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单位/数量</w:t>
            </w:r>
          </w:p>
        </w:tc>
        <w:tc>
          <w:tcPr>
            <w:tcW w:w="4795" w:type="dxa"/>
            <w:vAlign w:val="center"/>
          </w:tcPr>
          <w:p w14:paraId="79B6A32A">
            <w:pPr>
              <w:spacing w:after="0"/>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采购需求概况</w:t>
            </w:r>
          </w:p>
        </w:tc>
      </w:tr>
      <w:tr w14:paraId="45B2B1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46" w:hRule="atLeast"/>
          <w:jc w:val="center"/>
        </w:trPr>
        <w:tc>
          <w:tcPr>
            <w:tcW w:w="744" w:type="dxa"/>
            <w:vAlign w:val="center"/>
          </w:tcPr>
          <w:p w14:paraId="4C7EB86B">
            <w:pPr>
              <w:spacing w:after="0"/>
              <w:ind w:firstLine="240" w:firstLineChars="1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3394" w:type="dxa"/>
            <w:vAlign w:val="center"/>
          </w:tcPr>
          <w:p w14:paraId="0768A10A">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“广西桂林农业学校智慧校园系统——智慧校园年服务+宿舍人脸识别门禁管理设备”项目</w:t>
            </w:r>
          </w:p>
        </w:tc>
        <w:tc>
          <w:tcPr>
            <w:tcW w:w="1014" w:type="dxa"/>
            <w:vAlign w:val="center"/>
          </w:tcPr>
          <w:p w14:paraId="48C44BF2">
            <w:pPr>
              <w:spacing w:after="0" w:line="420" w:lineRule="exact"/>
              <w:ind w:firstLine="240" w:firstLineChars="1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1项</w:t>
            </w:r>
          </w:p>
        </w:tc>
        <w:tc>
          <w:tcPr>
            <w:tcW w:w="4795" w:type="dxa"/>
            <w:vAlign w:val="center"/>
          </w:tcPr>
          <w:p w14:paraId="2C6E5718">
            <w:pPr>
              <w:spacing w:after="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广西桂林农业学校智慧校园系统——智慧校园年服务+宿舍人脸识别门禁管理设备一项，具体详见第三章《项目采购需求》</w:t>
            </w:r>
          </w:p>
        </w:tc>
      </w:tr>
    </w:tbl>
    <w:p w14:paraId="380AA0CF">
      <w:pPr>
        <w:widowControl w:val="0"/>
        <w:adjustRightInd/>
        <w:snapToGrid/>
        <w:spacing w:after="0" w:line="500" w:lineRule="exact"/>
        <w:ind w:firstLine="480" w:firstLineChars="200"/>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合同履行期限：自合同签订之日起 60 天内完成建设工作、通过验收并交付使用，自验收运行合格之日起提供 3 年运行维护、系统完善、更新或升级服务。</w:t>
      </w:r>
    </w:p>
    <w:p w14:paraId="33E9A1A2">
      <w:pPr>
        <w:widowControl w:val="0"/>
        <w:adjustRightInd/>
        <w:snapToGrid/>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本项目（否）接受联合体。</w:t>
      </w:r>
    </w:p>
    <w:p w14:paraId="314B623D">
      <w:pPr>
        <w:pStyle w:val="3"/>
        <w:spacing w:line="500" w:lineRule="exact"/>
        <w:jc w:val="both"/>
        <w:rPr>
          <w:rFonts w:ascii="宋体" w:hAnsi="宋体" w:eastAsia="宋体" w:cs="宋体"/>
          <w:b/>
          <w:color w:val="000000" w:themeColor="text1"/>
          <w:sz w:val="24"/>
          <w:szCs w:val="24"/>
          <w:highlight w:val="none"/>
          <w14:textFill>
            <w14:solidFill>
              <w14:schemeClr w14:val="tx1"/>
            </w14:solidFill>
          </w14:textFill>
        </w:rPr>
      </w:pPr>
      <w:bookmarkStart w:id="14" w:name="_Toc35393799"/>
      <w:bookmarkStart w:id="15" w:name="_Toc46307759"/>
      <w:bookmarkStart w:id="16" w:name="_Toc32669"/>
      <w:bookmarkStart w:id="17" w:name="_Toc28359090"/>
      <w:bookmarkStart w:id="18" w:name="_Toc17055"/>
      <w:bookmarkStart w:id="19" w:name="_Toc28359013"/>
      <w:bookmarkStart w:id="20" w:name="_Toc35393630"/>
      <w:r>
        <w:rPr>
          <w:rFonts w:hint="eastAsia" w:ascii="宋体" w:hAnsi="宋体" w:eastAsia="宋体" w:cs="宋体"/>
          <w:b/>
          <w:color w:val="000000" w:themeColor="text1"/>
          <w:sz w:val="24"/>
          <w:szCs w:val="24"/>
          <w:highlight w:val="none"/>
          <w14:textFill>
            <w14:solidFill>
              <w14:schemeClr w14:val="tx1"/>
            </w14:solidFill>
          </w14:textFill>
        </w:rPr>
        <w:t>二、申请人的资格要求：</w:t>
      </w:r>
      <w:bookmarkEnd w:id="14"/>
      <w:bookmarkEnd w:id="15"/>
      <w:bookmarkEnd w:id="16"/>
      <w:bookmarkEnd w:id="17"/>
      <w:bookmarkEnd w:id="18"/>
      <w:bookmarkEnd w:id="19"/>
      <w:bookmarkEnd w:id="20"/>
    </w:p>
    <w:p w14:paraId="39DF3227">
      <w:pPr>
        <w:widowControl w:val="0"/>
        <w:adjustRightInd/>
        <w:snapToGrid/>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bookmarkStart w:id="21" w:name="_Toc28359091"/>
      <w:bookmarkStart w:id="22" w:name="_Toc28359014"/>
      <w:r>
        <w:rPr>
          <w:rFonts w:hint="eastAsia" w:ascii="宋体" w:hAnsi="宋体" w:eastAsia="宋体" w:cs="宋体"/>
          <w:color w:val="000000" w:themeColor="text1"/>
          <w:highlight w:val="none"/>
          <w14:textFill>
            <w14:solidFill>
              <w14:schemeClr w14:val="tx1"/>
            </w14:solidFill>
          </w14:textFill>
        </w:rPr>
        <w:t>1、满足《中华人民共和国政府采购法》第二十二条规定；</w:t>
      </w:r>
    </w:p>
    <w:p w14:paraId="49B579D4">
      <w:pPr>
        <w:widowControl w:val="0"/>
        <w:adjustRightInd/>
        <w:snapToGrid/>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2、落实政府采购政策需满足的资格要求：专门面向中小企业采购的项目（供应商应为中小微企业、监狱企业、残疾人福利性单位）</w:t>
      </w:r>
    </w:p>
    <w:p w14:paraId="61B789D7">
      <w:pPr>
        <w:widowControl w:val="0"/>
        <w:adjustRightInd/>
        <w:snapToGrid/>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3、本项目的特定资格要求：无。</w:t>
      </w:r>
    </w:p>
    <w:p w14:paraId="6E0AFD9A">
      <w:pPr>
        <w:widowControl w:val="0"/>
        <w:adjustRightInd/>
        <w:snapToGrid/>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单位负责人为同一人或者存在直接控股、管理关系的不同供应商，不得参加同一合同项下的政府采购活动。除单一来源采购项目外，为采购项目提供规范编制或者项目管理、监理、检测等服务的供应商，不得再参加该采购项目的其他采购活动；</w:t>
      </w:r>
    </w:p>
    <w:p w14:paraId="60E37DBB">
      <w:pPr>
        <w:widowControl w:val="0"/>
        <w:adjustRightInd/>
        <w:snapToGrid/>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不得参与政府采购活动。</w:t>
      </w:r>
    </w:p>
    <w:p w14:paraId="3F9C6260">
      <w:pPr>
        <w:widowControl w:val="0"/>
        <w:adjustRightInd/>
        <w:snapToGrid/>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6、本项目不接受未按公告要求获取采购文件的供应商进行磋商。</w:t>
      </w:r>
      <w:bookmarkStart w:id="23" w:name="_Toc35393800"/>
      <w:bookmarkStart w:id="24" w:name="_Toc35393631"/>
      <w:bookmarkStart w:id="25" w:name="_Toc46307760"/>
    </w:p>
    <w:p w14:paraId="228168B5">
      <w:pPr>
        <w:widowControl w:val="0"/>
        <w:adjustRightInd/>
        <w:snapToGrid/>
        <w:spacing w:after="0" w:line="500" w:lineRule="exact"/>
        <w:ind w:firstLine="482" w:firstLineChars="200"/>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三、获取竞争性磋商文件</w:t>
      </w:r>
      <w:bookmarkEnd w:id="21"/>
      <w:bookmarkEnd w:id="22"/>
      <w:bookmarkEnd w:id="23"/>
      <w:bookmarkEnd w:id="24"/>
      <w:bookmarkEnd w:id="25"/>
      <w:bookmarkStart w:id="26" w:name="_Toc24534"/>
      <w:bookmarkStart w:id="27" w:name="_Toc25962"/>
      <w:bookmarkStart w:id="28" w:name="_Toc28359092"/>
      <w:bookmarkStart w:id="29" w:name="_Toc46307761"/>
      <w:bookmarkStart w:id="30" w:name="_Toc28359015"/>
      <w:bookmarkStart w:id="31" w:name="_Toc35393632"/>
      <w:bookmarkStart w:id="32" w:name="_Toc35393801"/>
    </w:p>
    <w:p w14:paraId="5855EBEC">
      <w:pPr>
        <w:widowControl w:val="0"/>
        <w:adjustRightInd/>
        <w:snapToGrid/>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时间：公告发布时间至响应截止时间，每天上午00:00至12:00，下午12:00至23:59（北京时间，法定节假日除外）。</w:t>
      </w:r>
      <w:bookmarkEnd w:id="26"/>
      <w:bookmarkEnd w:id="27"/>
      <w:bookmarkStart w:id="33" w:name="_Toc23485"/>
      <w:bookmarkStart w:id="34" w:name="_Toc17836"/>
    </w:p>
    <w:p w14:paraId="3CCC8954">
      <w:pPr>
        <w:widowControl w:val="0"/>
        <w:adjustRightInd/>
        <w:snapToGrid/>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方式：供应商须登录广西政府采购云平台在“供应商入驻”完成账号注册后，登录广西政府采购云平台“项目采购-获取采购文件”模块自行下载采购文件。如在操作过程中遇到问题或需技术支持，请致电政采云客服热线：400-881-7190。</w:t>
      </w:r>
      <w:bookmarkEnd w:id="33"/>
      <w:bookmarkEnd w:id="34"/>
      <w:bookmarkStart w:id="35" w:name="_Toc17669"/>
      <w:bookmarkStart w:id="36" w:name="_Toc20712"/>
    </w:p>
    <w:p w14:paraId="3DE7D4AC">
      <w:pPr>
        <w:widowControl w:val="0"/>
        <w:adjustRightInd/>
        <w:snapToGrid/>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售价：0元</w:t>
      </w:r>
      <w:bookmarkEnd w:id="35"/>
      <w:bookmarkEnd w:id="36"/>
      <w:bookmarkStart w:id="37" w:name="_Toc22893"/>
      <w:bookmarkStart w:id="38" w:name="_Toc6678"/>
    </w:p>
    <w:p w14:paraId="061D518D">
      <w:pPr>
        <w:widowControl w:val="0"/>
        <w:numPr>
          <w:ilvl w:val="0"/>
          <w:numId w:val="2"/>
        </w:numPr>
        <w:adjustRightInd/>
        <w:snapToGrid/>
        <w:spacing w:after="0" w:line="500" w:lineRule="exact"/>
        <w:ind w:firstLine="482" w:firstLineChars="200"/>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响应文件提交</w:t>
      </w:r>
      <w:bookmarkEnd w:id="28"/>
      <w:bookmarkEnd w:id="29"/>
      <w:bookmarkEnd w:id="30"/>
      <w:bookmarkEnd w:id="31"/>
      <w:bookmarkEnd w:id="32"/>
      <w:bookmarkEnd w:id="37"/>
      <w:bookmarkEnd w:id="38"/>
      <w:bookmarkStart w:id="39" w:name="_Toc24549"/>
      <w:bookmarkStart w:id="40" w:name="_Toc18196"/>
      <w:bookmarkStart w:id="41" w:name="_Toc35393802"/>
      <w:bookmarkStart w:id="42" w:name="_Toc28359016"/>
      <w:bookmarkStart w:id="43" w:name="_Toc28359093"/>
      <w:bookmarkStart w:id="44" w:name="_Toc35393633"/>
      <w:bookmarkStart w:id="45" w:name="_Toc46307762"/>
    </w:p>
    <w:p w14:paraId="33B9592B">
      <w:pPr>
        <w:widowControl w:val="0"/>
        <w:adjustRightInd/>
        <w:snapToGrid/>
        <w:spacing w:after="0" w:line="500" w:lineRule="exact"/>
        <w:ind w:firstLine="240" w:firstLineChars="1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截止时间：2026年</w:t>
      </w:r>
      <w:r>
        <w:rPr>
          <w:rFonts w:hint="eastAsia" w:ascii="宋体" w:hAnsi="宋体" w:eastAsia="宋体" w:cs="宋体"/>
          <w:color w:val="000000" w:themeColor="text1"/>
          <w:highlight w:val="none"/>
          <w:lang w:val="en-US" w:eastAsia="zh-CN"/>
          <w14:textFill>
            <w14:solidFill>
              <w14:schemeClr w14:val="tx1"/>
            </w14:solidFill>
          </w14:textFill>
        </w:rPr>
        <w:t>09</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eastAsia="宋体" w:cs="宋体"/>
          <w:color w:val="000000" w:themeColor="text1"/>
          <w:highlight w:val="none"/>
          <w:lang w:val="en-US" w:eastAsia="zh-CN"/>
          <w14:textFill>
            <w14:solidFill>
              <w14:schemeClr w14:val="tx1"/>
            </w14:solidFill>
          </w14:textFill>
        </w:rPr>
        <w:t>08</w:t>
      </w:r>
      <w:r>
        <w:rPr>
          <w:rFonts w:hint="eastAsia" w:ascii="宋体" w:hAnsi="宋体" w:eastAsia="宋体" w:cs="宋体"/>
          <w:color w:val="000000" w:themeColor="text1"/>
          <w:highlight w:val="none"/>
          <w14:textFill>
            <w14:solidFill>
              <w14:schemeClr w14:val="tx1"/>
            </w14:solidFill>
          </w14:textFill>
        </w:rPr>
        <w:t>日</w:t>
      </w:r>
      <w:r>
        <w:rPr>
          <w:rFonts w:hint="eastAsia" w:ascii="宋体" w:hAnsi="宋体" w:eastAsia="宋体" w:cs="宋体"/>
          <w:bCs/>
          <w:color w:val="000000" w:themeColor="text1"/>
          <w:highlight w:val="none"/>
          <w:lang w:val="en-US" w:eastAsia="zh-CN"/>
          <w14:textFill>
            <w14:solidFill>
              <w14:schemeClr w14:val="tx1"/>
            </w14:solidFill>
          </w14:textFill>
        </w:rPr>
        <w:t>09</w:t>
      </w:r>
      <w:r>
        <w:rPr>
          <w:rFonts w:hint="eastAsia" w:ascii="宋体" w:hAnsi="宋体" w:eastAsia="宋体" w:cs="宋体"/>
          <w:bCs/>
          <w:color w:val="000000" w:themeColor="text1"/>
          <w:highlight w:val="none"/>
          <w14:textFill>
            <w14:solidFill>
              <w14:schemeClr w14:val="tx1"/>
            </w14:solidFill>
          </w14:textFill>
        </w:rPr>
        <w:t>时</w:t>
      </w:r>
      <w:r>
        <w:rPr>
          <w:rFonts w:hint="eastAsia" w:ascii="宋体" w:hAnsi="宋体" w:eastAsia="宋体" w:cs="宋体"/>
          <w:bCs/>
          <w:color w:val="000000" w:themeColor="text1"/>
          <w:highlight w:val="none"/>
          <w:lang w:val="en-US" w:eastAsia="zh-CN"/>
          <w14:textFill>
            <w14:solidFill>
              <w14:schemeClr w14:val="tx1"/>
            </w14:solidFill>
          </w14:textFill>
        </w:rPr>
        <w:t>30</w:t>
      </w:r>
      <w:r>
        <w:rPr>
          <w:rFonts w:hint="eastAsia" w:ascii="宋体" w:hAnsi="宋体" w:eastAsia="宋体" w:cs="宋体"/>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（北京时间）</w:t>
      </w:r>
      <w:bookmarkEnd w:id="39"/>
      <w:bookmarkEnd w:id="40"/>
      <w:r>
        <w:rPr>
          <w:rFonts w:hint="eastAsia" w:ascii="宋体" w:hAnsi="宋体" w:eastAsia="宋体" w:cs="宋体"/>
          <w:color w:val="000000" w:themeColor="text1"/>
          <w:highlight w:val="none"/>
          <w14:textFill>
            <w14:solidFill>
              <w14:schemeClr w14:val="tx1"/>
            </w14:solidFill>
          </w14:textFill>
        </w:rPr>
        <w:t xml:space="preserve"> </w:t>
      </w:r>
    </w:p>
    <w:p w14:paraId="5B4D5B74">
      <w:pPr>
        <w:pStyle w:val="3"/>
        <w:spacing w:line="500" w:lineRule="exact"/>
        <w:ind w:right="-538" w:rightChars="-224" w:firstLine="439" w:firstLineChars="183"/>
        <w:jc w:val="both"/>
        <w:rPr>
          <w:rFonts w:ascii="宋体" w:hAnsi="宋体" w:eastAsia="宋体" w:cs="宋体"/>
          <w:color w:val="000000" w:themeColor="text1"/>
          <w:sz w:val="24"/>
          <w:szCs w:val="24"/>
          <w:highlight w:val="none"/>
          <w14:textFill>
            <w14:solidFill>
              <w14:schemeClr w14:val="tx1"/>
            </w14:solidFill>
          </w14:textFill>
        </w:rPr>
      </w:pPr>
      <w:bookmarkStart w:id="46" w:name="_Toc24252"/>
      <w:bookmarkStart w:id="47" w:name="_Toc20565"/>
      <w:r>
        <w:rPr>
          <w:rFonts w:hint="eastAsia" w:ascii="宋体" w:hAnsi="宋体" w:eastAsia="宋体" w:cs="宋体"/>
          <w:color w:val="000000" w:themeColor="text1"/>
          <w:sz w:val="24"/>
          <w:szCs w:val="24"/>
          <w:highlight w:val="none"/>
          <w14:textFill>
            <w14:solidFill>
              <w14:schemeClr w14:val="tx1"/>
            </w14:solidFill>
          </w14:textFill>
        </w:rPr>
        <w:t>地点：通过广西政府采购云平台实行在线响应。</w:t>
      </w:r>
      <w:bookmarkEnd w:id="46"/>
      <w:bookmarkEnd w:id="47"/>
    </w:p>
    <w:p w14:paraId="50071321">
      <w:pPr>
        <w:pStyle w:val="3"/>
        <w:spacing w:line="500" w:lineRule="exact"/>
        <w:ind w:right="-538" w:rightChars="-224" w:firstLine="482" w:firstLineChars="200"/>
        <w:jc w:val="both"/>
        <w:rPr>
          <w:rFonts w:ascii="宋体" w:hAnsi="宋体" w:eastAsia="宋体" w:cs="宋体"/>
          <w:b/>
          <w:color w:val="000000" w:themeColor="text1"/>
          <w:sz w:val="24"/>
          <w:szCs w:val="24"/>
          <w:highlight w:val="none"/>
          <w14:textFill>
            <w14:solidFill>
              <w14:schemeClr w14:val="tx1"/>
            </w14:solidFill>
          </w14:textFill>
        </w:rPr>
      </w:pPr>
      <w:bookmarkStart w:id="48" w:name="_Toc1966"/>
      <w:bookmarkStart w:id="49" w:name="_Toc4683"/>
      <w:r>
        <w:rPr>
          <w:rFonts w:hint="eastAsia" w:ascii="宋体" w:hAnsi="宋体" w:eastAsia="宋体" w:cs="宋体"/>
          <w:b/>
          <w:color w:val="000000" w:themeColor="text1"/>
          <w:sz w:val="24"/>
          <w:szCs w:val="24"/>
          <w:highlight w:val="none"/>
          <w14:textFill>
            <w14:solidFill>
              <w14:schemeClr w14:val="tx1"/>
            </w14:solidFill>
          </w14:textFill>
        </w:rPr>
        <w:t>五、开启</w:t>
      </w:r>
      <w:bookmarkEnd w:id="41"/>
      <w:bookmarkEnd w:id="42"/>
      <w:bookmarkEnd w:id="43"/>
      <w:bookmarkEnd w:id="44"/>
      <w:bookmarkEnd w:id="45"/>
      <w:bookmarkEnd w:id="48"/>
      <w:bookmarkEnd w:id="49"/>
    </w:p>
    <w:p w14:paraId="43B86CC9">
      <w:pPr>
        <w:widowControl w:val="0"/>
        <w:adjustRightInd/>
        <w:snapToGrid/>
        <w:spacing w:after="0" w:line="500" w:lineRule="exact"/>
        <w:ind w:right="-538" w:rightChars="-224" w:firstLine="480" w:firstLineChars="200"/>
        <w:rPr>
          <w:rFonts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时间：2026年</w:t>
      </w:r>
      <w:r>
        <w:rPr>
          <w:rFonts w:hint="eastAsia" w:ascii="宋体" w:hAnsi="宋体" w:eastAsia="宋体" w:cs="宋体"/>
          <w:color w:val="000000" w:themeColor="text1"/>
          <w:highlight w:val="none"/>
          <w:lang w:val="en-US" w:eastAsia="zh-CN"/>
          <w14:textFill>
            <w14:solidFill>
              <w14:schemeClr w14:val="tx1"/>
            </w14:solidFill>
          </w14:textFill>
        </w:rPr>
        <w:t>09</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eastAsia="宋体" w:cs="宋体"/>
          <w:color w:val="000000" w:themeColor="text1"/>
          <w:highlight w:val="none"/>
          <w:lang w:val="en-US" w:eastAsia="zh-CN"/>
          <w14:textFill>
            <w14:solidFill>
              <w14:schemeClr w14:val="tx1"/>
            </w14:solidFill>
          </w14:textFill>
        </w:rPr>
        <w:t>08</w:t>
      </w:r>
      <w:r>
        <w:rPr>
          <w:rFonts w:hint="eastAsia" w:ascii="宋体" w:hAnsi="宋体" w:eastAsia="宋体" w:cs="宋体"/>
          <w:color w:val="000000" w:themeColor="text1"/>
          <w:highlight w:val="none"/>
          <w14:textFill>
            <w14:solidFill>
              <w14:schemeClr w14:val="tx1"/>
            </w14:solidFill>
          </w14:textFill>
        </w:rPr>
        <w:t>日</w:t>
      </w:r>
      <w:r>
        <w:rPr>
          <w:rFonts w:hint="eastAsia" w:ascii="宋体" w:hAnsi="宋体" w:eastAsia="宋体" w:cs="宋体"/>
          <w:bCs/>
          <w:color w:val="000000" w:themeColor="text1"/>
          <w:highlight w:val="none"/>
          <w:lang w:val="en-US" w:eastAsia="zh-CN"/>
          <w14:textFill>
            <w14:solidFill>
              <w14:schemeClr w14:val="tx1"/>
            </w14:solidFill>
          </w14:textFill>
        </w:rPr>
        <w:t>09</w:t>
      </w:r>
      <w:r>
        <w:rPr>
          <w:rFonts w:hint="eastAsia" w:ascii="宋体" w:hAnsi="宋体" w:eastAsia="宋体" w:cs="宋体"/>
          <w:bCs/>
          <w:color w:val="000000" w:themeColor="text1"/>
          <w:highlight w:val="none"/>
          <w14:textFill>
            <w14:solidFill>
              <w14:schemeClr w14:val="tx1"/>
            </w14:solidFill>
          </w14:textFill>
        </w:rPr>
        <w:t>时</w:t>
      </w:r>
      <w:r>
        <w:rPr>
          <w:rFonts w:hint="eastAsia" w:ascii="宋体" w:hAnsi="宋体" w:eastAsia="宋体" w:cs="宋体"/>
          <w:bCs/>
          <w:color w:val="000000" w:themeColor="text1"/>
          <w:highlight w:val="none"/>
          <w:lang w:val="en-US" w:eastAsia="zh-CN"/>
          <w14:textFill>
            <w14:solidFill>
              <w14:schemeClr w14:val="tx1"/>
            </w14:solidFill>
          </w14:textFill>
        </w:rPr>
        <w:t>30</w:t>
      </w:r>
      <w:r>
        <w:rPr>
          <w:rFonts w:hint="eastAsia" w:ascii="宋体" w:hAnsi="宋体" w:eastAsia="宋体" w:cs="宋体"/>
          <w:bCs/>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14:textFill>
            <w14:solidFill>
              <w14:schemeClr w14:val="tx1"/>
            </w14:solidFill>
          </w14:textFill>
        </w:rPr>
        <w:t>（北京时间）</w:t>
      </w:r>
    </w:p>
    <w:p w14:paraId="2ADC6440">
      <w:pPr>
        <w:widowControl w:val="0"/>
        <w:adjustRightInd/>
        <w:snapToGrid/>
        <w:spacing w:after="0" w:line="500" w:lineRule="exact"/>
        <w:ind w:right="-538" w:rightChars="-224" w:firstLine="480" w:firstLineChars="200"/>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地点：</w:t>
      </w:r>
      <w:bookmarkStart w:id="50" w:name="_Toc35393634"/>
      <w:bookmarkStart w:id="51" w:name="_Toc46307763"/>
      <w:bookmarkStart w:id="52" w:name="_Toc28359094"/>
      <w:bookmarkStart w:id="53" w:name="_Toc35393803"/>
      <w:bookmarkStart w:id="54" w:name="_Toc28359017"/>
      <w:r>
        <w:rPr>
          <w:rFonts w:hint="eastAsia" w:ascii="宋体" w:hAnsi="宋体" w:eastAsia="宋体" w:cs="宋体"/>
          <w:color w:val="000000" w:themeColor="text1"/>
          <w:highlight w:val="none"/>
          <w14:textFill>
            <w14:solidFill>
              <w14:schemeClr w14:val="tx1"/>
            </w14:solidFill>
          </w14:textFill>
        </w:rPr>
        <w:t>广西政府采购云平台开标大厅。</w:t>
      </w:r>
    </w:p>
    <w:p w14:paraId="5429353C">
      <w:pPr>
        <w:widowControl w:val="0"/>
        <w:adjustRightInd/>
        <w:snapToGrid/>
        <w:spacing w:after="0" w:line="500" w:lineRule="exact"/>
        <w:ind w:right="-538" w:rightChars="-224" w:firstLine="482" w:firstLineChars="200"/>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六、公告期限</w:t>
      </w:r>
      <w:bookmarkEnd w:id="50"/>
      <w:bookmarkEnd w:id="51"/>
      <w:bookmarkEnd w:id="52"/>
      <w:bookmarkEnd w:id="53"/>
      <w:bookmarkEnd w:id="54"/>
    </w:p>
    <w:p w14:paraId="3AA532C8">
      <w:pPr>
        <w:widowControl w:val="0"/>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自本公告发布之日起5个工作日。</w:t>
      </w:r>
      <w:bookmarkStart w:id="55" w:name="_Toc35393635"/>
      <w:bookmarkStart w:id="56" w:name="_Toc35393804"/>
    </w:p>
    <w:p w14:paraId="12E4B207">
      <w:pPr>
        <w:pStyle w:val="3"/>
        <w:spacing w:line="500" w:lineRule="exact"/>
        <w:ind w:right="-538" w:rightChars="-224"/>
        <w:jc w:val="both"/>
        <w:rPr>
          <w:rFonts w:ascii="宋体" w:hAnsi="宋体" w:eastAsia="宋体" w:cs="宋体"/>
          <w:b/>
          <w:color w:val="000000" w:themeColor="text1"/>
          <w:sz w:val="24"/>
          <w:szCs w:val="24"/>
          <w:highlight w:val="none"/>
          <w14:textFill>
            <w14:solidFill>
              <w14:schemeClr w14:val="tx1"/>
            </w14:solidFill>
          </w14:textFill>
        </w:rPr>
      </w:pPr>
      <w:bookmarkStart w:id="57" w:name="_Toc46307764"/>
      <w:bookmarkStart w:id="58" w:name="_Toc19222"/>
      <w:bookmarkStart w:id="59" w:name="_Toc17593"/>
      <w:r>
        <w:rPr>
          <w:rFonts w:hint="eastAsia" w:ascii="宋体" w:hAnsi="宋体" w:eastAsia="宋体" w:cs="宋体"/>
          <w:b/>
          <w:color w:val="000000" w:themeColor="text1"/>
          <w:sz w:val="24"/>
          <w:szCs w:val="24"/>
          <w:highlight w:val="none"/>
          <w14:textFill>
            <w14:solidFill>
              <w14:schemeClr w14:val="tx1"/>
            </w14:solidFill>
          </w14:textFill>
        </w:rPr>
        <w:t>七、其他补充事宜</w:t>
      </w:r>
      <w:bookmarkEnd w:id="55"/>
      <w:bookmarkEnd w:id="56"/>
      <w:bookmarkEnd w:id="57"/>
      <w:bookmarkEnd w:id="58"/>
      <w:bookmarkEnd w:id="59"/>
      <w:bookmarkStart w:id="60" w:name="_Toc35393636"/>
      <w:bookmarkStart w:id="61" w:name="_Toc35393805"/>
      <w:bookmarkStart w:id="62" w:name="_Toc28359095"/>
      <w:bookmarkStart w:id="63" w:name="_Toc28359018"/>
    </w:p>
    <w:p w14:paraId="054F158F">
      <w:pPr>
        <w:widowControl w:val="0"/>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1、本项目需要落实的政府采购政策：</w:t>
      </w:r>
    </w:p>
    <w:p w14:paraId="1F645C26">
      <w:pPr>
        <w:widowControl w:val="0"/>
        <w:adjustRightInd/>
        <w:snapToGrid/>
        <w:spacing w:after="0" w:line="500" w:lineRule="exact"/>
        <w:ind w:left="440" w:right="-538" w:rightChars="-224"/>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（1）政府采购促进中小企业发展。</w:t>
      </w:r>
    </w:p>
    <w:p w14:paraId="21E653B3">
      <w:pPr>
        <w:widowControl w:val="0"/>
        <w:adjustRightInd/>
        <w:snapToGrid/>
        <w:spacing w:after="0" w:line="500" w:lineRule="exact"/>
        <w:ind w:left="440" w:right="-538" w:rightChars="-224"/>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（2）政府采购促进残疾人就业政策。</w:t>
      </w:r>
    </w:p>
    <w:p w14:paraId="4BD96FF2">
      <w:pPr>
        <w:widowControl w:val="0"/>
        <w:adjustRightInd/>
        <w:snapToGrid/>
        <w:spacing w:after="0" w:line="500" w:lineRule="exact"/>
        <w:ind w:left="440" w:right="-538" w:rightChars="-224"/>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（3）政府采购支持监狱企业发展。</w:t>
      </w:r>
    </w:p>
    <w:p w14:paraId="3E762EF8">
      <w:pPr>
        <w:widowControl w:val="0"/>
        <w:adjustRightInd/>
        <w:snapToGrid/>
        <w:spacing w:after="0" w:line="500" w:lineRule="exact"/>
        <w:ind w:left="440" w:right="-538" w:rightChars="-224"/>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(4)政府采购支持采用本国产品的政策。</w:t>
      </w:r>
    </w:p>
    <w:p w14:paraId="2BD271DF">
      <w:pPr>
        <w:widowControl w:val="0"/>
        <w:adjustRightInd/>
        <w:snapToGrid/>
        <w:spacing w:after="0" w:line="500" w:lineRule="exact"/>
        <w:ind w:right="-538" w:rightChars="-224" w:firstLine="48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2、网上公告媒体查询：</w:t>
      </w:r>
      <w:r>
        <w:rPr>
          <w:rFonts w:hint="eastAsia" w:ascii="宋体" w:hAnsi="宋体" w:cs="宋体"/>
          <w:color w:val="000000" w:themeColor="text1"/>
          <w:szCs w:val="21"/>
          <w:highlight w:val="none"/>
          <w14:textFill>
            <w14:solidFill>
              <w14:schemeClr w14:val="tx1"/>
            </w14:solidFill>
          </w14:textFill>
        </w:rPr>
        <w:t>中国政府采购网（http://www.ccgp.gov.cn）、 广西壮族自治区政府采购网（http://zfcg.gxzf.gov.cn ）、全国公共资源交易平台(广西·桂林)（http://ggzy.jgswj.gxzf.gov.cn/glggzy/）</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lang w:eastAsia="zh-CN"/>
          <w14:textFill>
            <w14:solidFill>
              <w14:schemeClr w14:val="tx1"/>
            </w14:solidFill>
          </w14:textFill>
        </w:rPr>
        <w:t>桂林市政府采购网（http://gl.zfcg.zcygov.cn/）。</w:t>
      </w:r>
    </w:p>
    <w:p w14:paraId="527FF58E">
      <w:pPr>
        <w:widowControl w:val="0"/>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3、在线磋商响应（电子磋商）说明</w:t>
      </w:r>
    </w:p>
    <w:p w14:paraId="1AF1D80F">
      <w:pPr>
        <w:widowControl w:val="0"/>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bookmarkStart w:id="64" w:name="_Toc20498"/>
      <w:bookmarkStart w:id="65" w:name="_Toc46307765"/>
      <w:bookmarkStart w:id="66" w:name="_Toc31288"/>
      <w:r>
        <w:rPr>
          <w:rFonts w:hint="eastAsia" w:ascii="宋体" w:hAnsi="宋体" w:eastAsia="宋体" w:cs="宋体"/>
          <w:color w:val="000000" w:themeColor="text1"/>
          <w:highlight w:val="none"/>
          <w14:textFill>
            <w14:solidFill>
              <w14:schemeClr w14:val="tx1"/>
            </w14:solidFill>
          </w14:textFill>
        </w:rPr>
        <w:t>（1）本项目通过广西政府采购云平台实行在线磋商响应（电子磋商），供应商需要先安装“政采云电子交易客户端”，并按照本竞争性磋商文件和广西政府采购云平台的要求，通过“政采云电子交易客户端”编制并加密响应文件。供应商未按规定编制并加密的响应文件，广西政府采购云平台将予以拒收。</w:t>
      </w:r>
    </w:p>
    <w:p w14:paraId="6B60BCCE">
      <w:pPr>
        <w:widowControl w:val="0"/>
        <w:adjustRightInd/>
        <w:snapToGrid/>
        <w:spacing w:after="0" w:line="500" w:lineRule="exact"/>
        <w:ind w:right="-538" w:rightChars="-224" w:firstLine="720" w:firstLineChars="3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政采云电子交易客户端”请自行前往广西政府采购网下载并安装（http://zfcg.gxzf.gov.cn/OfficeService/DownloadArea/2455918.html?utm=sites_group_front.b8b6c91.0.0.c51f9820a48111eabb9bcbdf01af125e）；电子磋商具体操作流程参考《政府采购项目电子交易管理操作指南-供应商》，指南可在“广西政府采购云平台（https://www.zcygov.cn/）服务中心-帮助文档-最新指南”下载；通过广西政府采购云平台参与在线磋商时如遇平台技术问题详询400-881-7190。</w:t>
      </w:r>
    </w:p>
    <w:p w14:paraId="26FACD69">
      <w:pPr>
        <w:widowControl w:val="0"/>
        <w:adjustRightInd/>
        <w:snapToGrid/>
        <w:spacing w:after="0" w:line="500" w:lineRule="exact"/>
        <w:ind w:right="-538" w:rightChars="-224" w:firstLine="439" w:firstLineChars="183"/>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为确保网上操作合法、有效和安全，供应商应当在响应文件递交截止时间前完成在“广西政府采购云平台”的身份认证，确保在电子磋商过程中能够对相关数据电文进行加密和使用电子签章。使用“政采云电子交易客户端”需要提前申领CA数字证书；</w:t>
      </w:r>
    </w:p>
    <w:p w14:paraId="0DA61FC6">
      <w:pPr>
        <w:widowControl w:val="0"/>
        <w:adjustRightInd/>
        <w:snapToGrid/>
        <w:spacing w:after="0" w:line="500" w:lineRule="exact"/>
        <w:ind w:right="-538" w:rightChars="-224" w:firstLine="439" w:firstLineChars="183"/>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供应商应当在响应文件递交截止时间前，将生成的“电子加密响应文件”上传递交至广西政府采购云平台。响应文件递交截止时间前可以补充、修改或者撤回电子响应文件。补充或者修改电子响应文件的，应当先行撤回原文件，补充、修改后重新传输递交，响应文件递交截止时间前未完成传输的，视为撤回响应文件。</w:t>
      </w:r>
    </w:p>
    <w:p w14:paraId="264B6D33">
      <w:pPr>
        <w:widowControl w:val="0"/>
        <w:adjustRightInd/>
        <w:snapToGrid/>
        <w:spacing w:after="0" w:line="500" w:lineRule="exact"/>
        <w:ind w:right="-538" w:rightChars="-224" w:firstLine="439" w:firstLineChars="183"/>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（4）响应文件提交截止时间后，代理机构向各供应商发出电子加密响应文件【开始解密】通知，代理机构发起解密通知后 30 分钟内，响应文件提交截止时间前已将生成的“电子加密响应文件”上传递交至广西政府采购云平台的供应商，必须在此时间段内登录广西政府采购云平台，用“项目采购-开标评标”功能完成电子响应文件的解密。供应商响应文件提交截止前通过“广西政府采购云平台”上传递交的“电子加密响应文件”无法正常解密的，请及时联系代理机构，代理机构与项目归属监督部门备案后告知供应商通过邮件传输递交电子备份文件，通过邮件传输递交电子备份文件也必须在发起解密通知后 30 分钟内完成，逾期未完成传输的，拒收其响应文件。</w:t>
      </w:r>
    </w:p>
    <w:p w14:paraId="1BAC428C">
      <w:pPr>
        <w:widowControl w:val="0"/>
        <w:adjustRightInd/>
        <w:snapToGrid/>
        <w:spacing w:after="0" w:line="500" w:lineRule="exact"/>
        <w:ind w:right="-538" w:rightChars="-224" w:firstLine="439" w:firstLineChars="183"/>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请各供应商在获取采购文件时，认真填写供应商名称、联系人、联系电话等相关信息。项目开标当天联系人要保持电话畅通，如因供应商自身原因导致无法响应文件无法正常解密、电子备份文件未能在规定的时间内传输递交、无法正常谈判（磋商）等，后果由供应商自行承担。</w:t>
      </w:r>
    </w:p>
    <w:p w14:paraId="35A97275">
      <w:pPr>
        <w:widowControl w:val="0"/>
        <w:adjustRightInd/>
        <w:snapToGrid/>
        <w:spacing w:after="0" w:line="500" w:lineRule="exact"/>
        <w:ind w:right="-538" w:rightChars="-224" w:firstLine="439" w:firstLineChars="183"/>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（6）本项目为全流程电子标项目，无需供应商来开标现场递交响应文件，供应商授权委托代理人可以不用到开标现场参加开标（截标）会。</w:t>
      </w:r>
    </w:p>
    <w:p w14:paraId="291EF734">
      <w:pPr>
        <w:widowControl w:val="0"/>
        <w:adjustRightInd/>
        <w:snapToGrid/>
        <w:spacing w:after="0" w:line="500" w:lineRule="exact"/>
        <w:ind w:right="-538" w:rightChars="-224" w:firstLine="439" w:firstLineChars="183"/>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（7）本项目需要磋商供应商代表在截标当天截标后，按磋商小组要求及时登录广西政府采购云平台等候在线磋商及提交最后报价。</w:t>
      </w:r>
    </w:p>
    <w:p w14:paraId="215FCCFC">
      <w:pPr>
        <w:widowControl w:val="0"/>
        <w:adjustRightInd/>
        <w:snapToGrid/>
        <w:spacing w:after="0" w:line="500" w:lineRule="exact"/>
        <w:ind w:right="-538" w:rightChars="-224" w:firstLine="439" w:firstLineChars="183"/>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采购项目为政采云全流程电子化操作，参与磋商的供应商需自备计算机和网络设备（设备需可视频通话和读取政采云CA数字证书），确保磋商过程顺利进行；因供应商自身设备或网络原因造成的一切后果，由供应商自行承担。</w:t>
      </w:r>
    </w:p>
    <w:p w14:paraId="2DEBBBBB">
      <w:pPr>
        <w:widowControl w:val="0"/>
        <w:adjustRightInd/>
        <w:snapToGrid/>
        <w:spacing w:after="0" w:line="500" w:lineRule="exact"/>
        <w:ind w:right="-538" w:rightChars="-224" w:firstLine="480" w:firstLineChars="200"/>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eastAsia="宋体" w:cs="宋体"/>
          <w:b w:val="0"/>
          <w:bCs w:val="0"/>
          <w:color w:val="000000" w:themeColor="text1"/>
          <w:highlight w:val="none"/>
          <w14:textFill>
            <w14:solidFill>
              <w14:schemeClr w14:val="tx1"/>
            </w14:solidFill>
          </w14:textFill>
        </w:rPr>
        <w:t>注：能够出现异常解密、递交电子备份文件的前提，是供应商已上传了标书且未能按时正常解密标书；系统生成标书时，生成两份，一个是磋商用的标书，一个是备份标书；提供的备份标书要跟上传的电子标书是同一份，否则系统也不支持进行异常解密。</w:t>
      </w:r>
    </w:p>
    <w:p w14:paraId="3B8C1816">
      <w:pPr>
        <w:widowControl w:val="0"/>
        <w:adjustRightInd/>
        <w:snapToGrid/>
        <w:spacing w:after="0" w:line="500" w:lineRule="exact"/>
        <w:ind w:right="-538" w:rightChars="-224" w:firstLine="480" w:firstLineChars="200"/>
        <w:rPr>
          <w:rFonts w:hint="eastAsia" w:ascii="宋体" w:hAnsi="宋体" w:eastAsia="宋体" w:cs="宋体"/>
          <w:b w:val="0"/>
          <w:bCs w:val="0"/>
          <w:color w:val="000000" w:themeColor="text1"/>
          <w:highlight w:val="none"/>
          <w14:textFill>
            <w14:solidFill>
              <w14:schemeClr w14:val="tx1"/>
            </w14:solidFill>
          </w14:textFill>
        </w:rPr>
      </w:pPr>
      <w:r>
        <w:rPr>
          <w:rFonts w:hint="eastAsia" w:ascii="宋体" w:hAnsi="宋体" w:eastAsia="宋体" w:cs="宋体"/>
          <w:b w:val="0"/>
          <w:bCs w:val="0"/>
          <w:color w:val="000000" w:themeColor="text1"/>
          <w:highlight w:val="none"/>
          <w:lang w:val="en-US" w:eastAsia="zh-CN"/>
          <w14:textFill>
            <w14:solidFill>
              <w14:schemeClr w14:val="tx1"/>
            </w14:solidFill>
          </w14:textFill>
        </w:rPr>
        <w:t>4</w:t>
      </w:r>
      <w:r>
        <w:rPr>
          <w:rFonts w:hint="eastAsia" w:ascii="宋体" w:hAnsi="宋体" w:eastAsia="宋体" w:cs="宋体"/>
          <w:b w:val="0"/>
          <w:bCs w:val="0"/>
          <w:color w:val="000000" w:themeColor="text1"/>
          <w:highlight w:val="none"/>
          <w14:textFill>
            <w14:solidFill>
              <w14:schemeClr w14:val="tx1"/>
            </w14:solidFill>
          </w14:textFill>
        </w:rPr>
        <w:t xml:space="preserve">.监督部门：桂林市政府采购监督管理办公室    联系电话：0773-2862142 </w:t>
      </w:r>
    </w:p>
    <w:p w14:paraId="35403576">
      <w:pPr>
        <w:widowControl w:val="0"/>
        <w:adjustRightInd/>
        <w:snapToGrid/>
        <w:spacing w:after="0" w:line="500" w:lineRule="exact"/>
        <w:ind w:right="-538" w:rightChars="-224" w:firstLine="480" w:firstLineChars="200"/>
        <w:rPr>
          <w:rFonts w:hint="eastAsia" w:ascii="宋体" w:hAnsi="宋体" w:eastAsia="宋体" w:cs="宋体"/>
          <w:b w:val="0"/>
          <w:bCs w:val="0"/>
          <w:color w:val="000000" w:themeColor="text1"/>
          <w:highlight w:val="none"/>
          <w14:textFill>
            <w14:solidFill>
              <w14:schemeClr w14:val="tx1"/>
            </w14:solidFill>
          </w14:textFill>
        </w:rPr>
      </w:pPr>
    </w:p>
    <w:p w14:paraId="5881E8F0">
      <w:pPr>
        <w:pStyle w:val="3"/>
        <w:spacing w:line="500" w:lineRule="exact"/>
        <w:ind w:right="-538" w:rightChars="-224"/>
        <w:jc w:val="both"/>
        <w:rPr>
          <w:rFonts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八、凡对本次采购提出询问，请按以下方式联系。</w:t>
      </w:r>
      <w:bookmarkEnd w:id="60"/>
      <w:bookmarkEnd w:id="61"/>
      <w:bookmarkEnd w:id="62"/>
      <w:bookmarkEnd w:id="63"/>
      <w:bookmarkEnd w:id="64"/>
      <w:bookmarkEnd w:id="65"/>
      <w:bookmarkEnd w:id="66"/>
    </w:p>
    <w:p w14:paraId="7677AEEA">
      <w:pPr>
        <w:widowControl w:val="0"/>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1.采购人信息</w:t>
      </w:r>
    </w:p>
    <w:p w14:paraId="2089BC60">
      <w:pPr>
        <w:widowControl w:val="0"/>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bookmarkStart w:id="67" w:name="_Toc28359009"/>
      <w:bookmarkStart w:id="68" w:name="_Toc28359086"/>
      <w:r>
        <w:rPr>
          <w:rFonts w:hint="eastAsia" w:ascii="宋体" w:hAnsi="宋体" w:eastAsia="宋体" w:cs="宋体"/>
          <w:color w:val="000000" w:themeColor="text1"/>
          <w:highlight w:val="none"/>
          <w14:textFill>
            <w14:solidFill>
              <w14:schemeClr w14:val="tx1"/>
            </w14:solidFill>
          </w14:textFill>
        </w:rPr>
        <w:t>名 称：广西桂林农业学校</w:t>
      </w:r>
    </w:p>
    <w:p w14:paraId="48C884BA">
      <w:pPr>
        <w:widowControl w:val="0"/>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地址：桂林市雁山区雁山镇346号</w:t>
      </w:r>
    </w:p>
    <w:p w14:paraId="6A55A185">
      <w:pPr>
        <w:widowControl w:val="0"/>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项目联系人</w:t>
      </w:r>
      <w:r>
        <w:rPr>
          <w:rFonts w:hint="eastAsia" w:hAnsi="宋体"/>
          <w:color w:val="000000" w:themeColor="text1"/>
          <w:highlight w:val="none"/>
          <w14:textFill>
            <w14:solidFill>
              <w14:schemeClr w14:val="tx1"/>
            </w14:solidFill>
          </w14:textFill>
        </w:rPr>
        <w:t>：</w:t>
      </w:r>
      <w:r>
        <w:rPr>
          <w:rFonts w:hint="eastAsia" w:hAnsi="宋体" w:eastAsia="宋体"/>
          <w:color w:val="000000" w:themeColor="text1"/>
          <w:highlight w:val="none"/>
          <w14:textFill>
            <w14:solidFill>
              <w14:schemeClr w14:val="tx1"/>
            </w14:solidFill>
          </w14:textFill>
        </w:rPr>
        <w:t xml:space="preserve"> </w:t>
      </w:r>
      <w:r>
        <w:rPr>
          <w:rFonts w:hAnsi="宋体" w:eastAsia="宋体"/>
          <w:color w:val="000000" w:themeColor="text1"/>
          <w:highlight w:val="none"/>
          <w14:textFill>
            <w14:solidFill>
              <w14:schemeClr w14:val="tx1"/>
            </w14:solidFill>
          </w14:textFill>
        </w:rPr>
        <w:t>汤凯麟</w:t>
      </w:r>
    </w:p>
    <w:p w14:paraId="5AD1DB46">
      <w:pPr>
        <w:widowControl w:val="0"/>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联系方式：</w:t>
      </w:r>
      <w:r>
        <w:rPr>
          <w:rFonts w:hint="eastAsia" w:ascii="宋体" w:hAnsi="宋体"/>
          <w:color w:val="000000" w:themeColor="text1"/>
          <w:szCs w:val="21"/>
          <w:highlight w:val="none"/>
          <w14:textFill>
            <w14:solidFill>
              <w14:schemeClr w14:val="tx1"/>
            </w14:solidFill>
          </w14:textFill>
        </w:rPr>
        <w:t>0773-</w:t>
      </w:r>
      <w:r>
        <w:rPr>
          <w:rFonts w:ascii="宋体" w:hAnsi="宋体" w:eastAsia="宋体"/>
          <w:color w:val="000000" w:themeColor="text1"/>
          <w:szCs w:val="21"/>
          <w:highlight w:val="none"/>
          <w14:textFill>
            <w14:solidFill>
              <w14:schemeClr w14:val="tx1"/>
            </w14:solidFill>
          </w14:textFill>
        </w:rPr>
        <w:t>3550004</w:t>
      </w:r>
      <w:r>
        <w:rPr>
          <w:rFonts w:hint="eastAsia" w:ascii="宋体" w:hAnsi="宋体"/>
          <w:color w:val="000000" w:themeColor="text1"/>
          <w:szCs w:val="21"/>
          <w:highlight w:val="none"/>
          <w14:textFill>
            <w14:solidFill>
              <w14:schemeClr w14:val="tx1"/>
            </w14:solidFill>
          </w14:textFill>
        </w:rPr>
        <w:t xml:space="preserve">        </w:t>
      </w:r>
    </w:p>
    <w:p w14:paraId="6E39616C">
      <w:pPr>
        <w:widowControl w:val="0"/>
        <w:numPr>
          <w:ilvl w:val="0"/>
          <w:numId w:val="3"/>
        </w:numPr>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采购代理机构信息</w:t>
      </w:r>
      <w:bookmarkEnd w:id="67"/>
      <w:bookmarkEnd w:id="68"/>
    </w:p>
    <w:p w14:paraId="69BBA879">
      <w:pPr>
        <w:widowControl w:val="0"/>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名 称：广西睿翼工程咨询有限公司</w:t>
      </w:r>
    </w:p>
    <w:p w14:paraId="189B27C2">
      <w:pPr>
        <w:widowControl w:val="0"/>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地　址：</w:t>
      </w:r>
      <w:bookmarkStart w:id="69" w:name="PO_3000001868_PM035"/>
      <w:r>
        <w:rPr>
          <w:rFonts w:hint="eastAsia" w:ascii="宋体" w:hAnsi="宋体" w:eastAsia="宋体" w:cs="宋体"/>
          <w:color w:val="000000" w:themeColor="text1"/>
          <w:highlight w:val="none"/>
          <w14:textFill>
            <w14:solidFill>
              <w14:schemeClr w14:val="tx1"/>
            </w14:solidFill>
          </w14:textFill>
        </w:rPr>
        <w:t>南宁市青秀区民族大道32号宜尚酒店酒店停车场内</w:t>
      </w:r>
      <w:bookmarkEnd w:id="69"/>
    </w:p>
    <w:p w14:paraId="1B66E01A">
      <w:pPr>
        <w:widowControl w:val="0"/>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项目联系人：</w:t>
      </w:r>
      <w:r>
        <w:rPr>
          <w:rFonts w:hint="eastAsia" w:ascii="宋体" w:hAnsi="宋体" w:cs="宋体"/>
          <w:color w:val="000000" w:themeColor="text1"/>
          <w:highlight w:val="none"/>
          <w14:textFill>
            <w14:solidFill>
              <w14:schemeClr w14:val="tx1"/>
            </w14:solidFill>
          </w14:textFill>
        </w:rPr>
        <w:t>万永凤、杨丰歌、谢育勤、覃柳桃、农成浩</w:t>
      </w:r>
    </w:p>
    <w:p w14:paraId="6ADD9C10">
      <w:pPr>
        <w:widowControl w:val="0"/>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联系方式：0771-5349283  </w:t>
      </w:r>
    </w:p>
    <w:p w14:paraId="7F85FB0E">
      <w:pPr>
        <w:widowControl w:val="0"/>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bookmarkStart w:id="70" w:name="_Toc28359087"/>
      <w:bookmarkStart w:id="71" w:name="_Toc28359010"/>
      <w:r>
        <w:rPr>
          <w:rFonts w:hint="eastAsia" w:ascii="宋体" w:hAnsi="宋体" w:eastAsia="宋体" w:cs="宋体"/>
          <w:color w:val="000000" w:themeColor="text1"/>
          <w:highlight w:val="none"/>
          <w14:textFill>
            <w14:solidFill>
              <w14:schemeClr w14:val="tx1"/>
            </w14:solidFill>
          </w14:textFill>
        </w:rPr>
        <w:t>3.项目联系方式</w:t>
      </w:r>
      <w:bookmarkEnd w:id="70"/>
      <w:bookmarkEnd w:id="71"/>
    </w:p>
    <w:p w14:paraId="6AD4E9A4">
      <w:pPr>
        <w:widowControl w:val="0"/>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项目联系人：</w:t>
      </w:r>
      <w:r>
        <w:rPr>
          <w:rFonts w:hint="eastAsia" w:ascii="宋体" w:hAnsi="宋体" w:cs="宋体"/>
          <w:color w:val="000000" w:themeColor="text1"/>
          <w:highlight w:val="none"/>
          <w14:textFill>
            <w14:solidFill>
              <w14:schemeClr w14:val="tx1"/>
            </w14:solidFill>
          </w14:textFill>
        </w:rPr>
        <w:t>万永凤、杨丰歌、谢育勤、覃柳桃、农成浩</w:t>
      </w:r>
    </w:p>
    <w:p w14:paraId="21DE6D67">
      <w:pPr>
        <w:widowControl w:val="0"/>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联系方式：0771-5349283  </w:t>
      </w:r>
    </w:p>
    <w:p w14:paraId="60442FB6">
      <w:pPr>
        <w:widowControl w:val="0"/>
        <w:adjustRightInd/>
        <w:snapToGrid/>
        <w:spacing w:after="0" w:line="500" w:lineRule="exact"/>
        <w:ind w:right="-538" w:rightChars="-224"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14:paraId="22E39B56">
      <w:pPr>
        <w:widowControl w:val="0"/>
        <w:adjustRightInd/>
        <w:snapToGrid/>
        <w:spacing w:after="0" w:line="480" w:lineRule="exact"/>
        <w:ind w:right="-538" w:rightChars="-224" w:firstLine="480" w:firstLineChars="200"/>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14:paraId="08B24EC7">
      <w:pPr>
        <w:pStyle w:val="2"/>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bookmarkStart w:id="72" w:name="_Toc8113"/>
    </w:p>
    <w:p w14:paraId="099AE8F5">
      <w:pPr>
        <w:pStyle w:val="2"/>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第二章  </w:t>
      </w:r>
      <w:bookmarkEnd w:id="4"/>
      <w:bookmarkEnd w:id="5"/>
      <w:bookmarkEnd w:id="6"/>
      <w:r>
        <w:rPr>
          <w:rFonts w:hint="eastAsia" w:ascii="宋体" w:hAnsi="宋体" w:eastAsia="宋体" w:cs="宋体"/>
          <w:color w:val="000000" w:themeColor="text1"/>
          <w:highlight w:val="none"/>
          <w14:textFill>
            <w14:solidFill>
              <w14:schemeClr w14:val="tx1"/>
            </w14:solidFill>
          </w14:textFill>
        </w:rPr>
        <w:t xml:space="preserve"> 供应商须知</w:t>
      </w:r>
      <w:bookmarkEnd w:id="72"/>
    </w:p>
    <w:p w14:paraId="2F93FC99">
      <w:pPr>
        <w:spacing w:after="0"/>
        <w:jc w:val="center"/>
        <w:rPr>
          <w:rFonts w:ascii="宋体" w:hAnsi="宋体" w:eastAsia="宋体" w:cs="宋体"/>
          <w:color w:val="000000" w:themeColor="text1"/>
          <w:highlight w:val="none"/>
          <w14:textFill>
            <w14:solidFill>
              <w14:schemeClr w14:val="tx1"/>
            </w14:solidFill>
          </w14:textFill>
        </w:rPr>
      </w:pPr>
    </w:p>
    <w:p w14:paraId="49694651">
      <w:pPr>
        <w:pStyle w:val="3"/>
        <w:spacing w:line="400" w:lineRule="exact"/>
        <w:ind w:firstLine="64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供应商须知前附表</w:t>
      </w:r>
    </w:p>
    <w:p w14:paraId="115E172D">
      <w:pPr>
        <w:spacing w:after="0"/>
        <w:jc w:val="center"/>
        <w:rPr>
          <w:rFonts w:ascii="宋体" w:hAnsi="宋体" w:eastAsia="宋体" w:cs="宋体"/>
          <w:color w:val="000000" w:themeColor="text1"/>
          <w:highlight w:val="none"/>
          <w14:textFill>
            <w14:solidFill>
              <w14:schemeClr w14:val="tx1"/>
            </w14:solidFill>
          </w14:textFill>
        </w:rPr>
      </w:pPr>
    </w:p>
    <w:tbl>
      <w:tblPr>
        <w:tblStyle w:val="45"/>
        <w:tblW w:w="95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14"/>
        <w:gridCol w:w="1760"/>
        <w:gridCol w:w="6725"/>
      </w:tblGrid>
      <w:tr w14:paraId="428F9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blHeader/>
        </w:trPr>
        <w:tc>
          <w:tcPr>
            <w:tcW w:w="1114" w:type="dxa"/>
            <w:vAlign w:val="center"/>
          </w:tcPr>
          <w:p w14:paraId="59523B6F">
            <w:pPr>
              <w:spacing w:after="0" w:line="420" w:lineRule="exact"/>
              <w:jc w:val="center"/>
              <w:rPr>
                <w:rFonts w:ascii="宋体" w:hAnsi="宋体" w:eastAsia="宋体" w:cs="宋体"/>
                <w:b/>
                <w:bCs/>
                <w:color w:val="000000" w:themeColor="text1"/>
                <w:highlight w:val="none"/>
                <w14:textFill>
                  <w14:solidFill>
                    <w14:schemeClr w14:val="tx1"/>
                  </w14:solidFill>
                </w14:textFill>
              </w:rPr>
            </w:pPr>
            <w:bookmarkStart w:id="73" w:name="_Toc246094909"/>
            <w:bookmarkStart w:id="74" w:name="_Toc31194"/>
            <w:bookmarkStart w:id="75" w:name="_Toc246095515"/>
            <w:bookmarkStart w:id="76" w:name="_Toc246095453"/>
            <w:r>
              <w:rPr>
                <w:rFonts w:hint="eastAsia" w:ascii="宋体" w:hAnsi="宋体" w:eastAsia="宋体" w:cs="宋体"/>
                <w:b/>
                <w:bCs/>
                <w:color w:val="000000" w:themeColor="text1"/>
                <w:highlight w:val="none"/>
                <w14:textFill>
                  <w14:solidFill>
                    <w14:schemeClr w14:val="tx1"/>
                  </w14:solidFill>
                </w14:textFill>
              </w:rPr>
              <w:t>条款号</w:t>
            </w:r>
          </w:p>
        </w:tc>
        <w:tc>
          <w:tcPr>
            <w:tcW w:w="1760" w:type="dxa"/>
            <w:vAlign w:val="center"/>
          </w:tcPr>
          <w:p w14:paraId="0FC8EB2D">
            <w:pPr>
              <w:spacing w:after="0" w:line="420" w:lineRule="exact"/>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条款名称</w:t>
            </w:r>
          </w:p>
        </w:tc>
        <w:tc>
          <w:tcPr>
            <w:tcW w:w="6725" w:type="dxa"/>
            <w:vAlign w:val="center"/>
          </w:tcPr>
          <w:p w14:paraId="673BCCD7">
            <w:pPr>
              <w:spacing w:after="0" w:line="420" w:lineRule="exact"/>
              <w:ind w:right="65" w:rightChars="27"/>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内容</w:t>
            </w:r>
          </w:p>
        </w:tc>
      </w:tr>
      <w:tr w14:paraId="3A915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14" w:type="dxa"/>
            <w:vAlign w:val="center"/>
          </w:tcPr>
          <w:p w14:paraId="652B7865">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1.1.2</w:t>
            </w:r>
          </w:p>
        </w:tc>
        <w:tc>
          <w:tcPr>
            <w:tcW w:w="1760" w:type="dxa"/>
            <w:vAlign w:val="center"/>
          </w:tcPr>
          <w:p w14:paraId="19E9D76F">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采购人</w:t>
            </w:r>
          </w:p>
        </w:tc>
        <w:tc>
          <w:tcPr>
            <w:tcW w:w="6725" w:type="dxa"/>
            <w:vAlign w:val="center"/>
          </w:tcPr>
          <w:p w14:paraId="03168261">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采购人：广西桂林农业学校</w:t>
            </w:r>
          </w:p>
          <w:p w14:paraId="641AD28B">
            <w:pPr>
              <w:spacing w:after="0" w:line="420" w:lineRule="exact"/>
              <w:rPr>
                <w:rFonts w:hAnsi="宋体" w:eastAsia="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地  址：桂林市雁山区雁山镇346号</w:t>
            </w:r>
          </w:p>
          <w:p w14:paraId="5BEF3ADE">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联系人：</w:t>
            </w:r>
            <w:r>
              <w:rPr>
                <w:rFonts w:hint="eastAsia" w:hAnsi="宋体" w:eastAsia="宋体"/>
                <w:color w:val="000000" w:themeColor="text1"/>
                <w:highlight w:val="none"/>
                <w14:textFill>
                  <w14:solidFill>
                    <w14:schemeClr w14:val="tx1"/>
                  </w14:solidFill>
                </w14:textFill>
              </w:rPr>
              <w:t xml:space="preserve"> 汤凯麟</w:t>
            </w:r>
          </w:p>
          <w:p w14:paraId="3DAD2D19">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联系方式：</w:t>
            </w:r>
            <w:r>
              <w:rPr>
                <w:rFonts w:hint="eastAsia" w:ascii="宋体" w:hAnsi="宋体"/>
                <w:color w:val="000000" w:themeColor="text1"/>
                <w:szCs w:val="21"/>
                <w:highlight w:val="none"/>
                <w14:textFill>
                  <w14:solidFill>
                    <w14:schemeClr w14:val="tx1"/>
                  </w14:solidFill>
                </w14:textFill>
              </w:rPr>
              <w:t>0773-</w:t>
            </w:r>
            <w:r>
              <w:rPr>
                <w:rFonts w:hint="eastAsia" w:ascii="宋体" w:hAnsi="宋体" w:eastAsia="宋体"/>
                <w:color w:val="000000" w:themeColor="text1"/>
                <w:szCs w:val="21"/>
                <w:highlight w:val="none"/>
                <w14:textFill>
                  <w14:solidFill>
                    <w14:schemeClr w14:val="tx1"/>
                  </w14:solidFill>
                </w14:textFill>
              </w:rPr>
              <w:t xml:space="preserve">3550004 </w:t>
            </w:r>
            <w:r>
              <w:rPr>
                <w:rFonts w:hint="eastAsia" w:ascii="宋体" w:hAnsi="宋体" w:eastAsia="宋体" w:cs="宋体"/>
                <w:color w:val="000000" w:themeColor="text1"/>
                <w:highlight w:val="none"/>
                <w14:textFill>
                  <w14:solidFill>
                    <w14:schemeClr w14:val="tx1"/>
                  </w14:solidFill>
                </w14:textFill>
              </w:rPr>
              <w:t xml:space="preserve">  </w:t>
            </w:r>
          </w:p>
        </w:tc>
      </w:tr>
      <w:tr w14:paraId="2FA27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114" w:type="dxa"/>
            <w:vAlign w:val="center"/>
          </w:tcPr>
          <w:p w14:paraId="774A06BE">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1.1.3</w:t>
            </w:r>
          </w:p>
        </w:tc>
        <w:tc>
          <w:tcPr>
            <w:tcW w:w="1760" w:type="dxa"/>
            <w:vAlign w:val="center"/>
          </w:tcPr>
          <w:p w14:paraId="576309BB">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采购代理机构</w:t>
            </w:r>
          </w:p>
        </w:tc>
        <w:tc>
          <w:tcPr>
            <w:tcW w:w="6725" w:type="dxa"/>
            <w:vAlign w:val="center"/>
          </w:tcPr>
          <w:p w14:paraId="43E53C7A">
            <w:pPr>
              <w:widowControl w:val="0"/>
              <w:adjustRightInd/>
              <w:snapToGrid/>
              <w:spacing w:after="0" w:line="500" w:lineRule="exact"/>
              <w:ind w:right="-538" w:rightChars="-224"/>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采购代理机构：广西睿翼工程咨询有限公司</w:t>
            </w:r>
          </w:p>
          <w:p w14:paraId="47CB4EF6">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地址：南宁市青秀区民族大道32号宜尚酒店酒店停车场内</w:t>
            </w:r>
          </w:p>
          <w:p w14:paraId="267D045B">
            <w:pPr>
              <w:widowControl w:val="0"/>
              <w:adjustRightInd/>
              <w:snapToGrid/>
              <w:spacing w:after="0" w:line="500" w:lineRule="exact"/>
              <w:ind w:right="-538" w:rightChars="-224"/>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项目联系人：</w:t>
            </w:r>
            <w:r>
              <w:rPr>
                <w:rFonts w:hint="eastAsia" w:ascii="宋体" w:hAnsi="宋体" w:cs="宋体"/>
                <w:color w:val="000000" w:themeColor="text1"/>
                <w:highlight w:val="none"/>
                <w14:textFill>
                  <w14:solidFill>
                    <w14:schemeClr w14:val="tx1"/>
                  </w14:solidFill>
                </w14:textFill>
              </w:rPr>
              <w:t>万永凤、杨丰歌、谢育勤、覃柳桃、农成浩</w:t>
            </w:r>
            <w:r>
              <w:rPr>
                <w:rFonts w:hint="eastAsia" w:ascii="宋体" w:hAnsi="宋体" w:eastAsia="宋体" w:cs="宋体"/>
                <w:color w:val="000000" w:themeColor="text1"/>
                <w:highlight w:val="none"/>
                <w14:textFill>
                  <w14:solidFill>
                    <w14:schemeClr w14:val="tx1"/>
                  </w14:solidFill>
                </w14:textFill>
              </w:rPr>
              <w:br w:type="textWrapping"/>
            </w:r>
            <w:r>
              <w:rPr>
                <w:rFonts w:hint="eastAsia" w:ascii="宋体" w:hAnsi="宋体" w:eastAsia="宋体" w:cs="宋体"/>
                <w:color w:val="000000" w:themeColor="text1"/>
                <w:highlight w:val="none"/>
                <w14:textFill>
                  <w14:solidFill>
                    <w14:schemeClr w14:val="tx1"/>
                  </w14:solidFill>
                </w14:textFill>
              </w:rPr>
              <w:t xml:space="preserve">联系方式：0771-5349283  </w:t>
            </w:r>
          </w:p>
        </w:tc>
      </w:tr>
      <w:tr w14:paraId="4FB6C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14" w:type="dxa"/>
            <w:vAlign w:val="center"/>
          </w:tcPr>
          <w:p w14:paraId="382F5AFF">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1.1.4</w:t>
            </w:r>
          </w:p>
        </w:tc>
        <w:tc>
          <w:tcPr>
            <w:tcW w:w="1760" w:type="dxa"/>
            <w:vAlign w:val="center"/>
          </w:tcPr>
          <w:p w14:paraId="4401F886">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项目名称</w:t>
            </w:r>
          </w:p>
        </w:tc>
        <w:tc>
          <w:tcPr>
            <w:tcW w:w="6725" w:type="dxa"/>
            <w:vAlign w:val="center"/>
          </w:tcPr>
          <w:p w14:paraId="6E796E8E">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“广西桂林农业学校智慧校园系统——智慧校园年服务+宿舍人脸识别门禁管理设备”项目</w:t>
            </w:r>
          </w:p>
        </w:tc>
      </w:tr>
      <w:tr w14:paraId="652E2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1114" w:type="dxa"/>
            <w:vAlign w:val="center"/>
          </w:tcPr>
          <w:p w14:paraId="7183A0E3">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1.1.5</w:t>
            </w:r>
          </w:p>
        </w:tc>
        <w:tc>
          <w:tcPr>
            <w:tcW w:w="1760" w:type="dxa"/>
            <w:vAlign w:val="center"/>
          </w:tcPr>
          <w:p w14:paraId="48623ED3">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项目编号</w:t>
            </w:r>
          </w:p>
        </w:tc>
        <w:tc>
          <w:tcPr>
            <w:tcW w:w="6725" w:type="dxa"/>
            <w:vAlign w:val="center"/>
          </w:tcPr>
          <w:p w14:paraId="376D4B48">
            <w:pPr>
              <w:spacing w:after="0" w:line="420" w:lineRule="exact"/>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GLZC2026-C3-990383-GXRY</w:t>
            </w:r>
          </w:p>
        </w:tc>
      </w:tr>
      <w:tr w14:paraId="5A611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trPr>
        <w:tc>
          <w:tcPr>
            <w:tcW w:w="1114" w:type="dxa"/>
            <w:vAlign w:val="center"/>
          </w:tcPr>
          <w:p w14:paraId="187F0B6C">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1.1.6</w:t>
            </w:r>
          </w:p>
        </w:tc>
        <w:tc>
          <w:tcPr>
            <w:tcW w:w="1760" w:type="dxa"/>
            <w:vAlign w:val="center"/>
          </w:tcPr>
          <w:p w14:paraId="43F15CC2">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采购预算</w:t>
            </w:r>
          </w:p>
        </w:tc>
        <w:tc>
          <w:tcPr>
            <w:tcW w:w="6725" w:type="dxa"/>
            <w:vAlign w:val="center"/>
          </w:tcPr>
          <w:p w14:paraId="2F361E3E">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本项目采购预算价为人民币86.4万元。</w:t>
            </w:r>
          </w:p>
        </w:tc>
      </w:tr>
      <w:tr w14:paraId="180FD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114" w:type="dxa"/>
            <w:vAlign w:val="center"/>
          </w:tcPr>
          <w:p w14:paraId="3CF63A02">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1.1.7</w:t>
            </w:r>
          </w:p>
        </w:tc>
        <w:tc>
          <w:tcPr>
            <w:tcW w:w="1760" w:type="dxa"/>
            <w:vAlign w:val="center"/>
          </w:tcPr>
          <w:p w14:paraId="155BE8A5">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资金来源</w:t>
            </w:r>
          </w:p>
        </w:tc>
        <w:tc>
          <w:tcPr>
            <w:tcW w:w="6725" w:type="dxa"/>
            <w:vAlign w:val="center"/>
          </w:tcPr>
          <w:p w14:paraId="69F1E70C">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财政资金</w:t>
            </w:r>
          </w:p>
        </w:tc>
      </w:tr>
      <w:tr w14:paraId="67CBD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trPr>
        <w:tc>
          <w:tcPr>
            <w:tcW w:w="1114" w:type="dxa"/>
            <w:vAlign w:val="center"/>
          </w:tcPr>
          <w:p w14:paraId="0323679E">
            <w:pPr>
              <w:pStyle w:val="23"/>
              <w:spacing w:line="420" w:lineRule="exact"/>
              <w:jc w:val="center"/>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1.1.8</w:t>
            </w:r>
          </w:p>
        </w:tc>
        <w:tc>
          <w:tcPr>
            <w:tcW w:w="1760" w:type="dxa"/>
            <w:vAlign w:val="center"/>
          </w:tcPr>
          <w:p w14:paraId="55A754E7">
            <w:pPr>
              <w:pStyle w:val="23"/>
              <w:spacing w:line="420" w:lineRule="exact"/>
              <w:jc w:val="center"/>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项目所属行业</w:t>
            </w:r>
          </w:p>
        </w:tc>
        <w:tc>
          <w:tcPr>
            <w:tcW w:w="6725" w:type="dxa"/>
            <w:vAlign w:val="center"/>
          </w:tcPr>
          <w:p w14:paraId="7CC784DA">
            <w:pPr>
              <w:pStyle w:val="23"/>
              <w:spacing w:line="420" w:lineRule="exact"/>
              <w:ind w:left="682" w:hanging="681" w:hangingChars="284"/>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软件和信息技术服务业</w:t>
            </w:r>
          </w:p>
        </w:tc>
      </w:tr>
      <w:tr w14:paraId="1E0BE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14" w:type="dxa"/>
            <w:vAlign w:val="center"/>
          </w:tcPr>
          <w:p w14:paraId="557446DB">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w:t>
            </w:r>
          </w:p>
        </w:tc>
        <w:tc>
          <w:tcPr>
            <w:tcW w:w="1760" w:type="dxa"/>
            <w:vAlign w:val="center"/>
          </w:tcPr>
          <w:p w14:paraId="72D7DDF6">
            <w:pPr>
              <w:widowControl w:val="0"/>
              <w:adjustRightInd/>
              <w:snapToGrid/>
              <w:spacing w:after="0" w:line="500" w:lineRule="exact"/>
              <w:ind w:right="-538" w:rightChars="-224"/>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供应商资格条件</w:t>
            </w:r>
          </w:p>
        </w:tc>
        <w:tc>
          <w:tcPr>
            <w:tcW w:w="6725" w:type="dxa"/>
            <w:vAlign w:val="center"/>
          </w:tcPr>
          <w:p w14:paraId="49F9CA31">
            <w:pPr>
              <w:widowControl w:val="0"/>
              <w:adjustRightInd/>
              <w:snapToGrid/>
              <w:spacing w:after="0" w:line="500" w:lineRule="exact"/>
              <w:ind w:right="-538" w:rightChars="-224"/>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1、满足《中华人民共和国政府采购法》第二十二条规定；</w:t>
            </w:r>
          </w:p>
          <w:p w14:paraId="48F637CD">
            <w:pPr>
              <w:widowControl w:val="0"/>
              <w:adjustRightInd/>
              <w:snapToGrid/>
              <w:spacing w:after="0" w:line="500" w:lineRule="exact"/>
              <w:ind w:right="29" w:rightChars="12"/>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2、落实政府采购政策需满足的资格要求：专门面向中小企业采购的项目（供应商应为中小微企业、监狱企业、残疾人福利性单位）</w:t>
            </w:r>
          </w:p>
          <w:p w14:paraId="54677326">
            <w:pPr>
              <w:widowControl w:val="0"/>
              <w:adjustRightInd/>
              <w:snapToGrid/>
              <w:spacing w:after="0" w:line="500" w:lineRule="exact"/>
              <w:ind w:right="29" w:rightChars="12"/>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3、本项目的特定资格要求：无。</w:t>
            </w:r>
          </w:p>
          <w:p w14:paraId="17679AA7">
            <w:pPr>
              <w:widowControl w:val="0"/>
              <w:adjustRightInd/>
              <w:snapToGrid/>
              <w:spacing w:after="0" w:line="500" w:lineRule="exact"/>
              <w:ind w:right="-538" w:rightChars="-224"/>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单位负责人为同一人或者存在直接控股、管理关系的不同供应商，不得参加同一合同项下的政府采购活动。除单一来源采购项目外，为采购项目提供规范编制或者项目管理、监理、检测等服务的供应商，不得再参加该采购项目的其他采购活动；</w:t>
            </w:r>
          </w:p>
          <w:p w14:paraId="0289097D">
            <w:pPr>
              <w:widowControl w:val="0"/>
              <w:adjustRightInd/>
              <w:snapToGrid/>
              <w:spacing w:after="0" w:line="500" w:lineRule="exact"/>
              <w:ind w:right="-538" w:rightChars="-224"/>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不得参与政府采购活动。</w:t>
            </w:r>
          </w:p>
          <w:p w14:paraId="76924AF2">
            <w:pPr>
              <w:widowControl w:val="0"/>
              <w:adjustRightInd/>
              <w:snapToGrid/>
              <w:spacing w:after="0" w:line="500" w:lineRule="exact"/>
              <w:ind w:right="-538" w:rightChars="-224"/>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6、本项目不接受未按公告要求获取采购文件的供应商进行磋商。</w:t>
            </w:r>
          </w:p>
        </w:tc>
      </w:tr>
      <w:tr w14:paraId="1A6C6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0" w:hRule="atLeast"/>
        </w:trPr>
        <w:tc>
          <w:tcPr>
            <w:tcW w:w="1114" w:type="dxa"/>
            <w:vAlign w:val="center"/>
          </w:tcPr>
          <w:p w14:paraId="6DC549D1">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1.5.2</w:t>
            </w:r>
          </w:p>
        </w:tc>
        <w:tc>
          <w:tcPr>
            <w:tcW w:w="1760" w:type="dxa"/>
            <w:vAlign w:val="center"/>
          </w:tcPr>
          <w:p w14:paraId="5D67B155">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采购代理服务费</w:t>
            </w:r>
          </w:p>
        </w:tc>
        <w:tc>
          <w:tcPr>
            <w:tcW w:w="6725" w:type="dxa"/>
            <w:vAlign w:val="center"/>
          </w:tcPr>
          <w:p w14:paraId="7B01C92F">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1、本项目采购代理服务费按下表规定的费率标准（服务），按采购预算金额采用差额定率累进法计算</w:t>
            </w:r>
            <w:r>
              <w:rPr>
                <w:rFonts w:hint="eastAsia" w:hAnsi="宋体" w:cs="宋体"/>
                <w:color w:val="000000" w:themeColor="text1"/>
                <w:highlight w:val="none"/>
                <w14:textFill>
                  <w14:solidFill>
                    <w14:schemeClr w14:val="tx1"/>
                  </w14:solidFill>
                </w14:textFill>
              </w:rPr>
              <w:t>收取</w:t>
            </w:r>
            <w:r>
              <w:rPr>
                <w:rFonts w:hint="eastAsia" w:ascii="宋体" w:hAnsi="宋体" w:eastAsia="宋体" w:cs="宋体"/>
                <w:color w:val="000000" w:themeColor="text1"/>
                <w:highlight w:val="none"/>
                <w14:textFill>
                  <w14:solidFill>
                    <w14:schemeClr w14:val="tx1"/>
                  </w14:solidFill>
                </w14:textFill>
              </w:rPr>
              <w:t>。成交人领取成交通知书前，应向采购代理机构一次付清采购代理服务费，否则，采购代理机构将视之为违约。</w:t>
            </w:r>
          </w:p>
          <w:p w14:paraId="10DD9909">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2、采购代理服务费收费标准：</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1"/>
              <w:gridCol w:w="1441"/>
              <w:gridCol w:w="1210"/>
              <w:gridCol w:w="1318"/>
            </w:tblGrid>
            <w:tr w14:paraId="6A7E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1" w:type="dxa"/>
                  <w:tcBorders>
                    <w:tl2br w:val="single" w:color="auto" w:sz="4" w:space="0"/>
                  </w:tcBorders>
                </w:tcPr>
                <w:p w14:paraId="4BC930D4">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费率</w:t>
                  </w:r>
                </w:p>
                <w:p w14:paraId="3759D585">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成交金额</w:t>
                  </w:r>
                </w:p>
              </w:tc>
              <w:tc>
                <w:tcPr>
                  <w:tcW w:w="1441" w:type="dxa"/>
                  <w:vAlign w:val="center"/>
                </w:tcPr>
                <w:p w14:paraId="05A45591">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货物招标</w:t>
                  </w:r>
                </w:p>
              </w:tc>
              <w:tc>
                <w:tcPr>
                  <w:tcW w:w="1210" w:type="dxa"/>
                  <w:vAlign w:val="center"/>
                </w:tcPr>
                <w:p w14:paraId="3DC412B5">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服务招标</w:t>
                  </w:r>
                </w:p>
              </w:tc>
              <w:tc>
                <w:tcPr>
                  <w:tcW w:w="1318" w:type="dxa"/>
                  <w:vAlign w:val="center"/>
                </w:tcPr>
                <w:p w14:paraId="62427689">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工程招标</w:t>
                  </w:r>
                </w:p>
              </w:tc>
            </w:tr>
            <w:tr w14:paraId="7CA6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1" w:type="dxa"/>
                </w:tcPr>
                <w:p w14:paraId="5B34F0BB">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100万元以下</w:t>
                  </w:r>
                </w:p>
              </w:tc>
              <w:tc>
                <w:tcPr>
                  <w:tcW w:w="1441" w:type="dxa"/>
                </w:tcPr>
                <w:p w14:paraId="2698CFCD">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1.5%</w:t>
                  </w:r>
                </w:p>
              </w:tc>
              <w:tc>
                <w:tcPr>
                  <w:tcW w:w="1210" w:type="dxa"/>
                </w:tcPr>
                <w:p w14:paraId="63D00FE1">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1.5%</w:t>
                  </w:r>
                </w:p>
              </w:tc>
              <w:tc>
                <w:tcPr>
                  <w:tcW w:w="1318" w:type="dxa"/>
                </w:tcPr>
                <w:p w14:paraId="7C4A3905">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1.0%</w:t>
                  </w:r>
                </w:p>
              </w:tc>
            </w:tr>
            <w:tr w14:paraId="00F3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1" w:type="dxa"/>
                </w:tcPr>
                <w:p w14:paraId="2F4D6A13">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100～500万元</w:t>
                  </w:r>
                </w:p>
              </w:tc>
              <w:tc>
                <w:tcPr>
                  <w:tcW w:w="1441" w:type="dxa"/>
                </w:tcPr>
                <w:p w14:paraId="62B54FF1">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w:t>
                  </w:r>
                </w:p>
              </w:tc>
              <w:tc>
                <w:tcPr>
                  <w:tcW w:w="1210" w:type="dxa"/>
                </w:tcPr>
                <w:p w14:paraId="223351BF">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0.8%</w:t>
                  </w:r>
                </w:p>
              </w:tc>
              <w:tc>
                <w:tcPr>
                  <w:tcW w:w="1318" w:type="dxa"/>
                </w:tcPr>
                <w:p w14:paraId="5DF43BD4">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0.7%</w:t>
                  </w:r>
                </w:p>
              </w:tc>
            </w:tr>
            <w:tr w14:paraId="1AB7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1" w:type="dxa"/>
                </w:tcPr>
                <w:p w14:paraId="318418C4">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500～1000万元</w:t>
                  </w:r>
                </w:p>
              </w:tc>
              <w:tc>
                <w:tcPr>
                  <w:tcW w:w="1441" w:type="dxa"/>
                </w:tcPr>
                <w:p w14:paraId="13DBF0D2">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0.8%</w:t>
                  </w:r>
                </w:p>
              </w:tc>
              <w:tc>
                <w:tcPr>
                  <w:tcW w:w="1210" w:type="dxa"/>
                </w:tcPr>
                <w:p w14:paraId="6C863447">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0.45%</w:t>
                  </w:r>
                </w:p>
              </w:tc>
              <w:tc>
                <w:tcPr>
                  <w:tcW w:w="1318" w:type="dxa"/>
                </w:tcPr>
                <w:p w14:paraId="7F48610B">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0.55%</w:t>
                  </w:r>
                </w:p>
              </w:tc>
            </w:tr>
            <w:tr w14:paraId="693D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1" w:type="dxa"/>
                </w:tcPr>
                <w:p w14:paraId="4ED176F4">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1000～5000万元</w:t>
                  </w:r>
                </w:p>
              </w:tc>
              <w:tc>
                <w:tcPr>
                  <w:tcW w:w="1441" w:type="dxa"/>
                </w:tcPr>
                <w:p w14:paraId="39850B12">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0.5%</w:t>
                  </w:r>
                </w:p>
              </w:tc>
              <w:tc>
                <w:tcPr>
                  <w:tcW w:w="1210" w:type="dxa"/>
                </w:tcPr>
                <w:p w14:paraId="487E0DD5">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0.25%</w:t>
                  </w:r>
                </w:p>
              </w:tc>
              <w:tc>
                <w:tcPr>
                  <w:tcW w:w="1318" w:type="dxa"/>
                </w:tcPr>
                <w:p w14:paraId="23E723BB">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0.35%</w:t>
                  </w:r>
                </w:p>
              </w:tc>
            </w:tr>
          </w:tbl>
          <w:p w14:paraId="0490E1D0">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p>
          <w:p w14:paraId="4389CFC2">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公司名称：广西睿翼工程咨询有限公司桂林分公司</w:t>
            </w:r>
          </w:p>
          <w:p w14:paraId="28C96EA8">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开户行：建设银行桂林分行 </w:t>
            </w:r>
          </w:p>
          <w:p w14:paraId="171D3919">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账号：45050163551400000564</w:t>
            </w:r>
          </w:p>
        </w:tc>
      </w:tr>
      <w:tr w14:paraId="5D06E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14" w:type="dxa"/>
            <w:vAlign w:val="center"/>
          </w:tcPr>
          <w:p w14:paraId="1FAB0378">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1.6.1</w:t>
            </w:r>
          </w:p>
        </w:tc>
        <w:tc>
          <w:tcPr>
            <w:tcW w:w="1760" w:type="dxa"/>
            <w:vAlign w:val="center"/>
          </w:tcPr>
          <w:p w14:paraId="78E4DDE9">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现场勘查</w:t>
            </w:r>
          </w:p>
        </w:tc>
        <w:tc>
          <w:tcPr>
            <w:tcW w:w="6725" w:type="dxa"/>
            <w:vAlign w:val="center"/>
          </w:tcPr>
          <w:p w14:paraId="65A79615">
            <w:pPr>
              <w:spacing w:after="0" w:line="4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☑不组织。由供应商自行决定是否勘察现场，建议供应商自行对项目现场和其周围环境进行现场勘查，以获取有关编制响应文件和签署实施项目合同所需的各种资料。</w:t>
            </w:r>
          </w:p>
        </w:tc>
      </w:tr>
      <w:tr w14:paraId="24D98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14" w:type="dxa"/>
            <w:vAlign w:val="center"/>
          </w:tcPr>
          <w:p w14:paraId="261B09F5">
            <w:pPr>
              <w:spacing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3.1.1</w:t>
            </w:r>
          </w:p>
        </w:tc>
        <w:tc>
          <w:tcPr>
            <w:tcW w:w="1760" w:type="dxa"/>
            <w:vAlign w:val="center"/>
          </w:tcPr>
          <w:p w14:paraId="6E99CC2D">
            <w:pPr>
              <w:spacing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竞争性响应文件组成内容</w:t>
            </w:r>
          </w:p>
        </w:tc>
        <w:tc>
          <w:tcPr>
            <w:tcW w:w="6725" w:type="dxa"/>
          </w:tcPr>
          <w:p w14:paraId="5E9DB91D">
            <w:pPr>
              <w:spacing w:after="0" w:line="420" w:lineRule="exact"/>
              <w:jc w:val="both"/>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本项目竞争性响应文件由以下价格文件、商务技术文件组成，具体要求如下：</w:t>
            </w:r>
          </w:p>
          <w:p w14:paraId="2CF8E85C">
            <w:pPr>
              <w:spacing w:after="0" w:line="420" w:lineRule="exact"/>
              <w:ind w:firstLine="482"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一、价格文件内容</w:t>
            </w:r>
            <w:r>
              <w:rPr>
                <w:rFonts w:hint="eastAsia" w:ascii="宋体" w:hAnsi="宋体" w:eastAsia="宋体" w:cs="宋体"/>
                <w:color w:val="000000" w:themeColor="text1"/>
                <w:highlight w:val="none"/>
                <w14:textFill>
                  <w14:solidFill>
                    <w14:schemeClr w14:val="tx1"/>
                  </w14:solidFill>
                </w14:textFill>
              </w:rPr>
              <w:t>（要求必须提供的文件应按要求提供，并按要求加盖供应商单位公章（签章），否则其磋商无效；非必须提供的文件，未加盖供应商单位公章（签章），评标时将不予认可）：</w:t>
            </w:r>
          </w:p>
          <w:p w14:paraId="51EF537F">
            <w:pPr>
              <w:spacing w:after="0" w:line="420" w:lineRule="exact"/>
              <w:ind w:firstLine="480"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（1）磋商报价表；（格式见附件，</w:t>
            </w:r>
            <w:r>
              <w:rPr>
                <w:rFonts w:hint="eastAsia" w:ascii="宋体" w:hAnsi="宋体" w:eastAsia="宋体" w:cs="宋体"/>
                <w:b/>
                <w:bCs/>
                <w:color w:val="000000" w:themeColor="text1"/>
                <w:highlight w:val="none"/>
                <w14:textFill>
                  <w14:solidFill>
                    <w14:schemeClr w14:val="tx1"/>
                  </w14:solidFill>
                </w14:textFill>
              </w:rPr>
              <w:t>必须提供</w:t>
            </w:r>
            <w:r>
              <w:rPr>
                <w:rFonts w:hint="eastAsia" w:ascii="宋体" w:hAnsi="宋体" w:eastAsia="宋体" w:cs="宋体"/>
                <w:color w:val="000000" w:themeColor="text1"/>
                <w:highlight w:val="none"/>
                <w14:textFill>
                  <w14:solidFill>
                    <w14:schemeClr w14:val="tx1"/>
                  </w14:solidFill>
                </w14:textFill>
              </w:rPr>
              <w:t>）</w:t>
            </w:r>
          </w:p>
          <w:p w14:paraId="68CAEC76">
            <w:pPr>
              <w:spacing w:after="0" w:line="420" w:lineRule="exact"/>
              <w:ind w:firstLine="480"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（2）供应商针对报价需要说明的其他文件和说明：（格式自拟）</w:t>
            </w:r>
          </w:p>
          <w:p w14:paraId="4E1A9031">
            <w:pPr>
              <w:spacing w:after="0" w:line="400" w:lineRule="exact"/>
              <w:ind w:firstLine="480" w:firstLineChars="200"/>
              <w:jc w:val="both"/>
              <w:rPr>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（3）符合政府采购政策价格扣除证明材料：</w:t>
            </w:r>
            <w:r>
              <w:rPr>
                <w:rFonts w:hint="eastAsia" w:ascii="宋体" w:hAnsi="宋体"/>
                <w:color w:val="000000" w:themeColor="text1"/>
                <w:szCs w:val="21"/>
                <w:highlight w:val="none"/>
                <w14:textFill>
                  <w14:solidFill>
                    <w14:schemeClr w14:val="tx1"/>
                  </w14:solidFill>
                </w14:textFill>
              </w:rPr>
              <w:t>《关于符合本国产品标准的声明函》或者财政部会同有关部门规定的有关证明文件；（供应商根据自身响应情况出具，</w:t>
            </w:r>
            <w:r>
              <w:rPr>
                <w:rFonts w:hint="eastAsia" w:ascii="宋体" w:hAnsi="宋体" w:cs="宋体"/>
                <w:color w:val="000000" w:themeColor="text1"/>
                <w:szCs w:val="21"/>
                <w:highlight w:val="none"/>
                <w14:textFill>
                  <w14:solidFill>
                    <w14:schemeClr w14:val="tx1"/>
                  </w14:solidFill>
                </w14:textFill>
              </w:rPr>
              <w:t>如有请提供</w:t>
            </w:r>
            <w:r>
              <w:rPr>
                <w:rFonts w:hint="eastAsia" w:ascii="宋体" w:hAnsi="宋体"/>
                <w:color w:val="000000" w:themeColor="text1"/>
                <w:szCs w:val="21"/>
                <w:highlight w:val="none"/>
                <w14:textFill>
                  <w14:solidFill>
                    <w14:schemeClr w14:val="tx1"/>
                  </w14:solidFill>
                </w14:textFill>
              </w:rPr>
              <w:t>）</w:t>
            </w:r>
          </w:p>
          <w:p w14:paraId="4C9A8AC1">
            <w:pPr>
              <w:spacing w:after="0" w:line="420" w:lineRule="exact"/>
              <w:ind w:firstLine="482"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二、商务技术文件（内容包含资格审查资料、商务文件、技术文件）</w:t>
            </w:r>
            <w:r>
              <w:rPr>
                <w:rFonts w:hint="eastAsia" w:ascii="宋体" w:hAnsi="宋体" w:eastAsia="宋体" w:cs="宋体"/>
                <w:color w:val="000000" w:themeColor="text1"/>
                <w:highlight w:val="none"/>
                <w14:textFill>
                  <w14:solidFill>
                    <w14:schemeClr w14:val="tx1"/>
                  </w14:solidFill>
                </w14:textFill>
              </w:rPr>
              <w:t>（要求必须提供的文件应按要求提供，应按要求加盖供应商单位公章（签章），否则评标时将不予认可。第三章“项目采购需求”要求必须提供的文件，如未提供，磋商小组有权拒绝其响应文件。</w:t>
            </w:r>
            <w:r>
              <w:rPr>
                <w:rFonts w:hint="eastAsia" w:ascii="宋体" w:hAnsi="宋体" w:eastAsia="宋体" w:cs="宋体"/>
                <w:b/>
                <w:color w:val="000000" w:themeColor="text1"/>
                <w:highlight w:val="none"/>
                <w14:textFill>
                  <w14:solidFill>
                    <w14:schemeClr w14:val="tx1"/>
                  </w14:solidFill>
                </w14:textFill>
              </w:rPr>
              <w:t>供应商所提供的材料不完整或模糊不清以致关键信息无法辨认的，磋商小组有权认定该材料无效。其他如有请提供</w:t>
            </w:r>
            <w:r>
              <w:rPr>
                <w:rFonts w:hint="eastAsia" w:ascii="宋体" w:hAnsi="宋体" w:eastAsia="宋体" w:cs="宋体"/>
                <w:color w:val="000000" w:themeColor="text1"/>
                <w:highlight w:val="none"/>
                <w14:textFill>
                  <w14:solidFill>
                    <w14:schemeClr w14:val="tx1"/>
                  </w14:solidFill>
                </w14:textFill>
              </w:rPr>
              <w:t>）：</w:t>
            </w:r>
          </w:p>
          <w:p w14:paraId="795FC302">
            <w:pPr>
              <w:spacing w:after="0" w:line="420" w:lineRule="exact"/>
              <w:ind w:firstLine="482" w:firstLineChars="200"/>
              <w:jc w:val="both"/>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（一）资格审查资料</w:t>
            </w:r>
          </w:p>
          <w:p w14:paraId="72656855">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1.磋商声明书；</w:t>
            </w:r>
            <w:r>
              <w:rPr>
                <w:rFonts w:hint="eastAsia" w:ascii="宋体" w:hAnsi="宋体" w:eastAsia="宋体" w:cs="宋体"/>
                <w:b/>
                <w:bCs/>
                <w:color w:val="000000" w:themeColor="text1"/>
                <w:highlight w:val="none"/>
                <w14:textFill>
                  <w14:solidFill>
                    <w14:schemeClr w14:val="tx1"/>
                  </w14:solidFill>
                </w14:textFill>
              </w:rPr>
              <w:t>(必须提供)</w:t>
            </w:r>
          </w:p>
          <w:p w14:paraId="305FDB56">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2.供应商有效的“营业执照”或“事业单位法人证书”副本复印件；</w:t>
            </w:r>
            <w:r>
              <w:rPr>
                <w:rFonts w:hint="eastAsia" w:ascii="宋体" w:hAnsi="宋体" w:eastAsia="宋体" w:cs="宋体"/>
                <w:b/>
                <w:bCs/>
                <w:color w:val="000000" w:themeColor="text1"/>
                <w:highlight w:val="none"/>
                <w14:textFill>
                  <w14:solidFill>
                    <w14:schemeClr w14:val="tx1"/>
                  </w14:solidFill>
                </w14:textFill>
              </w:rPr>
              <w:t>(必须提供)</w:t>
            </w:r>
          </w:p>
          <w:p w14:paraId="55C8F8E7">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供应商提交响应文件截止之日前近半年内任意一个月的依法缴纳税费或依法免缴税费（包括无纳税记录或零报税）的证明（新成立的且不足三个月的企业按实际提供），证明材料可以是：银行已缴纳税费凭证复印件或第三方有效的相关业务托缴凭证或其他有效证明，或供应商所在地税务部门出具的有效证明（复印件）；</w:t>
            </w:r>
            <w:r>
              <w:rPr>
                <w:rFonts w:hint="eastAsia" w:ascii="宋体" w:hAnsi="宋体" w:eastAsia="宋体" w:cs="宋体"/>
                <w:b/>
                <w:bCs/>
                <w:color w:val="000000" w:themeColor="text1"/>
                <w:highlight w:val="none"/>
                <w14:textFill>
                  <w14:solidFill>
                    <w14:schemeClr w14:val="tx1"/>
                  </w14:solidFill>
                </w14:textFill>
              </w:rPr>
              <w:t>（必须提供）</w:t>
            </w:r>
          </w:p>
          <w:p w14:paraId="1DC2ACF8">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供应商提交响应文件截止之日前近半年内任意一个月的依法缴纳社会保险费或依法免缴社保费的相关证明（新成立的且不足三个月的企业按实际提供），证明材料可以是：银行已缴纳社会保险费凭证复印件或第三方有效的相关业务托缴凭证或其他有效证明；不需要缴纳社会保险金的应提供供应商所在地有关行政主管部门出具相应的文件证明（复印件）；</w:t>
            </w:r>
            <w:r>
              <w:rPr>
                <w:rFonts w:hint="eastAsia" w:ascii="宋体" w:hAnsi="宋体" w:eastAsia="宋体" w:cs="宋体"/>
                <w:b/>
                <w:bCs/>
                <w:color w:val="000000" w:themeColor="text1"/>
                <w:highlight w:val="none"/>
                <w14:textFill>
                  <w14:solidFill>
                    <w14:schemeClr w14:val="tx1"/>
                  </w14:solidFill>
                </w14:textFill>
              </w:rPr>
              <w:t>（必须提供）</w:t>
            </w:r>
          </w:p>
          <w:p w14:paraId="1471CD3A">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供应商经第三方审计的2025年度的财务报表（财务报表至少包含资产负债表、利润表、现金流量表及其附注、加盖会计师事务所公章页）复印件（新成立的公司提供公司成立日之后次月起到响应文件递交截止前一个月的财务报表复印件）或提交响应文件截止之日前半年内内供应商基本开户银行出具的资信证明（仅提供银行出具的存款证明不能作为其银行资信证明）复印件；</w:t>
            </w:r>
            <w:r>
              <w:rPr>
                <w:rFonts w:hint="eastAsia" w:ascii="宋体" w:hAnsi="宋体" w:eastAsia="宋体" w:cs="宋体"/>
                <w:b/>
                <w:bCs/>
                <w:color w:val="000000" w:themeColor="text1"/>
                <w:highlight w:val="none"/>
                <w14:textFill>
                  <w14:solidFill>
                    <w14:schemeClr w14:val="tx1"/>
                  </w14:solidFill>
                </w14:textFill>
              </w:rPr>
              <w:t xml:space="preserve"> (必须提供)</w:t>
            </w:r>
          </w:p>
          <w:p w14:paraId="42A95B60">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6.供应商具备履行合同所必需的设备和专业技术服务能力的承诺书；（格式见附件，</w:t>
            </w:r>
            <w:r>
              <w:rPr>
                <w:rFonts w:hint="eastAsia" w:ascii="宋体" w:hAnsi="宋体" w:eastAsia="宋体" w:cs="宋体"/>
                <w:b/>
                <w:bCs/>
                <w:color w:val="000000" w:themeColor="text1"/>
                <w:highlight w:val="none"/>
                <w14:textFill>
                  <w14:solidFill>
                    <w14:schemeClr w14:val="tx1"/>
                  </w14:solidFill>
                </w14:textFill>
              </w:rPr>
              <w:t>必须提供</w:t>
            </w:r>
            <w:r>
              <w:rPr>
                <w:rFonts w:hint="eastAsia" w:ascii="宋体" w:hAnsi="宋体" w:eastAsia="宋体" w:cs="宋体"/>
                <w:color w:val="000000" w:themeColor="text1"/>
                <w:highlight w:val="none"/>
                <w14:textFill>
                  <w14:solidFill>
                    <w14:schemeClr w14:val="tx1"/>
                  </w14:solidFill>
                </w14:textFill>
              </w:rPr>
              <w:t>；如有，请附相关证明材料）</w:t>
            </w:r>
          </w:p>
          <w:p w14:paraId="0DC9430D">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7.供应商参加政府采购活动前三年内在经营活动中没有重大违法记录的书面声明原件；（格式见附件，</w:t>
            </w:r>
            <w:r>
              <w:rPr>
                <w:rFonts w:hint="eastAsia" w:ascii="宋体" w:hAnsi="宋体" w:eastAsia="宋体" w:cs="宋体"/>
                <w:b/>
                <w:bCs/>
                <w:color w:val="000000" w:themeColor="text1"/>
                <w:highlight w:val="none"/>
                <w14:textFill>
                  <w14:solidFill>
                    <w14:schemeClr w14:val="tx1"/>
                  </w14:solidFill>
                </w14:textFill>
              </w:rPr>
              <w:t>必须提供</w:t>
            </w:r>
            <w:r>
              <w:rPr>
                <w:rFonts w:hint="eastAsia" w:ascii="宋体" w:hAnsi="宋体" w:eastAsia="宋体" w:cs="宋体"/>
                <w:color w:val="000000" w:themeColor="text1"/>
                <w:highlight w:val="none"/>
                <w14:textFill>
                  <w14:solidFill>
                    <w14:schemeClr w14:val="tx1"/>
                  </w14:solidFill>
                </w14:textFill>
              </w:rPr>
              <w:t>）</w:t>
            </w:r>
          </w:p>
          <w:p w14:paraId="35612529">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8.供应商控股及管理关系情况申报表；（格式见附件，</w:t>
            </w:r>
            <w:r>
              <w:rPr>
                <w:rFonts w:hint="eastAsia" w:ascii="宋体" w:hAnsi="宋体" w:eastAsia="宋体" w:cs="宋体"/>
                <w:b/>
                <w:bCs/>
                <w:color w:val="000000" w:themeColor="text1"/>
                <w:highlight w:val="none"/>
                <w14:textFill>
                  <w14:solidFill>
                    <w14:schemeClr w14:val="tx1"/>
                  </w14:solidFill>
                </w14:textFill>
              </w:rPr>
              <w:t>必须提供</w:t>
            </w:r>
            <w:r>
              <w:rPr>
                <w:rFonts w:hint="eastAsia" w:ascii="宋体" w:hAnsi="宋体" w:eastAsia="宋体" w:cs="宋体"/>
                <w:color w:val="000000" w:themeColor="text1"/>
                <w:highlight w:val="none"/>
                <w14:textFill>
                  <w14:solidFill>
                    <w14:schemeClr w14:val="tx1"/>
                  </w14:solidFill>
                </w14:textFill>
              </w:rPr>
              <w:t>）</w:t>
            </w:r>
          </w:p>
          <w:p w14:paraId="79CB2101">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 供应商如属于</w:t>
            </w:r>
            <w:r>
              <w:rPr>
                <w:rFonts w:hint="eastAsia" w:ascii="宋体" w:hAnsi="宋体" w:eastAsia="宋体" w:cs="宋体"/>
                <w:color w:val="000000" w:themeColor="text1"/>
                <w:highlight w:val="none"/>
                <w:lang w:val="en-US" w:eastAsia="zh-CN"/>
                <w14:textFill>
                  <w14:solidFill>
                    <w14:schemeClr w14:val="tx1"/>
                  </w14:solidFill>
                </w14:textFill>
              </w:rPr>
              <w:t>中型、</w:t>
            </w:r>
            <w:r>
              <w:rPr>
                <w:rFonts w:hint="eastAsia" w:ascii="宋体" w:hAnsi="宋体" w:eastAsia="宋体" w:cs="宋体"/>
                <w:color w:val="000000" w:themeColor="text1"/>
                <w:highlight w:val="none"/>
                <w14:textFill>
                  <w14:solidFill>
                    <w14:schemeClr w14:val="tx1"/>
                  </w14:solidFill>
                </w14:textFill>
              </w:rPr>
              <w:t>小型、微型企业的，请提供《中小企业声明函》(格式见附件)；属监狱企业的，请提供由省级以上监狱管理局、戒毒管理局（含新疆生产建设兵团）出具的属于监狱企业的证明文件；属于残疾人福利性单位的，请提供《残疾人福利性单位声明函》(格式见附件）；（格式见附件，</w:t>
            </w:r>
            <w:r>
              <w:rPr>
                <w:rFonts w:hint="eastAsia" w:ascii="宋体" w:hAnsi="宋体" w:eastAsia="宋体" w:cs="宋体"/>
                <w:b/>
                <w:bCs/>
                <w:color w:val="000000" w:themeColor="text1"/>
                <w:highlight w:val="none"/>
                <w14:textFill>
                  <w14:solidFill>
                    <w14:schemeClr w14:val="tx1"/>
                  </w14:solidFill>
                </w14:textFill>
              </w:rPr>
              <w:t>必须提供</w:t>
            </w:r>
            <w:r>
              <w:rPr>
                <w:rFonts w:hint="eastAsia" w:ascii="宋体" w:hAnsi="宋体" w:eastAsia="宋体" w:cs="宋体"/>
                <w:color w:val="000000" w:themeColor="text1"/>
                <w:highlight w:val="none"/>
                <w14:textFill>
                  <w14:solidFill>
                    <w14:schemeClr w14:val="tx1"/>
                  </w14:solidFill>
                </w14:textFill>
              </w:rPr>
              <w:t>）</w:t>
            </w:r>
          </w:p>
          <w:p w14:paraId="6702933B">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10.采购文件要求的其他资格证明材料。</w:t>
            </w:r>
          </w:p>
          <w:p w14:paraId="52D534D4">
            <w:pPr>
              <w:spacing w:after="0" w:line="420" w:lineRule="exact"/>
              <w:ind w:firstLine="482"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（二）商务文件</w:t>
            </w:r>
          </w:p>
          <w:p w14:paraId="1FFB6A4A">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1.磋商书；（格式见附件，</w:t>
            </w:r>
            <w:r>
              <w:rPr>
                <w:rFonts w:hint="eastAsia" w:ascii="宋体" w:hAnsi="宋体" w:eastAsia="宋体" w:cs="宋体"/>
                <w:b/>
                <w:bCs/>
                <w:color w:val="000000" w:themeColor="text1"/>
                <w:highlight w:val="none"/>
                <w14:textFill>
                  <w14:solidFill>
                    <w14:schemeClr w14:val="tx1"/>
                  </w14:solidFill>
                </w14:textFill>
              </w:rPr>
              <w:t>必须提供</w:t>
            </w:r>
            <w:r>
              <w:rPr>
                <w:rFonts w:hint="eastAsia" w:ascii="宋体" w:hAnsi="宋体" w:eastAsia="宋体" w:cs="宋体"/>
                <w:color w:val="000000" w:themeColor="text1"/>
                <w:highlight w:val="none"/>
                <w14:textFill>
                  <w14:solidFill>
                    <w14:schemeClr w14:val="tx1"/>
                  </w14:solidFill>
                </w14:textFill>
              </w:rPr>
              <w:t>）</w:t>
            </w:r>
          </w:p>
          <w:p w14:paraId="1192A338">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2.商务响应表；（格式见附件，</w:t>
            </w:r>
            <w:r>
              <w:rPr>
                <w:rFonts w:hint="eastAsia" w:ascii="宋体" w:hAnsi="宋体" w:eastAsia="宋体" w:cs="宋体"/>
                <w:b/>
                <w:bCs/>
                <w:color w:val="000000" w:themeColor="text1"/>
                <w:highlight w:val="none"/>
                <w14:textFill>
                  <w14:solidFill>
                    <w14:schemeClr w14:val="tx1"/>
                  </w14:solidFill>
                </w14:textFill>
              </w:rPr>
              <w:t>必须提供</w:t>
            </w:r>
            <w:r>
              <w:rPr>
                <w:rFonts w:hint="eastAsia" w:ascii="宋体" w:hAnsi="宋体" w:eastAsia="宋体" w:cs="宋体"/>
                <w:color w:val="000000" w:themeColor="text1"/>
                <w:highlight w:val="none"/>
                <w14:textFill>
                  <w14:solidFill>
                    <w14:schemeClr w14:val="tx1"/>
                  </w14:solidFill>
                </w14:textFill>
              </w:rPr>
              <w:t>）</w:t>
            </w:r>
          </w:p>
          <w:p w14:paraId="0C390541">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3.法定代表人身份证明书原件及法定代表人有效身份证正反面复印件；（格式见附件，</w:t>
            </w:r>
            <w:r>
              <w:rPr>
                <w:rFonts w:hint="eastAsia" w:ascii="宋体" w:hAnsi="宋体" w:eastAsia="宋体" w:cs="宋体"/>
                <w:b/>
                <w:bCs/>
                <w:color w:val="000000" w:themeColor="text1"/>
                <w:highlight w:val="none"/>
                <w14:textFill>
                  <w14:solidFill>
                    <w14:schemeClr w14:val="tx1"/>
                  </w14:solidFill>
                </w14:textFill>
              </w:rPr>
              <w:t>必须提供</w:t>
            </w:r>
            <w:r>
              <w:rPr>
                <w:rFonts w:hint="eastAsia" w:ascii="宋体" w:hAnsi="宋体" w:eastAsia="宋体" w:cs="宋体"/>
                <w:color w:val="000000" w:themeColor="text1"/>
                <w:highlight w:val="none"/>
                <w14:textFill>
                  <w14:solidFill>
                    <w14:schemeClr w14:val="tx1"/>
                  </w14:solidFill>
                </w14:textFill>
              </w:rPr>
              <w:t>）</w:t>
            </w:r>
          </w:p>
          <w:p w14:paraId="78BEAB07">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4.法定代表人授权委托书原件及被授权人有效身份证正反面复印件；（格式见附件，</w:t>
            </w:r>
            <w:r>
              <w:rPr>
                <w:rFonts w:hint="eastAsia" w:ascii="宋体" w:hAnsi="宋体" w:eastAsia="宋体" w:cs="宋体"/>
                <w:b/>
                <w:bCs/>
                <w:color w:val="000000" w:themeColor="text1"/>
                <w:highlight w:val="none"/>
                <w14:textFill>
                  <w14:solidFill>
                    <w14:schemeClr w14:val="tx1"/>
                  </w14:solidFill>
                </w14:textFill>
              </w:rPr>
              <w:t>委托时必须提供</w:t>
            </w:r>
            <w:r>
              <w:rPr>
                <w:rFonts w:hint="eastAsia" w:ascii="宋体" w:hAnsi="宋体" w:eastAsia="宋体" w:cs="宋体"/>
                <w:color w:val="000000" w:themeColor="text1"/>
                <w:highlight w:val="none"/>
                <w14:textFill>
                  <w14:solidFill>
                    <w14:schemeClr w14:val="tx1"/>
                  </w14:solidFill>
                </w14:textFill>
              </w:rPr>
              <w:t>，否则磋商无效）</w:t>
            </w:r>
          </w:p>
          <w:p w14:paraId="4A6E7746">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5.供应商类似成功案例的业绩证明［以成交（成交）通知书或合同协议书复印件为准］；（格式见附件）</w:t>
            </w:r>
          </w:p>
          <w:p w14:paraId="775B047D">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6.供应商认为需要提供的有关资料。</w:t>
            </w:r>
          </w:p>
          <w:p w14:paraId="599CFE2C">
            <w:pPr>
              <w:spacing w:after="0" w:line="420" w:lineRule="exact"/>
              <w:ind w:left="240"/>
              <w:jc w:val="both"/>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（三）技术文件</w:t>
            </w:r>
          </w:p>
          <w:p w14:paraId="38C11547">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1.项目服务方案；（可按评标办法及评分标准要求编制，格式自拟）</w:t>
            </w:r>
          </w:p>
          <w:p w14:paraId="369B4FBC">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2.技术响应偏离表（格式见附件，必须提供）</w:t>
            </w:r>
          </w:p>
          <w:p w14:paraId="6E408768">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3.服务承诺书；（格式自拟，必须提供）</w:t>
            </w:r>
          </w:p>
          <w:p w14:paraId="7BBF440C">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4.项目实施人员一览表(格式见附件，如有)；</w:t>
            </w:r>
          </w:p>
          <w:p w14:paraId="659D39DF">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5.供应商对本项目的合理化建议和改进措施；</w:t>
            </w:r>
          </w:p>
          <w:p w14:paraId="740F4312">
            <w:pPr>
              <w:spacing w:after="0" w:line="420" w:lineRule="exact"/>
              <w:ind w:left="24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6.供应商认为需要提供的有关资料。</w:t>
            </w:r>
          </w:p>
        </w:tc>
      </w:tr>
      <w:tr w14:paraId="2A5EC6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14" w:type="dxa"/>
            <w:vAlign w:val="center"/>
          </w:tcPr>
          <w:p w14:paraId="00F69316">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3.1.2</w:t>
            </w:r>
          </w:p>
        </w:tc>
        <w:tc>
          <w:tcPr>
            <w:tcW w:w="1760" w:type="dxa"/>
            <w:vAlign w:val="center"/>
          </w:tcPr>
          <w:p w14:paraId="10C3F5D1">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响应文件电子版</w:t>
            </w:r>
          </w:p>
        </w:tc>
        <w:tc>
          <w:tcPr>
            <w:tcW w:w="6725" w:type="dxa"/>
            <w:vAlign w:val="center"/>
          </w:tcPr>
          <w:p w14:paraId="4690CE74">
            <w:pPr>
              <w:autoSpaceDE w:val="0"/>
              <w:autoSpaceDN w:val="0"/>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1.响应文件电子版要求：按照本采购文件“响应文件格式”编写（未附格式的，由供应商自行拟定），不可涂改并在规定加盖公章处加盖电子公章，否则响应文件按无效响应处理。</w:t>
            </w:r>
          </w:p>
          <w:p w14:paraId="34DC82CC">
            <w:pPr>
              <w:autoSpaceDE w:val="0"/>
              <w:autoSpaceDN w:val="0"/>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2.响应文件电子版密封方式：电子响应文件通过平台有效CA加密后在“政采云”平台投送。</w:t>
            </w:r>
          </w:p>
        </w:tc>
      </w:tr>
      <w:tr w14:paraId="01B76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14" w:type="dxa"/>
            <w:vAlign w:val="center"/>
          </w:tcPr>
          <w:p w14:paraId="7406E66A">
            <w:pPr>
              <w:spacing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3.4.1</w:t>
            </w:r>
          </w:p>
        </w:tc>
        <w:tc>
          <w:tcPr>
            <w:tcW w:w="1760" w:type="dxa"/>
            <w:vAlign w:val="center"/>
          </w:tcPr>
          <w:p w14:paraId="427B31B5">
            <w:pPr>
              <w:spacing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响应有效期</w:t>
            </w:r>
          </w:p>
        </w:tc>
        <w:tc>
          <w:tcPr>
            <w:tcW w:w="6725" w:type="dxa"/>
            <w:vAlign w:val="center"/>
          </w:tcPr>
          <w:p w14:paraId="411B7DE3">
            <w:pPr>
              <w:pStyle w:val="13"/>
              <w:widowControl w:val="0"/>
              <w:numPr>
                <w:ilvl w:val="0"/>
                <w:numId w:val="0"/>
              </w:numPr>
              <w:tabs>
                <w:tab w:val="left" w:pos="720"/>
                <w:tab w:val="left" w:pos="840"/>
              </w:tabs>
              <w:spacing w:after="0" w:line="420" w:lineRule="exact"/>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自响应文件提交截止之日起60 天（日历天）内</w:t>
            </w:r>
          </w:p>
        </w:tc>
      </w:tr>
      <w:tr w14:paraId="1994D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14" w:type="dxa"/>
            <w:vAlign w:val="center"/>
          </w:tcPr>
          <w:p w14:paraId="02D16EA1">
            <w:pPr>
              <w:spacing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3.5.1</w:t>
            </w:r>
          </w:p>
        </w:tc>
        <w:tc>
          <w:tcPr>
            <w:tcW w:w="1760" w:type="dxa"/>
            <w:vAlign w:val="center"/>
          </w:tcPr>
          <w:p w14:paraId="0E395A2E">
            <w:pPr>
              <w:spacing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磋商保证金</w:t>
            </w:r>
          </w:p>
        </w:tc>
        <w:tc>
          <w:tcPr>
            <w:tcW w:w="6725" w:type="dxa"/>
            <w:vAlign w:val="center"/>
          </w:tcPr>
          <w:p w14:paraId="30ECC25A">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不需要缴纳磋商保证金</w:t>
            </w:r>
          </w:p>
        </w:tc>
      </w:tr>
      <w:tr w14:paraId="31DBC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14" w:type="dxa"/>
            <w:vAlign w:val="center"/>
          </w:tcPr>
          <w:p w14:paraId="7AA53D51">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3.6.5</w:t>
            </w:r>
          </w:p>
        </w:tc>
        <w:tc>
          <w:tcPr>
            <w:tcW w:w="1760" w:type="dxa"/>
            <w:vAlign w:val="center"/>
          </w:tcPr>
          <w:p w14:paraId="2E602F73">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响应报价要求</w:t>
            </w:r>
          </w:p>
        </w:tc>
        <w:tc>
          <w:tcPr>
            <w:tcW w:w="6725" w:type="dxa"/>
            <w:vAlign w:val="center"/>
          </w:tcPr>
          <w:p w14:paraId="0060B925">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响应报价必须包含满足本次磋商全部采购需求所应提供的服务，以及伴随的货物的价格；包含磋商服务、货物的成本、运输（含保险）、安装（如有）、调试、检验、技术服务、培训、税费等所有费用。（采购需求另有约定的，从其约定）</w:t>
            </w:r>
          </w:p>
        </w:tc>
      </w:tr>
      <w:tr w14:paraId="27B653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14" w:type="dxa"/>
            <w:vAlign w:val="center"/>
          </w:tcPr>
          <w:p w14:paraId="0789CD3B">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3.8.1</w:t>
            </w:r>
          </w:p>
        </w:tc>
        <w:tc>
          <w:tcPr>
            <w:tcW w:w="1760" w:type="dxa"/>
            <w:vAlign w:val="center"/>
          </w:tcPr>
          <w:p w14:paraId="51FA5025">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递交响应文件截止时间</w:t>
            </w:r>
          </w:p>
        </w:tc>
        <w:tc>
          <w:tcPr>
            <w:tcW w:w="6725" w:type="dxa"/>
            <w:vAlign w:val="center"/>
          </w:tcPr>
          <w:p w14:paraId="7E82522E">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于2026年</w:t>
            </w:r>
            <w:r>
              <w:rPr>
                <w:rFonts w:hint="eastAsia" w:ascii="宋体" w:hAnsi="宋体" w:eastAsia="宋体" w:cs="宋体"/>
                <w:color w:val="000000" w:themeColor="text1"/>
                <w:highlight w:val="none"/>
                <w:lang w:val="en-US" w:eastAsia="zh-CN"/>
                <w14:textFill>
                  <w14:solidFill>
                    <w14:schemeClr w14:val="tx1"/>
                  </w14:solidFill>
                </w14:textFill>
              </w:rPr>
              <w:t>09</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eastAsia="宋体" w:cs="宋体"/>
                <w:color w:val="000000" w:themeColor="text1"/>
                <w:highlight w:val="none"/>
                <w:lang w:val="en-US" w:eastAsia="zh-CN"/>
                <w14:textFill>
                  <w14:solidFill>
                    <w14:schemeClr w14:val="tx1"/>
                  </w14:solidFill>
                </w14:textFill>
              </w:rPr>
              <w:t>08</w:t>
            </w:r>
            <w:r>
              <w:rPr>
                <w:rFonts w:hint="eastAsia" w:ascii="宋体" w:hAnsi="宋体" w:eastAsia="宋体" w:cs="宋体"/>
                <w:color w:val="000000" w:themeColor="text1"/>
                <w:highlight w:val="none"/>
                <w14:textFill>
                  <w14:solidFill>
                    <w14:schemeClr w14:val="tx1"/>
                  </w14:solidFill>
                </w14:textFill>
              </w:rPr>
              <w:t>日09 时 30分之前将电子磋商响应文件上传到广西政府采购云平台。应按照本项目磋商文件和广西政府采购云平台的要求编制、加密传输磋商响应文件。供应商在使用系统进行响应的过程中遇到涉及平台使用的任何问题，可致电广西政府采购云平台技术支持热线咨询，联系方式：400-881-7190。</w:t>
            </w:r>
          </w:p>
        </w:tc>
      </w:tr>
      <w:tr w14:paraId="30E37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90" w:hRule="atLeast"/>
        </w:trPr>
        <w:tc>
          <w:tcPr>
            <w:tcW w:w="1114" w:type="dxa"/>
            <w:vAlign w:val="center"/>
          </w:tcPr>
          <w:p w14:paraId="6D48988B">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3.8.2</w:t>
            </w:r>
          </w:p>
        </w:tc>
        <w:tc>
          <w:tcPr>
            <w:tcW w:w="1760" w:type="dxa"/>
            <w:vAlign w:val="center"/>
          </w:tcPr>
          <w:p w14:paraId="6993EDB4">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递交响应文件地点</w:t>
            </w:r>
          </w:p>
        </w:tc>
        <w:tc>
          <w:tcPr>
            <w:tcW w:w="6725" w:type="dxa"/>
            <w:vAlign w:val="center"/>
          </w:tcPr>
          <w:p w14:paraId="03D6F1B3">
            <w:pPr>
              <w:spacing w:after="0" w:line="420" w:lineRule="exact"/>
              <w:ind w:firstLine="480"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本项目为全流程电子化项目，申请人需要提交电子响应文件，电子响应文件必须用数字证书CA锁加密后在响应文件提交截止时间前，通过网络上传至“政采云”平台。</w:t>
            </w:r>
          </w:p>
        </w:tc>
      </w:tr>
      <w:tr w14:paraId="5B6BC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8" w:hRule="atLeast"/>
        </w:trPr>
        <w:tc>
          <w:tcPr>
            <w:tcW w:w="1114" w:type="dxa"/>
            <w:vAlign w:val="center"/>
          </w:tcPr>
          <w:p w14:paraId="317FEF3B">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5.1.1</w:t>
            </w:r>
          </w:p>
        </w:tc>
        <w:tc>
          <w:tcPr>
            <w:tcW w:w="1760" w:type="dxa"/>
            <w:vAlign w:val="center"/>
          </w:tcPr>
          <w:p w14:paraId="4D8B99E1">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磋商小组组成</w:t>
            </w:r>
          </w:p>
        </w:tc>
        <w:tc>
          <w:tcPr>
            <w:tcW w:w="6725" w:type="dxa"/>
            <w:vAlign w:val="center"/>
          </w:tcPr>
          <w:p w14:paraId="469CE543">
            <w:pPr>
              <w:spacing w:after="0" w:line="420" w:lineRule="exact"/>
              <w:ind w:firstLine="480"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磋商小组组成：共3人组成，其中采购人代表1人，政府采购评审专家2人。</w:t>
            </w:r>
          </w:p>
        </w:tc>
      </w:tr>
      <w:tr w14:paraId="273D0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trPr>
        <w:tc>
          <w:tcPr>
            <w:tcW w:w="1114" w:type="dxa"/>
            <w:vAlign w:val="center"/>
          </w:tcPr>
          <w:p w14:paraId="40DFB86C">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5.2.2</w:t>
            </w:r>
          </w:p>
        </w:tc>
        <w:tc>
          <w:tcPr>
            <w:tcW w:w="1760" w:type="dxa"/>
            <w:vAlign w:val="center"/>
          </w:tcPr>
          <w:p w14:paraId="76BAB9B7">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评审方法</w:t>
            </w:r>
          </w:p>
        </w:tc>
        <w:tc>
          <w:tcPr>
            <w:tcW w:w="6725" w:type="dxa"/>
            <w:vAlign w:val="center"/>
          </w:tcPr>
          <w:p w14:paraId="6C5EE03F">
            <w:pPr>
              <w:spacing w:after="0" w:line="420" w:lineRule="exact"/>
              <w:ind w:firstLine="480"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综合评分法</w:t>
            </w:r>
          </w:p>
        </w:tc>
      </w:tr>
      <w:tr w14:paraId="09AAF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14" w:type="dxa"/>
            <w:vAlign w:val="center"/>
          </w:tcPr>
          <w:p w14:paraId="1EE1AB34">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5.3.1</w:t>
            </w:r>
          </w:p>
        </w:tc>
        <w:tc>
          <w:tcPr>
            <w:tcW w:w="1760" w:type="dxa"/>
            <w:vAlign w:val="center"/>
          </w:tcPr>
          <w:p w14:paraId="63EC7AD9">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信用信息查询渠道、截止时间、查询记录和证据留存方式</w:t>
            </w:r>
          </w:p>
        </w:tc>
        <w:tc>
          <w:tcPr>
            <w:tcW w:w="6725" w:type="dxa"/>
            <w:vAlign w:val="center"/>
          </w:tcPr>
          <w:p w14:paraId="769EAE55">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递交响应文件截止时间后，由采购人或采购代理机构对供应商进行信用信息查询，具体规定如下：</w:t>
            </w:r>
          </w:p>
          <w:p w14:paraId="622C13A9">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查询渠道：“信用中国”网(www.creditchina.gov.cn)、中国政府采购网(</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"http://www.ccgp.gov.cn" </w:instrText>
            </w:r>
            <w:r>
              <w:rPr>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t>www.ccgp.gov.cn</w:t>
            </w:r>
            <w:r>
              <w:rPr>
                <w:rFonts w:hint="eastAsia" w:ascii="宋体" w:hAnsi="宋体" w:eastAsia="宋体" w:cs="宋体"/>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t>)等</w:t>
            </w:r>
          </w:p>
          <w:p w14:paraId="0AF60E1A">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“信用中国”网站查询内容：失信被执行人、重大税收违法失信主体、政府采购严重违法失信行为记录名单查询结果或界面截图；查询或打印截止时点：递交响应文件截止时间前。</w:t>
            </w:r>
          </w:p>
          <w:p w14:paraId="3A002838">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“中国政府采购网”的查询内容：政府采购严重违法失信行为信息记录；查询时间：递交响应文件截止时间前三年内。</w:t>
            </w:r>
          </w:p>
          <w:p w14:paraId="0C7A25F0">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查询记录和证据留存方式：在查询网站中直接打印查询记录，打印材料作为评审资料保存。</w:t>
            </w:r>
          </w:p>
          <w:p w14:paraId="4EC8BAFE">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信用信息使用规则：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3227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14" w:type="dxa"/>
            <w:vAlign w:val="center"/>
          </w:tcPr>
          <w:p w14:paraId="13237CC5">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5.3.4.1</w:t>
            </w:r>
          </w:p>
        </w:tc>
        <w:tc>
          <w:tcPr>
            <w:tcW w:w="1760" w:type="dxa"/>
            <w:vAlign w:val="center"/>
          </w:tcPr>
          <w:p w14:paraId="463D7F9E">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磋商时间及地点、人员</w:t>
            </w:r>
          </w:p>
        </w:tc>
        <w:tc>
          <w:tcPr>
            <w:tcW w:w="6725" w:type="dxa"/>
            <w:vAlign w:val="center"/>
          </w:tcPr>
          <w:p w14:paraId="2DE61EFE">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磋商时间：响应文件递交截止时间后。</w:t>
            </w:r>
          </w:p>
          <w:p w14:paraId="2982880E">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磋商地点：本项目需要磋商供应商代表在截标当天截标后，按磋商小组要求及时登陆广西政府采购云平台等候在线磋商。</w:t>
            </w:r>
          </w:p>
          <w:p w14:paraId="1E63A82E">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响应文件递交截止时间后，由磋商小组在评标室内线上开启响应文件。</w:t>
            </w:r>
          </w:p>
        </w:tc>
      </w:tr>
      <w:tr w14:paraId="2798B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14" w:type="dxa"/>
            <w:vAlign w:val="center"/>
          </w:tcPr>
          <w:p w14:paraId="1B53CD4F">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5.3.4.2</w:t>
            </w:r>
          </w:p>
        </w:tc>
        <w:tc>
          <w:tcPr>
            <w:tcW w:w="1760" w:type="dxa"/>
            <w:vAlign w:val="center"/>
          </w:tcPr>
          <w:p w14:paraId="4E0D4CEB">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磋商顺序</w:t>
            </w:r>
          </w:p>
        </w:tc>
        <w:tc>
          <w:tcPr>
            <w:tcW w:w="6725" w:type="dxa"/>
            <w:vAlign w:val="center"/>
          </w:tcPr>
          <w:p w14:paraId="230B303C">
            <w:pPr>
              <w:spacing w:after="0" w:line="420" w:lineRule="exact"/>
              <w:ind w:firstLine="480"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随机</w:t>
            </w:r>
          </w:p>
        </w:tc>
      </w:tr>
      <w:tr w14:paraId="087EB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114" w:type="dxa"/>
            <w:vAlign w:val="center"/>
          </w:tcPr>
          <w:p w14:paraId="2DC52324">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7.1</w:t>
            </w:r>
          </w:p>
        </w:tc>
        <w:tc>
          <w:tcPr>
            <w:tcW w:w="1760" w:type="dxa"/>
            <w:vAlign w:val="center"/>
          </w:tcPr>
          <w:p w14:paraId="314D0188">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履约保证金</w:t>
            </w:r>
          </w:p>
        </w:tc>
        <w:tc>
          <w:tcPr>
            <w:tcW w:w="6725" w:type="dxa"/>
            <w:vAlign w:val="center"/>
          </w:tcPr>
          <w:p w14:paraId="34E1C4C1">
            <w:pPr>
              <w:spacing w:after="0"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sym w:font="Wingdings" w:char="00A8"/>
            </w:r>
            <w:r>
              <w:rPr>
                <w:rFonts w:hint="eastAsia" w:ascii="宋体" w:hAnsi="宋体" w:eastAsia="宋体" w:cs="宋体"/>
                <w:color w:val="000000" w:themeColor="text1"/>
                <w:highlight w:val="none"/>
                <w14:textFill>
                  <w14:solidFill>
                    <w14:schemeClr w14:val="tx1"/>
                  </w14:solidFill>
                </w14:textFill>
              </w:rPr>
              <w:t>不需要缴纳履约保证金</w:t>
            </w:r>
          </w:p>
          <w:p w14:paraId="6B099B1E">
            <w:pPr>
              <w:spacing w:after="0"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☑需要缴纳履约保证金</w:t>
            </w:r>
          </w:p>
          <w:p w14:paraId="64081A0C">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本项目收取履约保证金，具体规定如下： </w:t>
            </w:r>
          </w:p>
          <w:p w14:paraId="1AF9CBC3">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履约保证金金额：</w:t>
            </w:r>
            <w:r>
              <w:rPr>
                <w:rFonts w:hint="eastAsia" w:ascii="宋体" w:hAnsi="宋体" w:eastAsia="宋体" w:cs="宋体"/>
                <w:b/>
                <w:bCs/>
                <w:color w:val="000000" w:themeColor="text1"/>
                <w:highlight w:val="none"/>
                <w14:textFill>
                  <w14:solidFill>
                    <w14:schemeClr w14:val="tx1"/>
                  </w14:solidFill>
                </w14:textFill>
              </w:rPr>
              <w:t>合同金额的2%。</w:t>
            </w:r>
            <w:r>
              <w:rPr>
                <w:rFonts w:hint="eastAsia" w:ascii="宋体" w:hAnsi="宋体" w:eastAsia="宋体" w:cs="宋体"/>
                <w:color w:val="000000" w:themeColor="text1"/>
                <w:highlight w:val="none"/>
                <w14:textFill>
                  <w14:solidFill>
                    <w14:schemeClr w14:val="tx1"/>
                  </w14:solidFill>
                </w14:textFill>
              </w:rPr>
              <w:t xml:space="preserve"> </w:t>
            </w:r>
          </w:p>
          <w:p w14:paraId="7AB012FD">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履约保证金提交方式：银行转账、支票、汇票、本票或者银行、保险机构出具的保函等非现金方式。 </w:t>
            </w:r>
          </w:p>
          <w:p w14:paraId="04A520F4">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履约保证金退付方式、时间及条件：质保期满后无息退付。 </w:t>
            </w:r>
          </w:p>
          <w:p w14:paraId="2D4C1066">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履约保证金退付方式、时间及条件：由成交供应商向履约保证金收取单位提供《广西壮族自治区政府采购项目合同验收书》（详见附件 1）及《政府采购项目履约保证金退付意见书》（详见附件 2），保证金收取单位在收到合格材料后5个工作日内办理退还手续（不计利息）。 </w:t>
            </w:r>
          </w:p>
          <w:p w14:paraId="565D0A6D">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履约保证金指定账户： </w:t>
            </w:r>
          </w:p>
          <w:p w14:paraId="0E39F649">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开户名称：/</w:t>
            </w:r>
          </w:p>
          <w:p w14:paraId="0A6AC285">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开户银行：/</w:t>
            </w:r>
          </w:p>
          <w:p w14:paraId="3DD3F774">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银行账号：/</w:t>
            </w:r>
          </w:p>
          <w:p w14:paraId="6A2FE27B">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备注： </w:t>
            </w:r>
          </w:p>
          <w:p w14:paraId="108F224D">
            <w:pPr>
              <w:spacing w:after="0" w:line="400" w:lineRule="exact"/>
              <w:ind w:firstLine="482" w:firstLineChars="200"/>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 xml:space="preserve">1.根据《广西壮族自治区财政厅关于贯彻落实政府采购优化营商环境百日攻坚行动方案的 通知》（桂财采〔2020〕49 号）及桂财采〔2022〕30 号广西壮族自治区财政厅关于进一步 发挥政府采购政策功能促进企业发展的通知规定，采购文件要求中标或者成交供应商提交履约保证金的，履约保证金数额不得超过政府采购合同金额的5%，对中小企业收取的履约保证金数额不得超过政府采购合同金额的 2%。 </w:t>
            </w:r>
          </w:p>
          <w:p w14:paraId="1A0D6268">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2.履约保证金不足额缴纳的，或者银行、保险机构出具的保函额度不足的或者保函有效期 低于合同履行期限（即签订采购合同之日起至履行完合同约定的权利及义务之日止）的，不予签订合同。 </w:t>
            </w:r>
          </w:p>
          <w:p w14:paraId="192F2EB8">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3.采用银行、保险机构出具的保函的，必须为无条件保函，否则不予签订合同。 </w:t>
            </w:r>
          </w:p>
          <w:p w14:paraId="79BFD88F">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4.供应商为联合体的，由联合体任意一方按规定提交的履约保证金，视为有效履约保证金。</w:t>
            </w:r>
          </w:p>
        </w:tc>
      </w:tr>
      <w:tr w14:paraId="1F464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14" w:type="dxa"/>
            <w:vAlign w:val="center"/>
          </w:tcPr>
          <w:p w14:paraId="3A149C66">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8.1.2</w:t>
            </w:r>
          </w:p>
        </w:tc>
        <w:tc>
          <w:tcPr>
            <w:tcW w:w="1760" w:type="dxa"/>
            <w:vAlign w:val="center"/>
          </w:tcPr>
          <w:p w14:paraId="5161D79A">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质疑函接收及联系方式</w:t>
            </w:r>
          </w:p>
        </w:tc>
        <w:tc>
          <w:tcPr>
            <w:tcW w:w="6725" w:type="dxa"/>
            <w:vAlign w:val="center"/>
          </w:tcPr>
          <w:p w14:paraId="4A67F111">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接收质疑函的方式：接收供应商或其委托代理人以书面形式递交的质疑函原件，委托代理人提出质疑的，还应当提交供应商签署的授权委托书。</w:t>
            </w:r>
          </w:p>
          <w:p w14:paraId="7E04C3A4">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联系部门：广西睿翼工程咨询有限公司</w:t>
            </w:r>
          </w:p>
          <w:p w14:paraId="09BF0E88">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地　址：南宁市青秀区民族大道32号宜尚酒店酒店停车场内</w:t>
            </w:r>
          </w:p>
          <w:p w14:paraId="28A4CE01">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联系方式：0771-5349283  　</w:t>
            </w:r>
          </w:p>
        </w:tc>
      </w:tr>
      <w:tr w14:paraId="5A11D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14" w:type="dxa"/>
            <w:vAlign w:val="center"/>
          </w:tcPr>
          <w:p w14:paraId="6312325D">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w:t>
            </w:r>
          </w:p>
        </w:tc>
        <w:tc>
          <w:tcPr>
            <w:tcW w:w="1760" w:type="dxa"/>
            <w:vAlign w:val="center"/>
          </w:tcPr>
          <w:p w14:paraId="619F5109">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其他</w:t>
            </w:r>
          </w:p>
        </w:tc>
        <w:tc>
          <w:tcPr>
            <w:tcW w:w="6725" w:type="dxa"/>
            <w:vAlign w:val="center"/>
          </w:tcPr>
          <w:p w14:paraId="19D0E3BE">
            <w:pPr>
              <w:spacing w:after="0" w:line="420" w:lineRule="exact"/>
              <w:ind w:firstLine="480"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①本竞争性磋商文件中描述供应商的“公章”是指供应商通过指定电子化政府采购平台办理数字证书（CA 认证证书）获得的以法定主体行为名称制作的电子印章。本竞争性磋商文件中要求供应商对其电子响应文件的相关内容加盖公章的，均指采用 CA 证书签章。</w:t>
            </w:r>
          </w:p>
          <w:p w14:paraId="2853C172">
            <w:pPr>
              <w:spacing w:after="0" w:line="420" w:lineRule="exact"/>
              <w:ind w:firstLine="480"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②本竞争性磋商文件中描述供应商的“签字”是指供应商通过指定电子化政府采购平台办理数字证书（CA 认证证书）获得的以供应商法定代表人（负责人、自然人）或者委托代理人姓名制作的个人电子印章或手写签字。没有办理个人 CA 证书的，可以为手写签字的形式。</w:t>
            </w:r>
          </w:p>
          <w:p w14:paraId="29FAEEE6">
            <w:pPr>
              <w:spacing w:after="0" w:line="420" w:lineRule="exact"/>
              <w:ind w:firstLine="482"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不符合要求的或漏签的作响应无效处理。</w:t>
            </w:r>
          </w:p>
          <w:p w14:paraId="3B700C92">
            <w:pPr>
              <w:spacing w:after="0" w:line="420" w:lineRule="exact"/>
              <w:ind w:firstLine="480"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 供应商须知前附表是对供应商须知的具体补充和修改，如有矛盾，应以本前附表为准。</w:t>
            </w:r>
          </w:p>
          <w:p w14:paraId="63BB399F">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4.本采购文件是根据国家有关法律及有关政策、法规编制，解释权属采购代理机构。</w:t>
            </w:r>
          </w:p>
        </w:tc>
      </w:tr>
      <w:tr w14:paraId="597E2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1114" w:type="dxa"/>
            <w:vAlign w:val="center"/>
          </w:tcPr>
          <w:p w14:paraId="1C443762">
            <w:pPr>
              <w:spacing w:after="0" w:line="4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10</w:t>
            </w:r>
          </w:p>
        </w:tc>
        <w:tc>
          <w:tcPr>
            <w:tcW w:w="8485" w:type="dxa"/>
            <w:gridSpan w:val="2"/>
            <w:vAlign w:val="center"/>
          </w:tcPr>
          <w:p w14:paraId="5639BBF2">
            <w:pPr>
              <w:widowControl w:val="0"/>
              <w:adjustRightInd/>
              <w:snapToGrid/>
              <w:spacing w:after="0" w:line="420" w:lineRule="exact"/>
              <w:ind w:firstLine="480" w:firstLineChars="200"/>
              <w:rPr>
                <w:rFonts w:ascii="宋体" w:hAnsi="宋体" w:eastAsia="宋体" w:cs="宋体"/>
                <w:bCs/>
                <w:color w:val="000000" w:themeColor="text1"/>
                <w:kern w:val="2"/>
                <w:highlight w:val="none"/>
                <w14:textFill>
                  <w14:solidFill>
                    <w14:schemeClr w14:val="tx1"/>
                  </w14:solidFill>
                </w14:textFill>
              </w:rPr>
            </w:pPr>
            <w:r>
              <w:rPr>
                <w:rFonts w:hint="eastAsia" w:ascii="宋体" w:hAnsi="宋体" w:eastAsia="宋体" w:cs="宋体"/>
                <w:bCs/>
                <w:color w:val="000000" w:themeColor="text1"/>
                <w:kern w:val="2"/>
                <w:highlight w:val="none"/>
                <w14:textFill>
                  <w14:solidFill>
                    <w14:schemeClr w14:val="tx1"/>
                  </w14:solidFill>
                </w14:textFill>
              </w:rPr>
              <w:t>在线磋商响应（电子磋商）说明</w:t>
            </w:r>
          </w:p>
          <w:p w14:paraId="356A6E52">
            <w:pPr>
              <w:widowControl w:val="0"/>
              <w:adjustRightInd/>
              <w:snapToGrid/>
              <w:spacing w:after="0" w:line="420" w:lineRule="exact"/>
              <w:ind w:firstLine="480" w:firstLineChars="200"/>
              <w:rPr>
                <w:rFonts w:ascii="宋体" w:hAnsi="宋体" w:eastAsia="宋体" w:cs="宋体"/>
                <w:bCs/>
                <w:color w:val="000000" w:themeColor="text1"/>
                <w:kern w:val="2"/>
                <w:highlight w:val="none"/>
                <w14:textFill>
                  <w14:solidFill>
                    <w14:schemeClr w14:val="tx1"/>
                  </w14:solidFill>
                </w14:textFill>
              </w:rPr>
            </w:pPr>
            <w:r>
              <w:rPr>
                <w:rFonts w:hint="eastAsia" w:ascii="宋体" w:hAnsi="宋体" w:eastAsia="宋体" w:cs="宋体"/>
                <w:bCs/>
                <w:color w:val="000000" w:themeColor="text1"/>
                <w:kern w:val="2"/>
                <w:highlight w:val="none"/>
                <w14:textFill>
                  <w14:solidFill>
                    <w14:schemeClr w14:val="tx1"/>
                  </w14:solidFill>
                </w14:textFill>
              </w:rPr>
              <w:t>（1）本项目通过广西政府采购云平台实行在线磋商响应（电子磋商），供应商需要先安装“政采云电子交易客户端”，并按照本竞争性磋商文件和广西政府采购云平台的要求，通过“政采云电子交易客户端”编制并加密响应文件。供应商未按规定编制并加密的响应文件，广西政府采购云平台将予以拒收。</w:t>
            </w:r>
          </w:p>
          <w:p w14:paraId="2B9C874D">
            <w:pPr>
              <w:widowControl w:val="0"/>
              <w:adjustRightInd/>
              <w:snapToGrid/>
              <w:spacing w:after="0" w:line="420" w:lineRule="exact"/>
              <w:ind w:firstLine="480" w:firstLineChars="200"/>
              <w:rPr>
                <w:rFonts w:ascii="宋体" w:hAnsi="宋体" w:eastAsia="宋体" w:cs="宋体"/>
                <w:bCs/>
                <w:color w:val="000000" w:themeColor="text1"/>
                <w:kern w:val="2"/>
                <w:highlight w:val="none"/>
                <w14:textFill>
                  <w14:solidFill>
                    <w14:schemeClr w14:val="tx1"/>
                  </w14:solidFill>
                </w14:textFill>
              </w:rPr>
            </w:pPr>
            <w:r>
              <w:rPr>
                <w:rFonts w:hint="eastAsia" w:ascii="宋体" w:hAnsi="宋体" w:eastAsia="宋体" w:cs="宋体"/>
                <w:bCs/>
                <w:color w:val="000000" w:themeColor="text1"/>
                <w:kern w:val="2"/>
                <w:highlight w:val="none"/>
                <w14:textFill>
                  <w14:solidFill>
                    <w14:schemeClr w14:val="tx1"/>
                  </w14:solidFill>
                </w14:textFill>
              </w:rPr>
              <w:t>“政采云电子交易客户端”请自行前往广西政府采购网下载并安装（http://zfcg.gxzf.gov.cn/OfficeService/DownloadArea/2455918.html?utm=sites_group_front.b8b6c91.0.0.c51f9820a48111eabb9bcbdf01af125e）；电子磋商具体操作流程参考《政府采购项目电子交易管理操作指南-供应商》，指南可在“政府采购云平台（https://www.zcygov.cn/）服务中心-帮助文档-最新指南”下载；通过广西政府采购云平台参与在线磋商时如遇平台技术问题详询400-881-7190。</w:t>
            </w:r>
          </w:p>
          <w:p w14:paraId="7B7E6ABC">
            <w:pPr>
              <w:widowControl w:val="0"/>
              <w:adjustRightInd/>
              <w:snapToGrid/>
              <w:spacing w:after="0" w:line="420" w:lineRule="exact"/>
              <w:ind w:firstLine="480" w:firstLineChars="200"/>
              <w:rPr>
                <w:rFonts w:ascii="宋体" w:hAnsi="宋体" w:eastAsia="宋体" w:cs="宋体"/>
                <w:bCs/>
                <w:color w:val="000000" w:themeColor="text1"/>
                <w:kern w:val="2"/>
                <w:highlight w:val="none"/>
                <w14:textFill>
                  <w14:solidFill>
                    <w14:schemeClr w14:val="tx1"/>
                  </w14:solidFill>
                </w14:textFill>
              </w:rPr>
            </w:pPr>
            <w:r>
              <w:rPr>
                <w:rFonts w:hint="eastAsia" w:ascii="宋体" w:hAnsi="宋体" w:eastAsia="宋体" w:cs="宋体"/>
                <w:bCs/>
                <w:color w:val="000000" w:themeColor="text1"/>
                <w:kern w:val="2"/>
                <w:highlight w:val="none"/>
                <w14:textFill>
                  <w14:solidFill>
                    <w14:schemeClr w14:val="tx1"/>
                  </w14:solidFill>
                </w14:textFill>
              </w:rPr>
              <w:t>（2）为确保网上操作合法、有效和安全，供应商应当在响应文件递交截止时间前完成在“政府采购云平台”的身份认证，确保在电子磋商过程中能够对相关数据电文进行加密和使用电子签章。使用“政采云电子交易客户端”需要提前申领CA数字证书；</w:t>
            </w:r>
          </w:p>
          <w:p w14:paraId="362D619B">
            <w:pPr>
              <w:widowControl w:val="0"/>
              <w:adjustRightInd/>
              <w:snapToGrid/>
              <w:spacing w:after="0" w:line="420" w:lineRule="exact"/>
              <w:ind w:firstLine="480" w:firstLineChars="200"/>
              <w:rPr>
                <w:rFonts w:ascii="宋体" w:hAnsi="宋体" w:eastAsia="宋体" w:cs="宋体"/>
                <w:bCs/>
                <w:color w:val="000000" w:themeColor="text1"/>
                <w:kern w:val="2"/>
                <w:highlight w:val="none"/>
                <w14:textFill>
                  <w14:solidFill>
                    <w14:schemeClr w14:val="tx1"/>
                  </w14:solidFill>
                </w14:textFill>
              </w:rPr>
            </w:pPr>
            <w:r>
              <w:rPr>
                <w:rFonts w:hint="eastAsia" w:ascii="宋体" w:hAnsi="宋体" w:eastAsia="宋体" w:cs="宋体"/>
                <w:bCs/>
                <w:color w:val="000000" w:themeColor="text1"/>
                <w:kern w:val="2"/>
                <w:highlight w:val="none"/>
                <w14:textFill>
                  <w14:solidFill>
                    <w14:schemeClr w14:val="tx1"/>
                  </w14:solidFill>
                </w14:textFill>
              </w:rPr>
              <w:t>（3）供应商应当在响应文件递交截止时间前，将生成的“电子加密响应文件”上传递交至广西政府采购云平台。响应文件递交截止时间前可以补充、修改或者撤回电子响应文件。补充或者修改电子响应文件的，应当先行撤回原文件，补充、修改后重新传输递交，响应文件递交截止时间前未完成传输的，视为撤回响应文件。</w:t>
            </w:r>
          </w:p>
          <w:p w14:paraId="78C6299B">
            <w:pPr>
              <w:widowControl w:val="0"/>
              <w:adjustRightInd/>
              <w:snapToGrid/>
              <w:spacing w:after="0" w:line="420" w:lineRule="exact"/>
              <w:ind w:firstLine="480" w:firstLineChars="200"/>
              <w:rPr>
                <w:rFonts w:ascii="宋体" w:hAnsi="宋体" w:eastAsia="宋体" w:cs="宋体"/>
                <w:bCs/>
                <w:color w:val="000000" w:themeColor="text1"/>
                <w:kern w:val="2"/>
                <w:highlight w:val="none"/>
                <w14:textFill>
                  <w14:solidFill>
                    <w14:schemeClr w14:val="tx1"/>
                  </w14:solidFill>
                </w14:textFill>
              </w:rPr>
            </w:pPr>
            <w:r>
              <w:rPr>
                <w:rFonts w:hint="eastAsia" w:ascii="宋体" w:hAnsi="宋体" w:eastAsia="宋体" w:cs="宋体"/>
                <w:bCs/>
                <w:color w:val="000000" w:themeColor="text1"/>
                <w:kern w:val="2"/>
                <w:highlight w:val="none"/>
                <w14:textFill>
                  <w14:solidFill>
                    <w14:schemeClr w14:val="tx1"/>
                  </w14:solidFill>
                </w14:textFill>
              </w:rPr>
              <w:t>（4）</w:t>
            </w:r>
            <w:r>
              <w:rPr>
                <w:rFonts w:hint="eastAsia" w:ascii="宋体" w:hAnsi="宋体" w:eastAsia="宋体" w:cs="宋体"/>
                <w:color w:val="000000" w:themeColor="text1"/>
                <w:kern w:val="2"/>
                <w:highlight w:val="none"/>
                <w14:textFill>
                  <w14:solidFill>
                    <w14:schemeClr w14:val="tx1"/>
                  </w14:solidFill>
                </w14:textFill>
              </w:rPr>
              <w:t>响应文件提交截止时间后，代理机构将发起解密，代理机构发起解密后 30 分钟内，响应文件提交截止时间前已</w:t>
            </w:r>
            <w:r>
              <w:rPr>
                <w:rFonts w:hint="eastAsia" w:ascii="宋体" w:hAnsi="宋体" w:eastAsia="宋体" w:cs="宋体"/>
                <w:bCs/>
                <w:color w:val="000000" w:themeColor="text1"/>
                <w:kern w:val="2"/>
                <w:highlight w:val="none"/>
                <w14:textFill>
                  <w14:solidFill>
                    <w14:schemeClr w14:val="tx1"/>
                  </w14:solidFill>
                </w14:textFill>
              </w:rPr>
              <w:t>将生成的“电子加密响应文件”上传递交至广西政府采购云平台的供应商</w:t>
            </w:r>
            <w:r>
              <w:rPr>
                <w:rFonts w:hint="eastAsia" w:ascii="宋体" w:hAnsi="宋体" w:eastAsia="宋体" w:cs="宋体"/>
                <w:color w:val="000000" w:themeColor="text1"/>
                <w:kern w:val="2"/>
                <w:highlight w:val="none"/>
                <w14:textFill>
                  <w14:solidFill>
                    <w14:schemeClr w14:val="tx1"/>
                  </w14:solidFill>
                </w14:textFill>
              </w:rPr>
              <w:t>，必须在此时间段内登录广西政府采购云平台，用“项目采购-开标评标”功能完成电子响应文件的解密。</w:t>
            </w:r>
            <w:r>
              <w:rPr>
                <w:rFonts w:hint="eastAsia" w:ascii="宋体" w:hAnsi="宋体" w:eastAsia="宋体" w:cs="宋体"/>
                <w:bCs/>
                <w:color w:val="000000" w:themeColor="text1"/>
                <w:kern w:val="2"/>
                <w:highlight w:val="none"/>
                <w14:textFill>
                  <w14:solidFill>
                    <w14:schemeClr w14:val="tx1"/>
                  </w14:solidFill>
                </w14:textFill>
              </w:rPr>
              <w:t>供应商</w:t>
            </w:r>
            <w:r>
              <w:rPr>
                <w:rFonts w:hint="eastAsia" w:ascii="宋体" w:hAnsi="宋体" w:eastAsia="宋体" w:cs="宋体"/>
                <w:color w:val="000000" w:themeColor="text1"/>
                <w:kern w:val="2"/>
                <w:highlight w:val="none"/>
                <w14:textFill>
                  <w14:solidFill>
                    <w14:schemeClr w14:val="tx1"/>
                  </w14:solidFill>
                </w14:textFill>
              </w:rPr>
              <w:t>响应文件提交截止前</w:t>
            </w:r>
            <w:r>
              <w:rPr>
                <w:rFonts w:hint="eastAsia" w:ascii="宋体" w:hAnsi="宋体" w:eastAsia="宋体" w:cs="宋体"/>
                <w:bCs/>
                <w:color w:val="000000" w:themeColor="text1"/>
                <w:kern w:val="2"/>
                <w:highlight w:val="none"/>
                <w14:textFill>
                  <w14:solidFill>
                    <w14:schemeClr w14:val="tx1"/>
                  </w14:solidFill>
                </w14:textFill>
              </w:rPr>
              <w:t>通过“政府采购云平台”上传递交的“电子加密响应文件”无法正常解密的，请及时联系代理机构，代理机构与项目归属监督部门备案后告知供应商通过邮件传输递交电子备份文件，通过邮件传输递交电子备份文件也必须在</w:t>
            </w:r>
            <w:r>
              <w:rPr>
                <w:rFonts w:hint="eastAsia" w:ascii="宋体" w:hAnsi="宋体" w:eastAsia="宋体" w:cs="宋体"/>
                <w:color w:val="000000" w:themeColor="text1"/>
                <w:kern w:val="2"/>
                <w:highlight w:val="none"/>
                <w14:textFill>
                  <w14:solidFill>
                    <w14:schemeClr w14:val="tx1"/>
                  </w14:solidFill>
                </w14:textFill>
              </w:rPr>
              <w:t>发起解密后 30 分钟内完成，逾期</w:t>
            </w:r>
            <w:r>
              <w:rPr>
                <w:rFonts w:hint="eastAsia" w:ascii="宋体" w:hAnsi="宋体" w:eastAsia="宋体" w:cs="宋体"/>
                <w:bCs/>
                <w:color w:val="000000" w:themeColor="text1"/>
                <w:kern w:val="2"/>
                <w:highlight w:val="none"/>
                <w14:textFill>
                  <w14:solidFill>
                    <w14:schemeClr w14:val="tx1"/>
                  </w14:solidFill>
                </w14:textFill>
              </w:rPr>
              <w:t>未完成传输的，拒收其响应文件。</w:t>
            </w:r>
          </w:p>
          <w:p w14:paraId="6EEDCBC3">
            <w:pPr>
              <w:widowControl w:val="0"/>
              <w:adjustRightInd/>
              <w:snapToGrid/>
              <w:spacing w:after="0" w:line="420" w:lineRule="exact"/>
              <w:ind w:firstLine="480" w:firstLineChars="200"/>
              <w:rPr>
                <w:rFonts w:ascii="宋体" w:hAnsi="宋体" w:eastAsia="宋体" w:cs="宋体"/>
                <w:bCs/>
                <w:color w:val="000000" w:themeColor="text1"/>
                <w:kern w:val="2"/>
                <w:highlight w:val="none"/>
                <w14:textFill>
                  <w14:solidFill>
                    <w14:schemeClr w14:val="tx1"/>
                  </w14:solidFill>
                </w14:textFill>
              </w:rPr>
            </w:pPr>
            <w:r>
              <w:rPr>
                <w:rFonts w:hint="eastAsia" w:ascii="宋体" w:hAnsi="宋体" w:eastAsia="宋体" w:cs="宋体"/>
                <w:bCs/>
                <w:color w:val="000000" w:themeColor="text1"/>
                <w:kern w:val="2"/>
                <w:highlight w:val="none"/>
                <w14:textFill>
                  <w14:solidFill>
                    <w14:schemeClr w14:val="tx1"/>
                  </w14:solidFill>
                </w14:textFill>
              </w:rPr>
              <w:t>（5）请各供应商在获取采购文件时，认真填写供应商名称、联系人、联系电话等相关信息。项目开标当天联系人要保持电话畅通，如因供应商自身原因导致无法响应文件无法正常解密、电子备份文件未能在规定的时间内传输递交、无法正常谈判（磋商）等，后果由供应商自行承担。</w:t>
            </w:r>
          </w:p>
          <w:p w14:paraId="73379422">
            <w:pPr>
              <w:widowControl w:val="0"/>
              <w:adjustRightInd/>
              <w:snapToGrid/>
              <w:spacing w:after="0" w:line="420" w:lineRule="exact"/>
              <w:ind w:firstLine="480" w:firstLineChars="200"/>
              <w:rPr>
                <w:rFonts w:ascii="宋体" w:hAnsi="宋体" w:eastAsia="宋体" w:cs="宋体"/>
                <w:bCs/>
                <w:color w:val="000000" w:themeColor="text1"/>
                <w:kern w:val="2"/>
                <w:highlight w:val="none"/>
                <w14:textFill>
                  <w14:solidFill>
                    <w14:schemeClr w14:val="tx1"/>
                  </w14:solidFill>
                </w14:textFill>
              </w:rPr>
            </w:pPr>
            <w:r>
              <w:rPr>
                <w:rFonts w:hint="eastAsia" w:ascii="宋体" w:hAnsi="宋体" w:eastAsia="宋体" w:cs="宋体"/>
                <w:bCs/>
                <w:color w:val="000000" w:themeColor="text1"/>
                <w:kern w:val="2"/>
                <w:highlight w:val="none"/>
                <w14:textFill>
                  <w14:solidFill>
                    <w14:schemeClr w14:val="tx1"/>
                  </w14:solidFill>
                </w14:textFill>
              </w:rPr>
              <w:t>（6）本项目为全流程电子标项目，无需供应商来开标现场递交响应文件，供应商授权委托代理人可以不用到开标现场参加开标（截标）会。</w:t>
            </w:r>
          </w:p>
          <w:p w14:paraId="766C0488">
            <w:pPr>
              <w:pStyle w:val="23"/>
              <w:adjustRightInd w:val="0"/>
              <w:snapToGrid w:val="0"/>
              <w:spacing w:line="420" w:lineRule="exact"/>
              <w:ind w:firstLine="482" w:firstLineChars="200"/>
              <w:rPr>
                <w:rFonts w:hAnsi="宋体" w:cs="宋体"/>
                <w:color w:val="000000" w:themeColor="text1"/>
                <w:sz w:val="24"/>
                <w:szCs w:val="24"/>
                <w:highlight w:val="none"/>
                <w14:textFill>
                  <w14:solidFill>
                    <w14:schemeClr w14:val="tx1"/>
                  </w14:solidFill>
                </w14:textFill>
              </w:rPr>
            </w:pPr>
            <w:r>
              <w:rPr>
                <w:rFonts w:hint="eastAsia" w:hAnsi="宋体" w:cs="宋体"/>
                <w:b/>
                <w:bCs/>
                <w:color w:val="000000" w:themeColor="text1"/>
                <w:kern w:val="2"/>
                <w:sz w:val="24"/>
                <w:szCs w:val="24"/>
                <w:highlight w:val="none"/>
                <w14:textFill>
                  <w14:solidFill>
                    <w14:schemeClr w14:val="tx1"/>
                  </w14:solidFill>
                </w14:textFill>
              </w:rPr>
              <w:t>注：能够出现异常解密、递交电子备份文件的前提，是供应商已上传了标书且未能按时正常解密标书；系统生成标书时，生成两份，一个是磋商用的标书，一个是备份标书；提供的备份标书要跟上传的电子标书是同一份，否则系统也不支持进行异常解密。</w:t>
            </w:r>
          </w:p>
        </w:tc>
      </w:tr>
      <w:bookmarkEnd w:id="73"/>
      <w:bookmarkEnd w:id="74"/>
      <w:bookmarkEnd w:id="75"/>
      <w:bookmarkEnd w:id="76"/>
    </w:tbl>
    <w:p w14:paraId="42FFCA87">
      <w:pPr>
        <w:pStyle w:val="3"/>
        <w:spacing w:line="440" w:lineRule="exact"/>
        <w:rPr>
          <w:rFonts w:ascii="宋体" w:hAnsi="宋体" w:eastAsia="宋体" w:cs="宋体"/>
          <w:color w:val="000000" w:themeColor="text1"/>
          <w:sz w:val="24"/>
          <w:szCs w:val="24"/>
          <w:highlight w:val="none"/>
          <w14:textFill>
            <w14:solidFill>
              <w14:schemeClr w14:val="tx1"/>
            </w14:solidFill>
          </w14:textFill>
        </w:rPr>
      </w:pPr>
      <w:bookmarkStart w:id="77" w:name="_Toc246094910"/>
      <w:bookmarkStart w:id="78" w:name="_Toc246095516"/>
      <w:bookmarkStart w:id="79" w:name="_Toc246095454"/>
      <w:r>
        <w:rPr>
          <w:rFonts w:hint="eastAsia" w:ascii="宋体" w:hAnsi="宋体" w:eastAsia="宋体" w:cs="宋体"/>
          <w:color w:val="000000" w:themeColor="text1"/>
          <w:highlight w:val="none"/>
          <w14:textFill>
            <w14:solidFill>
              <w14:schemeClr w14:val="tx1"/>
            </w14:solidFill>
          </w14:textFill>
        </w:rPr>
        <w:br w:type="page"/>
      </w:r>
      <w:bookmarkStart w:id="80" w:name="_Toc8725"/>
      <w:r>
        <w:rPr>
          <w:rFonts w:hint="eastAsia" w:ascii="宋体" w:hAnsi="宋体" w:eastAsia="宋体" w:cs="宋体"/>
          <w:b/>
          <w:bCs w:val="0"/>
          <w:color w:val="000000" w:themeColor="text1"/>
          <w:sz w:val="28"/>
          <w:szCs w:val="28"/>
          <w:highlight w:val="none"/>
          <w14:textFill>
            <w14:solidFill>
              <w14:schemeClr w14:val="tx1"/>
            </w14:solidFill>
          </w14:textFill>
        </w:rPr>
        <w:t>1、总则</w:t>
      </w:r>
      <w:bookmarkEnd w:id="77"/>
      <w:bookmarkEnd w:id="78"/>
      <w:bookmarkEnd w:id="79"/>
      <w:bookmarkEnd w:id="80"/>
    </w:p>
    <w:p w14:paraId="2DC4A839">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l.1 项目概况</w:t>
      </w:r>
    </w:p>
    <w:p w14:paraId="66024F63">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1.1.1适用范围：本采购文件适用于本项目的采购、磋商、评审、成交、验收、合同履约、付款等行为（法律、法规另有规定的，从其规定）。</w:t>
      </w:r>
    </w:p>
    <w:p w14:paraId="78BA396E">
      <w:pPr>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1.1.2  采购人：见供应商须知前附表。</w:t>
      </w:r>
    </w:p>
    <w:p w14:paraId="2E492B36">
      <w:pPr>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1.1.3  采购代理机构：见供应商须知前附表。</w:t>
      </w:r>
    </w:p>
    <w:p w14:paraId="4B2B4C82">
      <w:pPr>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1.1.4  项目名称：</w:t>
      </w:r>
      <w:r>
        <w:rPr>
          <w:rFonts w:hint="eastAsia" w:ascii="宋体" w:hAnsi="宋体" w:eastAsia="宋体" w:cs="宋体"/>
          <w:bCs/>
          <w:color w:val="000000" w:themeColor="text1"/>
          <w:highlight w:val="none"/>
          <w14:textFill>
            <w14:solidFill>
              <w14:schemeClr w14:val="tx1"/>
            </w14:solidFill>
          </w14:textFill>
        </w:rPr>
        <w:t>见供应商须知前附表。</w:t>
      </w:r>
    </w:p>
    <w:p w14:paraId="15C5D8FD">
      <w:pPr>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1.1.5  项目编号：</w:t>
      </w:r>
      <w:r>
        <w:rPr>
          <w:rFonts w:hint="eastAsia" w:ascii="宋体" w:hAnsi="宋体" w:eastAsia="宋体" w:cs="宋体"/>
          <w:bCs/>
          <w:color w:val="000000" w:themeColor="text1"/>
          <w:highlight w:val="none"/>
          <w14:textFill>
            <w14:solidFill>
              <w14:schemeClr w14:val="tx1"/>
            </w14:solidFill>
          </w14:textFill>
        </w:rPr>
        <w:t>见供应商须知前附表。</w:t>
      </w:r>
    </w:p>
    <w:p w14:paraId="3920F6D6">
      <w:pPr>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1.1.6  采购预算：见供应商须知前附表。</w:t>
      </w:r>
    </w:p>
    <w:p w14:paraId="11FC07CC">
      <w:pPr>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1.1.7  资金来源：见供应商须知前附表。</w:t>
      </w:r>
    </w:p>
    <w:p w14:paraId="4238EC1C">
      <w:pPr>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1.1.8  预留采购份额：见供应商须知前附表。</w:t>
      </w:r>
    </w:p>
    <w:p w14:paraId="2206F507">
      <w:pPr>
        <w:spacing w:after="0" w:line="440" w:lineRule="exact"/>
        <w:ind w:firstLine="482" w:firstLineChars="201"/>
        <w:rPr>
          <w:rFonts w:ascii="宋体" w:hAnsi="宋体" w:eastAsia="微软雅黑"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1.1.9  项目所属行业：项目所属行业</w:t>
      </w:r>
    </w:p>
    <w:p w14:paraId="2E23A50D">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1.2 定义</w:t>
      </w:r>
    </w:p>
    <w:p w14:paraId="1D6228FB">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1.2.1 “采购人"是指依法进行政府采购的国家机关、事业单位、团体组织。</w:t>
      </w:r>
    </w:p>
    <w:p w14:paraId="1B7A5621">
      <w:pPr>
        <w:spacing w:after="0" w:line="440" w:lineRule="exact"/>
        <w:ind w:firstLine="482" w:firstLineChars="201"/>
        <w:rPr>
          <w:rFonts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1.2.2 “采购代理机构”是指依法设立、从事采购代理业务并提供相关服务的社会中介机构。</w:t>
      </w:r>
    </w:p>
    <w:p w14:paraId="7D99BDD2">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1.2.3“供应商”是指响应本文件要求，参加磋商的法人、其他组织或者自然人。如果该供应商在本次磋商中成交，即成为"成交供应商"。法人包括企业法人、机关法人、事业单位法人和社会团体法人。其他组织包括合伙企业、非企业专业服务机构、个体工商户、农村承包经营户及国家有关法律法规规定的组织。自然人是指中国公民。本项目允许电信行业分支机构的身份参加磋商。</w:t>
      </w:r>
    </w:p>
    <w:p w14:paraId="253CAC91">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1.2.4“服务”系指除货物和工程以外的其他政府采购对象。</w:t>
      </w:r>
    </w:p>
    <w:p w14:paraId="386467E3">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1.2.5“书面形式”如无特殊规定，“书面形式” 是指合同书、信件和数据电文(包括电报、电传、传真、电子数据交换和电子邮件)等可以有形地表现所载内容的形式。采购文件如有特殊规定，以采购文件规定为准。</w:t>
      </w:r>
    </w:p>
    <w:p w14:paraId="7EDD78E7">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1.2.6本文件中的“法定代表人”若法律法规无特别规定，当供应商是企业的，则对应指企业法人营业执照上的法定代表人；当供应商是事业单位的，则对应指事业单位法人证书上的法定代表人；当供应商是社会团体、民办非企业的，则对应指法人登记证书中的法定代表人；当供应商是个体工商户的，则对应指个体工商户营业执照上的经营者；当供应商是自然人的，则对应指参与本项目响应的自然人本人。</w:t>
      </w:r>
    </w:p>
    <w:p w14:paraId="3423B1D1">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1.2.7标注“▲”号的条款或要求系指实质性条款或实质性要求。</w:t>
      </w:r>
    </w:p>
    <w:p w14:paraId="3934EE08">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1.3 供应商的基本条件</w:t>
      </w:r>
    </w:p>
    <w:p w14:paraId="0A86AB83">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1.3.1 基本资格条件：见“供应商须知前附表”规定。</w:t>
      </w:r>
    </w:p>
    <w:p w14:paraId="2CB9CECC">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1.3.2 供应商的特定要求：见“供应商须知前附表”规定。</w:t>
      </w:r>
    </w:p>
    <w:p w14:paraId="1D173A14">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1.3.3 存在下列情形之一的供应商不得参加资格性审查： </w:t>
      </w:r>
    </w:p>
    <w:p w14:paraId="1A77D6AC">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1）单位负责人为同一人或者存在直接控股、管理关系的不同供应商，不得参加本项目同一合同项下的政府采购活动。为本项目提供规范编制或者项目管理、监理、检测等服务的供应商，不得再参加本项目的采购活动。 </w:t>
      </w:r>
    </w:p>
    <w:p w14:paraId="08AAE526">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（2）在财政部门禁止参加政府采购活动期限以内的。</w:t>
      </w:r>
    </w:p>
    <w:p w14:paraId="38DD7456">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1.3.4 按本项目磋商公告规定方式获得磋商文件。 </w:t>
      </w:r>
    </w:p>
    <w:p w14:paraId="199F2437">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1.3.5 本项目是否接受联合体磋商，见“供应商须知前附表”规定。</w:t>
      </w:r>
    </w:p>
    <w:p w14:paraId="39005C2E">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1.4 语言文字及计量单位</w:t>
      </w:r>
    </w:p>
    <w:p w14:paraId="579292AD">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1.4.1磋商文件以及供应商与采购人就有关磋商事宜的所有来往函电，均应以中文书写。对不同文字文本的解释发生异议的，以中文文本为准。供应商提交的支持文件和印刷的文献可以使用别的语言，但其相应内容必须附有中文翻译文本，在解释响应文件时以翻译文本为主。</w:t>
      </w:r>
    </w:p>
    <w:p w14:paraId="78F3088C">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1.4.2计量单位磋商文件已有明确规定的，使用磋商文件规定的计量单位；磋商文件没有规定的，应采用中华人民共和国法定计量单位，否则视同未响应。</w:t>
      </w:r>
    </w:p>
    <w:p w14:paraId="10CB7C54">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1.5 磋商费用</w:t>
      </w:r>
    </w:p>
    <w:p w14:paraId="7E4D4C6E">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1.5.1不论磋商结果如何，供应商应自行承担所有与编写和提交响应文件有关的费用，采购人和采购代理机构在任何情况下无义务和责任承担此类费用。</w:t>
      </w:r>
    </w:p>
    <w:p w14:paraId="2239B2C5">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1.5.2本项目的采购代理服务费按须知</w:t>
      </w:r>
      <w:r>
        <w:rPr>
          <w:rFonts w:hint="eastAsia" w:ascii="宋体" w:hAnsi="宋体" w:eastAsia="宋体" w:cs="宋体"/>
          <w:bCs/>
          <w:color w:val="000000" w:themeColor="text1"/>
          <w:highlight w:val="none"/>
          <w14:textFill>
            <w14:solidFill>
              <w14:schemeClr w14:val="tx1"/>
            </w14:solidFill>
          </w14:textFill>
        </w:rPr>
        <w:t>前附表</w:t>
      </w:r>
      <w:r>
        <w:rPr>
          <w:rFonts w:hint="eastAsia" w:ascii="宋体" w:hAnsi="宋体" w:eastAsia="宋体" w:cs="宋体"/>
          <w:color w:val="000000" w:themeColor="text1"/>
          <w:highlight w:val="none"/>
          <w14:textFill>
            <w14:solidFill>
              <w14:schemeClr w14:val="tx1"/>
            </w14:solidFill>
          </w14:textFill>
        </w:rPr>
        <w:t>的规定执行，由成交供应商在领取成交通知书前，一次性向采购代理机构支付。</w:t>
      </w:r>
    </w:p>
    <w:p w14:paraId="5A2EB045">
      <w:pPr>
        <w:pStyle w:val="3"/>
        <w:spacing w:line="440" w:lineRule="exact"/>
        <w:rPr>
          <w:rFonts w:ascii="宋体" w:hAnsi="宋体" w:eastAsia="宋体" w:cs="宋体"/>
          <w:b/>
          <w:bCs w:val="0"/>
          <w:color w:val="000000" w:themeColor="text1"/>
          <w:sz w:val="24"/>
          <w:szCs w:val="24"/>
          <w:highlight w:val="none"/>
          <w14:textFill>
            <w14:solidFill>
              <w14:schemeClr w14:val="tx1"/>
            </w14:solidFill>
          </w14:textFill>
        </w:rPr>
      </w:pPr>
      <w:bookmarkStart w:id="81" w:name="_Toc468915367"/>
      <w:bookmarkStart w:id="82" w:name="_Toc494"/>
      <w:r>
        <w:rPr>
          <w:rFonts w:hint="eastAsia" w:ascii="宋体" w:hAnsi="宋体" w:eastAsia="宋体" w:cs="宋体"/>
          <w:b/>
          <w:bCs w:val="0"/>
          <w:color w:val="000000" w:themeColor="text1"/>
          <w:sz w:val="24"/>
          <w:szCs w:val="24"/>
          <w:highlight w:val="none"/>
          <w14:textFill>
            <w14:solidFill>
              <w14:schemeClr w14:val="tx1"/>
            </w14:solidFill>
          </w14:textFill>
        </w:rPr>
        <w:t>2、磋商文件</w:t>
      </w:r>
      <w:bookmarkEnd w:id="81"/>
      <w:bookmarkEnd w:id="82"/>
    </w:p>
    <w:p w14:paraId="5AAEBF32">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2.1 磋商文件的组成</w:t>
      </w:r>
    </w:p>
    <w:p w14:paraId="61BC3AE2">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2.1.1竞争性磋商文件包括下列内容：</w:t>
      </w:r>
    </w:p>
    <w:p w14:paraId="73BE19D7">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（1）第一章  竞争性磋商公告</w:t>
      </w:r>
    </w:p>
    <w:p w14:paraId="0C2D14AE">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（2）第二章  供应商须知</w:t>
      </w:r>
    </w:p>
    <w:p w14:paraId="08182AF3">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（3）第三章  项目采购需求</w:t>
      </w:r>
    </w:p>
    <w:p w14:paraId="507030C9">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（4）第四章  评审方法及评审标准</w:t>
      </w:r>
    </w:p>
    <w:p w14:paraId="1EB3B386">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（5）第五章  合同主要条款</w:t>
      </w:r>
    </w:p>
    <w:p w14:paraId="53ABA8DE">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（6）第六章  响应文件格式</w:t>
      </w:r>
    </w:p>
    <w:p w14:paraId="21D01148">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2.1.2除本供应商须知第1.7.1款所述的竞争性磋商文件内容外，采购人在采购期间、符合法定时间发出的答疑、澄清、修改或补充内容，均是竞争性磋商文件的组成部分，对采购人和供应商起约束作用。</w:t>
      </w:r>
    </w:p>
    <w:p w14:paraId="2F361118">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2.1.3供应商应认真审阅竞争性磋商文件。如果供应商编制的响应文件不符合竞争性磋商文件的要求，责任由供应商自负。实质上不响应竞争性磋商文件要求的响应文件将被采购人拒绝。</w:t>
      </w:r>
    </w:p>
    <w:p w14:paraId="73C6B206">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2.2 磋商文件的澄清</w:t>
      </w:r>
    </w:p>
    <w:p w14:paraId="5F3AFEF5">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2.2.1 供应商应仔细阅读和检查竞争性磋商文件的全部内容。如发现缺页、有误或有不合理要求的，供应商宜在提交首次响应文件截止之日前5天，以书面形式要求采购人或采购代理机构澄清。</w:t>
      </w:r>
    </w:p>
    <w:p w14:paraId="0F6B42E5">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2.2.2采购人、采购代理机构可以对已发出的磋商文件进行必要的澄清，澄清的内容作为磋商文件的组成部分。澄清的内容可能影响响应文件编制的，采购人、采购代理机构应当在提交首次响应文件截止时间5日前，以公告形式（在发布竞争性磋商公告的发布媒介上发布）发给所有购买竞争性磋商文件的供应商，但不指明澄清问题的来源，供应商未及时实时关注采购代理机构在公告发布媒介上发布的澄清文件造成的损失，由供应商自行负责。不足5日的，将顺延提交首次响应文件截止时间。该澄清的内容为磋商文件的组成部分。</w:t>
      </w:r>
    </w:p>
    <w:p w14:paraId="7D2514C9">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2.2.3当磋商文件与磋商文件的澄清就同一内容的表述不一致时，以最后发出的书面文件为准。</w:t>
      </w:r>
    </w:p>
    <w:p w14:paraId="34FBB229">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2.3 磋商文件的修改</w:t>
      </w:r>
    </w:p>
    <w:p w14:paraId="00D822B3">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2.3.1采购人、采购代理机构可以对已发出的磋商文件进行必要的修改，修改的内容作为磋商文件的组成部分。修改的内容可能影响响应文件编制的，采购人、采购代理机构应当在提交首次响应文件截止时间5日前，以公告形式（在发布竞争性磋商公告的发布媒介上发布）发给所有购买竞争性磋商文件的供应商，供应商未及时实时关注采购代理机构在公告发布媒介上发布的修改文件造成的损失，由供应商自行负责。不足5日的，将顺延提交首次响应文件截止时间。该修改的内容为磋商文件的组成部分。</w:t>
      </w:r>
    </w:p>
    <w:p w14:paraId="575F7922">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2.3.2当磋商文件与磋商文件的修改就同一内容的表述不一致时，以最后发出的书面文件为准。</w:t>
      </w:r>
    </w:p>
    <w:p w14:paraId="651E856F">
      <w:pPr>
        <w:pStyle w:val="3"/>
        <w:spacing w:line="440" w:lineRule="exact"/>
        <w:rPr>
          <w:rFonts w:ascii="宋体" w:hAnsi="宋体" w:eastAsia="宋体" w:cs="宋体"/>
          <w:b/>
          <w:bCs w:val="0"/>
          <w:color w:val="000000" w:themeColor="text1"/>
          <w:sz w:val="24"/>
          <w:szCs w:val="24"/>
          <w:highlight w:val="none"/>
          <w14:textFill>
            <w14:solidFill>
              <w14:schemeClr w14:val="tx1"/>
            </w14:solidFill>
          </w14:textFill>
        </w:rPr>
      </w:pPr>
      <w:bookmarkStart w:id="83" w:name="_Toc8885"/>
      <w:bookmarkStart w:id="84" w:name="_Toc468915368"/>
      <w:r>
        <w:rPr>
          <w:rFonts w:hint="eastAsia" w:ascii="宋体" w:hAnsi="宋体" w:eastAsia="宋体" w:cs="宋体"/>
          <w:b/>
          <w:bCs w:val="0"/>
          <w:color w:val="000000" w:themeColor="text1"/>
          <w:sz w:val="24"/>
          <w:szCs w:val="24"/>
          <w:highlight w:val="none"/>
          <w14:textFill>
            <w14:solidFill>
              <w14:schemeClr w14:val="tx1"/>
            </w14:solidFill>
          </w14:textFill>
        </w:rPr>
        <w:t>3、响应文件</w:t>
      </w:r>
      <w:bookmarkEnd w:id="83"/>
      <w:bookmarkEnd w:id="84"/>
    </w:p>
    <w:p w14:paraId="06987522">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3.1 响应文件的组成</w:t>
      </w:r>
    </w:p>
    <w:p w14:paraId="11D1478D">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响应文件应分为价格文件和商务技术文件两个部分组成。</w:t>
      </w:r>
    </w:p>
    <w:p w14:paraId="3656703C">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3.1.1价格文件：具体材料见“供应商须知前附表”。</w:t>
      </w:r>
    </w:p>
    <w:p w14:paraId="2953C3AC">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3.1.2 商务技术文件：具体材料见“供应商须知前附表”。</w:t>
      </w:r>
    </w:p>
    <w:p w14:paraId="00317A15">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3.1.3 响应文件电子版：具体材料见“供应商须知前附表”。</w:t>
      </w:r>
    </w:p>
    <w:p w14:paraId="6CBBA30E">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3.2 供应商应按照采购人提供的响应文件格式和顺序，自行编制响应文件，响应文件应包含本须知第3.1条中规定的内容，但表格可以按同样格式扩展。</w:t>
      </w:r>
    </w:p>
    <w:p w14:paraId="6786C49E">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3.3 磋商报价</w:t>
      </w:r>
    </w:p>
    <w:p w14:paraId="7A0AB4B8">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3.3.1磋商报价应按磋商文件中相关附表格式填写。</w:t>
      </w:r>
    </w:p>
    <w:p w14:paraId="3ED9F16B">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3.3.2磋商报价是履行合同的最终价格。应包括第三章“项目采购需求”规定的各项价格，若无规定，则应包括完成本项目服务内容所需的一切税金和费用。</w:t>
      </w:r>
    </w:p>
    <w:p w14:paraId="7DE63C85">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3.3.3响应文件只允许有一个有效最后报价，有选择的或有条件的最后报价将不予接受。</w:t>
      </w:r>
    </w:p>
    <w:p w14:paraId="7E73A880">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3.3.4报价超出采购预算金额或最高限价（如有）的，将作为无效响应文件处理。</w:t>
      </w:r>
    </w:p>
    <w:p w14:paraId="36389A81">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3.3.5对于本文件中未列明，而供应商认为必需的费用也需列入总报价。在合同实施时，采购人将不予支付成交供应商没有列入的项目费用，并认为此项目的费用已包括在总报价中。</w:t>
      </w:r>
    </w:p>
    <w:p w14:paraId="6C1099A3">
      <w:pPr>
        <w:spacing w:after="0" w:line="440" w:lineRule="exact"/>
        <w:ind w:firstLine="482" w:firstLineChars="201"/>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3.3.6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响应文件处理。</w:t>
      </w:r>
    </w:p>
    <w:p w14:paraId="38D90F55">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书面说明应当签字确认或者加盖公章，否则无效。供应商为法人的，由其法定代表人或者授权代表签名或盖章确认；供应商为其他组织的，由其主要负责人或者授权代表签名或盖章确认；供应商为自然人的，由其本人或者授权代表签名或盖章确认。</w:t>
      </w:r>
    </w:p>
    <w:p w14:paraId="25DF5AEC">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3.4 响应有效期</w:t>
      </w:r>
    </w:p>
    <w:p w14:paraId="57517E40">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3.4.1在供应商须知前附表规定的响应有效期内，供应商不得要求撤销或修改其响应文件。有效期不足的响应文件按无效处理。</w:t>
      </w:r>
    </w:p>
    <w:p w14:paraId="2BD80EB7">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3.4.2 出现特殊情况需要延长响应有效期的，采购人以书面形式通知所有供应商延长响应有效期。供应商同意延长的，应相应延长其磋商保证金的有效期，但不得要求或被允许修改或撤销其响应文件；供应商拒绝延长的，其响应文件失效，但供应商有权收回其磋商保证金。</w:t>
      </w:r>
    </w:p>
    <w:p w14:paraId="643E24E3">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3.5 磋商保证金</w:t>
      </w:r>
    </w:p>
    <w:p w14:paraId="7FDB64F8">
      <w:pPr>
        <w:spacing w:after="0" w:line="40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详见供应商须知前附表。</w:t>
      </w:r>
    </w:p>
    <w:p w14:paraId="090661E6">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bookmarkStart w:id="85" w:name="_Toc10220119"/>
      <w:r>
        <w:rPr>
          <w:rFonts w:hint="eastAsia" w:ascii="宋体" w:hAnsi="宋体" w:eastAsia="宋体" w:cs="宋体"/>
          <w:b/>
          <w:color w:val="000000" w:themeColor="text1"/>
          <w:highlight w:val="none"/>
          <w14:textFill>
            <w14:solidFill>
              <w14:schemeClr w14:val="tx1"/>
            </w14:solidFill>
          </w14:textFill>
        </w:rPr>
        <w:t>3.6 响应文件的</w:t>
      </w:r>
      <w:bookmarkEnd w:id="85"/>
      <w:r>
        <w:rPr>
          <w:rFonts w:hint="eastAsia" w:ascii="宋体" w:hAnsi="宋体" w:eastAsia="宋体" w:cs="宋体"/>
          <w:b/>
          <w:color w:val="000000" w:themeColor="text1"/>
          <w:highlight w:val="none"/>
          <w14:textFill>
            <w14:solidFill>
              <w14:schemeClr w14:val="tx1"/>
            </w14:solidFill>
          </w14:textFill>
        </w:rPr>
        <w:t>编制</w:t>
      </w:r>
    </w:p>
    <w:p w14:paraId="781D362A">
      <w:pPr>
        <w:pStyle w:val="23"/>
        <w:adjustRightInd w:val="0"/>
        <w:snapToGrid w:val="0"/>
        <w:spacing w:line="400" w:lineRule="exact"/>
        <w:ind w:firstLine="480" w:firstLineChars="200"/>
        <w:rPr>
          <w:rFonts w:hAnsi="宋体" w:cs="宋体"/>
          <w:color w:val="000000" w:themeColor="text1"/>
          <w:kern w:val="2"/>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3.6</w:t>
      </w:r>
      <w:r>
        <w:rPr>
          <w:rFonts w:hint="eastAsia" w:hAnsi="宋体" w:cs="宋体"/>
          <w:color w:val="000000" w:themeColor="text1"/>
          <w:kern w:val="2"/>
          <w:sz w:val="24"/>
          <w:szCs w:val="24"/>
          <w:highlight w:val="none"/>
          <w14:textFill>
            <w14:solidFill>
              <w14:schemeClr w14:val="tx1"/>
            </w14:solidFill>
          </w14:textFill>
        </w:rPr>
        <w:t xml:space="preserve">.1 供应商应根据“政府采购项目电子交易管理操作指南-供应商”及本竞争性磋商文件规定的格式编制响应文件，响应文件内容不完整、编排混乱导致响应文件被误读、漏读或者查找不到相关内容的，是供应商的责任。 </w:t>
      </w:r>
    </w:p>
    <w:p w14:paraId="7FAB6925">
      <w:pPr>
        <w:pStyle w:val="23"/>
        <w:adjustRightInd w:val="0"/>
        <w:snapToGrid w:val="0"/>
        <w:spacing w:line="400" w:lineRule="exact"/>
        <w:ind w:firstLine="480" w:firstLineChars="200"/>
        <w:rPr>
          <w:rFonts w:hAnsi="宋体" w:cs="宋体"/>
          <w:color w:val="000000" w:themeColor="text1"/>
          <w:kern w:val="2"/>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3.6</w:t>
      </w:r>
      <w:r>
        <w:rPr>
          <w:rFonts w:hint="eastAsia" w:hAnsi="宋体" w:cs="宋体"/>
          <w:color w:val="000000" w:themeColor="text1"/>
          <w:kern w:val="2"/>
          <w:sz w:val="24"/>
          <w:szCs w:val="24"/>
          <w:highlight w:val="none"/>
          <w14:textFill>
            <w14:solidFill>
              <w14:schemeClr w14:val="tx1"/>
            </w14:solidFill>
          </w14:textFill>
        </w:rPr>
        <w:t xml:space="preserve">.2 响应文件须由供应商在规定位置盖公章并由法定代表人或委托代理人签字或签章，否则其响应文件按无效响应处理。 </w:t>
      </w:r>
    </w:p>
    <w:p w14:paraId="03C358CA">
      <w:pPr>
        <w:pStyle w:val="23"/>
        <w:adjustRightInd w:val="0"/>
        <w:snapToGrid w:val="0"/>
        <w:spacing w:line="400" w:lineRule="exact"/>
        <w:ind w:firstLine="480" w:firstLineChars="200"/>
        <w:rPr>
          <w:rFonts w:hAnsi="宋体" w:cs="宋体"/>
          <w:color w:val="000000" w:themeColor="text1"/>
          <w:kern w:val="2"/>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3.6</w:t>
      </w:r>
      <w:r>
        <w:rPr>
          <w:rFonts w:hint="eastAsia" w:hAnsi="宋体" w:cs="宋体"/>
          <w:color w:val="000000" w:themeColor="text1"/>
          <w:kern w:val="2"/>
          <w:sz w:val="24"/>
          <w:szCs w:val="24"/>
          <w:highlight w:val="none"/>
          <w14:textFill>
            <w14:solidFill>
              <w14:schemeClr w14:val="tx1"/>
            </w14:solidFill>
          </w14:textFill>
        </w:rPr>
        <w:t xml:space="preserve">.3 响应文件中标注的供应商名称应与营业执照（事业单位法人证书、执业许可证、自然人 身份证）及电子公章一致，否则其响应文件按无效响应处理。 </w:t>
      </w:r>
    </w:p>
    <w:p w14:paraId="3D0F12D4">
      <w:pPr>
        <w:pStyle w:val="23"/>
        <w:adjustRightInd w:val="0"/>
        <w:snapToGrid w:val="0"/>
        <w:spacing w:line="400" w:lineRule="exact"/>
        <w:ind w:firstLine="480" w:firstLineChars="200"/>
        <w:rPr>
          <w:rFonts w:hAnsi="宋体" w:cs="宋体"/>
          <w:color w:val="000000" w:themeColor="text1"/>
          <w:kern w:val="2"/>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3.6</w:t>
      </w:r>
      <w:r>
        <w:rPr>
          <w:rFonts w:hint="eastAsia" w:hAnsi="宋体" w:cs="宋体"/>
          <w:color w:val="000000" w:themeColor="text1"/>
          <w:kern w:val="2"/>
          <w:sz w:val="24"/>
          <w:szCs w:val="24"/>
          <w:highlight w:val="none"/>
          <w14:textFill>
            <w14:solidFill>
              <w14:schemeClr w14:val="tx1"/>
            </w14:solidFill>
          </w14:textFill>
        </w:rPr>
        <w:t xml:space="preserve">.4 响应文件应尽量避免涂改、行间插字或删除。如果出现上述情况，改动之处应由供应商的法定代表人或其委托代理人签字或加盖电子公章。响应文件因涂改、行间插字或删除导致字迹潦草或表达不清所引起的后果由供应商承担。 </w:t>
      </w:r>
    </w:p>
    <w:p w14:paraId="08465073">
      <w:pPr>
        <w:pStyle w:val="23"/>
        <w:adjustRightInd w:val="0"/>
        <w:snapToGrid w:val="0"/>
        <w:spacing w:line="400" w:lineRule="exact"/>
        <w:ind w:firstLine="480" w:firstLineChars="200"/>
        <w:rPr>
          <w:rFonts w:hAnsi="宋体" w:cs="宋体"/>
          <w:color w:val="000000" w:themeColor="text1"/>
          <w:kern w:val="2"/>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3.6</w:t>
      </w:r>
      <w:r>
        <w:rPr>
          <w:rFonts w:hint="eastAsia" w:hAnsi="宋体" w:cs="宋体"/>
          <w:color w:val="000000" w:themeColor="text1"/>
          <w:kern w:val="2"/>
          <w:sz w:val="24"/>
          <w:szCs w:val="24"/>
          <w:highlight w:val="none"/>
          <w14:textFill>
            <w14:solidFill>
              <w14:schemeClr w14:val="tx1"/>
            </w14:solidFill>
          </w14:textFill>
        </w:rPr>
        <w:t xml:space="preserve">.5电子响应文件中须加盖供应商公章部分均采用 CA 签章，并根据“政府采购项目电子交易管理操作指南-供应商” 及本竞争性磋商文件规定的格式和顺序编制电子响应文件并进行关联定位，以便磋商小组在评审时，点击评分项可直接定位到该评分项内容。如对竞争性磋商文件的某项要求，供应商的电子响应文件未能关联定位提供相应的内容与其对应，则磋商小组在评审时如做出对供应商不利的评审由供应商自行承担。电子响应文件如内容不完整、编排混乱导致响应文件被误读、漏读，或者在按采购文件规定的部位查找不到相关内容的，由供应商自行承担。 </w:t>
      </w:r>
    </w:p>
    <w:p w14:paraId="2572C429">
      <w:pPr>
        <w:pStyle w:val="23"/>
        <w:adjustRightInd w:val="0"/>
        <w:snapToGrid w:val="0"/>
        <w:spacing w:line="400" w:lineRule="exact"/>
        <w:ind w:firstLine="480" w:firstLineChars="200"/>
        <w:rPr>
          <w:rFonts w:hAnsi="宋体" w:cs="宋体"/>
          <w:color w:val="000000" w:themeColor="text1"/>
          <w:kern w:val="2"/>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3.6</w:t>
      </w:r>
      <w:r>
        <w:rPr>
          <w:rFonts w:hint="eastAsia" w:hAnsi="宋体" w:cs="宋体"/>
          <w:color w:val="000000" w:themeColor="text1"/>
          <w:kern w:val="2"/>
          <w:sz w:val="24"/>
          <w:szCs w:val="24"/>
          <w:highlight w:val="none"/>
          <w14:textFill>
            <w14:solidFill>
              <w14:schemeClr w14:val="tx1"/>
            </w14:solidFill>
          </w14:textFill>
        </w:rPr>
        <w:t xml:space="preserve">.6  CA 签章上关于法人或授权代表签字信息，供应商在响应文件中涉及到要求签字的位置线下【签好字然后扫描或者拍照做成 PDF 的格式】或【通过政采云电子交易客户端使用 CA 法人或授权代表签章】亦可。响应文件中涉及到签字的位置未按要求签字的，提供的材料视为无效。 </w:t>
      </w:r>
    </w:p>
    <w:p w14:paraId="5C9D991E">
      <w:pPr>
        <w:pStyle w:val="23"/>
        <w:adjustRightInd w:val="0"/>
        <w:snapToGrid w:val="0"/>
        <w:spacing w:line="400" w:lineRule="exact"/>
        <w:ind w:firstLine="480" w:firstLineChars="200"/>
        <w:rPr>
          <w:rFonts w:hAnsi="宋体" w:cs="宋体"/>
          <w:color w:val="000000" w:themeColor="text1"/>
          <w:kern w:val="2"/>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3.6</w:t>
      </w:r>
      <w:r>
        <w:rPr>
          <w:rFonts w:hint="eastAsia" w:hAnsi="宋体" w:cs="宋体"/>
          <w:color w:val="000000" w:themeColor="text1"/>
          <w:kern w:val="2"/>
          <w:sz w:val="24"/>
          <w:szCs w:val="24"/>
          <w:highlight w:val="none"/>
          <w14:textFill>
            <w14:solidFill>
              <w14:schemeClr w14:val="tx1"/>
            </w14:solidFill>
          </w14:textFill>
        </w:rPr>
        <w:t>.7响应文件（包含电子备份响应文件），其中电子响应文件中所须加盖公章部分均采用 CA 签章或企业公章。若竞争性磋商文件中有专门标注的某关联点，并要求供应商在电子响应系统中作出响应响应的，如供应商未对关联点进行响应或者在响应文件其它内容进行描述，造成电子评审不能查询的责任由供应商自行承担。</w:t>
      </w:r>
    </w:p>
    <w:p w14:paraId="46BB2469">
      <w:pPr>
        <w:spacing w:after="0" w:line="440" w:lineRule="exact"/>
        <w:ind w:firstLine="484" w:firstLineChars="201"/>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3.6.9磋商响应文件中所提供的资格证明文件及相关材料若为复印件必须加盖磋商单位电子公章，否则视为无效。</w:t>
      </w:r>
    </w:p>
    <w:p w14:paraId="7EC0018B">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3.7 响应文件的密封和标识</w:t>
      </w:r>
    </w:p>
    <w:p w14:paraId="05077544">
      <w:pPr>
        <w:pStyle w:val="23"/>
        <w:adjustRightInd w:val="0"/>
        <w:snapToGrid w:val="0"/>
        <w:spacing w:line="400" w:lineRule="exact"/>
        <w:ind w:firstLine="482" w:firstLineChars="200"/>
        <w:rPr>
          <w:rFonts w:hAnsi="宋体" w:cs="宋体"/>
          <w:color w:val="000000" w:themeColor="text1"/>
          <w:kern w:val="2"/>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3.7</w:t>
      </w:r>
      <w:r>
        <w:rPr>
          <w:rFonts w:hint="eastAsia" w:hAnsi="宋体" w:cs="宋体"/>
          <w:color w:val="000000" w:themeColor="text1"/>
          <w:kern w:val="2"/>
          <w:sz w:val="24"/>
          <w:szCs w:val="24"/>
          <w:highlight w:val="none"/>
          <w14:textFill>
            <w14:solidFill>
              <w14:schemeClr w14:val="tx1"/>
            </w14:solidFill>
          </w14:textFill>
        </w:rPr>
        <w:t xml:space="preserve">.1 </w:t>
      </w:r>
      <w:r>
        <w:rPr>
          <w:rFonts w:hint="eastAsia" w:hAnsi="宋体" w:cs="宋体"/>
          <w:color w:val="000000" w:themeColor="text1"/>
          <w:kern w:val="2"/>
          <w:sz w:val="24"/>
          <w:szCs w:val="24"/>
          <w:highlight w:val="none"/>
          <w:lang w:val="zh-CN"/>
          <w14:textFill>
            <w14:solidFill>
              <w14:schemeClr w14:val="tx1"/>
            </w14:solidFill>
          </w14:textFill>
        </w:rPr>
        <w:t>供应商进行电子交易应安装客户端软件—“政采云电子交易客户端”，并按照磋商文件和电子交易平台的要求编制并加密响应文件。供应商未按规定加密的响应文件，电子交易平台将拒收并提示。</w:t>
      </w:r>
      <w:r>
        <w:rPr>
          <w:rFonts w:hint="eastAsia" w:hAnsi="宋体" w:cs="宋体"/>
          <w:color w:val="000000" w:themeColor="text1"/>
          <w:kern w:val="2"/>
          <w:sz w:val="24"/>
          <w:szCs w:val="24"/>
          <w:highlight w:val="none"/>
          <w14:textFill>
            <w14:solidFill>
              <w14:schemeClr w14:val="tx1"/>
            </w14:solidFill>
          </w14:textFill>
        </w:rPr>
        <w:t xml:space="preserve"> </w:t>
      </w:r>
    </w:p>
    <w:p w14:paraId="363D8403">
      <w:pPr>
        <w:pStyle w:val="23"/>
        <w:adjustRightInd w:val="0"/>
        <w:snapToGrid w:val="0"/>
        <w:spacing w:line="400" w:lineRule="exact"/>
        <w:ind w:firstLine="482" w:firstLineChars="200"/>
        <w:rPr>
          <w:rFonts w:hAnsi="宋体" w:cs="宋体"/>
          <w:color w:val="000000" w:themeColor="text1"/>
          <w:kern w:val="2"/>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3.7</w:t>
      </w:r>
      <w:r>
        <w:rPr>
          <w:rFonts w:hint="eastAsia" w:hAnsi="宋体" w:cs="宋体"/>
          <w:color w:val="000000" w:themeColor="text1"/>
          <w:kern w:val="2"/>
          <w:sz w:val="24"/>
          <w:szCs w:val="24"/>
          <w:highlight w:val="none"/>
          <w14:textFill>
            <w14:solidFill>
              <w14:schemeClr w14:val="tx1"/>
            </w14:solidFill>
          </w14:textFill>
        </w:rPr>
        <w:t>.2</w:t>
      </w:r>
      <w:r>
        <w:rPr>
          <w:rFonts w:hint="eastAsia" w:hAnsi="宋体" w:cs="宋体"/>
          <w:color w:val="000000" w:themeColor="text1"/>
          <w:kern w:val="2"/>
          <w:sz w:val="24"/>
          <w:szCs w:val="24"/>
          <w:highlight w:val="none"/>
          <w:lang w:val="zh-CN"/>
          <w14:textFill>
            <w14:solidFill>
              <w14:schemeClr w14:val="tx1"/>
            </w14:solidFill>
          </w14:textFill>
        </w:rPr>
        <w:t>使用“政采云电子交易客户端”需要提前申领CA数字证书，申领流程见该项目采购公告附件。</w:t>
      </w:r>
      <w:r>
        <w:rPr>
          <w:rFonts w:hint="eastAsia" w:hAnsi="宋体" w:cs="宋体"/>
          <w:color w:val="000000" w:themeColor="text1"/>
          <w:kern w:val="2"/>
          <w:sz w:val="24"/>
          <w:szCs w:val="24"/>
          <w:highlight w:val="none"/>
          <w14:textFill>
            <w14:solidFill>
              <w14:schemeClr w14:val="tx1"/>
            </w14:solidFill>
          </w14:textFill>
        </w:rPr>
        <w:t xml:space="preserve"> </w:t>
      </w:r>
    </w:p>
    <w:p w14:paraId="7A734078">
      <w:pPr>
        <w:pStyle w:val="23"/>
        <w:adjustRightInd w:val="0"/>
        <w:snapToGrid w:val="0"/>
        <w:spacing w:line="400" w:lineRule="exact"/>
        <w:ind w:firstLine="482" w:firstLineChars="200"/>
        <w:rPr>
          <w:rFonts w:hAnsi="宋体" w:cs="宋体"/>
          <w:color w:val="000000" w:themeColor="text1"/>
          <w:kern w:val="2"/>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3.7</w:t>
      </w:r>
      <w:r>
        <w:rPr>
          <w:rFonts w:hint="eastAsia" w:hAnsi="宋体" w:cs="宋体"/>
          <w:color w:val="000000" w:themeColor="text1"/>
          <w:kern w:val="2"/>
          <w:sz w:val="24"/>
          <w:szCs w:val="24"/>
          <w:highlight w:val="none"/>
          <w14:textFill>
            <w14:solidFill>
              <w14:schemeClr w14:val="tx1"/>
            </w14:solidFill>
          </w14:textFill>
        </w:rPr>
        <w:t>.3 为确保网上操作合法、有效和安全，供应商应当在响应文件提交截止时间前完成在“政府采购云平台”的身份认证，确保在电子交易过程中能够对相关数据电文进行加密和使用电子签名。</w:t>
      </w:r>
    </w:p>
    <w:p w14:paraId="013B8848">
      <w:pPr>
        <w:spacing w:after="0" w:line="440" w:lineRule="exact"/>
        <w:ind w:firstLine="484" w:firstLineChars="201"/>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3.8 响应文件的递交</w:t>
      </w:r>
    </w:p>
    <w:p w14:paraId="0ADD036E">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3.8.1 供应商必须在“供应商须知前附表”规定的时间和地点提交响应文件。</w:t>
      </w:r>
    </w:p>
    <w:p w14:paraId="060B2EF2">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3.8.2在响应文件提交截止时间以后，不能补充、修改响应文件。</w:t>
      </w:r>
    </w:p>
    <w:p w14:paraId="24F3FA9F">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3.8.3在提交“最后报价”后，供应商不能退出谈判。</w:t>
      </w:r>
    </w:p>
    <w:p w14:paraId="70D25D18">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3.8.4电子交易平台收到响应文件，将妥善保存并即时向供应商发出确认回执通知。在响应文件提交截止时间前，除供应商补充、修改或者撤回响应文件外，任何单位和个人不得解密或提取响应文件。</w:t>
      </w:r>
    </w:p>
    <w:p w14:paraId="13473F82">
      <w:pPr>
        <w:spacing w:after="0" w:line="440" w:lineRule="exact"/>
        <w:ind w:firstLine="484" w:firstLineChars="201"/>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3.9 响应文件的补充、修改和撤回</w:t>
      </w:r>
    </w:p>
    <w:p w14:paraId="120D1A27">
      <w:pPr>
        <w:spacing w:after="0" w:line="440" w:lineRule="exact"/>
        <w:ind w:firstLine="482" w:firstLineChars="201"/>
        <w:jc w:val="both"/>
        <w:rPr>
          <w:rFonts w:ascii="宋体" w:hAnsi="宋体" w:eastAsia="宋体" w:cs="宋体"/>
          <w:color w:val="000000" w:themeColor="text1"/>
          <w:highlight w:val="none"/>
          <w14:textFill>
            <w14:solidFill>
              <w14:schemeClr w14:val="tx1"/>
            </w14:solidFill>
          </w14:textFill>
        </w:rPr>
      </w:pPr>
      <w:bookmarkStart w:id="86" w:name="_Toc10220126"/>
      <w:r>
        <w:rPr>
          <w:rFonts w:hint="eastAsia" w:ascii="宋体" w:hAnsi="宋体" w:eastAsia="宋体" w:cs="宋体"/>
          <w:color w:val="000000" w:themeColor="text1"/>
          <w:highlight w:val="none"/>
          <w14:textFill>
            <w14:solidFill>
              <w14:schemeClr w14:val="tx1"/>
            </w14:solidFill>
          </w14:textFill>
        </w:rPr>
        <w:t>3.9.1 供应商应当在响应文件递交截止时间前，将生成的“电子加密响应文件”上传递交至广西政府采购云平台。响应文件递交截止时间前可以补充、修改或者撤回电子响应文件。补充或者修改电子响应文件的，应当先行撤回原文件，补充、修改后重新传输递交，响应文件递交截止时间前未完成传输的，视为撤回响应文件。</w:t>
      </w:r>
    </w:p>
    <w:p w14:paraId="28A4561B">
      <w:pPr>
        <w:spacing w:after="0" w:line="440" w:lineRule="exact"/>
        <w:ind w:firstLine="482" w:firstLineChars="201"/>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3.9.2首次响应文件的退回</w:t>
      </w:r>
    </w:p>
    <w:p w14:paraId="1CC08308">
      <w:pPr>
        <w:spacing w:after="0" w:line="440" w:lineRule="exact"/>
        <w:ind w:firstLine="482" w:firstLineChars="201"/>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在首次响应文件提交截止时间止提交响应文件的供应商不足3家时电子响应文件由代理机构在“政采云”平台操作退回，除此之外采购人和采购代理机构对已提交的电子响应文件概不退回。</w:t>
      </w:r>
    </w:p>
    <w:p w14:paraId="497AF2D1">
      <w:pPr>
        <w:pStyle w:val="3"/>
        <w:spacing w:line="440" w:lineRule="exact"/>
        <w:rPr>
          <w:rFonts w:ascii="宋体" w:hAnsi="宋体" w:eastAsia="宋体" w:cs="宋体"/>
          <w:b/>
          <w:color w:val="000000" w:themeColor="text1"/>
          <w:sz w:val="24"/>
          <w:szCs w:val="24"/>
          <w:highlight w:val="none"/>
          <w14:textFill>
            <w14:solidFill>
              <w14:schemeClr w14:val="tx1"/>
            </w14:solidFill>
          </w14:textFill>
        </w:rPr>
      </w:pPr>
      <w:bookmarkStart w:id="87" w:name="_Toc24985"/>
      <w:r>
        <w:rPr>
          <w:rFonts w:hint="eastAsia" w:ascii="宋体" w:hAnsi="宋体" w:eastAsia="宋体" w:cs="宋体"/>
          <w:b/>
          <w:color w:val="000000" w:themeColor="text1"/>
          <w:sz w:val="24"/>
          <w:szCs w:val="24"/>
          <w:highlight w:val="none"/>
          <w14:textFill>
            <w14:solidFill>
              <w14:schemeClr w14:val="tx1"/>
            </w14:solidFill>
          </w14:textFill>
        </w:rPr>
        <w:t>4、响应文件递交</w:t>
      </w:r>
      <w:bookmarkEnd w:id="87"/>
    </w:p>
    <w:p w14:paraId="3535438B">
      <w:pPr>
        <w:pStyle w:val="23"/>
        <w:adjustRightInd w:val="0"/>
        <w:snapToGrid w:val="0"/>
        <w:spacing w:line="400" w:lineRule="exact"/>
        <w:ind w:firstLine="482" w:firstLineChars="200"/>
        <w:rPr>
          <w:rFonts w:hAnsi="宋体" w:cs="宋体"/>
          <w:color w:val="000000" w:themeColor="text1"/>
          <w:kern w:val="2"/>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4.1</w:t>
      </w:r>
      <w:r>
        <w:rPr>
          <w:rFonts w:hint="eastAsia" w:hAnsi="宋体" w:cs="宋体"/>
          <w:color w:val="000000" w:themeColor="text1"/>
          <w:kern w:val="2"/>
          <w:sz w:val="24"/>
          <w:szCs w:val="24"/>
          <w:highlight w:val="none"/>
          <w14:textFill>
            <w14:solidFill>
              <w14:schemeClr w14:val="tx1"/>
            </w14:solidFill>
          </w14:textFill>
        </w:rPr>
        <w:t xml:space="preserve"> 详见供应商须知前附表第10条。</w:t>
      </w:r>
    </w:p>
    <w:p w14:paraId="4CED3B8F">
      <w:pPr>
        <w:spacing w:after="0" w:line="440" w:lineRule="exact"/>
        <w:ind w:firstLine="484" w:firstLineChars="201"/>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4.2 演示</w:t>
      </w:r>
      <w:bookmarkEnd w:id="86"/>
    </w:p>
    <w:p w14:paraId="3821EE91">
      <w:pPr>
        <w:spacing w:after="0" w:line="440" w:lineRule="exact"/>
        <w:ind w:firstLine="482" w:firstLineChars="201"/>
        <w:jc w:val="both"/>
        <w:rPr>
          <w:rFonts w:ascii="宋体" w:hAnsi="宋体" w:eastAsia="宋体" w:cs="宋体"/>
          <w:color w:val="000000" w:themeColor="text1"/>
          <w:highlight w:val="none"/>
          <w14:textFill>
            <w14:solidFill>
              <w14:schemeClr w14:val="tx1"/>
            </w14:solidFill>
          </w14:textFill>
        </w:rPr>
      </w:pPr>
      <w:bookmarkStart w:id="88" w:name="_Toc10220127"/>
      <w:r>
        <w:rPr>
          <w:rFonts w:hint="eastAsia" w:ascii="宋体" w:hAnsi="宋体" w:eastAsia="宋体" w:cs="宋体"/>
          <w:color w:val="000000" w:themeColor="text1"/>
          <w:highlight w:val="none"/>
          <w14:textFill>
            <w14:solidFill>
              <w14:schemeClr w14:val="tx1"/>
            </w14:solidFill>
          </w14:textFill>
        </w:rPr>
        <w:t>4.2.1“供应商须知前附表”规定在响应文件递交结束后进行演示的，供应商应按规定按时到达指定地点进行演示。</w:t>
      </w:r>
    </w:p>
    <w:p w14:paraId="0E5BC313">
      <w:pPr>
        <w:spacing w:after="0" w:line="440" w:lineRule="exact"/>
        <w:ind w:firstLine="482" w:firstLineChars="201"/>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4.2.2未按规定时间进行演示或未进行演示可能引起的演示分数被计为0分或响应文件无效等后果由供应商自行承担。</w:t>
      </w:r>
    </w:p>
    <w:p w14:paraId="1B22F0F7">
      <w:pPr>
        <w:spacing w:after="0" w:line="440" w:lineRule="exact"/>
        <w:ind w:firstLine="484" w:firstLineChars="201"/>
        <w:jc w:val="both"/>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4.3 样品</w:t>
      </w:r>
      <w:bookmarkEnd w:id="88"/>
    </w:p>
    <w:p w14:paraId="4F17EC47">
      <w:pPr>
        <w:pStyle w:val="23"/>
        <w:adjustRightInd w:val="0"/>
        <w:snapToGrid w:val="0"/>
        <w:spacing w:line="400" w:lineRule="exact"/>
        <w:ind w:firstLine="480" w:firstLineChars="200"/>
        <w:rPr>
          <w:rFonts w:hAnsi="宋体" w:cs="宋体"/>
          <w:color w:val="000000" w:themeColor="text1"/>
          <w:kern w:val="2"/>
          <w:sz w:val="24"/>
          <w:szCs w:val="24"/>
          <w:highlight w:val="none"/>
          <w14:textFill>
            <w14:solidFill>
              <w14:schemeClr w14:val="tx1"/>
            </w14:solidFill>
          </w14:textFill>
        </w:rPr>
      </w:pPr>
      <w:bookmarkStart w:id="89" w:name="_Toc468915369"/>
      <w:bookmarkStart w:id="90" w:name="_Toc23221"/>
      <w:r>
        <w:rPr>
          <w:rFonts w:hint="eastAsia" w:hAnsi="宋体" w:cs="宋体"/>
          <w:color w:val="000000" w:themeColor="text1"/>
          <w:kern w:val="2"/>
          <w:sz w:val="24"/>
          <w:szCs w:val="24"/>
          <w:highlight w:val="none"/>
          <w14:textFill>
            <w14:solidFill>
              <w14:schemeClr w14:val="tx1"/>
            </w14:solidFill>
          </w14:textFill>
        </w:rPr>
        <w:t>本项目无样品。</w:t>
      </w:r>
    </w:p>
    <w:p w14:paraId="796AAA2A">
      <w:pPr>
        <w:pStyle w:val="3"/>
        <w:spacing w:line="440" w:lineRule="exact"/>
        <w:rPr>
          <w:rFonts w:ascii="宋体" w:hAnsi="宋体" w:eastAsia="宋体" w:cs="宋体"/>
          <w:b/>
          <w:bCs w:val="0"/>
          <w:color w:val="000000" w:themeColor="text1"/>
          <w:sz w:val="24"/>
          <w:szCs w:val="24"/>
          <w:highlight w:val="none"/>
          <w14:textFill>
            <w14:solidFill>
              <w14:schemeClr w14:val="tx1"/>
            </w14:solidFill>
          </w14:textFill>
        </w:rPr>
      </w:pPr>
    </w:p>
    <w:p w14:paraId="7F0EC95E">
      <w:pPr>
        <w:pStyle w:val="3"/>
        <w:spacing w:line="440" w:lineRule="exact"/>
        <w:rPr>
          <w:rFonts w:ascii="宋体" w:hAnsi="宋体" w:eastAsia="宋体" w:cs="宋体"/>
          <w:b/>
          <w:bCs w:val="0"/>
          <w:color w:val="000000" w:themeColor="text1"/>
          <w:sz w:val="24"/>
          <w:szCs w:val="24"/>
          <w:highlight w:val="none"/>
          <w14:textFill>
            <w14:solidFill>
              <w14:schemeClr w14:val="tx1"/>
            </w14:solidFill>
          </w14:textFill>
        </w:rPr>
      </w:pPr>
      <w:r>
        <w:rPr>
          <w:rFonts w:hint="eastAsia" w:ascii="宋体" w:hAnsi="宋体" w:eastAsia="宋体" w:cs="宋体"/>
          <w:b/>
          <w:bCs w:val="0"/>
          <w:color w:val="000000" w:themeColor="text1"/>
          <w:sz w:val="24"/>
          <w:szCs w:val="24"/>
          <w:highlight w:val="none"/>
          <w14:textFill>
            <w14:solidFill>
              <w14:schemeClr w14:val="tx1"/>
            </w14:solidFill>
          </w14:textFill>
        </w:rPr>
        <w:t>5、评审</w:t>
      </w:r>
      <w:bookmarkEnd w:id="89"/>
      <w:r>
        <w:rPr>
          <w:rFonts w:hint="eastAsia" w:ascii="宋体" w:hAnsi="宋体" w:eastAsia="宋体" w:cs="宋体"/>
          <w:b/>
          <w:bCs w:val="0"/>
          <w:color w:val="000000" w:themeColor="text1"/>
          <w:sz w:val="24"/>
          <w:szCs w:val="24"/>
          <w:highlight w:val="none"/>
          <w14:textFill>
            <w14:solidFill>
              <w14:schemeClr w14:val="tx1"/>
            </w14:solidFill>
          </w14:textFill>
        </w:rPr>
        <w:t>及磋商</w:t>
      </w:r>
      <w:bookmarkEnd w:id="90"/>
    </w:p>
    <w:p w14:paraId="3C382924">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5.1磋商小组组建</w:t>
      </w:r>
    </w:p>
    <w:p w14:paraId="253CF75F">
      <w:pPr>
        <w:pStyle w:val="23"/>
        <w:spacing w:line="440" w:lineRule="exact"/>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5.1.1磋商小组由采购人代表和政府采购评审专家共3人及以上单数组成，其中政府采购评审专家人数不得少于磋商小组成员总数的2/3。磋商小组人数以及政府采购评审专家的确定方式见供应商须知前附表。</w:t>
      </w:r>
    </w:p>
    <w:p w14:paraId="73296CB1">
      <w:pPr>
        <w:spacing w:after="0" w:line="440" w:lineRule="exact"/>
        <w:ind w:firstLine="480"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5.1.2评审专家与参加采购活动的供应商存在下列利害关系之一的,应当回避：</w:t>
      </w:r>
    </w:p>
    <w:p w14:paraId="2E36D966">
      <w:pPr>
        <w:spacing w:after="0" w:line="440" w:lineRule="exact"/>
        <w:ind w:firstLine="480"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（1）参加采购活动前三年内，与供应商存在劳动关系,或者担任过供应商的董事、监事,或者是供应商的控股股东或实际控制人；</w:t>
      </w:r>
    </w:p>
    <w:p w14:paraId="0F73CFDE">
      <w:pPr>
        <w:spacing w:after="0" w:line="440" w:lineRule="exact"/>
        <w:ind w:firstLine="480"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（2）与供应商的法定代表人或者负责人有夫妻、直系血亲、三代以内旁系血亲或者近姻亲关系；</w:t>
      </w:r>
    </w:p>
    <w:p w14:paraId="63B877D4">
      <w:pPr>
        <w:spacing w:after="0" w:line="440" w:lineRule="exact"/>
        <w:ind w:firstLine="480"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（3）与供应商有其他可能影响政府采购活动公平、公正进行的关系。</w:t>
      </w:r>
    </w:p>
    <w:p w14:paraId="6043FBE8">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5.2评审原则及方法</w:t>
      </w:r>
    </w:p>
    <w:p w14:paraId="6DE638E8">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5.2.1 评审原则：</w:t>
      </w:r>
    </w:p>
    <w:p w14:paraId="3CA3C481">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磋商小组成员按照客观、公正、审慎的原则，根据磋商文件规定的评审程序、评审方法和评审标准进行独立评审。</w:t>
      </w:r>
    </w:p>
    <w:p w14:paraId="79A04733">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5.2.2 评审方法</w:t>
      </w:r>
    </w:p>
    <w:p w14:paraId="52D1EBDD">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磋商小组按照供应商须知前附表和第四章“评审方法及评审标准”规定的方法、评审因素和标准对响应文件进行评审。在评审中，不得改变第四章“评审方法及评审标准”规定的方法、评审因素和标准；第四章“评审方法及评审标准”没有规定的方法、评审因素和标准，不作为评审依据。</w:t>
      </w:r>
    </w:p>
    <w:p w14:paraId="787D4FDC">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5.3评审程序</w:t>
      </w:r>
    </w:p>
    <w:p w14:paraId="6814CC58">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5.3.1响应文件初审</w:t>
      </w:r>
    </w:p>
    <w:p w14:paraId="5F27A56D">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初审分为资格审查和符合性审查。</w:t>
      </w:r>
    </w:p>
    <w:p w14:paraId="38576D28">
      <w:pPr>
        <w:spacing w:after="0" w:line="440" w:lineRule="exact"/>
        <w:ind w:firstLine="482"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磋商小组对供应商资格条件和响应文件的有效性、完整性和响应程度进行审查。对资格条件不符合的供应商或未实质性响应磋商文件的响应文件按无效响应处理。</w:t>
      </w:r>
    </w:p>
    <w:p w14:paraId="02DD279A">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5.3.1.1资格审查</w:t>
      </w:r>
    </w:p>
    <w:p w14:paraId="23123FFD">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供应商有下列情形之一的，资格审查不通过：</w:t>
      </w:r>
    </w:p>
    <w:p w14:paraId="5E0986EA">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（1）不符合《中华人民共和国政府采购法》第二十二条规定条件的。</w:t>
      </w:r>
    </w:p>
    <w:p w14:paraId="2DF81B55">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（2）未按本项目采购公告规定方式获得磋商文件的。</w:t>
      </w:r>
    </w:p>
    <w:p w14:paraId="6D701C65">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（3）参加同一合同项下的政府采购活动的不同供应商，单位负责人为同一人或者存在直接控股、管理关系的。</w:t>
      </w:r>
    </w:p>
    <w:p w14:paraId="1C5D84E2">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（4）为本次采购项目提供规范编制或者项目管理、监理、检测等服务的。</w:t>
      </w:r>
    </w:p>
    <w:p w14:paraId="5E314779">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（5）在“信用中国”网站(www.creditchina.gov.cn)、中国政府采购网（www.ccgp.gov.cn）等渠道被列入失信被执行人、重大税收违法失信主体、政府采购严重违法失信行为记录名单的。</w:t>
      </w:r>
    </w:p>
    <w:p w14:paraId="400E43A6">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（6）不按照磋商文件要求提供合格的资格证明材料的。</w:t>
      </w:r>
    </w:p>
    <w:p w14:paraId="289C54F7">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（7）违反国家法律法规规定的其他资格内容的。</w:t>
      </w:r>
    </w:p>
    <w:p w14:paraId="515B278E">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5.3.1.2符合性审查</w:t>
      </w:r>
    </w:p>
    <w:p w14:paraId="215DFE4E">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依据磋商文件的规定，从响应文件的有效性、完整性和对磋商文件的响应程度进行审查，以确定是否符合对磋商文件的实质性要求作出响应</w:t>
      </w:r>
    </w:p>
    <w:p w14:paraId="0DEA3CDB">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5.3.2澄清</w:t>
      </w:r>
    </w:p>
    <w:p w14:paraId="45314510">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41104C3">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46FA8ABF">
      <w:pPr>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5.3.3修正</w:t>
      </w:r>
    </w:p>
    <w:p w14:paraId="34FBF800">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5.3.3.1响应文件如果出现计算或表达上的错误，修正错误的原则如下：</w:t>
      </w:r>
    </w:p>
    <w:p w14:paraId="4DE9984C">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①响应文件中磋商函内容与磋商报价表不一致的，以磋商函为准；</w:t>
      </w:r>
    </w:p>
    <w:p w14:paraId="35FF7DED">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②大写金额和小写金额不一致的，以大写金额为准；</w:t>
      </w:r>
    </w:p>
    <w:p w14:paraId="4489E4AC">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③总价金额与按单价汇总金额不一致的，以单价金额计算结果为准；</w:t>
      </w:r>
    </w:p>
    <w:p w14:paraId="7A0C3145">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④单价金额小数点有明显错位的，应以总价为准，并修改单价；</w:t>
      </w:r>
    </w:p>
    <w:p w14:paraId="2918E47A">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同时出现两种以上不一致的，按照前款规定的顺序修正。修正后的报价经供应商确认后产生约束力，供应商不确认的，其响应文件无效。</w:t>
      </w:r>
    </w:p>
    <w:p w14:paraId="5B0F35B3">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5.3.3.2修正后的最终报价若超过采购预算金额或最高限价（如有），供应商的响应文件作无效处理。</w:t>
      </w:r>
    </w:p>
    <w:p w14:paraId="38E991A7">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5.3.3.3修正后的最终报价作为签订合同的一个依据，并以此报价计算价格分。</w:t>
      </w:r>
    </w:p>
    <w:p w14:paraId="549E0297">
      <w:pPr>
        <w:tabs>
          <w:tab w:val="left" w:pos="540"/>
        </w:tabs>
        <w:spacing w:after="0" w:line="48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5.3.4 磋商程序</w:t>
      </w:r>
    </w:p>
    <w:p w14:paraId="10C63761">
      <w:pPr>
        <w:widowControl w:val="0"/>
        <w:adjustRightInd/>
        <w:snapToGrid/>
        <w:spacing w:after="0" w:line="360" w:lineRule="auto"/>
        <w:ind w:firstLine="480"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（1）磋商小组</w:t>
      </w:r>
      <w:r>
        <w:rPr>
          <w:rFonts w:hint="eastAsia" w:ascii="宋体" w:hAnsi="宋体" w:eastAsia="宋体" w:cs="宋体"/>
          <w:color w:val="000000" w:themeColor="text1"/>
          <w:kern w:val="2"/>
          <w:highlight w:val="none"/>
          <w14:textFill>
            <w14:solidFill>
              <w14:schemeClr w14:val="tx1"/>
            </w14:solidFill>
          </w14:textFill>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0E062B6">
      <w:pPr>
        <w:widowControl w:val="0"/>
        <w:adjustRightInd/>
        <w:snapToGrid/>
        <w:spacing w:after="0" w:line="360" w:lineRule="auto"/>
        <w:ind w:firstLine="480" w:firstLineChars="200"/>
        <w:jc w:val="both"/>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161B3582">
      <w:pPr>
        <w:widowControl w:val="0"/>
        <w:adjustRightInd/>
        <w:snapToGrid/>
        <w:spacing w:after="0" w:line="360" w:lineRule="auto"/>
        <w:ind w:firstLine="480" w:firstLineChars="200"/>
        <w:jc w:val="both"/>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（3）对磋商文件作出的实质性变动是磋商文件的有效组成部分，由磋商小组及时以电子澄清函形式同时通知所有参加磋商的供应商。</w:t>
      </w:r>
    </w:p>
    <w:p w14:paraId="54232C79">
      <w:pPr>
        <w:widowControl w:val="0"/>
        <w:adjustRightInd/>
        <w:snapToGrid/>
        <w:spacing w:after="0" w:line="360" w:lineRule="auto"/>
        <w:ind w:firstLine="480" w:firstLineChars="200"/>
        <w:jc w:val="both"/>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01D8B37A">
      <w:pPr>
        <w:widowControl w:val="0"/>
        <w:adjustRightInd/>
        <w:snapToGrid/>
        <w:spacing w:after="0" w:line="360" w:lineRule="auto"/>
        <w:ind w:firstLine="480" w:firstLineChars="200"/>
        <w:jc w:val="both"/>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（5）磋商中，</w:t>
      </w:r>
      <w:r>
        <w:rPr>
          <w:rFonts w:hint="eastAsia" w:ascii="宋体" w:hAnsi="宋体" w:eastAsia="宋体" w:cs="宋体"/>
          <w:color w:val="000000" w:themeColor="text1"/>
          <w:spacing w:val="-6"/>
          <w:kern w:val="2"/>
          <w:highlight w:val="none"/>
          <w14:textFill>
            <w14:solidFill>
              <w14:schemeClr w14:val="tx1"/>
            </w14:solidFill>
          </w14:textFill>
        </w:rPr>
        <w:t>磋商的任何一方不得透露与磋商有关的其他供应商的技术资料、价格和其他信息。</w:t>
      </w:r>
    </w:p>
    <w:p w14:paraId="506EDB97">
      <w:pPr>
        <w:pStyle w:val="141"/>
        <w:spacing w:before="0"/>
        <w:ind w:firstLine="480"/>
        <w:rPr>
          <w:rFonts w:ascii="宋体" w:hAnsi="宋体" w:cs="宋体"/>
          <w:color w:val="000000" w:themeColor="text1"/>
          <w:spacing w:val="-6"/>
          <w:kern w:val="2"/>
          <w:szCs w:val="24"/>
          <w:highlight w:val="none"/>
          <w14:textFill>
            <w14:solidFill>
              <w14:schemeClr w14:val="tx1"/>
            </w14:solidFill>
          </w14:textFill>
        </w:rPr>
      </w:pPr>
      <w:r>
        <w:rPr>
          <w:rFonts w:hint="eastAsia" w:ascii="宋体" w:hAnsi="宋体" w:cs="宋体"/>
          <w:color w:val="000000" w:themeColor="text1"/>
          <w:kern w:val="2"/>
          <w:szCs w:val="24"/>
          <w:highlight w:val="none"/>
          <w14:textFill>
            <w14:solidFill>
              <w14:schemeClr w14:val="tx1"/>
            </w14:solidFill>
          </w14:textFill>
        </w:rPr>
        <w:t>（6）磋商小组应对磋商过程和重要磋商内容进行记录，作为评标报告一部分，磋商小组在记录上签字确认。</w:t>
      </w:r>
    </w:p>
    <w:p w14:paraId="2F275481">
      <w:pPr>
        <w:tabs>
          <w:tab w:val="left" w:pos="540"/>
        </w:tabs>
        <w:adjustRightInd/>
        <w:snapToGrid/>
        <w:spacing w:after="0" w:line="360" w:lineRule="auto"/>
        <w:ind w:firstLine="480" w:firstLineChars="200"/>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（7）磋商过程中重新提交的响应文件，供应商可以在开启前补充、修改。</w:t>
      </w:r>
    </w:p>
    <w:p w14:paraId="7DED08B7">
      <w:pPr>
        <w:widowControl w:val="0"/>
        <w:tabs>
          <w:tab w:val="left" w:pos="2835"/>
        </w:tabs>
        <w:adjustRightInd/>
        <w:snapToGrid/>
        <w:spacing w:after="0" w:line="360" w:lineRule="auto"/>
        <w:ind w:firstLine="480" w:firstLineChars="200"/>
        <w:jc w:val="both"/>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（8）</w:t>
      </w:r>
      <w:r>
        <w:rPr>
          <w:rFonts w:hint="eastAsia" w:ascii="宋体" w:hAnsi="宋体" w:eastAsia="宋体"/>
          <w:color w:val="000000" w:themeColor="text1"/>
          <w:kern w:val="2"/>
          <w:highlight w:val="none"/>
          <w14:textFill>
            <w14:solidFill>
              <w14:schemeClr w14:val="tx1"/>
            </w14:solidFill>
          </w14:textFill>
        </w:rPr>
        <w:t>对磋商过程提交的响应文件进行有效性、完整性和响应程度审查，通过审查的合格供应商不足3家的，采购人或者采购代理机构应当重新开展采购活动。</w:t>
      </w:r>
    </w:p>
    <w:p w14:paraId="0895E6CE">
      <w:pPr>
        <w:tabs>
          <w:tab w:val="left" w:pos="540"/>
        </w:tabs>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5.3.5最后报价</w:t>
      </w:r>
    </w:p>
    <w:p w14:paraId="7036F1B4">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5.3.5.1磋商文件能够详细列明采购标的的技术、服务要求的，磋商结束后，由磋商小组要求所有继续参加磋商的供应商在规定时间内密封提交最后报价，除本章第5.3.5.3条外，提交最后报价的供应商不得少于3家，否则必须重新采购。</w:t>
      </w:r>
    </w:p>
    <w:p w14:paraId="02A95DD7">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5.3.5.2磋商文件不能详细列明采购标的的技术、服务要求，需经磋商由供应商提供最后监理方案或者解决方案的，磋商结束后，由磋商小组按照少数服从多数的原则投票推荐3家以上供应商的监理方案或者解决方案，并要求其在规定时间内密封提交最后报价。</w:t>
      </w:r>
    </w:p>
    <w:p w14:paraId="152A7573">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5.3.5.3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398E3C8B">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5.3.5.4已经提交响应文件的供应商，在提交最后报价之前，可以根据磋商情况退出磋商，退出磋商的供应商的响应文件按无效响应处理。</w:t>
      </w:r>
    </w:p>
    <w:p w14:paraId="16F8B5DA">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5.3.5.5供应商未在规定时间内提交最后报价的，视同退出磋商。</w:t>
      </w:r>
    </w:p>
    <w:p w14:paraId="17EA5A6F">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5.3.5.6磋商小组收齐某一分标最后报价后统一开启，磋商小组对最后报价进行有效性、完整性和响应程度的审查。</w:t>
      </w:r>
    </w:p>
    <w:p w14:paraId="788BFE68">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 xml:space="preserve">5.3.5.7最终响应文件的报价出现前后不一致的，按照本章第3.4条的规定修正。 </w:t>
      </w:r>
    </w:p>
    <w:p w14:paraId="073A61C2">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5.3.5.8修正后的最终报价出现下列情形的，按无效响应处理：</w:t>
      </w:r>
    </w:p>
    <w:p w14:paraId="0C330E14">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（1）供应商不确认的（全流程电子化评标采取在线确认）；</w:t>
      </w:r>
    </w:p>
    <w:p w14:paraId="6E99CFD5">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（2）经供应商确认修正后的响应报价（包含首次报价、最后报价）超过所磋商分标规定的采购预算金额或者最高限价的（如本项目公布了最高限价）；</w:t>
      </w:r>
    </w:p>
    <w:p w14:paraId="0739DA48">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（3）经供应商确认修正后的响应报价（包含首次报价、最后报价）超过分项采购预算金额或者最高限价的（如本项目公布了最高限价）。</w:t>
      </w:r>
    </w:p>
    <w:p w14:paraId="34C1B6A0">
      <w:pPr>
        <w:tabs>
          <w:tab w:val="left" w:pos="540"/>
        </w:tabs>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5.4经供应商确认修正后的最后报价作为评审及签订合同的依据。</w:t>
      </w:r>
    </w:p>
    <w:p w14:paraId="742DE0C0">
      <w:pPr>
        <w:tabs>
          <w:tab w:val="left" w:pos="540"/>
        </w:tabs>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5.5供应商出现最后报价按无效响应处理或者响应文件按无效处理时，磋商小组应当告知有关供应商。</w:t>
      </w:r>
    </w:p>
    <w:p w14:paraId="57DC5493">
      <w:pPr>
        <w:tabs>
          <w:tab w:val="left" w:pos="540"/>
        </w:tabs>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5.6最后报价结束后，磋商小组不得再与供应商进行任何形式的商谈。</w:t>
      </w:r>
    </w:p>
    <w:p w14:paraId="0DE67AAA">
      <w:pPr>
        <w:tabs>
          <w:tab w:val="left" w:pos="540"/>
        </w:tabs>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 xml:space="preserve">5.7  政府采购评审中出现下列情形之一的，磋商小组应当启动异常低价竞标审查程序： </w:t>
      </w:r>
    </w:p>
    <w:p w14:paraId="20C5F10F">
      <w:pPr>
        <w:tabs>
          <w:tab w:val="left" w:pos="540"/>
        </w:tabs>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 xml:space="preserve">① 竞标报价低于全部通过符合性审查供应商竞标报价平均值65%的，即竞标报价&lt;全部通过符合性审查供应商竞标报价平均值×65%； </w:t>
      </w:r>
    </w:p>
    <w:p w14:paraId="53028EA2">
      <w:pPr>
        <w:tabs>
          <w:tab w:val="left" w:pos="540"/>
        </w:tabs>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 xml:space="preserve">②竞标报价低于通过符合性审查的次低报价供应商竞标报价65%的，即竞标报价&lt;通过符合性审查的次低报价供应商竞标报价×65%； </w:t>
      </w:r>
    </w:p>
    <w:p w14:paraId="14A00439">
      <w:pPr>
        <w:tabs>
          <w:tab w:val="left" w:pos="540"/>
        </w:tabs>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 xml:space="preserve">③竞标报价低于采购项目最高限价65%的，即竞标报价&lt;采购项目最高限价×65%； </w:t>
      </w:r>
    </w:p>
    <w:p w14:paraId="70C90B2B">
      <w:pPr>
        <w:tabs>
          <w:tab w:val="left" w:pos="540"/>
        </w:tabs>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 xml:space="preserve">④磋商小组基于专业判断，认为供应商报价过低，有可能影响产品质量或者不能诚信履约的其他情形。 </w:t>
      </w:r>
    </w:p>
    <w:p w14:paraId="7A510019">
      <w:pPr>
        <w:tabs>
          <w:tab w:val="left" w:pos="540"/>
        </w:tabs>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 xml:space="preserve">⑤相关法律法规对供应商报价有规定的，从其规定。  </w:t>
      </w:r>
    </w:p>
    <w:p w14:paraId="4193812F">
      <w:pPr>
        <w:tabs>
          <w:tab w:val="left" w:pos="540"/>
        </w:tabs>
        <w:spacing w:after="0" w:line="440" w:lineRule="exact"/>
        <w:ind w:firstLine="482" w:firstLineChars="200"/>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 xml:space="preserve">磋商小组启动异常低价投标审查后，属于前述第①项至第④项情形的，应当要求相关投标人在评标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在评标现场可不再重复提交。 </w:t>
      </w:r>
    </w:p>
    <w:p w14:paraId="4AADBF67">
      <w:pPr>
        <w:tabs>
          <w:tab w:val="left" w:pos="540"/>
        </w:tabs>
        <w:spacing w:after="0" w:line="440" w:lineRule="exact"/>
        <w:ind w:firstLine="482" w:firstLineChars="200"/>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 xml:space="preserve">磋商小组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磋商小组应当将其作为无效投标处理。 </w:t>
      </w:r>
    </w:p>
    <w:p w14:paraId="1A5DA153">
      <w:pPr>
        <w:tabs>
          <w:tab w:val="left" w:pos="540"/>
        </w:tabs>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 xml:space="preserve">采购人、采购代理机构应当为磋商小组在评标现场及时获取同类项目中标（成交）价格、类似产品市场价格水平、行业人工费用标准、国家有关部门指导行业协会发布的行业平均成本等相关信息资料提供便利。磋商小组借助互联网等渠道查询相关信息的，应当严格遵守评标工作纪律，不得实施影响评标公正的行为。 </w:t>
      </w:r>
    </w:p>
    <w:p w14:paraId="239EB66C">
      <w:pPr>
        <w:tabs>
          <w:tab w:val="left" w:pos="540"/>
        </w:tabs>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异常低价投标审查的启动原因、审查意见和审查结果应当在评标报告中记录，并随投标人提供的相关书面说明及证明材料，以及磋商小组有关互联网浏览、查询历史一并归档。</w:t>
      </w:r>
    </w:p>
    <w:p w14:paraId="0F0BFE85">
      <w:pPr>
        <w:tabs>
          <w:tab w:val="left" w:pos="540"/>
        </w:tabs>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5.7评审与比较</w:t>
      </w:r>
    </w:p>
    <w:p w14:paraId="6A1F1ED8">
      <w:pPr>
        <w:tabs>
          <w:tab w:val="left" w:pos="540"/>
        </w:tabs>
        <w:spacing w:after="0" w:line="440" w:lineRule="exact"/>
        <w:ind w:firstLine="484" w:firstLineChars="201"/>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评审方法：综合评分法。</w:t>
      </w:r>
    </w:p>
    <w:p w14:paraId="16677D1E">
      <w:pPr>
        <w:tabs>
          <w:tab w:val="left" w:pos="540"/>
        </w:tabs>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5.7.1经磋商确定最终采购需求和提交最后报价的供应商后，由磋商小组采用综合评分法对提交最后报价的供应商的响应文件和最后报价进行综合评分。</w:t>
      </w:r>
    </w:p>
    <w:p w14:paraId="2DD7E626">
      <w:pPr>
        <w:tabs>
          <w:tab w:val="left" w:pos="540"/>
        </w:tabs>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5.7.2评审时，磋商小组各成员应当独立对每个有效响应的文件进行评价、打分，然后汇总每个供应商每项评分因素的得分。</w:t>
      </w:r>
    </w:p>
    <w:p w14:paraId="1D924E59">
      <w:pPr>
        <w:tabs>
          <w:tab w:val="left" w:pos="540"/>
        </w:tabs>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（1）磋商小组按照磋商文件中规定的评审标准计算各供应商的报价得分。项目评审过程中，不得去掉最后报价中的最高报价和最低报价。</w:t>
      </w:r>
    </w:p>
    <w:p w14:paraId="67B26E58">
      <w:pPr>
        <w:tabs>
          <w:tab w:val="left" w:pos="540"/>
        </w:tabs>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（2）各供应商的得分为磋商小组所有成员的有效评分的算术平均数。</w:t>
      </w:r>
    </w:p>
    <w:p w14:paraId="751F9830">
      <w:pPr>
        <w:tabs>
          <w:tab w:val="left" w:pos="540"/>
        </w:tabs>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5.7.3最终成交供应商的成交金额等于最后报价（如有修正，以确认修正后的最后报价为准）。</w:t>
      </w:r>
    </w:p>
    <w:p w14:paraId="4613D760">
      <w:pPr>
        <w:tabs>
          <w:tab w:val="left" w:pos="540"/>
        </w:tabs>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5.7.4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3A9B1D46">
      <w:pPr>
        <w:tabs>
          <w:tab w:val="left" w:pos="540"/>
        </w:tabs>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5.7.5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B016357">
      <w:pPr>
        <w:tabs>
          <w:tab w:val="left" w:pos="540"/>
        </w:tabs>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5.7.6在评审过程中出现法律法规和磋商文件均没有明确规定的情形时，由磋商小组现场协商解决，协商不一致的，由全体磋商小组投票表决，以得票率二分之一以上专家的意见为准。</w:t>
      </w:r>
    </w:p>
    <w:p w14:paraId="48746745">
      <w:pPr>
        <w:tabs>
          <w:tab w:val="left" w:pos="540"/>
        </w:tabs>
        <w:spacing w:after="0" w:line="440" w:lineRule="exact"/>
        <w:ind w:firstLine="484" w:firstLineChars="201"/>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5.8评审过程的保密</w:t>
      </w:r>
    </w:p>
    <w:p w14:paraId="2E496C62">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5.8.1 在评审活动中，凡属于审查、澄清、评价和比较的有关资料及有关授予合同的信息，都不应向供应商或与评审无关的其他人泄露。</w:t>
      </w:r>
    </w:p>
    <w:p w14:paraId="4D7E1529">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5.8.2 在响应文件的审查、澄清、评价和比较以及授予合同的过程中，供应商对采购人和磋商小组成员施加影响的任何行为，都将导致被取消磋商资格。</w:t>
      </w:r>
    </w:p>
    <w:p w14:paraId="46D740BC">
      <w:pPr>
        <w:tabs>
          <w:tab w:val="left" w:pos="540"/>
        </w:tabs>
        <w:spacing w:after="0" w:line="440" w:lineRule="exact"/>
        <w:ind w:firstLine="482" w:firstLineChars="201"/>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w:t>
      </w:r>
      <w:bookmarkStart w:id="91" w:name="_Toc254970532"/>
      <w:bookmarkStart w:id="92" w:name="_Toc254970673"/>
      <w:r>
        <w:rPr>
          <w:rFonts w:hint="eastAsia" w:ascii="宋体" w:hAnsi="宋体" w:eastAsia="宋体" w:cs="宋体"/>
          <w:b/>
          <w:bCs/>
          <w:color w:val="000000" w:themeColor="text1"/>
          <w:highlight w:val="none"/>
          <w14:textFill>
            <w14:solidFill>
              <w14:schemeClr w14:val="tx1"/>
            </w14:solidFill>
          </w14:textFill>
        </w:rPr>
        <w:t>5.9 特别说明：</w:t>
      </w:r>
      <w:bookmarkEnd w:id="91"/>
      <w:bookmarkEnd w:id="92"/>
    </w:p>
    <w:p w14:paraId="78973382">
      <w:pPr>
        <w:tabs>
          <w:tab w:val="left" w:pos="540"/>
        </w:tabs>
        <w:spacing w:after="0" w:line="440" w:lineRule="exact"/>
        <w:ind w:firstLine="484" w:firstLineChars="201"/>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（本条款所述竞标人等同于供应商，评标等同于评审，竞标等同于磋商或响应）</w:t>
      </w:r>
    </w:p>
    <w:p w14:paraId="26035E8D">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5.9.1单位负责人为同一人或者存在直接控股、管理关系的，不得参加同一合同项下竞标或未划分分标的同一合同项下竞标，否则竞标响应文件将被视为无效。生产厂商授权给供应商后自己不得参加同一合同项下的政府采购活动；生产厂商对同一品牌同一型号的货物，仅能委托一个代理商参加竞标。</w:t>
      </w:r>
    </w:p>
    <w:p w14:paraId="04B1238E">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5.9.2除单一来源采购项目外，为采购项目提供整体设计、规范编制或者项目管理、监理、检测等服务的供应商，不得再参加该采购项目的其他采购活动，否则竞标无效。</w:t>
      </w:r>
    </w:p>
    <w:p w14:paraId="4C2856C5">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5.9.3 竞标人竞标所使用的资格、信誉、荣誉、业绩与企业认证必须为本法人所拥有。</w:t>
      </w:r>
      <w:r>
        <w:rPr>
          <w:rFonts w:hint="eastAsia" w:ascii="宋体" w:hAnsi="宋体" w:eastAsia="宋体" w:cs="宋体"/>
          <w:b/>
          <w:color w:val="000000" w:themeColor="text1"/>
          <w:highlight w:val="none"/>
          <w14:textFill>
            <w14:solidFill>
              <w14:schemeClr w14:val="tx1"/>
            </w14:solidFill>
          </w14:textFill>
        </w:rPr>
        <w:t>（本采购文件第三章“项目采购需求”另有约定的从其约定）</w:t>
      </w:r>
    </w:p>
    <w:p w14:paraId="43235DD7">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5.9.4 竞标人应仔细阅读采购文件的所有内容，按照采购文件的要求提交竞标响应文件，并对所提供的全部资料的真实性承担法律责任。竞标人在竞标活动中提供任何虚假材料,其竞标无效，并报监管部门查处；中标后发现的,成交人须依照《中华人民共和国消费者权益保护法》规定赔偿采购人，且民事赔偿并不免除违法竞标人的行政与刑事责任。</w:t>
      </w:r>
    </w:p>
    <w:p w14:paraId="26D9F49C">
      <w:pPr>
        <w:tabs>
          <w:tab w:val="left" w:pos="540"/>
        </w:tabs>
        <w:spacing w:after="0" w:line="440" w:lineRule="exact"/>
        <w:ind w:firstLine="484"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5.9.5在政府采购活动中，采购人员及相关人员与竞标人有下列利害关系之一的，应当回避：</w:t>
      </w:r>
    </w:p>
    <w:p w14:paraId="656ADD1B">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（1）参加采购活动前3年内与竞标人存在劳动关系；</w:t>
      </w:r>
    </w:p>
    <w:p w14:paraId="446875A6">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（2）参加采购活动前3年内担任竞标人的董事、监事；</w:t>
      </w:r>
    </w:p>
    <w:p w14:paraId="0CDA4A5A">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（3）参加采购活动前3年内是竞标人的控股股东或者实际控制人；</w:t>
      </w:r>
    </w:p>
    <w:p w14:paraId="4361928A">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（4）与竞标人的法定代表人或者负责人有夫妻、直系血亲、三代以内旁系血亲或者近姻亲关系；</w:t>
      </w:r>
    </w:p>
    <w:p w14:paraId="5ABB4391">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（5）与竞标人有其他可能影响政府采购活动公平、公正进行的关系。</w:t>
      </w:r>
    </w:p>
    <w:p w14:paraId="19ED0256">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竞标人认为采购人员及相关人员与其他竞标人有利害关系的，可以向采购人或者采购代理机构书面提出回避申请，并说明理由。采购人或者采购代理机构应当及时询问被申请回避人员，有利害关系的被申请回避人员应当回避。</w:t>
      </w:r>
    </w:p>
    <w:p w14:paraId="3EDE05BD">
      <w:pPr>
        <w:tabs>
          <w:tab w:val="left" w:pos="540"/>
        </w:tabs>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5.9.6供应商相互串通竞标</w:t>
      </w:r>
    </w:p>
    <w:p w14:paraId="3DBE63CB">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有下列情形之一的视为供应商相互串通竞标，竞标响应文件将被视为无效：</w:t>
      </w:r>
    </w:p>
    <w:p w14:paraId="5E5D83C2">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（1）不同供应商的竞标响应文件由同一单位或者个人编制；或不同供应商报名的IP地址一致的；</w:t>
      </w:r>
    </w:p>
    <w:p w14:paraId="5935C126">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（2）不同供应商委托同一单位或者个人办理竞标事宜；</w:t>
      </w:r>
    </w:p>
    <w:p w14:paraId="1F494444">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（3）不同的供应商的竞标响应文件载明的项目管理员为同一个人；</w:t>
      </w:r>
    </w:p>
    <w:p w14:paraId="36B1FF90">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（4）不同供应商的竞标响应文件异常一致或竞标报价呈规律性差异；</w:t>
      </w:r>
    </w:p>
    <w:p w14:paraId="2EA9F23C">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（5）不同供应商的竞标响应文件相互混装；</w:t>
      </w:r>
    </w:p>
    <w:p w14:paraId="3EEDE5D0">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（6）不同供应商的竞标保证金从同一单位或者个人账户转出。</w:t>
      </w:r>
    </w:p>
    <w:p w14:paraId="00DC51B4">
      <w:pPr>
        <w:tabs>
          <w:tab w:val="left" w:pos="540"/>
        </w:tabs>
        <w:spacing w:after="0" w:line="440" w:lineRule="exact"/>
        <w:ind w:firstLine="484"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5.9.7供应商恶意串通竞标</w:t>
      </w:r>
    </w:p>
    <w:p w14:paraId="2D00DFAB">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供应商有下列情形之一的，属于恶意串通行为：</w:t>
      </w:r>
    </w:p>
    <w:p w14:paraId="6320F10F">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（1）供应商直接或者间接从采购人或者采购代理机构处获得其他供应商的相关信息并修改其竞标响应文件或者响应文件：</w:t>
      </w:r>
    </w:p>
    <w:p w14:paraId="435B0CDF">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（2）供应商按照采购人或者采购代理机构的授意撤换、修改竞标响应文件或者响应文件；</w:t>
      </w:r>
    </w:p>
    <w:p w14:paraId="14A2D578">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（3）供应商之间协商报价、技术方案等竞标响应文件或者响应文件的实质性内容；</w:t>
      </w:r>
    </w:p>
    <w:p w14:paraId="0D64C0E4">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（4）属于同一集团、协会、商会等组织成员的供应商按照该组织要求协同参加政府采购活动；</w:t>
      </w:r>
    </w:p>
    <w:p w14:paraId="2C5469C8">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（5）供应商之间事先约定一致抬高或者压低竞标报价,或者在采购项目中事先约定轮流以高价位或者低价位中标,或者事先约定由某一特定供应商中标,然后再参加竞标；</w:t>
      </w:r>
    </w:p>
    <w:p w14:paraId="0DDA7BF0">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（6）供应商之间商定部分供应商放弃参加政府采购活动或者放弃中标；</w:t>
      </w:r>
    </w:p>
    <w:p w14:paraId="4E03B63A">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（7）供应商与采购人或者采购代理机构之间、供应商相互之间，为谋求特定供应商中标或者排斥其他供应商的其他串通行为。</w:t>
      </w:r>
    </w:p>
    <w:p w14:paraId="33A2314E">
      <w:pPr>
        <w:tabs>
          <w:tab w:val="left" w:pos="540"/>
        </w:tabs>
        <w:spacing w:after="0" w:line="440" w:lineRule="exact"/>
        <w:ind w:firstLine="484" w:firstLineChars="201"/>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5.10 终止采购</w:t>
      </w:r>
    </w:p>
    <w:p w14:paraId="09A5475C">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5.10.1出现下列情形之一的，采购人或者采购代理机构终止竞争性磋商采购活动，发布项目终止公告并说明原因，重新开展采购活动：</w:t>
      </w:r>
    </w:p>
    <w:p w14:paraId="2FB30087">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（一）因情况变化，不再符合规定的竞争性磋商采购方式适用情形的；</w:t>
      </w:r>
    </w:p>
    <w:p w14:paraId="1B293130">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（二）出现影响采购公正的违法、违规行为的；</w:t>
      </w:r>
    </w:p>
    <w:p w14:paraId="6185B542">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（三）在采购过程中符合竞争要求的供应商或者报价未超过采购预算的供应商不足3家的，但《政府采购竞争性磋商采购方式管理暂行办法》第二十一条第三款规定的情形除外。</w:t>
      </w:r>
    </w:p>
    <w:p w14:paraId="40ACF2D7">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5.10.2 在采购活动中因重大变故，采购任务取消的，采购人或者采购代理机构应当终止采购活动，通知所有参加采购活动的供应商，并将项目实施情况和采购任务取消原因报送本级监督部门。</w:t>
      </w:r>
    </w:p>
    <w:p w14:paraId="360B4C7C">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5.10.3电子交易活动的中止。采购过程中出现以下情形，导致电子交易平台无法正常运行，或者无法保证电子交易的公平、公正和安全时，采购机构可中止电子交易活动：</w:t>
      </w:r>
    </w:p>
    <w:p w14:paraId="4249010B">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（1）电子交易平台发生故障而无法登录访问的； </w:t>
      </w:r>
    </w:p>
    <w:p w14:paraId="441695CD">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（2）电子交易平台应用或数据库出现错误，不能进行正常操作的；</w:t>
      </w:r>
    </w:p>
    <w:p w14:paraId="6A8A8F0D">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（3）电子交易平台发现严重安全漏洞，有潜在泄密危险的；</w:t>
      </w:r>
    </w:p>
    <w:p w14:paraId="5B2F6E82">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（4）病毒发作导致不能进行正常操作的； </w:t>
      </w:r>
    </w:p>
    <w:p w14:paraId="62B8AA77">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（4）其他无法保证电子交易的公平、公正和安全的情况。</w:t>
      </w:r>
    </w:p>
    <w:p w14:paraId="54C9AA76">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378FA2F">
      <w:pPr>
        <w:pStyle w:val="3"/>
        <w:spacing w:line="440" w:lineRule="exact"/>
        <w:rPr>
          <w:rFonts w:ascii="宋体" w:hAnsi="宋体" w:eastAsia="宋体" w:cs="宋体"/>
          <w:b/>
          <w:bCs w:val="0"/>
          <w:color w:val="000000" w:themeColor="text1"/>
          <w:sz w:val="24"/>
          <w:szCs w:val="24"/>
          <w:highlight w:val="none"/>
          <w14:textFill>
            <w14:solidFill>
              <w14:schemeClr w14:val="tx1"/>
            </w14:solidFill>
          </w14:textFill>
        </w:rPr>
      </w:pPr>
      <w:bookmarkStart w:id="93" w:name="_Toc468915370"/>
      <w:bookmarkStart w:id="94" w:name="_Toc16823"/>
      <w:r>
        <w:rPr>
          <w:rFonts w:hint="eastAsia" w:ascii="宋体" w:hAnsi="宋体" w:eastAsia="宋体" w:cs="宋体"/>
          <w:b/>
          <w:bCs w:val="0"/>
          <w:color w:val="000000" w:themeColor="text1"/>
          <w:sz w:val="24"/>
          <w:szCs w:val="24"/>
          <w:highlight w:val="none"/>
          <w14:textFill>
            <w14:solidFill>
              <w14:schemeClr w14:val="tx1"/>
            </w14:solidFill>
          </w14:textFill>
        </w:rPr>
        <w:t>6、</w:t>
      </w:r>
      <w:bookmarkEnd w:id="93"/>
      <w:r>
        <w:rPr>
          <w:rFonts w:hint="eastAsia" w:ascii="宋体" w:hAnsi="宋体" w:eastAsia="宋体" w:cs="宋体"/>
          <w:b/>
          <w:bCs w:val="0"/>
          <w:color w:val="000000" w:themeColor="text1"/>
          <w:sz w:val="24"/>
          <w:szCs w:val="24"/>
          <w:highlight w:val="none"/>
          <w14:textFill>
            <w14:solidFill>
              <w14:schemeClr w14:val="tx1"/>
            </w14:solidFill>
          </w14:textFill>
        </w:rPr>
        <w:t>评审结果</w:t>
      </w:r>
      <w:bookmarkEnd w:id="94"/>
    </w:p>
    <w:p w14:paraId="1AA20A16">
      <w:pPr>
        <w:tabs>
          <w:tab w:val="left" w:pos="540"/>
        </w:tabs>
        <w:spacing w:after="0" w:line="440" w:lineRule="exact"/>
        <w:ind w:firstLine="484" w:firstLineChars="201"/>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6.1成交供应商的确定</w:t>
      </w:r>
    </w:p>
    <w:p w14:paraId="39342598">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代理机构应当在评审结束后2个工作日内将评审报告送采购人确认。采购人应当在收到评审报告后5个工作日，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ABD835C">
      <w:pPr>
        <w:tabs>
          <w:tab w:val="left" w:pos="540"/>
        </w:tabs>
        <w:spacing w:after="0" w:line="440" w:lineRule="exact"/>
        <w:ind w:firstLine="484" w:firstLineChars="201"/>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6.2成交通知</w:t>
      </w:r>
    </w:p>
    <w:p w14:paraId="567FE389">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采购代理机构应当在成交供应商确定后2个工作日内，在磋商公告发布媒体上公告成交结果，公示期为1个工作日。发布成交结果公告的同时向成交供应商发出成交通知书。</w:t>
      </w:r>
    </w:p>
    <w:p w14:paraId="76B4068C">
      <w:pPr>
        <w:pStyle w:val="3"/>
        <w:spacing w:line="440" w:lineRule="exact"/>
        <w:rPr>
          <w:rFonts w:ascii="宋体" w:hAnsi="宋体" w:eastAsia="宋体" w:cs="宋体"/>
          <w:b/>
          <w:bCs w:val="0"/>
          <w:color w:val="000000" w:themeColor="text1"/>
          <w:sz w:val="24"/>
          <w:szCs w:val="24"/>
          <w:highlight w:val="none"/>
          <w14:textFill>
            <w14:solidFill>
              <w14:schemeClr w14:val="tx1"/>
            </w14:solidFill>
          </w14:textFill>
        </w:rPr>
      </w:pPr>
      <w:bookmarkStart w:id="95" w:name="_Toc468915371"/>
      <w:bookmarkStart w:id="96" w:name="_Toc31393"/>
      <w:r>
        <w:rPr>
          <w:rFonts w:hint="eastAsia" w:ascii="宋体" w:hAnsi="宋体" w:eastAsia="宋体" w:cs="宋体"/>
          <w:b/>
          <w:bCs w:val="0"/>
          <w:color w:val="000000" w:themeColor="text1"/>
          <w:sz w:val="24"/>
          <w:szCs w:val="24"/>
          <w:highlight w:val="none"/>
          <w14:textFill>
            <w14:solidFill>
              <w14:schemeClr w14:val="tx1"/>
            </w14:solidFill>
          </w14:textFill>
        </w:rPr>
        <w:t>7、</w:t>
      </w:r>
      <w:bookmarkEnd w:id="95"/>
      <w:r>
        <w:rPr>
          <w:rFonts w:hint="eastAsia" w:ascii="宋体" w:hAnsi="宋体" w:eastAsia="宋体" w:cs="宋体"/>
          <w:b/>
          <w:bCs w:val="0"/>
          <w:color w:val="000000" w:themeColor="text1"/>
          <w:sz w:val="24"/>
          <w:szCs w:val="24"/>
          <w:highlight w:val="none"/>
          <w14:textFill>
            <w14:solidFill>
              <w14:schemeClr w14:val="tx1"/>
            </w14:solidFill>
          </w14:textFill>
        </w:rPr>
        <w:t>合同授予</w:t>
      </w:r>
      <w:bookmarkEnd w:id="96"/>
    </w:p>
    <w:p w14:paraId="6EC0DCC4">
      <w:pPr>
        <w:tabs>
          <w:tab w:val="left" w:pos="540"/>
        </w:tabs>
        <w:spacing w:after="0" w:line="440" w:lineRule="exact"/>
        <w:ind w:firstLine="484" w:firstLineChars="201"/>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7.1 履约保证金</w:t>
      </w:r>
    </w:p>
    <w:p w14:paraId="12A7EEC1">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bookmarkStart w:id="97" w:name="_Toc468915372"/>
      <w:r>
        <w:rPr>
          <w:rFonts w:hint="eastAsia" w:ascii="宋体" w:hAnsi="宋体" w:eastAsia="宋体" w:cs="宋体"/>
          <w:color w:val="000000" w:themeColor="text1"/>
          <w:highlight w:val="none"/>
          <w14:textFill>
            <w14:solidFill>
              <w14:schemeClr w14:val="tx1"/>
            </w14:solidFill>
          </w14:textFill>
        </w:rPr>
        <w:t>7.1.1 成交供应商应按供应商须知前附表规定的履约保证金的金额、方式，在签订合同前缴纳给采购人指定账户。否则,不予签订合同。</w:t>
      </w:r>
    </w:p>
    <w:p w14:paraId="1F169FD8">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7.1.2履约保证金作为违约金的一部分及用于补偿采购人因成交供应商不能完成其合同义务而蒙受的损失。如成交供应商不按双方签订的合同规定履约，则不予退还其全部履约保证金，履约保证金不足以赔偿损失的，按实际损失赔偿。</w:t>
      </w:r>
    </w:p>
    <w:p w14:paraId="7B6FAB81">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7.1.3履约担保的有效期应当自本合同生效之日起至采购人签认验收合格之日止。项目验收合格，成交供应商向采购人办理成果移交手续后，由供应商向采购人提供《采购项目履约保证金退付意见书》及《采购项目合同验收报告》（详见附件），采购人在收到合格材料后按合同规定的时间内扣减成交供应商赔偿金和其他应从成交供应商扣回的款项后，将履约保证金的余额退还给成交供应商（无息）。</w:t>
      </w:r>
    </w:p>
    <w:p w14:paraId="1476B193">
      <w:pPr>
        <w:spacing w:after="0" w:line="440" w:lineRule="exact"/>
        <w:ind w:firstLine="482" w:firstLineChars="201"/>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7.1.4在履约保证金退还日期前，若成交供应商的开户名称、开户银行、帐号有变动的，请以书面形式通知采购代理机构，否则由此产生的后果由成交供应商自负。</w:t>
      </w:r>
    </w:p>
    <w:p w14:paraId="62901025">
      <w:pPr>
        <w:tabs>
          <w:tab w:val="left" w:pos="540"/>
        </w:tabs>
        <w:spacing w:after="0" w:line="440" w:lineRule="exact"/>
        <w:ind w:firstLine="484" w:firstLineChars="201"/>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7.2签订合同</w:t>
      </w:r>
      <w:bookmarkEnd w:id="97"/>
    </w:p>
    <w:p w14:paraId="3667BC02">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7.2.1成交通知书发出之日起25日内，成交供应商必须与采购人签订合同。磋商文件、成交供应商的响应文件、应答文件等，均为签订政府采购合同的依据。</w:t>
      </w:r>
    </w:p>
    <w:p w14:paraId="43CC2928">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7.2.2如成交供应商不按成交通知书的规定签订合同，则按成交供应商违约处理，采购代理机构将不予退还成交供应商磋商保证金并上缴财政国库。</w:t>
      </w:r>
    </w:p>
    <w:p w14:paraId="1AC13129">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7.2.3成交供应商拒绝签订政府采购合同的，如政府采购活动或成交供应商不存在违法违规情形的，采购人可以根据采购项目的实际情况，综合考虑递补供应商的经济性和效率等因素，自主确定是否重新开展采购活动或确定下一候选人为成交供应商。</w:t>
      </w:r>
    </w:p>
    <w:p w14:paraId="3F7F9071">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7.2.4采购人或成交供应商不得单方面向合同另一方提出任何竞争性磋商文件没有约定的条件或不合理的要求，作为签订合同的条件，也不得协商另行订立背离竞争性磋商文件和合同实质性内容的协议。</w:t>
      </w:r>
    </w:p>
    <w:p w14:paraId="1CAA23F3">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7.2.5在合同履行中，采购人需追加与合同标的相同的货物、工程或者服务的，在不改变原合同条款的前提下，可以与供应商协商签订补充合同，但所有补充合同的采购金额不得超过原采购合同金额的10%。</w:t>
      </w:r>
    </w:p>
    <w:p w14:paraId="5DA61E70">
      <w:pPr>
        <w:tabs>
          <w:tab w:val="left" w:pos="540"/>
        </w:tabs>
        <w:spacing w:after="0" w:line="440" w:lineRule="exact"/>
        <w:ind w:firstLine="484" w:firstLineChars="201"/>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7.3 政府采购合同公告</w:t>
      </w:r>
    </w:p>
    <w:p w14:paraId="2367016C">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7.3.1如磋商文件无特殊规定，成交人应在签订合同后1个工作日内，将政府采购合同副本送采购代理机构备案。</w:t>
      </w:r>
    </w:p>
    <w:p w14:paraId="106FC4D6">
      <w:pPr>
        <w:spacing w:after="0" w:line="440" w:lineRule="exact"/>
        <w:ind w:firstLine="482" w:firstLineChars="201"/>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7.3.2采购人应当自政府采购合同签订之日起2个工作日内，将政府采购合同在省级以上人民政府财政部门指定的媒体上公告，但政府采购合同中涉及国家秘密、商业秘密的内容除外。</w:t>
      </w:r>
    </w:p>
    <w:p w14:paraId="15F25EFB">
      <w:pPr>
        <w:pStyle w:val="3"/>
        <w:spacing w:line="440" w:lineRule="exact"/>
        <w:rPr>
          <w:rFonts w:ascii="宋体" w:hAnsi="宋体" w:eastAsia="宋体" w:cs="宋体"/>
          <w:b/>
          <w:bCs w:val="0"/>
          <w:color w:val="000000" w:themeColor="text1"/>
          <w:sz w:val="24"/>
          <w:szCs w:val="24"/>
          <w:highlight w:val="none"/>
          <w14:textFill>
            <w14:solidFill>
              <w14:schemeClr w14:val="tx1"/>
            </w14:solidFill>
          </w14:textFill>
        </w:rPr>
      </w:pPr>
      <w:bookmarkStart w:id="98" w:name="_Toc468915373"/>
      <w:bookmarkStart w:id="99" w:name="_Toc5948"/>
      <w:r>
        <w:rPr>
          <w:rFonts w:hint="eastAsia" w:ascii="宋体" w:hAnsi="宋体" w:eastAsia="宋体" w:cs="宋体"/>
          <w:b/>
          <w:bCs w:val="0"/>
          <w:color w:val="000000" w:themeColor="text1"/>
          <w:sz w:val="24"/>
          <w:szCs w:val="24"/>
          <w:highlight w:val="none"/>
          <w14:textFill>
            <w14:solidFill>
              <w14:schemeClr w14:val="tx1"/>
            </w14:solidFill>
          </w14:textFill>
        </w:rPr>
        <w:t>8、</w:t>
      </w:r>
      <w:bookmarkEnd w:id="98"/>
      <w:r>
        <w:rPr>
          <w:rFonts w:hint="eastAsia" w:ascii="宋体" w:hAnsi="宋体" w:eastAsia="宋体" w:cs="宋体"/>
          <w:b/>
          <w:bCs w:val="0"/>
          <w:color w:val="000000" w:themeColor="text1"/>
          <w:sz w:val="24"/>
          <w:szCs w:val="24"/>
          <w:highlight w:val="none"/>
          <w14:textFill>
            <w14:solidFill>
              <w14:schemeClr w14:val="tx1"/>
            </w14:solidFill>
          </w14:textFill>
        </w:rPr>
        <w:t>其他</w:t>
      </w:r>
      <w:bookmarkEnd w:id="99"/>
    </w:p>
    <w:p w14:paraId="053D358C">
      <w:pPr>
        <w:tabs>
          <w:tab w:val="left" w:pos="540"/>
        </w:tabs>
        <w:spacing w:after="0" w:line="440" w:lineRule="exact"/>
        <w:ind w:firstLine="484" w:firstLineChars="201"/>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8.1询问、质疑和投诉</w:t>
      </w:r>
    </w:p>
    <w:p w14:paraId="7F4786E6">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8.1.1供应商对政府采购活动事项有疑问的，可以向采购人、采购代理机构提出询问。</w:t>
      </w:r>
    </w:p>
    <w:p w14:paraId="120B1226">
      <w:pPr>
        <w:spacing w:after="0" w:line="400" w:lineRule="exact"/>
        <w:ind w:firstLine="480" w:firstLineChars="200"/>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8.1.2供应商认为采购文件、采购过程或成交结果使自己的合法权益受到损害的，应当在知道或者应知其权益受到损害之日起七个工作日内，以书面形式向采购人、采购代理机构提出质疑。具体计算起算时间如下：</w:t>
      </w:r>
    </w:p>
    <w:p w14:paraId="06B70FBE">
      <w:pPr>
        <w:spacing w:after="0" w:line="400" w:lineRule="exact"/>
        <w:ind w:firstLine="480" w:firstLineChars="200"/>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（一）对可以质疑的采购文件提出质疑的，为收到采购文件之日或者采购文件公告期限届满之日；</w:t>
      </w:r>
    </w:p>
    <w:p w14:paraId="5CDD7B9B">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（二）对采购过程提出质疑的，为各采购程序环节结束之日；</w:t>
      </w:r>
    </w:p>
    <w:p w14:paraId="68576C09">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（三）对成交结果提出质疑的，为成交结果公告期限届满之日。</w:t>
      </w:r>
    </w:p>
    <w:p w14:paraId="50D653AA">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采购人或采购代理机构在收到供应商书面质疑后7个工作日内，对质疑内容作出答复。供应商对采购人或采购代理机构的质疑答复不满意或者采购人或采购代理机构未在规定时间内作出答复的，可以在答复期满后十五个工作日内向同级采购监管部门(广西壮族自治区财政厅政府采购监督管理处)投诉。</w:t>
      </w:r>
    </w:p>
    <w:p w14:paraId="53BE1196">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质疑函接收及联系方式详见供应商须知前附表。</w:t>
      </w:r>
    </w:p>
    <w:p w14:paraId="0B314599">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8.1.3供应商的质疑和投诉行为应当符合《政府采购质疑和投诉办法》（中华人民共和国财政部令第94号）规定。质疑、投诉应当采用书面形式，质疑函、投诉书应按财政部发布《政府采购供应商质疑函范本》、《政府采购供应商投诉书范本》编制，质疑书、投诉书均应明确阐述采购文件、采购过程、成交结果中使自己合法权益受到损害的实质性内容，提供相关事实、明确的请求、必要的证明材料，便于有关单位调查、答复和处理。</w:t>
      </w:r>
    </w:p>
    <w:p w14:paraId="00DE092A">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供应商提出质疑应当提交质疑函和必要的证明材料，针对同一采购程序环节的质疑必须在法定质疑期内一次性提出。</w:t>
      </w:r>
    </w:p>
    <w:p w14:paraId="23BFC21E">
      <w:pPr>
        <w:tabs>
          <w:tab w:val="left" w:pos="540"/>
        </w:tabs>
        <w:spacing w:after="0" w:line="440" w:lineRule="exact"/>
        <w:ind w:firstLine="484" w:firstLineChars="201"/>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8.2 适用法律</w:t>
      </w:r>
    </w:p>
    <w:p w14:paraId="00A06C59">
      <w:pPr>
        <w:tabs>
          <w:tab w:val="left" w:pos="540"/>
        </w:tabs>
        <w:spacing w:after="0" w:line="440" w:lineRule="exact"/>
        <w:ind w:firstLine="482" w:firstLineChars="201"/>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采购当事人的一切活动均适用于《中华人民共和国政府采购法》、《中华人民共和国政府采购法实施条例》、《</w:t>
      </w:r>
      <w:r>
        <w:rPr>
          <w:rFonts w:hint="eastAsia" w:ascii="宋体" w:hAnsi="宋体" w:eastAsia="宋体" w:cs="宋体"/>
          <w:color w:val="000000" w:themeColor="text1"/>
          <w:highlight w:val="none"/>
          <w14:textFill>
            <w14:solidFill>
              <w14:schemeClr w14:val="tx1"/>
            </w14:solidFill>
          </w14:textFill>
        </w:rPr>
        <w:t>政府采购竞争性磋商采购方式管理暂行办法</w:t>
      </w:r>
      <w:r>
        <w:rPr>
          <w:rFonts w:hint="eastAsia" w:ascii="宋体" w:hAnsi="宋体" w:eastAsia="宋体" w:cs="宋体"/>
          <w:bCs/>
          <w:color w:val="000000" w:themeColor="text1"/>
          <w:highlight w:val="none"/>
          <w14:textFill>
            <w14:solidFill>
              <w14:schemeClr w14:val="tx1"/>
            </w14:solidFill>
          </w14:textFill>
        </w:rPr>
        <w:t>》及相关规定。</w:t>
      </w:r>
    </w:p>
    <w:p w14:paraId="734E872E">
      <w:pPr>
        <w:tabs>
          <w:tab w:val="left" w:pos="2835"/>
        </w:tabs>
        <w:spacing w:after="0" w:line="440" w:lineRule="exact"/>
        <w:ind w:firstLine="484" w:firstLineChars="201"/>
        <w:rPr>
          <w:rFonts w:ascii="宋体" w:hAnsi="宋体" w:eastAsia="宋体" w:cs="宋体"/>
          <w:b/>
          <w:color w:val="000000" w:themeColor="text1"/>
          <w:highlight w:val="none"/>
          <w14:textFill>
            <w14:solidFill>
              <w14:schemeClr w14:val="tx1"/>
            </w14:solidFill>
          </w14:textFill>
        </w:rPr>
      </w:pPr>
    </w:p>
    <w:p w14:paraId="62882872">
      <w:pPr>
        <w:pStyle w:val="2"/>
        <w:spacing w:line="380" w:lineRule="exact"/>
        <w:jc w:val="both"/>
        <w:rPr>
          <w:rFonts w:ascii="宋体" w:hAnsi="宋体" w:eastAsia="宋体" w:cs="宋体"/>
          <w:color w:val="000000" w:themeColor="text1"/>
          <w:highlight w:val="none"/>
          <w14:textFill>
            <w14:solidFill>
              <w14:schemeClr w14:val="tx1"/>
            </w14:solidFill>
          </w14:textFill>
        </w:rPr>
      </w:pPr>
      <w:bookmarkStart w:id="100" w:name="_Toc246094918"/>
      <w:bookmarkStart w:id="101" w:name="_Toc246095462"/>
      <w:bookmarkStart w:id="102" w:name="_Toc246095524"/>
      <w:r>
        <w:rPr>
          <w:rFonts w:hint="eastAsia" w:ascii="宋体" w:hAnsi="宋体" w:eastAsia="宋体" w:cs="宋体"/>
          <w:color w:val="000000" w:themeColor="text1"/>
          <w:highlight w:val="none"/>
          <w14:textFill>
            <w14:solidFill>
              <w14:schemeClr w14:val="tx1"/>
            </w14:solidFill>
          </w14:textFill>
        </w:rPr>
        <w:br w:type="page"/>
      </w:r>
    </w:p>
    <w:bookmarkEnd w:id="100"/>
    <w:bookmarkEnd w:id="101"/>
    <w:bookmarkEnd w:id="102"/>
    <w:p w14:paraId="45B757E1">
      <w:pPr>
        <w:jc w:val="center"/>
        <w:outlineLvl w:val="0"/>
        <w:rPr>
          <w:rFonts w:ascii="宋体" w:hAnsi="宋体" w:eastAsia="宋体" w:cs="宋体"/>
          <w:b/>
          <w:bCs/>
          <w:color w:val="000000" w:themeColor="text1"/>
          <w:sz w:val="32"/>
          <w:szCs w:val="32"/>
          <w:highlight w:val="none"/>
          <w14:textFill>
            <w14:solidFill>
              <w14:schemeClr w14:val="tx1"/>
            </w14:solidFill>
          </w14:textFill>
        </w:rPr>
      </w:pPr>
      <w:bookmarkStart w:id="103" w:name="_Toc30675"/>
      <w:r>
        <w:rPr>
          <w:rFonts w:hint="eastAsia" w:ascii="宋体" w:hAnsi="宋体" w:eastAsia="宋体" w:cs="宋体"/>
          <w:b/>
          <w:bCs/>
          <w:color w:val="000000" w:themeColor="text1"/>
          <w:sz w:val="32"/>
          <w:szCs w:val="32"/>
          <w:highlight w:val="none"/>
          <w14:textFill>
            <w14:solidFill>
              <w14:schemeClr w14:val="tx1"/>
            </w14:solidFill>
          </w14:textFill>
        </w:rPr>
        <w:t>第三章 项目采购需求</w:t>
      </w:r>
      <w:bookmarkEnd w:id="103"/>
    </w:p>
    <w:p w14:paraId="7A8D23FE">
      <w:pPr>
        <w:spacing w:after="0" w:line="420" w:lineRule="exact"/>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说明：</w:t>
      </w:r>
    </w:p>
    <w:p w14:paraId="5521FAE6">
      <w:pPr>
        <w:spacing w:after="0" w:line="420" w:lineRule="exact"/>
        <w:ind w:firstLine="484" w:firstLineChars="202"/>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供应商应对响应文件内容所涉及的专利、专有技术承担法律责任，并负责保护采购人的利益不受任何损害。一切由于文字、商标、技术和软件专利授权引起的法律裁决、诉讼和赔偿费用均由成交人负责。同时，具有产品专利、专有技术的供应商应在其响应文件中提供与其自有产品专利、专有技术相关的有效证明材料，否则，不能就其产品的专利、专有技术在本项目采购过程中被侵权问题而提出异议。</w:t>
      </w:r>
    </w:p>
    <w:p w14:paraId="1F4DF59E">
      <w:pPr>
        <w:spacing w:after="0" w:line="420" w:lineRule="exact"/>
        <w:ind w:firstLine="484" w:firstLineChars="202"/>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2、采购文件中标注“▲”号的条款为本次采购的实质性的商务、技术或服务要求，供应商须满足或响应，若无法完全满足，将会被认定为响应无效。</w:t>
      </w:r>
    </w:p>
    <w:p w14:paraId="2D50F0D4">
      <w:pPr>
        <w:spacing w:after="0" w:line="420" w:lineRule="exact"/>
        <w:ind w:firstLine="484" w:firstLineChars="202"/>
        <w:jc w:val="both"/>
        <w:rPr>
          <w:rFonts w:ascii="宋体" w:hAnsi="宋体" w:eastAsia="宋体" w:cs="宋体"/>
          <w:b/>
          <w:bCs/>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3.本项目属性为服务采购项目，采购内容所属行业</w:t>
      </w:r>
      <w:r>
        <w:rPr>
          <w:rFonts w:hint="eastAsia" w:ascii="宋体" w:hAnsi="宋体" w:eastAsia="宋体" w:cs="宋体"/>
          <w:b/>
          <w:bCs/>
          <w:color w:val="000000" w:themeColor="text1"/>
          <w:highlight w:val="none"/>
          <w14:textFill>
            <w14:solidFill>
              <w14:schemeClr w14:val="tx1"/>
            </w14:solidFill>
          </w14:textFill>
        </w:rPr>
        <w:t>：软件和信息技术服务业。</w:t>
      </w:r>
    </w:p>
    <w:p w14:paraId="2ED54721">
      <w:pPr>
        <w:pStyle w:val="28"/>
        <w:rPr>
          <w:color w:val="000000" w:themeColor="text1"/>
          <w:highlight w:val="none"/>
          <w14:textFill>
            <w14:solidFill>
              <w14:schemeClr w14:val="tx1"/>
            </w14:solidFill>
          </w14:textFill>
        </w:rPr>
      </w:pP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7"/>
        <w:gridCol w:w="7004"/>
      </w:tblGrid>
      <w:tr w14:paraId="0E7C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dxa"/>
          </w:tcPr>
          <w:p w14:paraId="3FFA3B78">
            <w:pPr>
              <w:pStyle w:val="41"/>
              <w:widowControl/>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项目名称</w:t>
            </w:r>
          </w:p>
        </w:tc>
        <w:tc>
          <w:tcPr>
            <w:tcW w:w="7004" w:type="dxa"/>
          </w:tcPr>
          <w:p w14:paraId="3C73A339">
            <w:pPr>
              <w:pStyle w:val="41"/>
              <w:widowControl/>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一、服务内容及技术服务要求</w:t>
            </w:r>
          </w:p>
        </w:tc>
      </w:tr>
      <w:tr w14:paraId="10C8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dxa"/>
            <w:vAlign w:val="center"/>
          </w:tcPr>
          <w:p w14:paraId="6B0FECED">
            <w:pPr>
              <w:pStyle w:val="17"/>
              <w:tabs>
                <w:tab w:val="left" w:pos="799"/>
              </w:tabs>
              <w:spacing w:line="380" w:lineRule="exact"/>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“广西桂林农业学校智慧校园系统——智慧校园年服务+宿舍人脸识别门禁管理设备”项目</w:t>
            </w:r>
          </w:p>
        </w:tc>
        <w:tc>
          <w:tcPr>
            <w:tcW w:w="7004" w:type="dxa"/>
          </w:tcPr>
          <w:p w14:paraId="4EB3B692">
            <w:pPr>
              <w:pStyle w:val="2"/>
              <w:widowControl w:val="0"/>
              <w:numPr>
                <w:ilvl w:val="0"/>
                <w:numId w:val="4"/>
              </w:numPr>
              <w:tabs>
                <w:tab w:val="left" w:pos="960"/>
              </w:tabs>
              <w:spacing w:line="380" w:lineRule="exact"/>
              <w:jc w:val="both"/>
              <w:outlineLvl w:val="0"/>
              <w:rPr>
                <w:rFonts w:ascii="宋体" w:hAnsi="宋体" w:eastAsia="宋体" w:cs="宋体"/>
                <w:color w:val="000000" w:themeColor="text1"/>
                <w:sz w:val="21"/>
                <w:szCs w:val="21"/>
                <w:highlight w:val="none"/>
                <w14:textFill>
                  <w14:solidFill>
                    <w14:schemeClr w14:val="tx1"/>
                  </w14:solidFill>
                </w14:textFill>
              </w:rPr>
            </w:pPr>
            <w:bookmarkStart w:id="104" w:name="heading_1"/>
            <w:r>
              <w:rPr>
                <w:rFonts w:hint="eastAsia" w:ascii="宋体" w:hAnsi="宋体" w:eastAsia="宋体" w:cs="宋体"/>
                <w:color w:val="000000" w:themeColor="text1"/>
                <w:sz w:val="21"/>
                <w:szCs w:val="21"/>
                <w:highlight w:val="none"/>
                <w14:textFill>
                  <w14:solidFill>
                    <w14:schemeClr w14:val="tx1"/>
                  </w14:solidFill>
                </w14:textFill>
              </w:rPr>
              <w:t>宿舍人脸识别门禁管理设备技术参数</w:t>
            </w:r>
            <w:bookmarkEnd w:id="104"/>
          </w:p>
          <w:p w14:paraId="40EF560D">
            <w:pPr>
              <w:pStyle w:val="3"/>
              <w:numPr>
                <w:ilvl w:val="0"/>
                <w:numId w:val="5"/>
              </w:numPr>
              <w:tabs>
                <w:tab w:val="left" w:pos="1200"/>
              </w:tabs>
              <w:spacing w:line="380" w:lineRule="exact"/>
              <w:jc w:val="both"/>
              <w:outlineLvl w:val="1"/>
              <w:rPr>
                <w:rFonts w:ascii="宋体" w:hAnsi="宋体" w:eastAsia="宋体" w:cs="宋体"/>
                <w:color w:val="000000" w:themeColor="text1"/>
                <w:sz w:val="21"/>
                <w:szCs w:val="21"/>
                <w:highlight w:val="none"/>
                <w14:textFill>
                  <w14:solidFill>
                    <w14:schemeClr w14:val="tx1"/>
                  </w14:solidFill>
                </w14:textFill>
              </w:rPr>
            </w:pPr>
            <w:bookmarkStart w:id="105" w:name="heading_2"/>
            <w:r>
              <w:rPr>
                <w:rFonts w:hint="eastAsia" w:ascii="宋体" w:hAnsi="宋体" w:eastAsia="宋体" w:cs="宋体"/>
                <w:color w:val="000000" w:themeColor="text1"/>
                <w:sz w:val="21"/>
                <w:szCs w:val="21"/>
                <w:highlight w:val="none"/>
                <w14:textFill>
                  <w14:solidFill>
                    <w14:schemeClr w14:val="tx1"/>
                  </w14:solidFill>
                </w14:textFill>
              </w:rPr>
              <w:t>人脸考勤机</w:t>
            </w:r>
            <w:bookmarkEnd w:id="105"/>
          </w:p>
          <w:p w14:paraId="651160D0">
            <w:pPr>
              <w:pStyle w:val="17"/>
              <w:tabs>
                <w:tab w:val="left" w:pos="799"/>
              </w:tabs>
              <w:spacing w:line="380" w:lineRule="exact"/>
              <w:ind w:left="480" w:leftChars="20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配置数量32台</w:t>
            </w:r>
          </w:p>
          <w:p w14:paraId="3C0D8EB3">
            <w:pPr>
              <w:pStyle w:val="17"/>
              <w:numPr>
                <w:ilvl w:val="0"/>
                <w:numId w:val="6"/>
              </w:numPr>
              <w:tabs>
                <w:tab w:val="left" w:pos="619"/>
              </w:tabs>
              <w:spacing w:line="380" w:lineRule="exact"/>
              <w:ind w:left="1" w:firstLine="327" w:firstLineChars="156"/>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人脸识别：基于LINUX系统,需采用业界领先的可见光+近红外双目摄像头，实现活体检测和各种环境下的准确识别；需能抵御图片、视频、人脸模型等非活体攻击；</w:t>
            </w:r>
          </w:p>
          <w:p w14:paraId="4C40AAB1">
            <w:pPr>
              <w:pStyle w:val="17"/>
              <w:numPr>
                <w:ilvl w:val="0"/>
                <w:numId w:val="6"/>
              </w:numPr>
              <w:tabs>
                <w:tab w:val="left" w:pos="619"/>
              </w:tabs>
              <w:spacing w:line="380" w:lineRule="exact"/>
              <w:ind w:left="1" w:firstLine="327" w:firstLineChars="156"/>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人脸比对：内置数据库，可对抓拍人脸本地实时完成比对，并将比对结果生成日志存储；</w:t>
            </w:r>
          </w:p>
          <w:p w14:paraId="738BEB8A">
            <w:pPr>
              <w:pStyle w:val="17"/>
              <w:numPr>
                <w:ilvl w:val="0"/>
                <w:numId w:val="6"/>
              </w:numPr>
              <w:tabs>
                <w:tab w:val="left" w:pos="619"/>
              </w:tabs>
              <w:spacing w:line="380" w:lineRule="exact"/>
              <w:ind w:left="1" w:firstLine="327" w:firstLineChars="156"/>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识别速度：&lt;500ms；</w:t>
            </w:r>
          </w:p>
          <w:p w14:paraId="2412C409">
            <w:pPr>
              <w:pStyle w:val="17"/>
              <w:numPr>
                <w:ilvl w:val="0"/>
                <w:numId w:val="6"/>
              </w:numPr>
              <w:tabs>
                <w:tab w:val="left" w:pos="619"/>
              </w:tabs>
              <w:spacing w:line="380" w:lineRule="exact"/>
              <w:ind w:left="1" w:firstLine="327" w:firstLineChars="156"/>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识别距离：0.3-2米；</w:t>
            </w:r>
          </w:p>
          <w:p w14:paraId="182C3F36">
            <w:pPr>
              <w:pStyle w:val="17"/>
              <w:numPr>
                <w:ilvl w:val="0"/>
                <w:numId w:val="6"/>
              </w:numPr>
              <w:tabs>
                <w:tab w:val="left" w:pos="619"/>
              </w:tabs>
              <w:spacing w:line="380" w:lineRule="exact"/>
              <w:ind w:left="1" w:firstLine="327" w:firstLineChars="156"/>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识别人脸高度：1.2-2.2 米，角度可调；</w:t>
            </w:r>
          </w:p>
          <w:p w14:paraId="541E072C">
            <w:pPr>
              <w:pStyle w:val="17"/>
              <w:numPr>
                <w:ilvl w:val="0"/>
                <w:numId w:val="6"/>
              </w:numPr>
              <w:tabs>
                <w:tab w:val="left" w:pos="619"/>
              </w:tabs>
              <w:spacing w:line="380" w:lineRule="exact"/>
              <w:ind w:left="1" w:firstLine="327" w:firstLineChars="156"/>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多种识别模式：支持人脸识别、人脸识别+口罩检测等；</w:t>
            </w:r>
          </w:p>
          <w:p w14:paraId="04880F5F">
            <w:pPr>
              <w:pStyle w:val="17"/>
              <w:numPr>
                <w:ilvl w:val="0"/>
                <w:numId w:val="6"/>
              </w:numPr>
              <w:tabs>
                <w:tab w:val="left" w:pos="619"/>
              </w:tabs>
              <w:spacing w:line="380" w:lineRule="exact"/>
              <w:ind w:left="1" w:firstLine="327" w:firstLineChars="156"/>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识别率：无遮挡识别率≥99%，佩戴口罩识别率≥80%；</w:t>
            </w:r>
          </w:p>
          <w:p w14:paraId="366B8E79">
            <w:pPr>
              <w:pStyle w:val="17"/>
              <w:numPr>
                <w:ilvl w:val="0"/>
                <w:numId w:val="6"/>
              </w:numPr>
              <w:tabs>
                <w:tab w:val="left" w:pos="619"/>
              </w:tabs>
              <w:spacing w:line="380" w:lineRule="exact"/>
              <w:ind w:left="1" w:firstLine="327" w:firstLineChars="156"/>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显示屏：≥8寸；</w:t>
            </w:r>
          </w:p>
          <w:p w14:paraId="7B4A8024">
            <w:pPr>
              <w:pStyle w:val="17"/>
              <w:numPr>
                <w:ilvl w:val="0"/>
                <w:numId w:val="6"/>
              </w:numPr>
              <w:tabs>
                <w:tab w:val="left" w:pos="619"/>
              </w:tabs>
              <w:spacing w:line="380" w:lineRule="exact"/>
              <w:ind w:left="1" w:firstLine="327" w:firstLineChars="156"/>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分辨率：≥800*1280；</w:t>
            </w:r>
          </w:p>
          <w:p w14:paraId="053288A5">
            <w:pPr>
              <w:pStyle w:val="17"/>
              <w:numPr>
                <w:ilvl w:val="0"/>
                <w:numId w:val="6"/>
              </w:numPr>
              <w:tabs>
                <w:tab w:val="left" w:pos="619"/>
              </w:tabs>
              <w:spacing w:line="380" w:lineRule="exact"/>
              <w:ind w:left="1" w:firstLine="327" w:firstLineChars="156"/>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补光：白光补光灯、IR红外补光灯、红绿光灯指示灯；</w:t>
            </w:r>
          </w:p>
          <w:p w14:paraId="2AC44F8B">
            <w:pPr>
              <w:pStyle w:val="17"/>
              <w:numPr>
                <w:ilvl w:val="0"/>
                <w:numId w:val="6"/>
              </w:numPr>
              <w:tabs>
                <w:tab w:val="left" w:pos="619"/>
              </w:tabs>
              <w:spacing w:line="380" w:lineRule="exact"/>
              <w:ind w:left="1" w:firstLine="327" w:firstLineChars="156"/>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音效：扬声器，8欧/1瓦；</w:t>
            </w:r>
          </w:p>
          <w:p w14:paraId="499A04AE">
            <w:pPr>
              <w:pStyle w:val="17"/>
              <w:numPr>
                <w:ilvl w:val="0"/>
                <w:numId w:val="6"/>
              </w:numPr>
              <w:tabs>
                <w:tab w:val="left" w:pos="619"/>
              </w:tabs>
              <w:spacing w:line="380" w:lineRule="exact"/>
              <w:ind w:left="1" w:firstLine="327" w:firstLineChars="156"/>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网络接口：RJ45 10M/100M 自适应以太网口；</w:t>
            </w:r>
          </w:p>
          <w:p w14:paraId="11783887">
            <w:pPr>
              <w:pStyle w:val="17"/>
              <w:numPr>
                <w:ilvl w:val="0"/>
                <w:numId w:val="6"/>
              </w:numPr>
              <w:tabs>
                <w:tab w:val="left" w:pos="619"/>
              </w:tabs>
              <w:spacing w:line="380" w:lineRule="exact"/>
              <w:ind w:left="1" w:firstLine="327" w:firstLineChars="156"/>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人脸数据库：支持不少于5万张人脸库；</w:t>
            </w:r>
          </w:p>
          <w:p w14:paraId="30E341D3">
            <w:pPr>
              <w:pStyle w:val="17"/>
              <w:numPr>
                <w:ilvl w:val="0"/>
                <w:numId w:val="6"/>
              </w:numPr>
              <w:tabs>
                <w:tab w:val="left" w:pos="619"/>
              </w:tabs>
              <w:spacing w:line="380" w:lineRule="exact"/>
              <w:ind w:left="1" w:firstLine="327" w:firstLineChars="156"/>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防护等级：≥IP65。 </w:t>
            </w:r>
          </w:p>
          <w:p w14:paraId="23E09D9A">
            <w:pPr>
              <w:pStyle w:val="3"/>
              <w:numPr>
                <w:ilvl w:val="0"/>
                <w:numId w:val="5"/>
              </w:numPr>
              <w:tabs>
                <w:tab w:val="left" w:pos="1200"/>
              </w:tabs>
              <w:spacing w:line="380" w:lineRule="exact"/>
              <w:jc w:val="both"/>
              <w:outlineLvl w:val="1"/>
              <w:rPr>
                <w:rFonts w:ascii="宋体" w:hAnsi="宋体" w:eastAsia="宋体" w:cs="宋体"/>
                <w:color w:val="000000" w:themeColor="text1"/>
                <w:sz w:val="21"/>
                <w:szCs w:val="21"/>
                <w:highlight w:val="none"/>
                <w14:textFill>
                  <w14:solidFill>
                    <w14:schemeClr w14:val="tx1"/>
                  </w14:solidFill>
                </w14:textFill>
              </w:rPr>
            </w:pPr>
            <w:bookmarkStart w:id="106" w:name="heading_3"/>
            <w:r>
              <w:rPr>
                <w:rFonts w:hint="eastAsia" w:ascii="宋体" w:hAnsi="宋体" w:eastAsia="宋体" w:cs="宋体"/>
                <w:color w:val="000000" w:themeColor="text1"/>
                <w:sz w:val="21"/>
                <w:szCs w:val="21"/>
                <w:highlight w:val="none"/>
                <w14:textFill>
                  <w14:solidFill>
                    <w14:schemeClr w14:val="tx1"/>
                  </w14:solidFill>
                </w14:textFill>
              </w:rPr>
              <w:t xml:space="preserve">单机芯摆闸 </w:t>
            </w:r>
            <w:bookmarkEnd w:id="106"/>
          </w:p>
          <w:p w14:paraId="073AD3AD">
            <w:pPr>
              <w:pStyle w:val="17"/>
              <w:tabs>
                <w:tab w:val="left" w:pos="799"/>
              </w:tabs>
              <w:spacing w:line="380" w:lineRule="exact"/>
              <w:ind w:left="480" w:leftChars="20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配置数量16台</w:t>
            </w:r>
          </w:p>
          <w:p w14:paraId="7CA36C2A">
            <w:pPr>
              <w:pStyle w:val="17"/>
              <w:numPr>
                <w:ilvl w:val="0"/>
                <w:numId w:val="7"/>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4对红外、无刷电机、防撞机芯。</w:t>
            </w:r>
          </w:p>
          <w:p w14:paraId="13E9ED3D">
            <w:pPr>
              <w:pStyle w:val="17"/>
              <w:numPr>
                <w:ilvl w:val="0"/>
                <w:numId w:val="7"/>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外观：304不锈钢、钢化玻璃挡板、亚克力摆臂。</w:t>
            </w:r>
          </w:p>
          <w:p w14:paraId="6465B169">
            <w:pPr>
              <w:pStyle w:val="17"/>
              <w:numPr>
                <w:ilvl w:val="0"/>
                <w:numId w:val="7"/>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电源电压：直流电源 24V/6.25A。</w:t>
            </w:r>
          </w:p>
          <w:p w14:paraId="1F6621D0">
            <w:pPr>
              <w:pStyle w:val="17"/>
              <w:numPr>
                <w:ilvl w:val="0"/>
                <w:numId w:val="7"/>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驱动电机：线性伺服电机 24V/40W。</w:t>
            </w:r>
          </w:p>
          <w:p w14:paraId="2A428A15">
            <w:pPr>
              <w:pStyle w:val="17"/>
              <w:numPr>
                <w:ilvl w:val="0"/>
                <w:numId w:val="7"/>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输入接口：12V电平信号或脉宽＞100ms的12V脉冲信号驱动电流＞10mA。</w:t>
            </w:r>
          </w:p>
          <w:p w14:paraId="24C21F4D">
            <w:pPr>
              <w:pStyle w:val="17"/>
              <w:numPr>
                <w:ilvl w:val="0"/>
                <w:numId w:val="7"/>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工作环境温度：-30度- 70度，相对湿度：相对湿度≤90%、不凝露。</w:t>
            </w:r>
          </w:p>
          <w:p w14:paraId="352F9466">
            <w:pPr>
              <w:pStyle w:val="17"/>
              <w:numPr>
                <w:ilvl w:val="0"/>
                <w:numId w:val="7"/>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通行速度：≤30人/分钟（常开模式）、20人/分钟（常闭模式）。</w:t>
            </w:r>
          </w:p>
          <w:p w14:paraId="6E5B89BA">
            <w:pPr>
              <w:pStyle w:val="17"/>
              <w:numPr>
                <w:ilvl w:val="0"/>
                <w:numId w:val="7"/>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闸门开、关时间：0.5S。</w:t>
            </w:r>
          </w:p>
          <w:p w14:paraId="44BA34FB">
            <w:pPr>
              <w:pStyle w:val="3"/>
              <w:numPr>
                <w:ilvl w:val="0"/>
                <w:numId w:val="5"/>
              </w:numPr>
              <w:tabs>
                <w:tab w:val="left" w:pos="1200"/>
              </w:tabs>
              <w:spacing w:line="380" w:lineRule="exact"/>
              <w:jc w:val="both"/>
              <w:outlineLvl w:val="1"/>
              <w:rPr>
                <w:rFonts w:ascii="宋体" w:hAnsi="宋体" w:eastAsia="宋体" w:cs="宋体"/>
                <w:color w:val="000000" w:themeColor="text1"/>
                <w:sz w:val="21"/>
                <w:szCs w:val="21"/>
                <w:highlight w:val="none"/>
                <w14:textFill>
                  <w14:solidFill>
                    <w14:schemeClr w14:val="tx1"/>
                  </w14:solidFill>
                </w14:textFill>
              </w:rPr>
            </w:pPr>
            <w:bookmarkStart w:id="107" w:name="heading_4"/>
            <w:r>
              <w:rPr>
                <w:rFonts w:hint="eastAsia" w:ascii="宋体" w:hAnsi="宋体" w:eastAsia="宋体" w:cs="宋体"/>
                <w:color w:val="000000" w:themeColor="text1"/>
                <w:sz w:val="21"/>
                <w:szCs w:val="21"/>
                <w:highlight w:val="none"/>
                <w14:textFill>
                  <w14:solidFill>
                    <w14:schemeClr w14:val="tx1"/>
                  </w14:solidFill>
                </w14:textFill>
              </w:rPr>
              <w:t xml:space="preserve">双机芯摆闸 </w:t>
            </w:r>
            <w:bookmarkEnd w:id="107"/>
          </w:p>
          <w:p w14:paraId="725BA14C">
            <w:pPr>
              <w:pStyle w:val="17"/>
              <w:tabs>
                <w:tab w:val="left" w:pos="799"/>
              </w:tabs>
              <w:spacing w:line="380" w:lineRule="exact"/>
              <w:ind w:left="480" w:leftChars="20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配置数量8台</w:t>
            </w:r>
          </w:p>
          <w:p w14:paraId="34D71E1F">
            <w:pPr>
              <w:pStyle w:val="17"/>
              <w:numPr>
                <w:ilvl w:val="0"/>
                <w:numId w:val="8"/>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双机芯摆闸</w:t>
            </w:r>
          </w:p>
          <w:p w14:paraId="1B75B0CE">
            <w:pPr>
              <w:pStyle w:val="17"/>
              <w:numPr>
                <w:ilvl w:val="0"/>
                <w:numId w:val="8"/>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6对红外、双芯电机、防撞机芯。</w:t>
            </w:r>
          </w:p>
          <w:p w14:paraId="6C059A4D">
            <w:pPr>
              <w:pStyle w:val="17"/>
              <w:numPr>
                <w:ilvl w:val="0"/>
                <w:numId w:val="8"/>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外观：304不锈钢、钢化玻璃挡板、亚克力摆臂。</w:t>
            </w:r>
          </w:p>
          <w:p w14:paraId="31851EDA">
            <w:pPr>
              <w:pStyle w:val="17"/>
              <w:numPr>
                <w:ilvl w:val="0"/>
                <w:numId w:val="8"/>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电源电压：直流电源 24V/6.25A。</w:t>
            </w:r>
          </w:p>
          <w:p w14:paraId="69504A27">
            <w:pPr>
              <w:pStyle w:val="17"/>
              <w:numPr>
                <w:ilvl w:val="0"/>
                <w:numId w:val="8"/>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驱动电机：线性伺服电机 24V/40W。</w:t>
            </w:r>
          </w:p>
          <w:p w14:paraId="1F7EA67C">
            <w:pPr>
              <w:pStyle w:val="17"/>
              <w:numPr>
                <w:ilvl w:val="0"/>
                <w:numId w:val="8"/>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输入接口：12V电平信号或脉宽＞100ms的12V脉冲信号驱动电流＞10mA。</w:t>
            </w:r>
          </w:p>
          <w:p w14:paraId="03E9E4CF">
            <w:pPr>
              <w:pStyle w:val="17"/>
              <w:numPr>
                <w:ilvl w:val="0"/>
                <w:numId w:val="8"/>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工作环境温度：-30度~ 70度，相对湿度：相对湿度≤90%、不凝露。</w:t>
            </w:r>
          </w:p>
          <w:p w14:paraId="2D48B9D8">
            <w:pPr>
              <w:pStyle w:val="17"/>
              <w:numPr>
                <w:ilvl w:val="0"/>
                <w:numId w:val="8"/>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通行速度：≤30人/分钟（常开模式）、20人/分钟（常闭模式）。</w:t>
            </w:r>
          </w:p>
          <w:p w14:paraId="6B223359">
            <w:pPr>
              <w:pStyle w:val="17"/>
              <w:numPr>
                <w:ilvl w:val="0"/>
                <w:numId w:val="8"/>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闸门开、关时间：0.5S。</w:t>
            </w:r>
          </w:p>
          <w:p w14:paraId="1C67F242">
            <w:pPr>
              <w:pStyle w:val="3"/>
              <w:numPr>
                <w:ilvl w:val="0"/>
                <w:numId w:val="5"/>
              </w:numPr>
              <w:tabs>
                <w:tab w:val="left" w:pos="1200"/>
              </w:tabs>
              <w:spacing w:line="380" w:lineRule="exact"/>
              <w:jc w:val="both"/>
              <w:outlineLvl w:val="1"/>
              <w:rPr>
                <w:rFonts w:ascii="宋体" w:hAnsi="宋体" w:eastAsia="宋体" w:cs="宋体"/>
                <w:color w:val="000000" w:themeColor="text1"/>
                <w:sz w:val="21"/>
                <w:szCs w:val="21"/>
                <w:highlight w:val="none"/>
                <w14:textFill>
                  <w14:solidFill>
                    <w14:schemeClr w14:val="tx1"/>
                  </w14:solidFill>
                </w14:textFill>
              </w:rPr>
            </w:pPr>
            <w:bookmarkStart w:id="108" w:name="heading_5"/>
            <w:r>
              <w:rPr>
                <w:rFonts w:hint="eastAsia" w:ascii="宋体" w:hAnsi="宋体" w:eastAsia="宋体" w:cs="宋体"/>
                <w:color w:val="000000" w:themeColor="text1"/>
                <w:sz w:val="21"/>
                <w:szCs w:val="21"/>
                <w:highlight w:val="none"/>
                <w14:textFill>
                  <w14:solidFill>
                    <w14:schemeClr w14:val="tx1"/>
                  </w14:solidFill>
                </w14:textFill>
              </w:rPr>
              <w:t xml:space="preserve">边缘计算机 </w:t>
            </w:r>
            <w:bookmarkEnd w:id="108"/>
          </w:p>
          <w:p w14:paraId="258B4AF8">
            <w:pPr>
              <w:pStyle w:val="17"/>
              <w:tabs>
                <w:tab w:val="left" w:pos="799"/>
              </w:tabs>
              <w:spacing w:line="380" w:lineRule="exact"/>
              <w:ind w:left="480" w:leftChars="20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配置数量5台</w:t>
            </w:r>
          </w:p>
          <w:p w14:paraId="698B9434">
            <w:pPr>
              <w:pStyle w:val="17"/>
              <w:numPr>
                <w:ilvl w:val="0"/>
                <w:numId w:val="9"/>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CPU：≥四核 2GHz</w:t>
            </w:r>
          </w:p>
          <w:p w14:paraId="773BBD40">
            <w:pPr>
              <w:pStyle w:val="17"/>
              <w:numPr>
                <w:ilvl w:val="0"/>
                <w:numId w:val="9"/>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运行内存：≥4GB</w:t>
            </w:r>
          </w:p>
          <w:p w14:paraId="6263D477">
            <w:pPr>
              <w:pStyle w:val="17"/>
              <w:numPr>
                <w:ilvl w:val="0"/>
                <w:numId w:val="9"/>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存储内存：≥64GB</w:t>
            </w:r>
          </w:p>
          <w:p w14:paraId="28A97C8D">
            <w:pPr>
              <w:pStyle w:val="17"/>
              <w:numPr>
                <w:ilvl w:val="0"/>
                <w:numId w:val="9"/>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网络：以太网、支持Wi-Fi</w:t>
            </w:r>
          </w:p>
          <w:p w14:paraId="3CF17CE5">
            <w:pPr>
              <w:pStyle w:val="17"/>
              <w:numPr>
                <w:ilvl w:val="0"/>
                <w:numId w:val="9"/>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操作系统：Linux系统</w:t>
            </w:r>
          </w:p>
          <w:p w14:paraId="34FE7BE0">
            <w:pPr>
              <w:pStyle w:val="17"/>
              <w:numPr>
                <w:ilvl w:val="0"/>
                <w:numId w:val="9"/>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接口：≥USB*2；≥HDMI*1；≥UBOOT*1；≥RJ45网口*1</w:t>
            </w:r>
          </w:p>
          <w:p w14:paraId="5DA32934">
            <w:pPr>
              <w:pStyle w:val="17"/>
              <w:numPr>
                <w:ilvl w:val="0"/>
                <w:numId w:val="9"/>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安装方式：需支持桌面式和机架式安装</w:t>
            </w:r>
          </w:p>
          <w:p w14:paraId="4F27E3AD">
            <w:pPr>
              <w:pStyle w:val="3"/>
              <w:numPr>
                <w:ilvl w:val="0"/>
                <w:numId w:val="5"/>
              </w:numPr>
              <w:tabs>
                <w:tab w:val="left" w:pos="1200"/>
              </w:tabs>
              <w:spacing w:line="380" w:lineRule="exact"/>
              <w:jc w:val="both"/>
              <w:outlineLvl w:val="1"/>
              <w:rPr>
                <w:rFonts w:ascii="宋体" w:hAnsi="宋体" w:eastAsia="宋体" w:cs="宋体"/>
                <w:color w:val="000000" w:themeColor="text1"/>
                <w:sz w:val="21"/>
                <w:szCs w:val="21"/>
                <w:highlight w:val="none"/>
                <w14:textFill>
                  <w14:solidFill>
                    <w14:schemeClr w14:val="tx1"/>
                  </w14:solidFill>
                </w14:textFill>
              </w:rPr>
            </w:pPr>
            <w:bookmarkStart w:id="109" w:name="heading_6"/>
            <w:r>
              <w:rPr>
                <w:rFonts w:hint="eastAsia" w:ascii="宋体" w:hAnsi="宋体" w:eastAsia="宋体" w:cs="宋体"/>
                <w:color w:val="000000" w:themeColor="text1"/>
                <w:sz w:val="21"/>
                <w:szCs w:val="21"/>
                <w:highlight w:val="none"/>
                <w14:textFill>
                  <w14:solidFill>
                    <w14:schemeClr w14:val="tx1"/>
                  </w14:solidFill>
                </w14:textFill>
              </w:rPr>
              <w:t>闸机安装</w:t>
            </w:r>
            <w:bookmarkEnd w:id="109"/>
          </w:p>
          <w:p w14:paraId="64E140C4">
            <w:pPr>
              <w:pStyle w:val="17"/>
              <w:tabs>
                <w:tab w:val="left" w:pos="619"/>
              </w:tabs>
              <w:spacing w:line="380" w:lineRule="exact"/>
              <w:ind w:left="334"/>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24台闸机，包含人工、各类线材、安装布线等全部工作。</w:t>
            </w:r>
          </w:p>
          <w:p w14:paraId="79FA8789">
            <w:pPr>
              <w:pStyle w:val="3"/>
              <w:numPr>
                <w:ilvl w:val="0"/>
                <w:numId w:val="5"/>
              </w:numPr>
              <w:tabs>
                <w:tab w:val="left" w:pos="1200"/>
              </w:tabs>
              <w:spacing w:line="380" w:lineRule="exact"/>
              <w:jc w:val="both"/>
              <w:outlineLvl w:val="1"/>
              <w:rPr>
                <w:rFonts w:ascii="宋体" w:hAnsi="宋体" w:eastAsia="宋体" w:cs="宋体"/>
                <w:color w:val="000000" w:themeColor="text1"/>
                <w:sz w:val="21"/>
                <w:szCs w:val="21"/>
                <w:highlight w:val="none"/>
                <w14:textFill>
                  <w14:solidFill>
                    <w14:schemeClr w14:val="tx1"/>
                  </w14:solidFill>
                </w14:textFill>
              </w:rPr>
            </w:pPr>
            <w:bookmarkStart w:id="110" w:name="heading_7"/>
            <w:r>
              <w:rPr>
                <w:rFonts w:hint="eastAsia" w:ascii="宋体" w:hAnsi="宋体" w:eastAsia="宋体" w:cs="宋体"/>
                <w:color w:val="000000" w:themeColor="text1"/>
                <w:sz w:val="21"/>
                <w:szCs w:val="21"/>
                <w:highlight w:val="none"/>
                <w14:textFill>
                  <w14:solidFill>
                    <w14:schemeClr w14:val="tx1"/>
                  </w14:solidFill>
                </w14:textFill>
              </w:rPr>
              <w:t xml:space="preserve">围栏 </w:t>
            </w:r>
            <w:bookmarkEnd w:id="110"/>
          </w:p>
          <w:p w14:paraId="6E16ADE0">
            <w:pPr>
              <w:pStyle w:val="17"/>
              <w:numPr>
                <w:ilvl w:val="0"/>
                <w:numId w:val="10"/>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位置：学生宿舍区</w:t>
            </w:r>
          </w:p>
          <w:p w14:paraId="74131266">
            <w:pPr>
              <w:pStyle w:val="17"/>
              <w:numPr>
                <w:ilvl w:val="0"/>
                <w:numId w:val="10"/>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功能：协助宿舍考勤</w:t>
            </w:r>
          </w:p>
          <w:p w14:paraId="73A52E8C">
            <w:pPr>
              <w:pStyle w:val="17"/>
              <w:numPr>
                <w:ilvl w:val="0"/>
                <w:numId w:val="10"/>
              </w:numPr>
              <w:tabs>
                <w:tab w:val="left" w:pos="619"/>
              </w:tabs>
              <w:spacing w:line="380" w:lineRule="exact"/>
              <w:ind w:left="0" w:firstLine="333" w:firstLineChars="159"/>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描述：围栏约140㎡，100×100×2.0mm厚的蓝色镀锌方通立柱，50×50×1.2mm厚的蓝色镀锌方通横梁，30×30×1.0mm厚的白色镀锌方通格栅。</w:t>
            </w:r>
          </w:p>
          <w:p w14:paraId="2A4CD56B">
            <w:pPr>
              <w:pStyle w:val="2"/>
              <w:widowControl w:val="0"/>
              <w:numPr>
                <w:ilvl w:val="0"/>
                <w:numId w:val="4"/>
              </w:numPr>
              <w:tabs>
                <w:tab w:val="left" w:pos="960"/>
              </w:tabs>
              <w:spacing w:line="380" w:lineRule="exact"/>
              <w:jc w:val="both"/>
              <w:outlineLvl w:val="0"/>
              <w:rPr>
                <w:rFonts w:ascii="宋体" w:hAnsi="宋体" w:eastAsia="宋体" w:cs="宋体"/>
                <w:color w:val="000000" w:themeColor="text1"/>
                <w:sz w:val="21"/>
                <w:szCs w:val="21"/>
                <w:highlight w:val="none"/>
                <w14:textFill>
                  <w14:solidFill>
                    <w14:schemeClr w14:val="tx1"/>
                  </w14:solidFill>
                </w14:textFill>
              </w:rPr>
            </w:pPr>
            <w:bookmarkStart w:id="111" w:name="heading_8"/>
            <w:r>
              <w:rPr>
                <w:rFonts w:hint="eastAsia" w:ascii="宋体" w:hAnsi="宋体" w:eastAsia="宋体" w:cs="宋体"/>
                <w:color w:val="000000" w:themeColor="text1"/>
                <w:sz w:val="21"/>
                <w:szCs w:val="21"/>
                <w:highlight w:val="none"/>
                <w14:textFill>
                  <w14:solidFill>
                    <w14:schemeClr w14:val="tx1"/>
                  </w14:solidFill>
                </w14:textFill>
              </w:rPr>
              <w:t>智慧校园年服务</w:t>
            </w:r>
            <w:bookmarkEnd w:id="111"/>
            <w:r>
              <w:rPr>
                <w:rFonts w:hint="eastAsia" w:ascii="宋体" w:hAnsi="宋体" w:eastAsia="宋体" w:cs="宋体"/>
                <w:color w:val="000000" w:themeColor="text1"/>
                <w:sz w:val="21"/>
                <w:szCs w:val="21"/>
                <w:highlight w:val="none"/>
                <w14:textFill>
                  <w14:solidFill>
                    <w14:schemeClr w14:val="tx1"/>
                  </w14:solidFill>
                </w14:textFill>
              </w:rPr>
              <w:t>要求</w:t>
            </w:r>
          </w:p>
          <w:p w14:paraId="49F5DB44">
            <w:pPr>
              <w:pStyle w:val="2"/>
              <w:widowControl w:val="0"/>
              <w:numPr>
                <w:ilvl w:val="0"/>
                <w:numId w:val="11"/>
              </w:numPr>
              <w:tabs>
                <w:tab w:val="left" w:pos="612"/>
              </w:tabs>
              <w:spacing w:line="380" w:lineRule="exact"/>
              <w:ind w:left="0" w:firstLine="0"/>
              <w:jc w:val="both"/>
              <w:outlineLvl w:val="0"/>
              <w:rPr>
                <w:rFonts w:ascii="宋体" w:hAnsi="宋体" w:eastAsia="宋体" w:cs="宋体"/>
                <w:color w:val="000000" w:themeColor="text1"/>
                <w:sz w:val="21"/>
                <w:szCs w:val="21"/>
                <w:highlight w:val="none"/>
                <w14:textFill>
                  <w14:solidFill>
                    <w14:schemeClr w14:val="tx1"/>
                  </w14:solidFill>
                </w14:textFill>
              </w:rPr>
            </w:pPr>
            <w:bookmarkStart w:id="112" w:name="heading_27"/>
            <w:r>
              <w:rPr>
                <w:rFonts w:hint="eastAsia" w:ascii="宋体" w:hAnsi="宋体" w:eastAsia="宋体" w:cs="宋体"/>
                <w:color w:val="000000" w:themeColor="text1"/>
                <w:sz w:val="21"/>
                <w:szCs w:val="21"/>
                <w:highlight w:val="none"/>
                <w14:textFill>
                  <w14:solidFill>
                    <w14:schemeClr w14:val="tx1"/>
                  </w14:solidFill>
                </w14:textFill>
              </w:rPr>
              <w:t>智慧校园年服务技术要求</w:t>
            </w:r>
          </w:p>
          <w:p w14:paraId="08401094">
            <w:pPr>
              <w:pStyle w:val="17"/>
              <w:numPr>
                <w:ilvl w:val="0"/>
                <w:numId w:val="12"/>
              </w:numPr>
              <w:tabs>
                <w:tab w:val="left" w:pos="780"/>
              </w:tabs>
              <w:spacing w:line="380" w:lineRule="exact"/>
              <w:ind w:left="0" w:firstLine="422"/>
              <w:jc w:val="both"/>
              <w:rPr>
                <w:rFonts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整体要求</w:t>
            </w:r>
          </w:p>
          <w:p w14:paraId="455AC7CF">
            <w:pPr>
              <w:pStyle w:val="17"/>
              <w:numPr>
                <w:ilvl w:val="0"/>
                <w:numId w:val="13"/>
              </w:numPr>
              <w:tabs>
                <w:tab w:val="left" w:pos="78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采购人通过浏览器即可直接访问智慧校园平台服务，无需在本地自建数据中心，也无需投入人力运维管理数据中心硬件系统和支撑环境，以及运维管理智慧校园平台。平台所有部署、升级及维护工作均由投标人负责。</w:t>
            </w:r>
          </w:p>
          <w:p w14:paraId="767A83C2">
            <w:pPr>
              <w:pStyle w:val="17"/>
              <w:numPr>
                <w:ilvl w:val="0"/>
                <w:numId w:val="13"/>
              </w:numPr>
              <w:tabs>
                <w:tab w:val="left" w:pos="78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要求投标人提供整合集成的智慧校园年服务，服务期3年。整合内容涵盖本项目所有业务服务，完成所有业务服务的统一身份认证与单点登录，提供统一门户入口，用户通过一次登录认证即可访问相关业务平台；所有业务数据、业务流程需实现跨业务互通与完整流转，满足本项目云服务建设的所有需求。投标人承诺智慧校园年服务的所有服务内容均为同一供应商提供，无其他第三方厂家的整合。（本项提供承诺函，格式自拟）</w:t>
            </w:r>
          </w:p>
          <w:p w14:paraId="4674951D">
            <w:pPr>
              <w:pStyle w:val="17"/>
              <w:numPr>
                <w:ilvl w:val="0"/>
                <w:numId w:val="13"/>
              </w:numPr>
              <w:tabs>
                <w:tab w:val="left" w:pos="78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要求软件平台界面风格设计风格一致，操作简单。采用图形化、向导式界面布局，能准确反映每一项管理工作的流程、顺序、步骤，降低用户使用难度。</w:t>
            </w:r>
          </w:p>
          <w:p w14:paraId="6B5C20BA">
            <w:pPr>
              <w:pStyle w:val="17"/>
              <w:numPr>
                <w:ilvl w:val="0"/>
                <w:numId w:val="13"/>
              </w:numPr>
              <w:tabs>
                <w:tab w:val="left" w:pos="78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用户安全：软件平台登录账号密码采用非对称加密方式，并且限制用户登录密码复杂度；登录失败超过规定次数后需进行图片验证码验证登录；支持通过手机短信发送验证码登录；支持使用移动端App扫一扫登录；支持通过邮件或手机短信重置登录密码。</w:t>
            </w:r>
          </w:p>
          <w:p w14:paraId="1261B502">
            <w:pPr>
              <w:pStyle w:val="17"/>
              <w:numPr>
                <w:ilvl w:val="0"/>
                <w:numId w:val="13"/>
              </w:numPr>
              <w:tabs>
                <w:tab w:val="left" w:pos="78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网络安全：具备DDoS防御服务，保障产品不会因为受到攻击导致服务中断。安全系统具备实时的端口入侵检测，有效避免非法入侵。</w:t>
            </w:r>
          </w:p>
          <w:p w14:paraId="3297D954">
            <w:pPr>
              <w:pStyle w:val="17"/>
              <w:numPr>
                <w:ilvl w:val="0"/>
                <w:numId w:val="13"/>
              </w:numPr>
              <w:tabs>
                <w:tab w:val="left" w:pos="78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信息加密：核心用户数据加密，保护用户隐私。全站HTTPS服务，采用SSL加密传输，避免通信请求在中途被拦截和伪造。</w:t>
            </w:r>
          </w:p>
          <w:p w14:paraId="06C04000">
            <w:pPr>
              <w:pStyle w:val="17"/>
              <w:numPr>
                <w:ilvl w:val="0"/>
                <w:numId w:val="13"/>
              </w:numPr>
              <w:tabs>
                <w:tab w:val="left" w:pos="78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系统安全：定期扫描运行环境系统漏洞并自动修复。系统实时监控，对多种风险操作等进行识别告警，避免人为破坏。计算节点系统数据进行定期备份，并通过信息系统安全等级保护认证。数据完整：物理服务器周期性进行快照，对关键数据（数据库、文件数据）定期进行异地备份。对用户数据加入校验机制防止篡改，避免第三方非法修改。用户数据库和文件均采用专有的物理存储空间，保障用户数据独立性与安全。</w:t>
            </w:r>
          </w:p>
          <w:p w14:paraId="2658FD0D">
            <w:pPr>
              <w:pStyle w:val="17"/>
              <w:numPr>
                <w:ilvl w:val="0"/>
                <w:numId w:val="13"/>
              </w:numPr>
              <w:tabs>
                <w:tab w:val="left" w:pos="78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高性能：采用高可用服务器集群搭建，计算能力强，并发响应能力高，保证在采购人网络接入不成为瓶颈的情况下智慧校园平台登录、功能页面、视频的平均加载时间不超过5秒（文件下载传输、自定义报表加载除外）。</w:t>
            </w:r>
          </w:p>
          <w:p w14:paraId="36BA4BCD">
            <w:pPr>
              <w:pStyle w:val="17"/>
              <w:numPr>
                <w:ilvl w:val="0"/>
                <w:numId w:val="13"/>
              </w:numPr>
              <w:tabs>
                <w:tab w:val="left" w:pos="78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高稳定性：采用全冗余架构，无单点故障，除网络通路阻塞造成的服务中断、不可抗力和意外事件、以及投标人进行服务器维护或软件升级等因素外，综合保障服务可用性不低于99.95%。</w:t>
            </w:r>
          </w:p>
          <w:p w14:paraId="5E92C504">
            <w:pPr>
              <w:pStyle w:val="17"/>
              <w:numPr>
                <w:ilvl w:val="0"/>
                <w:numId w:val="13"/>
              </w:numPr>
              <w:tabs>
                <w:tab w:val="left" w:pos="78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数据备份机制：提供足够安全的数据备份策略，能够每天非工作时段定时备份数据库。数据备份由投标人统一管理并设置备份时间和策略。</w:t>
            </w:r>
          </w:p>
          <w:p w14:paraId="18F966C7">
            <w:pPr>
              <w:pStyle w:val="17"/>
              <w:numPr>
                <w:ilvl w:val="0"/>
                <w:numId w:val="13"/>
              </w:numPr>
              <w:tabs>
                <w:tab w:val="left" w:pos="78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为采购人提供专属的数据库和存储空间，存储空间</w:t>
            </w:r>
            <w:r>
              <w:rPr>
                <w:rFonts w:hint="eastAsia" w:ascii="宋体" w:hAnsi="宋体" w:cs="宋体"/>
                <w:bCs/>
                <w:color w:val="000000" w:themeColor="text1"/>
                <w:sz w:val="21"/>
                <w:szCs w:val="21"/>
                <w:highlight w:val="none"/>
                <w14:textFill>
                  <w14:solidFill>
                    <w14:schemeClr w14:val="tx1"/>
                  </w14:solidFill>
                </w14:textFill>
              </w:rPr>
              <w:t>8TB，</w:t>
            </w:r>
            <w:r>
              <w:rPr>
                <w:rFonts w:hint="eastAsia" w:ascii="宋体" w:hAnsi="宋体" w:cs="宋体"/>
                <w:color w:val="000000" w:themeColor="text1"/>
                <w:sz w:val="21"/>
                <w:szCs w:val="21"/>
                <w:highlight w:val="none"/>
                <w14:textFill>
                  <w14:solidFill>
                    <w14:schemeClr w14:val="tx1"/>
                  </w14:solidFill>
                </w14:textFill>
              </w:rPr>
              <w:t>用于存储学校的私有数据和用户文件，数据库文件保留过去六个月，用户文件需采用增量备份。</w:t>
            </w:r>
          </w:p>
          <w:p w14:paraId="5E82D781">
            <w:pPr>
              <w:pStyle w:val="17"/>
              <w:numPr>
                <w:ilvl w:val="0"/>
                <w:numId w:val="13"/>
              </w:numPr>
              <w:tabs>
                <w:tab w:val="left" w:pos="78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▲需提供智慧校园移动端App，支持Android、iOS、</w:t>
            </w:r>
            <w:r>
              <w:rPr>
                <w:rFonts w:ascii="宋体" w:hAnsi="宋体" w:cs="宋体"/>
                <w:color w:val="000000" w:themeColor="text1"/>
                <w:sz w:val="21"/>
                <w:szCs w:val="21"/>
                <w:highlight w:val="none"/>
                <w14:textFill>
                  <w14:solidFill>
                    <w14:schemeClr w14:val="tx1"/>
                  </w14:solidFill>
                </w14:textFill>
              </w:rPr>
              <w:t>Harmony</w:t>
            </w:r>
            <w:r>
              <w:rPr>
                <w:rFonts w:hint="eastAsia" w:ascii="宋体" w:hAnsi="宋体" w:cs="宋体"/>
                <w:color w:val="000000" w:themeColor="text1"/>
                <w:sz w:val="21"/>
                <w:szCs w:val="21"/>
                <w:highlight w:val="none"/>
                <w14:textFill>
                  <w14:solidFill>
                    <w14:schemeClr w14:val="tx1"/>
                  </w14:solidFill>
                </w14:textFill>
              </w:rPr>
              <w:t>OS操作系统，支持教职工使用移动端办理相关业务，以及学生请假、选课、查看通知、课表和成绩、在线考试等与学生相关的业务。投标人免费提供智慧校园平台软件功能的更新、升级服务，保证采购人在服务期内使用最新版本的功能。</w:t>
            </w:r>
          </w:p>
          <w:p w14:paraId="3129B352">
            <w:pPr>
              <w:pStyle w:val="17"/>
              <w:numPr>
                <w:ilvl w:val="0"/>
                <w:numId w:val="12"/>
              </w:numPr>
              <w:tabs>
                <w:tab w:val="left" w:pos="780"/>
              </w:tabs>
              <w:spacing w:line="380" w:lineRule="exact"/>
              <w:ind w:left="0" w:firstLine="422"/>
              <w:jc w:val="both"/>
              <w:rPr>
                <w:rFonts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技术参数</w:t>
            </w:r>
          </w:p>
          <w:p w14:paraId="1DF5B726">
            <w:pPr>
              <w:pStyle w:val="17"/>
              <w:numPr>
                <w:ilvl w:val="0"/>
                <w:numId w:val="14"/>
              </w:numPr>
              <w:tabs>
                <w:tab w:val="left" w:pos="780"/>
                <w:tab w:val="left" w:pos="103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技术要求：</w:t>
            </w:r>
            <w:r>
              <w:rPr>
                <w:rFonts w:hint="eastAsia" w:ascii="宋体" w:hAnsi="宋体" w:cs="宋体"/>
                <w:color w:val="000000" w:themeColor="text1"/>
                <w:sz w:val="21"/>
                <w:szCs w:val="21"/>
                <w:highlight w:val="none"/>
                <w14:textFill>
                  <w14:solidFill>
                    <w14:schemeClr w14:val="tx1"/>
                  </w14:solidFill>
                </w14:textFill>
              </w:rPr>
              <w:t>要求软件系统遵循JAVAEE技术规范，采用面向服务架构(SOA)的设计理念，采用RPC(Remote Procedure Call)和 Spring Boot技术；采用分布式部署结构，支持集群部署及虚拟化；采用浏览器/服务器(Browser/Server)，无需安装客户端。</w:t>
            </w:r>
          </w:p>
          <w:p w14:paraId="609CCCE7">
            <w:pPr>
              <w:pStyle w:val="17"/>
              <w:numPr>
                <w:ilvl w:val="0"/>
                <w:numId w:val="14"/>
              </w:numPr>
              <w:tabs>
                <w:tab w:val="left" w:pos="780"/>
                <w:tab w:val="left" w:pos="103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操作系统：支持部署在目前主流的操作系统（如Linux、Unix、Windows等），同时支持主流的国产操作系统。</w:t>
            </w:r>
          </w:p>
          <w:p w14:paraId="15E3180D">
            <w:pPr>
              <w:pStyle w:val="17"/>
              <w:numPr>
                <w:ilvl w:val="0"/>
                <w:numId w:val="14"/>
              </w:numPr>
              <w:tabs>
                <w:tab w:val="left" w:pos="780"/>
                <w:tab w:val="left" w:pos="103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平台架构：软件平台的各种服务、文件系统、缓存系统等，可以灵活地部署在任意服务器上，并支持分布式多实例集群，以便根据用户访问负荷进行灵活扩展。</w:t>
            </w:r>
          </w:p>
          <w:p w14:paraId="234F47A7">
            <w:pPr>
              <w:pStyle w:val="17"/>
              <w:numPr>
                <w:ilvl w:val="0"/>
                <w:numId w:val="14"/>
              </w:numPr>
              <w:tabs>
                <w:tab w:val="left" w:pos="780"/>
                <w:tab w:val="left" w:pos="103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负载均衡与集群：支持集群、虚拟化；采用B/S架构，实现系统高可用。</w:t>
            </w:r>
          </w:p>
          <w:p w14:paraId="3DFA048E">
            <w:pPr>
              <w:pStyle w:val="17"/>
              <w:numPr>
                <w:ilvl w:val="0"/>
                <w:numId w:val="14"/>
              </w:numPr>
              <w:tabs>
                <w:tab w:val="left" w:pos="780"/>
                <w:tab w:val="left" w:pos="103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部署要求：采用Docker容器技术，实现自动、弹性分配CPU及内存资源。</w:t>
            </w:r>
          </w:p>
          <w:p w14:paraId="1B213A86">
            <w:pPr>
              <w:pStyle w:val="17"/>
              <w:numPr>
                <w:ilvl w:val="0"/>
                <w:numId w:val="14"/>
              </w:numPr>
              <w:tabs>
                <w:tab w:val="left" w:pos="780"/>
                <w:tab w:val="left" w:pos="103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安全要求：需具有口令防攻击，限制密码复杂度及多种登录方式支持使用App扫一扫登录，支持WAF，进行防SQL注入、XSS、SSRF等Web攻击。</w:t>
            </w:r>
          </w:p>
          <w:p w14:paraId="0A92C60A">
            <w:pPr>
              <w:pStyle w:val="17"/>
              <w:numPr>
                <w:ilvl w:val="0"/>
                <w:numId w:val="14"/>
              </w:numPr>
              <w:tabs>
                <w:tab w:val="left" w:pos="780"/>
                <w:tab w:val="left" w:pos="103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权限管理：基于RBAC权限管理，软件平台不显示用户无访问权限的功能菜单项。</w:t>
            </w:r>
          </w:p>
          <w:p w14:paraId="672F7D8D">
            <w:pPr>
              <w:pStyle w:val="17"/>
              <w:numPr>
                <w:ilvl w:val="0"/>
                <w:numId w:val="14"/>
              </w:numPr>
              <w:tabs>
                <w:tab w:val="left" w:pos="780"/>
                <w:tab w:val="left" w:pos="1030"/>
              </w:tabs>
              <w:spacing w:line="380" w:lineRule="exact"/>
              <w:ind w:left="0" w:firstLine="420"/>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单点登录：提供统一身份认证与单点登录入口，支持通过Form方式、oAuth协议定制开发的方式添加第三方系统。</w:t>
            </w:r>
          </w:p>
          <w:p w14:paraId="22679526">
            <w:pPr>
              <w:pStyle w:val="17"/>
              <w:numPr>
                <w:ilvl w:val="0"/>
                <w:numId w:val="14"/>
              </w:numPr>
              <w:tabs>
                <w:tab w:val="left" w:pos="780"/>
                <w:tab w:val="left" w:pos="103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消息推送</w:t>
            </w:r>
            <w:r>
              <w:rPr>
                <w:rFonts w:hint="eastAsia" w:ascii="宋体" w:hAnsi="宋体" w:cs="宋体"/>
                <w:b/>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14:textFill>
                  <w14:solidFill>
                    <w14:schemeClr w14:val="tx1"/>
                  </w14:solidFill>
                </w14:textFill>
              </w:rPr>
              <w:t>支持通过手机短信、站内消息及App等多种方式实现消息推送。</w:t>
            </w:r>
          </w:p>
          <w:p w14:paraId="31977E35">
            <w:pPr>
              <w:pStyle w:val="17"/>
              <w:numPr>
                <w:ilvl w:val="0"/>
                <w:numId w:val="14"/>
              </w:numPr>
              <w:tabs>
                <w:tab w:val="left" w:pos="780"/>
                <w:tab w:val="left" w:pos="103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工作流程引擎：基于开源Activiti，符合BPMN 2.0标准，采用动态配置即时，灵活定制审批业务流程，便于业务流程重组的自定义设置，对业务流程进行规范化管理。</w:t>
            </w:r>
          </w:p>
          <w:p w14:paraId="2785FACB">
            <w:pPr>
              <w:pStyle w:val="17"/>
              <w:numPr>
                <w:ilvl w:val="0"/>
                <w:numId w:val="14"/>
              </w:numPr>
              <w:tabs>
                <w:tab w:val="left" w:pos="780"/>
                <w:tab w:val="left" w:pos="103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并发性：支持50000以上在线用户使用，支持1000以上并发操作。支持1000笔/分钟的实时查询或业务处理。</w:t>
            </w:r>
          </w:p>
          <w:p w14:paraId="36845C0D">
            <w:pPr>
              <w:pStyle w:val="17"/>
              <w:numPr>
                <w:ilvl w:val="0"/>
                <w:numId w:val="14"/>
              </w:numPr>
              <w:tabs>
                <w:tab w:val="left" w:pos="780"/>
                <w:tab w:val="left" w:pos="103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扩展性：支持 Oracle/MySQL/DB2/SQL Server等关系型数据库；运行环境支持Unix/Linux/Windows 等主流操作系统；应用服务器支持 TOMCAT/JBOSS/WebSPHERE 等；采用 Web Service、Restful、数据导入/导出等多种方式。</w:t>
            </w:r>
          </w:p>
          <w:p w14:paraId="35CD07DE">
            <w:pPr>
              <w:pStyle w:val="17"/>
              <w:numPr>
                <w:ilvl w:val="0"/>
                <w:numId w:val="14"/>
              </w:numPr>
              <w:tabs>
                <w:tab w:val="left" w:pos="780"/>
                <w:tab w:val="left" w:pos="103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二次开发：软件平台中至少嵌入一种快速开发工具用于二次开发。</w:t>
            </w:r>
          </w:p>
          <w:p w14:paraId="521DB3F6">
            <w:pPr>
              <w:pStyle w:val="17"/>
              <w:numPr>
                <w:ilvl w:val="0"/>
                <w:numId w:val="14"/>
              </w:numPr>
              <w:tabs>
                <w:tab w:val="left" w:pos="780"/>
                <w:tab w:val="left" w:pos="103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开放接口：提供数据接口，以便学校现有平台进行整合集成；接口类型包括用户和组织机构信息、师生员工个人信息及用户基本行为数据等。</w:t>
            </w:r>
          </w:p>
          <w:p w14:paraId="62D608C4">
            <w:pPr>
              <w:pStyle w:val="17"/>
              <w:numPr>
                <w:ilvl w:val="0"/>
                <w:numId w:val="14"/>
              </w:numPr>
              <w:tabs>
                <w:tab w:val="left" w:pos="780"/>
                <w:tab w:val="left" w:pos="1030"/>
              </w:tabs>
              <w:spacing w:line="380" w:lineRule="exact"/>
              <w:ind w:left="0" w:firstLine="42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日志管理：平台支持同步记录系统运行日志和操作日志，管理员可通过功能菜单查看日志，从而避免管理员人工打开庞大繁杂的日志文件，简化日志分析操作。</w:t>
            </w:r>
          </w:p>
          <w:p w14:paraId="11E670B8">
            <w:pPr>
              <w:pStyle w:val="17"/>
              <w:numPr>
                <w:ilvl w:val="0"/>
                <w:numId w:val="14"/>
              </w:numPr>
              <w:tabs>
                <w:tab w:val="left" w:pos="780"/>
                <w:tab w:val="left" w:pos="1030"/>
              </w:tabs>
              <w:spacing w:line="380" w:lineRule="exact"/>
              <w:ind w:left="0" w:firstLine="420"/>
              <w:jc w:val="both"/>
              <w:rPr>
                <w:rFonts w:ascii="宋体" w:hAnsi="宋体" w:cs="宋体"/>
                <w:b/>
                <w:bCs/>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支持相</w:t>
            </w:r>
            <w:r>
              <w:rPr>
                <w:rFonts w:hint="eastAsia" w:ascii="宋体" w:hAnsi="宋体" w:cs="宋体"/>
                <w:bCs/>
                <w:color w:val="000000" w:themeColor="text1"/>
                <w:sz w:val="21"/>
                <w:szCs w:val="21"/>
                <w:highlight w:val="none"/>
                <w14:textFill>
                  <w14:solidFill>
                    <w14:schemeClr w14:val="tx1"/>
                  </w14:solidFill>
                </w14:textFill>
              </w:rPr>
              <w:t>关信息标准：</w:t>
            </w:r>
            <w:bookmarkStart w:id="113" w:name="_Hlk85025694"/>
            <w:r>
              <w:rPr>
                <w:rFonts w:hint="eastAsia" w:ascii="宋体" w:hAnsi="宋体" w:cs="宋体"/>
                <w:color w:val="000000" w:themeColor="text1"/>
                <w:sz w:val="21"/>
                <w:szCs w:val="21"/>
                <w:highlight w:val="none"/>
                <w14:textFill>
                  <w14:solidFill>
                    <w14:schemeClr w14:val="tx1"/>
                  </w14:solidFill>
                </w14:textFill>
              </w:rPr>
              <w:t>GB8566-88《计算机软件开发规范》、GB8567-88《计算机系统开发文件编制指南》、GB9305-88《计算机软件需求说明编制指南》、GB9386-88《计算机软件测试文档编制指南》、GB/T 8586‑2007《软件生命周期过程》、JY/T 1005-2012 教育管理信息 中职学校管理信息、JY/T 1006-2012 教育管理信息 高等学校管理信息</w:t>
            </w:r>
            <w:bookmarkStart w:id="114" w:name="_Hlk85025792"/>
            <w:r>
              <w:rPr>
                <w:rFonts w:hint="eastAsia" w:ascii="宋体" w:hAnsi="宋体" w:cs="宋体"/>
                <w:color w:val="000000" w:themeColor="text1"/>
                <w:sz w:val="21"/>
                <w:szCs w:val="21"/>
                <w:highlight w:val="none"/>
                <w14:textFill>
                  <w14:solidFill>
                    <w14:schemeClr w14:val="tx1"/>
                  </w14:solidFill>
                </w14:textFill>
              </w:rPr>
              <w:t>、GB/T 25508-2019 信息安全技术 信息系统安全保护等级实施指南、GB/T 22239-2019 信息安全技术 网络安全等级保护基本要求</w:t>
            </w:r>
            <w:bookmarkEnd w:id="113"/>
            <w:bookmarkEnd w:id="114"/>
            <w:r>
              <w:rPr>
                <w:rFonts w:hint="eastAsia" w:ascii="宋体" w:hAnsi="宋体" w:cs="宋体"/>
                <w:color w:val="000000" w:themeColor="text1"/>
                <w:sz w:val="21"/>
                <w:szCs w:val="21"/>
                <w:highlight w:val="none"/>
                <w14:textFill>
                  <w14:solidFill>
                    <w14:schemeClr w14:val="tx1"/>
                  </w14:solidFill>
                </w14:textFill>
              </w:rPr>
              <w:t>。</w:t>
            </w:r>
          </w:p>
          <w:p w14:paraId="33E95F1F">
            <w:pPr>
              <w:pStyle w:val="2"/>
              <w:widowControl w:val="0"/>
              <w:numPr>
                <w:ilvl w:val="0"/>
                <w:numId w:val="11"/>
              </w:numPr>
              <w:tabs>
                <w:tab w:val="left" w:pos="612"/>
              </w:tabs>
              <w:spacing w:line="380" w:lineRule="exact"/>
              <w:ind w:left="0" w:firstLine="0"/>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智慧校园年服务内容</w:t>
            </w:r>
          </w:p>
          <w:p w14:paraId="43F6D691">
            <w:pPr>
              <w:pStyle w:val="2"/>
              <w:widowControl w:val="0"/>
              <w:numPr>
                <w:ilvl w:val="0"/>
                <w:numId w:val="15"/>
              </w:numPr>
              <w:tabs>
                <w:tab w:val="left" w:pos="895"/>
              </w:tabs>
              <w:spacing w:line="380" w:lineRule="exact"/>
              <w:ind w:left="482" w:firstLine="420"/>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统一信息门户服务</w:t>
            </w:r>
          </w:p>
          <w:p w14:paraId="5C0D726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面向师生员工提供一站式服务，将各个业务系统入口集中呈现在统一门户平台，从而实现网上服务集中办理，一次登录可以访问所有权限的系统，提升使用体验。</w:t>
            </w:r>
          </w:p>
          <w:p w14:paraId="03D65DE4">
            <w:pPr>
              <w:pStyle w:val="3"/>
              <w:numPr>
                <w:ilvl w:val="0"/>
                <w:numId w:val="16"/>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bookmarkStart w:id="115" w:name="_Hlk205194850"/>
            <w:r>
              <w:rPr>
                <w:rFonts w:hint="eastAsia" w:ascii="宋体" w:hAnsi="宋体" w:eastAsia="宋体" w:cs="宋体"/>
                <w:color w:val="000000" w:themeColor="text1"/>
                <w:sz w:val="21"/>
                <w:szCs w:val="21"/>
                <w:highlight w:val="none"/>
                <w14:textFill>
                  <w14:solidFill>
                    <w14:schemeClr w14:val="tx1"/>
                  </w14:solidFill>
                </w14:textFill>
              </w:rPr>
              <w:t>统一用户管理</w:t>
            </w:r>
          </w:p>
          <w:p w14:paraId="47C5716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支持将用户账号进行集中和统一规范管理，对智慧校园中的用户提供统一的电子身份，支持统一的用户认证方式。</w:t>
            </w:r>
          </w:p>
          <w:p w14:paraId="04302D2E">
            <w:pPr>
              <w:pStyle w:val="3"/>
              <w:numPr>
                <w:ilvl w:val="0"/>
                <w:numId w:val="16"/>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用户账号管理</w:t>
            </w:r>
          </w:p>
          <w:p w14:paraId="7D333CC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统一信息</w:t>
            </w:r>
            <w:r>
              <w:rPr>
                <w:rFonts w:hint="eastAsia" w:ascii="宋体" w:hAnsi="宋体" w:cs="宋体"/>
                <w:color w:val="000000" w:themeColor="text1"/>
                <w:sz w:val="21"/>
                <w:szCs w:val="21"/>
                <w:highlight w:val="none"/>
                <w14:textFill>
                  <w14:solidFill>
                    <w14:schemeClr w14:val="tx1"/>
                  </w14:solidFill>
                </w14:textFill>
              </w:rPr>
              <w:t>门户服务与招生管理服务、学籍管理服务无缝集成，学生录取成功后平台能自动注册学生账号。支持设置以下任意一种规则（学生姓名、学号、手机号、身份证号）作为学生登录智慧校园平台的账号。</w:t>
            </w:r>
          </w:p>
          <w:p w14:paraId="1F4EC731">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统一信息门户服务服务与人事管理服务无缝集成，实现教职工入职后自动注册教职</w:t>
            </w:r>
            <w:r>
              <w:rPr>
                <w:rFonts w:hint="eastAsia" w:ascii="宋体" w:hAnsi="宋体" w:cs="宋体"/>
                <w:bCs/>
                <w:color w:val="000000" w:themeColor="text1"/>
                <w:sz w:val="21"/>
                <w:szCs w:val="21"/>
                <w:highlight w:val="none"/>
                <w14:textFill>
                  <w14:solidFill>
                    <w14:schemeClr w14:val="tx1"/>
                  </w14:solidFill>
                </w14:textFill>
              </w:rPr>
              <w:t>工账号。支持设置以下任意一种规则（教职工姓名、工号、手机号、身份证号）作为教职工登录智慧校园平台的账号。</w:t>
            </w:r>
          </w:p>
          <w:p w14:paraId="48787EFC">
            <w:pPr>
              <w:pStyle w:val="3"/>
              <w:numPr>
                <w:ilvl w:val="0"/>
                <w:numId w:val="16"/>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账号安全管理</w:t>
            </w:r>
          </w:p>
          <w:p w14:paraId="7D39389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用户账号支持强密码管理，学校管理员可以配置密码的长度和组成元素等；可以设</w:t>
            </w:r>
            <w:r>
              <w:rPr>
                <w:rFonts w:hint="eastAsia" w:ascii="宋体" w:hAnsi="宋体" w:cs="宋体"/>
                <w:color w:val="000000" w:themeColor="text1"/>
                <w:sz w:val="21"/>
                <w:szCs w:val="21"/>
                <w:highlight w:val="none"/>
                <w14:textFill>
                  <w14:solidFill>
                    <w14:schemeClr w14:val="tx1"/>
                  </w14:solidFill>
                </w14:textFill>
              </w:rPr>
              <w:t>置Web端和App端自动登录的有效期限；密码输入错误超过3次需要验证码验证等安全保护措施。</w:t>
            </w:r>
          </w:p>
          <w:p w14:paraId="57459454">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提供多种密</w:t>
            </w:r>
            <w:r>
              <w:rPr>
                <w:rFonts w:hint="eastAsia" w:ascii="宋体" w:hAnsi="宋体" w:cs="宋体"/>
                <w:bCs/>
                <w:color w:val="000000" w:themeColor="text1"/>
                <w:sz w:val="21"/>
                <w:szCs w:val="21"/>
                <w:highlight w:val="none"/>
                <w14:textFill>
                  <w14:solidFill>
                    <w14:schemeClr w14:val="tx1"/>
                  </w14:solidFill>
                </w14:textFill>
              </w:rPr>
              <w:t>码找回方式，支持通过手机短信验证码或邮箱找回密码；支持系统管理人员通过系统为师生重置密码；支持班主任为本班学生重置密码。</w:t>
            </w:r>
          </w:p>
          <w:p w14:paraId="0258E67F">
            <w:pPr>
              <w:pStyle w:val="3"/>
              <w:numPr>
                <w:ilvl w:val="0"/>
                <w:numId w:val="16"/>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登录方式</w:t>
            </w:r>
          </w:p>
          <w:p w14:paraId="4BDCAAA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平台支持多种登录方式：支持使用账号登录、使用移动端App扫码登录、支持手机短信验证码登录和生物认证登录等多种登录方式。学校可自主决定启用一种或多种登录方式。</w:t>
            </w:r>
          </w:p>
          <w:bookmarkEnd w:id="115"/>
          <w:p w14:paraId="0A82DB00">
            <w:pPr>
              <w:pStyle w:val="3"/>
              <w:numPr>
                <w:ilvl w:val="0"/>
                <w:numId w:val="16"/>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统一身份认证中心</w:t>
            </w:r>
          </w:p>
          <w:p w14:paraId="03FD1EA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统一身份认证给学校业务应用提供统一的用户管理和用户认证。支持用户一次登录后，在登录有效期间内直接访问已授权的应用系统而无须再次登录。</w:t>
            </w:r>
          </w:p>
          <w:p w14:paraId="23F9E2A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bookmarkStart w:id="116" w:name="OLE_LINK3"/>
            <w:r>
              <w:rPr>
                <w:rFonts w:hint="eastAsia" w:ascii="宋体" w:hAnsi="宋体" w:cs="宋体"/>
                <w:color w:val="000000" w:themeColor="text1"/>
                <w:sz w:val="21"/>
                <w:szCs w:val="21"/>
                <w:highlight w:val="none"/>
                <w14:textFill>
                  <w14:solidFill>
                    <w14:schemeClr w14:val="tx1"/>
                  </w14:solidFill>
                </w14:textFill>
              </w:rPr>
              <w:t>统一身份认证服务支持多种认证方式（如账号、二维码、短信、生物认证识别等），保障认证终端的多样性。</w:t>
            </w:r>
          </w:p>
          <w:bookmarkEnd w:id="116"/>
          <w:p w14:paraId="106D82CC">
            <w:pPr>
              <w:pStyle w:val="3"/>
              <w:numPr>
                <w:ilvl w:val="0"/>
                <w:numId w:val="16"/>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教职工个人门户</w:t>
            </w:r>
          </w:p>
          <w:p w14:paraId="2230819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教职工网上服务大厅：直观展示教职工网上办理事务的快速入口，包括教</w:t>
            </w:r>
            <w:r>
              <w:rPr>
                <w:rFonts w:hint="eastAsia" w:ascii="宋体" w:hAnsi="宋体" w:cs="宋体"/>
                <w:color w:val="000000" w:themeColor="text1"/>
                <w:sz w:val="21"/>
                <w:szCs w:val="21"/>
                <w:highlight w:val="none"/>
                <w14:textFill>
                  <w14:solidFill>
                    <w14:schemeClr w14:val="tx1"/>
                  </w14:solidFill>
                </w14:textFill>
              </w:rPr>
              <w:t>学工作、学生管理事务、快捷办公、流程申请与审批、人事信息、资产服务等相关事务的入口。同时支持教职工按关键字在门户首页进行业务菜单、服务的搜索。</w:t>
            </w:r>
          </w:p>
          <w:p w14:paraId="7ED0D5F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职工综合信息服务：根据当前登录用户的身份、权限及其自身需求，为其提供个性化的信息资源和应用服务。主要提供：查看待我审批流程、我的申请、我的任务、通知公告、查看我的课表、查看校园文化宣传图片等。</w:t>
            </w:r>
          </w:p>
          <w:p w14:paraId="4CAE9C32">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教职工移动端门户：</w:t>
            </w:r>
            <w:bookmarkStart w:id="117" w:name="_Hlk205199168"/>
            <w:r>
              <w:rPr>
                <w:rFonts w:hint="eastAsia" w:ascii="宋体" w:hAnsi="宋体" w:cs="宋体"/>
                <w:color w:val="000000" w:themeColor="text1"/>
                <w:sz w:val="21"/>
                <w:szCs w:val="21"/>
                <w:highlight w:val="none"/>
                <w14:textFill>
                  <w14:solidFill>
                    <w14:schemeClr w14:val="tx1"/>
                  </w14:solidFill>
                </w14:textFill>
              </w:rPr>
              <w:t>支持Android、iOS、</w:t>
            </w:r>
            <w:r>
              <w:rPr>
                <w:rFonts w:ascii="宋体" w:hAnsi="宋体" w:cs="宋体"/>
                <w:color w:val="000000" w:themeColor="text1"/>
                <w:sz w:val="21"/>
                <w:szCs w:val="21"/>
                <w:highlight w:val="none"/>
                <w14:textFill>
                  <w14:solidFill>
                    <w14:schemeClr w14:val="tx1"/>
                  </w14:solidFill>
                </w14:textFill>
              </w:rPr>
              <w:t>Harmony</w:t>
            </w:r>
            <w:r>
              <w:rPr>
                <w:rFonts w:hint="eastAsia" w:ascii="宋体" w:hAnsi="宋体" w:cs="宋体"/>
                <w:color w:val="000000" w:themeColor="text1"/>
                <w:sz w:val="21"/>
                <w:szCs w:val="21"/>
                <w:highlight w:val="none"/>
                <w14:textFill>
                  <w14:solidFill>
                    <w14:schemeClr w14:val="tx1"/>
                  </w14:solidFill>
                </w14:textFill>
              </w:rPr>
              <w:t>OS操作系统。支持快速完成流程审批</w:t>
            </w:r>
            <w:r>
              <w:rPr>
                <w:rFonts w:hint="eastAsia" w:ascii="宋体" w:hAnsi="宋体" w:cs="宋体"/>
                <w:bCs/>
                <w:color w:val="000000" w:themeColor="text1"/>
                <w:sz w:val="21"/>
                <w:szCs w:val="21"/>
                <w:highlight w:val="none"/>
                <w14:textFill>
                  <w14:solidFill>
                    <w14:schemeClr w14:val="tx1"/>
                  </w14:solidFill>
                </w14:textFill>
              </w:rPr>
              <w:t>、待办事项、流程申请/审批、查看通知公告、查看系统消息。支持教职工办理定位/Wi-Fi上下班打卡、坐班考勤、教学任务及课表查看、教学日志填报、学生课堂考勤、学生课堂表现、调课、评教、听课等。</w:t>
            </w:r>
            <w:bookmarkEnd w:id="117"/>
          </w:p>
          <w:p w14:paraId="62160181">
            <w:pPr>
              <w:pStyle w:val="3"/>
              <w:numPr>
                <w:ilvl w:val="0"/>
                <w:numId w:val="16"/>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学生个人门户</w:t>
            </w:r>
          </w:p>
          <w:p w14:paraId="7E8D0DD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学生网上服务大厅：显示学生能网上办理事务的快速入口，包括教务教学、</w:t>
            </w:r>
            <w:r>
              <w:rPr>
                <w:rFonts w:hint="eastAsia" w:ascii="宋体" w:hAnsi="宋体" w:cs="宋体"/>
                <w:color w:val="000000" w:themeColor="text1"/>
                <w:sz w:val="21"/>
                <w:szCs w:val="21"/>
                <w:highlight w:val="none"/>
                <w14:textFill>
                  <w14:solidFill>
                    <w14:schemeClr w14:val="tx1"/>
                  </w14:solidFill>
                </w14:textFill>
              </w:rPr>
              <w:t>学生事务、生活服务、学生干部、流程申请等相关事项的入口。同时支持学生按关键字在门户首页进行业务菜单、服务的搜索。</w:t>
            </w:r>
          </w:p>
          <w:p w14:paraId="40E5057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综合信息服务：根据当前登录用户的身份、权限及其自身需求，为其提供个性化的信息资源和应用服务。主要提供：查看并快速进入考试与评教任务、查看通知公告、快速查看选课消息、成绩消息。查看本周课表，了解本周需完成的作业、查看学校发布的校园文化宣传主题片。</w:t>
            </w:r>
          </w:p>
          <w:p w14:paraId="43830AF2">
            <w:pPr>
              <w:pStyle w:val="17"/>
              <w:spacing w:line="380" w:lineRule="exact"/>
              <w:ind w:firstLine="478" w:firstLineChars="228"/>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学生移动端门户：支持Android、iOS、</w:t>
            </w:r>
            <w:r>
              <w:rPr>
                <w:rFonts w:ascii="宋体" w:hAnsi="宋体" w:cs="宋体"/>
                <w:color w:val="000000" w:themeColor="text1"/>
                <w:sz w:val="21"/>
                <w:szCs w:val="21"/>
                <w:highlight w:val="none"/>
                <w14:textFill>
                  <w14:solidFill>
                    <w14:schemeClr w14:val="tx1"/>
                  </w14:solidFill>
                </w14:textFill>
              </w:rPr>
              <w:t>Harmony</w:t>
            </w:r>
            <w:r>
              <w:rPr>
                <w:rFonts w:hint="eastAsia" w:ascii="宋体" w:hAnsi="宋体" w:cs="宋体"/>
                <w:color w:val="000000" w:themeColor="text1"/>
                <w:sz w:val="21"/>
                <w:szCs w:val="21"/>
                <w:highlight w:val="none"/>
                <w14:textFill>
                  <w14:solidFill>
                    <w14:schemeClr w14:val="tx1"/>
                  </w14:solidFill>
                </w14:textFill>
              </w:rPr>
              <w:t>OS操作系统。完成的选课任务、评教任务、在</w:t>
            </w:r>
            <w:r>
              <w:rPr>
                <w:rFonts w:hint="eastAsia" w:ascii="宋体" w:hAnsi="宋体" w:cs="宋体"/>
                <w:bCs/>
                <w:color w:val="000000" w:themeColor="text1"/>
                <w:sz w:val="21"/>
                <w:szCs w:val="21"/>
                <w:highlight w:val="none"/>
                <w14:textFill>
                  <w14:solidFill>
                    <w14:schemeClr w14:val="tx1"/>
                  </w14:solidFill>
                </w14:textFill>
              </w:rPr>
              <w:t>线考试任务、需查阅的通知公告、系统消息等，不同任务依据优先级自动排序</w:t>
            </w:r>
            <w:r>
              <w:rPr>
                <w:rFonts w:hint="eastAsia" w:ascii="宋体" w:hAnsi="宋体" w:cs="宋体"/>
                <w:color w:val="000000" w:themeColor="text1"/>
                <w:sz w:val="21"/>
                <w:szCs w:val="21"/>
                <w:highlight w:val="none"/>
                <w14:textFill>
                  <w14:solidFill>
                    <w14:schemeClr w14:val="tx1"/>
                  </w14:solidFill>
                </w14:textFill>
              </w:rPr>
              <w:t>。支持常用应用置顶、支持查看个人基本情况、课表、考勤、请假、考试、成绩、选课、评教、缴费、评优申请、干部工作、生产实习等事项。</w:t>
            </w:r>
          </w:p>
          <w:p w14:paraId="27CD151F">
            <w:pPr>
              <w:pStyle w:val="2"/>
              <w:widowControl w:val="0"/>
              <w:numPr>
                <w:ilvl w:val="0"/>
                <w:numId w:val="15"/>
              </w:numPr>
              <w:tabs>
                <w:tab w:val="left" w:pos="895"/>
              </w:tabs>
              <w:spacing w:line="380" w:lineRule="exact"/>
              <w:ind w:left="482" w:firstLine="478"/>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基础配置服务</w:t>
            </w:r>
          </w:p>
          <w:p w14:paraId="1A1FBEE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基础数据的共享是智慧校园平台打破各个业务系统信息孤岛，实现信息互相交换的基础。统一管理组织机构、年级、专业、场地、学期等基础数据。</w:t>
            </w:r>
          </w:p>
          <w:p w14:paraId="0483CF76">
            <w:pPr>
              <w:pStyle w:val="3"/>
              <w:numPr>
                <w:ilvl w:val="0"/>
                <w:numId w:val="17"/>
              </w:numPr>
              <w:tabs>
                <w:tab w:val="left" w:pos="482"/>
                <w:tab w:val="left" w:pos="1186"/>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基础数据中心</w:t>
            </w:r>
          </w:p>
          <w:p w14:paraId="584CB90D">
            <w:pPr>
              <w:pStyle w:val="4"/>
              <w:numPr>
                <w:ilvl w:val="0"/>
                <w:numId w:val="18"/>
              </w:numPr>
              <w:tabs>
                <w:tab w:val="left" w:pos="780"/>
              </w:tabs>
              <w:ind w:left="0" w:firstLine="478" w:firstLineChars="228"/>
              <w:jc w:val="both"/>
              <w:outlineLvl w:val="2"/>
              <w:rPr>
                <w:rFonts w:cs="宋体"/>
                <w:color w:val="000000" w:themeColor="text1"/>
                <w:sz w:val="21"/>
                <w:szCs w:val="21"/>
                <w:highlight w:val="none"/>
                <w14:textFill>
                  <w14:solidFill>
                    <w14:schemeClr w14:val="tx1"/>
                  </w14:solidFill>
                </w14:textFill>
              </w:rPr>
            </w:pPr>
            <w:bookmarkStart w:id="118" w:name="_Hlk205200320"/>
            <w:r>
              <w:rPr>
                <w:rFonts w:hint="eastAsia" w:cs="宋体"/>
                <w:color w:val="000000" w:themeColor="text1"/>
                <w:sz w:val="21"/>
                <w:szCs w:val="21"/>
                <w:highlight w:val="none"/>
                <w14:textFill>
                  <w14:solidFill>
                    <w14:schemeClr w14:val="tx1"/>
                  </w14:solidFill>
                </w14:textFill>
              </w:rPr>
              <w:t>学校组织管理</w:t>
            </w:r>
          </w:p>
          <w:p w14:paraId="69116BE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支持组织机构维护：维护学校信息、校区信息、组织机构维度管理、组织机构信息管理。</w:t>
            </w:r>
          </w:p>
          <w:p w14:paraId="24CA95F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支持维护学校办学条件，如学校用地情况、建筑物情况、教学资源情况、网络情况等内容。</w:t>
            </w:r>
          </w:p>
          <w:p w14:paraId="5AEBDA9A">
            <w:pPr>
              <w:pStyle w:val="4"/>
              <w:numPr>
                <w:ilvl w:val="0"/>
                <w:numId w:val="18"/>
              </w:numPr>
              <w:tabs>
                <w:tab w:val="left" w:pos="780"/>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学期管理</w:t>
            </w:r>
          </w:p>
          <w:p w14:paraId="6FAE733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支持添加、修改、停用、删除学期。设置学期学年、学期起止时间、教学周起止时间等。</w:t>
            </w:r>
          </w:p>
          <w:p w14:paraId="6E1187F6">
            <w:pPr>
              <w:pStyle w:val="4"/>
              <w:numPr>
                <w:ilvl w:val="0"/>
                <w:numId w:val="18"/>
              </w:numPr>
              <w:tabs>
                <w:tab w:val="left" w:pos="780"/>
              </w:tabs>
              <w:ind w:firstLine="57"/>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年级管理</w:t>
            </w:r>
          </w:p>
          <w:p w14:paraId="006587AB">
            <w:pPr>
              <w:pStyle w:val="17"/>
              <w:spacing w:line="380" w:lineRule="exact"/>
              <w:ind w:firstLine="478" w:firstLineChars="228"/>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支持年级管理，选择需添加的年级年份后系统自动生成对应年级，支持年级的停用和删除。</w:t>
            </w:r>
          </w:p>
          <w:p w14:paraId="7224E991">
            <w:pPr>
              <w:pStyle w:val="4"/>
              <w:numPr>
                <w:ilvl w:val="0"/>
                <w:numId w:val="18"/>
              </w:numPr>
              <w:tabs>
                <w:tab w:val="left" w:pos="780"/>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专业管理</w:t>
            </w:r>
          </w:p>
          <w:p w14:paraId="68A2247C">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专业信息维护：支持维护管理办学层次、专业分类、专业、专业方向、专业群等。</w:t>
            </w:r>
          </w:p>
          <w:p w14:paraId="6F6A2660">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专业方向统计：按办学层次分类、专业分类统计专业方向；按校区统计专业方向；按校区机构统计专业方向；支持导出和打印。</w:t>
            </w:r>
          </w:p>
          <w:p w14:paraId="57C8599B">
            <w:pPr>
              <w:pStyle w:val="4"/>
              <w:numPr>
                <w:ilvl w:val="0"/>
                <w:numId w:val="18"/>
              </w:numPr>
              <w:tabs>
                <w:tab w:val="left" w:pos="780"/>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场地管理</w:t>
            </w:r>
          </w:p>
          <w:p w14:paraId="0BF1DD0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支持维护办公教学楼，支持添加、停用、修改、删除等操作。维护教室用途、类型、所属机构、容量等；维护好的教室可供排课和排考使用。</w:t>
            </w:r>
          </w:p>
          <w:bookmarkEnd w:id="118"/>
          <w:p w14:paraId="4F949AB3">
            <w:pPr>
              <w:pStyle w:val="4"/>
              <w:numPr>
                <w:ilvl w:val="0"/>
                <w:numId w:val="18"/>
              </w:numPr>
              <w:tabs>
                <w:tab w:val="left" w:pos="780"/>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人脸库管理</w:t>
            </w:r>
          </w:p>
          <w:p w14:paraId="4B29A834">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师生人脸库管理：配置人脸照片采集员权限，添加采集学生照片、采集教职工照片的授权用户，同时对授权用户设置可采集数据的机构范围；采集学生及教职工照片，创建人脸识别特征。管理员对人脸特征照片进行审核，对审核不通过的说明原因打回修改。可查看所有底库人脸信息。</w:t>
            </w:r>
          </w:p>
          <w:p w14:paraId="4357E036">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家属及其他人脸库管理：适用于进出校管控在校居住的教职工家属、服务人员等，教职工申请采集入库后，可将家属人脸库同步。</w:t>
            </w:r>
          </w:p>
          <w:p w14:paraId="2BEA3816">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黑名单人脸库管理：支持设置人脸库黑名单，设置黑名单预警级别，黑名单人员在人脸识别时自动预警。</w:t>
            </w:r>
          </w:p>
          <w:p w14:paraId="2604150C">
            <w:pPr>
              <w:pStyle w:val="3"/>
              <w:numPr>
                <w:ilvl w:val="0"/>
                <w:numId w:val="17"/>
              </w:numPr>
              <w:tabs>
                <w:tab w:val="left" w:pos="482"/>
                <w:tab w:val="left" w:pos="1186"/>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个性化适配与开发中心</w:t>
            </w:r>
          </w:p>
          <w:p w14:paraId="66055593">
            <w:pPr>
              <w:pStyle w:val="4"/>
              <w:numPr>
                <w:ilvl w:val="0"/>
                <w:numId w:val="19"/>
              </w:numPr>
              <w:tabs>
                <w:tab w:val="left" w:pos="780"/>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用户与权限管理</w:t>
            </w:r>
          </w:p>
          <w:p w14:paraId="4AF4A589">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登录账户管理：管理全校教职工及学生的登录账号，支持批量导入或导出。支持对账号状态进行修改、支持为用户重新生成登录账号、支持为账户重置密码。</w:t>
            </w:r>
          </w:p>
          <w:p w14:paraId="13A18348">
            <w:pPr>
              <w:pStyle w:val="17"/>
              <w:spacing w:line="380" w:lineRule="exact"/>
              <w:ind w:firstLine="478" w:firstLineChars="228"/>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账户相关配置：设置教</w:t>
            </w:r>
            <w:r>
              <w:rPr>
                <w:rFonts w:hint="eastAsia" w:ascii="宋体" w:hAnsi="宋体" w:cs="宋体"/>
                <w:color w:val="000000" w:themeColor="text1"/>
                <w:sz w:val="21"/>
                <w:szCs w:val="21"/>
                <w:highlight w:val="none"/>
                <w14:textFill>
                  <w14:solidFill>
                    <w14:schemeClr w14:val="tx1"/>
                  </w14:solidFill>
                </w14:textFill>
              </w:rPr>
              <w:t>职工及学生的账户生成方式，可使用姓名、证件号、手机号、邮箱等。设置账号的登录方式，登录方式支持多种方式登录，学校可自主选择启用一种或多种登录方式。支持配置密码找回方式。支持配置账户初始密码的生成规则、配置密码修改要求（如密码位数、密码组成要求、首次登录是否强制修改初始密码等）。</w:t>
            </w:r>
          </w:p>
          <w:p w14:paraId="4CA2D01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系统权限管理：</w:t>
            </w:r>
            <w:bookmarkStart w:id="119" w:name="_Hlk205199816"/>
            <w:r>
              <w:rPr>
                <w:rFonts w:hint="eastAsia" w:ascii="宋体" w:hAnsi="宋体" w:cs="宋体"/>
                <w:bCs/>
                <w:color w:val="000000" w:themeColor="text1"/>
                <w:sz w:val="21"/>
                <w:szCs w:val="21"/>
                <w:highlight w:val="none"/>
                <w14:textFill>
                  <w14:solidFill>
                    <w14:schemeClr w14:val="tx1"/>
                  </w14:solidFill>
                </w14:textFill>
              </w:rPr>
              <w:t>所有业务系统统一在用户权限中心进行授权，对不同业务提供多种授权方式；主要</w:t>
            </w:r>
            <w:r>
              <w:rPr>
                <w:rFonts w:hint="eastAsia" w:ascii="宋体" w:hAnsi="宋体" w:cs="宋体"/>
                <w:color w:val="000000" w:themeColor="text1"/>
                <w:sz w:val="21"/>
                <w:szCs w:val="21"/>
                <w:highlight w:val="none"/>
                <w14:textFill>
                  <w14:solidFill>
                    <w14:schemeClr w14:val="tx1"/>
                  </w14:solidFill>
                </w14:textFill>
              </w:rPr>
              <w:t>采用RBAC角色权限管理模型来控制用户权限，支持分级授权。平台用户权限可按用户授权或按角色授权。对有岗位变动或离职的教职工支持清除用户所有系统已授权的权限，支持批量为用户新增权限。支持将某用户的所有功能权限移交给其他教职工且删除移交出去的权限。</w:t>
            </w:r>
            <w:bookmarkEnd w:id="119"/>
          </w:p>
          <w:p w14:paraId="351C138D">
            <w:pPr>
              <w:pStyle w:val="4"/>
              <w:numPr>
                <w:ilvl w:val="0"/>
                <w:numId w:val="19"/>
              </w:numPr>
              <w:tabs>
                <w:tab w:val="left" w:pos="780"/>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智慧校园平台配置</w:t>
            </w:r>
          </w:p>
          <w:p w14:paraId="5BC202A8">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logo设置：设置学校名称、学校代码、学校简称、所在地区、联系方式等，上传学校Logo图片。</w:t>
            </w:r>
          </w:p>
          <w:p w14:paraId="7DC593FA">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宋体"/>
                <w:bCs/>
                <w:color w:val="000000" w:themeColor="text1"/>
                <w:sz w:val="21"/>
                <w:szCs w:val="21"/>
                <w:highlight w:val="none"/>
                <w14:textFill>
                  <w14:solidFill>
                    <w14:schemeClr w14:val="tx1"/>
                  </w14:solidFill>
                </w14:textFill>
              </w:rPr>
              <w:t>功能模块开关：支持将学校暂时不使用的业务功能进行停用关闭，关闭后已授权该业务功能菜单的用户将不显示该业务功能菜单。</w:t>
            </w:r>
          </w:p>
          <w:p w14:paraId="7C68D15C">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宋体"/>
                <w:bCs/>
                <w:color w:val="000000" w:themeColor="text1"/>
                <w:sz w:val="21"/>
                <w:szCs w:val="21"/>
                <w:highlight w:val="none"/>
                <w14:textFill>
                  <w14:solidFill>
                    <w14:schemeClr w14:val="tx1"/>
                  </w14:solidFill>
                </w14:textFill>
              </w:rPr>
              <w:t>应用中心管理：支持控制Web端教职工、学生办事大厅显示的服务及菜单。支持管理App应用，可关闭业务菜单、设置为推荐应用、对某些人关闭业务菜单等。</w:t>
            </w:r>
          </w:p>
          <w:p w14:paraId="44248020">
            <w:pPr>
              <w:pStyle w:val="4"/>
              <w:numPr>
                <w:ilvl w:val="0"/>
                <w:numId w:val="19"/>
              </w:numPr>
              <w:tabs>
                <w:tab w:val="left" w:pos="780"/>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自定义报表设计与管理</w:t>
            </w:r>
          </w:p>
          <w:p w14:paraId="1405EBF2">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bookmarkStart w:id="120" w:name="_Hlk205199974"/>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宋体"/>
                <w:bCs/>
                <w:color w:val="000000" w:themeColor="text1"/>
                <w:sz w:val="21"/>
                <w:szCs w:val="21"/>
                <w:highlight w:val="none"/>
                <w14:textFill>
                  <w14:solidFill>
                    <w14:schemeClr w14:val="tx1"/>
                  </w14:solidFill>
                </w14:textFill>
              </w:rPr>
              <w:t>需支持提供两种方式的报表管理：学校自主开发的报表，上传至学校报表服务器；学校组装系统中报表中心已有报表。报表支持电脑端与手机端使用。支持维护已组装到电脑端、手机端的报表，可对报表进行删除、修改、上移下移等操作。</w:t>
            </w:r>
          </w:p>
          <w:bookmarkEnd w:id="120"/>
          <w:p w14:paraId="33AB7041">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支持引用BI工具中的报表信息进行组装使用。可组装到系统、组装到办事大厅，设置那些人员可使用报表。</w:t>
            </w:r>
          </w:p>
          <w:p w14:paraId="63541594">
            <w:pPr>
              <w:pStyle w:val="4"/>
              <w:numPr>
                <w:ilvl w:val="0"/>
                <w:numId w:val="19"/>
              </w:numPr>
              <w:tabs>
                <w:tab w:val="left" w:pos="780"/>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消息中心配置</w:t>
            </w:r>
          </w:p>
          <w:p w14:paraId="64C1D7ED">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bookmarkStart w:id="121" w:name="_Hlk205200100"/>
            <w:r>
              <w:rPr>
                <w:rFonts w:hint="eastAsia" w:ascii="宋体" w:hAnsi="宋体" w:cs="宋体"/>
                <w:bCs/>
                <w:color w:val="000000" w:themeColor="text1"/>
                <w:sz w:val="21"/>
                <w:szCs w:val="21"/>
                <w:highlight w:val="none"/>
                <w14:textFill>
                  <w14:solidFill>
                    <w14:schemeClr w14:val="tx1"/>
                  </w14:solidFill>
                </w14:textFill>
              </w:rPr>
              <w:t>手机短信配置：支持维护发送短信开关，开启后对应系统才能使用发送短信功能；支持短信套餐维护、支持给教职工分配可发送短信的上限数量、支持按时间段批量清除用户手工发送的短信、支持清除系统自动发送的短信。</w:t>
            </w:r>
          </w:p>
          <w:p w14:paraId="209073BC">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通知公告配置：维护通知消息的分类及授权，可设置所有教职工或部分教职工使用该分类发送通知消息。支持配置教职工可发送通知的范围，如允许发送给所有校区还是所在校区；配置班主任、任课教师、宿管等角色可发送的学生范围。支持清除已发送的通知消息。</w:t>
            </w:r>
          </w:p>
          <w:p w14:paraId="167D8E6B">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自动发送消息配置：设置平台中所有支持通知消息的业务模块的消息推送渠道；支持电子邮件、系统消息、手机短信、企业微信消息。</w:t>
            </w:r>
          </w:p>
          <w:bookmarkEnd w:id="121"/>
          <w:p w14:paraId="54E3E7F7">
            <w:pPr>
              <w:pStyle w:val="4"/>
              <w:numPr>
                <w:ilvl w:val="0"/>
                <w:numId w:val="19"/>
              </w:numPr>
              <w:tabs>
                <w:tab w:val="left" w:pos="780"/>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智慧校园开放平台</w:t>
            </w:r>
          </w:p>
          <w:p w14:paraId="56399E1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单点登录授权：支持第三方系统单点登录集成到智慧校园平台中，基于OAuth方式整合：学</w:t>
            </w:r>
            <w:r>
              <w:rPr>
                <w:rFonts w:hint="eastAsia" w:ascii="宋体" w:hAnsi="宋体" w:cs="宋体"/>
                <w:color w:val="000000" w:themeColor="text1"/>
                <w:sz w:val="21"/>
                <w:szCs w:val="21"/>
                <w:highlight w:val="none"/>
                <w14:textFill>
                  <w14:solidFill>
                    <w14:schemeClr w14:val="tx1"/>
                  </w14:solidFill>
                </w14:textFill>
              </w:rPr>
              <w:t>校通过定制整合的方式，实现智慧校园平台与第三方共用一套账户，实现跳转；添加第三方系统名称及跳转到PC端和移动端的第三方URL地址；设置第三方系统整合认证参数配置。</w:t>
            </w:r>
          </w:p>
          <w:p w14:paraId="741F7786">
            <w:pPr>
              <w:pStyle w:val="4"/>
              <w:numPr>
                <w:ilvl w:val="0"/>
                <w:numId w:val="19"/>
              </w:numPr>
              <w:tabs>
                <w:tab w:val="left" w:pos="780"/>
              </w:tabs>
              <w:ind w:firstLine="57"/>
              <w:jc w:val="both"/>
              <w:outlineLvl w:val="2"/>
              <w:rPr>
                <w:rFonts w:cs="宋体"/>
                <w:color w:val="000000" w:themeColor="text1"/>
                <w:sz w:val="21"/>
                <w:szCs w:val="21"/>
                <w:highlight w:val="none"/>
                <w14:textFill>
                  <w14:solidFill>
                    <w14:schemeClr w14:val="tx1"/>
                  </w14:solidFill>
                </w14:textFill>
              </w:rPr>
            </w:pPr>
            <w:bookmarkStart w:id="122" w:name="_Hlk104561225"/>
            <w:r>
              <w:rPr>
                <w:rFonts w:hint="eastAsia" w:cs="宋体"/>
                <w:color w:val="000000" w:themeColor="text1"/>
                <w:sz w:val="21"/>
                <w:szCs w:val="21"/>
                <w:highlight w:val="none"/>
                <w14:textFill>
                  <w14:solidFill>
                    <w14:schemeClr w14:val="tx1"/>
                  </w14:solidFill>
                </w14:textFill>
              </w:rPr>
              <w:t>OA流程管理</w:t>
            </w:r>
          </w:p>
          <w:p w14:paraId="71F10D0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学校日常办公所需的各种协同办公审批流程，包括：出差、外勤、请假申请、销假等。学校可自定义设置相关流程。支持教师端与学生端发起流程，实时查看审批流程。</w:t>
            </w:r>
          </w:p>
          <w:p w14:paraId="00A7ADE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流程分类设置：为便于众多流程集中管理，可对流程进行分类管理，支持维护设置流程大类，对大类添加子类。在设计流程时选定流程分类进行归类。</w:t>
            </w:r>
          </w:p>
          <w:p w14:paraId="1FB1D3E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流程管理：支持添加审批流程，对已有流程进行启用、停用等操作。</w:t>
            </w:r>
          </w:p>
          <w:p w14:paraId="65D1417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流程设计：</w:t>
            </w:r>
            <w:r>
              <w:rPr>
                <w:rFonts w:hint="eastAsia" w:ascii="宋体" w:hAnsi="宋体" w:cs="宋体"/>
                <w:color w:val="000000" w:themeColor="text1"/>
                <w:sz w:val="21"/>
                <w:szCs w:val="21"/>
                <w:highlight w:val="none"/>
                <w14:textFill>
                  <w14:solidFill>
                    <w14:schemeClr w14:val="tx1"/>
                  </w14:solidFill>
                </w14:textFill>
              </w:rPr>
              <w:t>支持向导式可视化流程设计，方便快捷；学校可按照内部管理制度，自定义审批流程，并根据情况设定权限。设置流程名称，选择流程分类，填写流程描述等。基础信息设置完成后跳转进行表单设计、流程设置、权限设置和其他设置等。支持设置多节点与分支，节点包括审批节点、抄送节点、任务分发节点等。分支包含串行、并行子分支。</w:t>
            </w:r>
          </w:p>
          <w:p w14:paraId="69B0B2C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审批节点设置，审批人可选择具体人员或按动态关系选择审批人员，若需多个审批人的情况下可选择任意审批人审批后即可下一节点，或需所有审批人同意后才能进入下一节点。</w:t>
            </w:r>
          </w:p>
          <w:p w14:paraId="6E4EE49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抄送节点设置，设置抄送节点，按具体人员选择或按动态关系选择抄送人员。抄送节点只支持查看不允许编辑。</w:t>
            </w:r>
          </w:p>
          <w:p w14:paraId="7AC0DE7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任务分发节点，添加任务分发节点，当流程进入任务分发节点内时，审批人可以进行任务分发，分发过程中任务审批人可以继续分发任务，任务之间互相不影响。</w:t>
            </w:r>
          </w:p>
          <w:p w14:paraId="1CA1D17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流程权限设置：可对单个流程进行发起人权限设置，设置哪些人员可发起流程，如教职工、指定教职工、学生、所有人等。</w:t>
            </w:r>
          </w:p>
          <w:p w14:paraId="58283B9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表单设计：</w:t>
            </w:r>
            <w:bookmarkStart w:id="123" w:name="OLE_LINK7"/>
            <w:r>
              <w:rPr>
                <w:rFonts w:hint="eastAsia" w:ascii="宋体" w:hAnsi="宋体" w:cs="宋体"/>
                <w:bCs/>
                <w:color w:val="000000" w:themeColor="text1"/>
                <w:sz w:val="21"/>
                <w:szCs w:val="21"/>
                <w:highlight w:val="none"/>
                <w14:textFill>
                  <w14:solidFill>
                    <w14:schemeClr w14:val="tx1"/>
                  </w14:solidFill>
                </w14:textFill>
              </w:rPr>
              <w:t>支</w:t>
            </w:r>
            <w:r>
              <w:rPr>
                <w:rFonts w:hint="eastAsia" w:ascii="宋体" w:hAnsi="宋体" w:cs="宋体"/>
                <w:color w:val="000000" w:themeColor="text1"/>
                <w:sz w:val="21"/>
                <w:szCs w:val="21"/>
                <w:highlight w:val="none"/>
                <w14:textFill>
                  <w14:solidFill>
                    <w14:schemeClr w14:val="tx1"/>
                  </w14:solidFill>
                </w14:textFill>
              </w:rPr>
              <w:t>持无代码构建流程表单，根据需求进行可视化拖拽方式表单设计，</w:t>
            </w:r>
            <w:bookmarkEnd w:id="123"/>
            <w:r>
              <w:rPr>
                <w:rFonts w:hint="eastAsia" w:ascii="宋体" w:hAnsi="宋体" w:cs="宋体"/>
                <w:color w:val="000000" w:themeColor="text1"/>
                <w:sz w:val="21"/>
                <w:szCs w:val="21"/>
                <w:highlight w:val="none"/>
                <w14:textFill>
                  <w14:solidFill>
                    <w14:schemeClr w14:val="tx1"/>
                  </w14:solidFill>
                </w14:textFill>
              </w:rPr>
              <w:t>支持表单标题设置、标题描述设置，表单内字段标题可横向、纵向排列；文本格式支持单行文本、多行文本，可设置下拉选项数量与内容，同时支持添加附件。</w:t>
            </w:r>
          </w:p>
          <w:p w14:paraId="6FFCEDD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可为表单设计子表单，可与系统部分数据相关联后选择关联数据源，可为表单添加手写签名；表单设计过程中支持PC端、App端在线预览，及时检查与调整。</w:t>
            </w:r>
          </w:p>
          <w:p w14:paraId="596A8A97">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流程发起与审批：支持教师与学生在电脑Web端、平台App端发起流程、可撤回无审批记录的未审批的流程；系统可自动回填表单发起人的部分基础信息。</w:t>
            </w:r>
          </w:p>
          <w:p w14:paraId="5C7FF8B6">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支持消息提醒与业务互通，如待办提醒、退回提醒、流程结束提醒、抄送提醒等。管理员根据流程重要程度设置消息提醒（推送消息、邮件、企业微信、短信等），确保审批人及时查看处理。</w:t>
            </w:r>
          </w:p>
          <w:p w14:paraId="751096D0">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审批人可在待我审批、消息推送界面查看待审批的流程，审批人审批时可添加手写签名作为审批凭证。</w:t>
            </w:r>
          </w:p>
          <w:p w14:paraId="5D4693F8">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管理员可设置流程参与人员查看审批历史、审批过程进行查看，便于了解进度。</w:t>
            </w:r>
          </w:p>
          <w:p w14:paraId="1411FEEC">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流程表单打印：为满足不同的打印需求，系统支持通用打印模板、自定义模板2种形式。</w:t>
            </w:r>
          </w:p>
          <w:p w14:paraId="250C57EB">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数据推送：支持将表单数据推送到平台坐班考勤，实现系统根据人员的休假情况进行考勤（教职工请假单审批同意后，该请假信息共享给其他业务平台的考勤模块等）。</w:t>
            </w:r>
          </w:p>
          <w:p w14:paraId="3F336E0C">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自动审批：可对流程进行自动审批规则设置，设置自动审批后，相邻流程节点负责人相同时，系统可自动审批通过。</w:t>
            </w:r>
          </w:p>
          <w:p w14:paraId="7A800EAA">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表单数据统计查询分析：管理员可快速查看、删除、打印历史流程数据。根据权限设置，查看人员可查看权限范围内的数据，并支持PC端查看统计报表并导出。</w:t>
            </w:r>
          </w:p>
          <w:bookmarkEnd w:id="122"/>
          <w:p w14:paraId="3CB0767F">
            <w:pPr>
              <w:pStyle w:val="3"/>
              <w:numPr>
                <w:ilvl w:val="0"/>
                <w:numId w:val="17"/>
              </w:numPr>
              <w:tabs>
                <w:tab w:val="left" w:pos="482"/>
                <w:tab w:val="left" w:pos="1186"/>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▲智慧校园平台监控中心</w:t>
            </w:r>
          </w:p>
          <w:p w14:paraId="42E4823A">
            <w:pPr>
              <w:pStyle w:val="4"/>
              <w:numPr>
                <w:ilvl w:val="0"/>
                <w:numId w:val="20"/>
              </w:numPr>
              <w:tabs>
                <w:tab w:val="left" w:pos="780"/>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数字化转型应用推进监控</w:t>
            </w:r>
          </w:p>
          <w:p w14:paraId="7672715D">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bookmarkStart w:id="124" w:name="OLE_LINK13"/>
            <w:r>
              <w:rPr>
                <w:rFonts w:hint="eastAsia" w:ascii="宋体" w:hAnsi="宋体" w:cs="宋体"/>
                <w:bCs/>
                <w:color w:val="000000" w:themeColor="text1"/>
                <w:sz w:val="21"/>
                <w:szCs w:val="21"/>
                <w:highlight w:val="none"/>
                <w14:textFill>
                  <w14:solidFill>
                    <w14:schemeClr w14:val="tx1"/>
                  </w14:solidFill>
                </w14:textFill>
              </w:rPr>
              <w:t>学校应用使用情况监控大屏：支持按各个业务部门统计场景数量和业务进度，供各科室、领导实时了解学校应用使用情况，推进应用使用进度。</w:t>
            </w:r>
          </w:p>
          <w:p w14:paraId="3CA5BC86">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学校应用推进实施计划表维护：支持导入学校数字化转型实施计划，便于了解进度实施情况。</w:t>
            </w:r>
          </w:p>
          <w:bookmarkEnd w:id="124"/>
          <w:p w14:paraId="0E460DE4">
            <w:pPr>
              <w:pStyle w:val="4"/>
              <w:numPr>
                <w:ilvl w:val="0"/>
                <w:numId w:val="20"/>
              </w:numPr>
              <w:tabs>
                <w:tab w:val="left" w:pos="780"/>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系统日志查询</w:t>
            </w:r>
          </w:p>
          <w:p w14:paraId="23E4F84D">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bookmarkStart w:id="125" w:name="_Hlk205200021"/>
            <w:r>
              <w:rPr>
                <w:rFonts w:hint="eastAsia" w:ascii="宋体" w:hAnsi="宋体" w:cs="宋体"/>
                <w:bCs/>
                <w:color w:val="000000" w:themeColor="text1"/>
                <w:sz w:val="21"/>
                <w:szCs w:val="21"/>
                <w:highlight w:val="none"/>
                <w14:textFill>
                  <w14:solidFill>
                    <w14:schemeClr w14:val="tx1"/>
                  </w14:solidFill>
                </w14:textFill>
              </w:rPr>
              <w:t>操作日志查询：系统自动记录平台的操作日志。</w:t>
            </w:r>
          </w:p>
          <w:p w14:paraId="0B624C1D">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登录日志查询：通过登录日志查看可统计登录人数及登录人次。</w:t>
            </w:r>
          </w:p>
          <w:bookmarkEnd w:id="125"/>
          <w:p w14:paraId="013BA871">
            <w:pPr>
              <w:pStyle w:val="3"/>
              <w:numPr>
                <w:ilvl w:val="0"/>
                <w:numId w:val="17"/>
              </w:numPr>
              <w:tabs>
                <w:tab w:val="left" w:pos="482"/>
                <w:tab w:val="left" w:pos="1186"/>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开发者中心</w:t>
            </w:r>
          </w:p>
          <w:p w14:paraId="5C0448AB">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bookmarkStart w:id="126" w:name="_Hlk205200584"/>
            <w:r>
              <w:rPr>
                <w:rFonts w:hint="eastAsia" w:ascii="宋体" w:hAnsi="宋体" w:cs="宋体"/>
                <w:bCs/>
                <w:color w:val="000000" w:themeColor="text1"/>
                <w:sz w:val="21"/>
                <w:szCs w:val="21"/>
                <w:highlight w:val="none"/>
                <w14:textFill>
                  <w14:solidFill>
                    <w14:schemeClr w14:val="tx1"/>
                  </w14:solidFill>
                </w14:textFill>
              </w:rPr>
              <w:t>提供开发者中心，便于学校购买其他物联网厂商或业务系统时，做到基础数据共享，避免信息孤岛。</w:t>
            </w:r>
          </w:p>
          <w:p w14:paraId="587D743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开发者中心提供接口详细使用文档（如基础数据、课程表、教职工上下班打卡等），并提供整合案例说明。</w:t>
            </w:r>
          </w:p>
          <w:bookmarkEnd w:id="126"/>
          <w:p w14:paraId="5D25525C">
            <w:pPr>
              <w:pStyle w:val="2"/>
              <w:widowControl w:val="0"/>
              <w:numPr>
                <w:ilvl w:val="0"/>
                <w:numId w:val="15"/>
              </w:numPr>
              <w:tabs>
                <w:tab w:val="left" w:pos="895"/>
              </w:tabs>
              <w:spacing w:line="380" w:lineRule="exact"/>
              <w:ind w:left="482" w:firstLine="420"/>
              <w:jc w:val="both"/>
              <w:outlineLvl w:val="0"/>
              <w:rPr>
                <w:rFonts w:ascii="宋体" w:hAnsi="宋体" w:eastAsia="宋体" w:cs="宋体"/>
                <w:color w:val="000000" w:themeColor="text1"/>
                <w:sz w:val="21"/>
                <w:szCs w:val="21"/>
                <w:highlight w:val="none"/>
                <w14:textFill>
                  <w14:solidFill>
                    <w14:schemeClr w14:val="tx1"/>
                  </w14:solidFill>
                </w14:textFill>
              </w:rPr>
            </w:pPr>
            <w:bookmarkStart w:id="127" w:name="OLE_LINK9"/>
            <w:r>
              <w:rPr>
                <w:rFonts w:hint="eastAsia" w:ascii="宋体" w:hAnsi="宋体" w:eastAsia="宋体" w:cs="宋体"/>
                <w:color w:val="000000" w:themeColor="text1"/>
                <w:sz w:val="21"/>
                <w:szCs w:val="21"/>
                <w:highlight w:val="none"/>
                <w14:textFill>
                  <w14:solidFill>
                    <w14:schemeClr w14:val="tx1"/>
                  </w14:solidFill>
                </w14:textFill>
              </w:rPr>
              <w:t>教务管理服务</w:t>
            </w:r>
          </w:p>
          <w:p w14:paraId="1C3CF4B3">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学生信息管理</w:t>
            </w:r>
          </w:p>
          <w:p w14:paraId="46AF25D7">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基本信息维护：对学生的基本信息进行维护，可对学生信息、家庭等字段采集；学生信息可以按照国家学籍管理系统、省学籍管理系统的要求导出，也支持自定义模板导出；基本信息维护。支持导出照片和学生附件资料。</w:t>
            </w:r>
          </w:p>
          <w:p w14:paraId="05171898">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学号生成规则设置：设置学号生成规则，支持设置学号组成条件；可设置学号自动生成，支持在录取时自动生成，也可在分班时再生成学号。</w:t>
            </w:r>
          </w:p>
          <w:p w14:paraId="37D18DE6">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当前学生人数统计：统计当前学生人数，按专业分别统计在读、休学、转学、退学、开除学籍、取消学籍、毕业、肄业、结业的人数。</w:t>
            </w:r>
          </w:p>
          <w:p w14:paraId="43616D49">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学籍异动管理</w:t>
            </w:r>
          </w:p>
          <w:p w14:paraId="2864E0DA">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学籍异动记录管理：维护学籍异动信息，支持添加学籍异动，支持查询和导出。包括：转学转出、退学、开除、取消学籍等。</w:t>
            </w:r>
          </w:p>
          <w:p w14:paraId="57CC6287">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学籍异动审核：学籍异动支持学籍科变更学生学籍状态或班主任申请学生学籍变更。支持自动发送提醒消息给相应的班主任。</w:t>
            </w:r>
          </w:p>
          <w:p w14:paraId="2AC51E92">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添加升学学生：学校可单个或批量添加学生进行升学；设置新的学号生成要求及登录账号生成要求。</w:t>
            </w:r>
          </w:p>
          <w:p w14:paraId="679A2F91">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插班生添加：支持添加插班生信息，选择新插入的行政班信息，维护插班生转学前的学校、年级、专业、学号等基本信息。</w:t>
            </w:r>
          </w:p>
          <w:p w14:paraId="36E70CD9">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基础数据</w:t>
            </w:r>
          </w:p>
          <w:p w14:paraId="11C89A16">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课程信息管理：维护课程信息及课程学科信息；填写课程基本信息，设置是否需要排课及设置排课周学时及早晚自习安排要求等。</w:t>
            </w:r>
          </w:p>
          <w:p w14:paraId="1C6236FA">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课程信息统计：支持按开课机构、课程学科进行课程信息统计，支持查看课程明细，支持导出与打印。</w:t>
            </w:r>
          </w:p>
          <w:p w14:paraId="2026F5E3">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教学行政班管理：</w:t>
            </w:r>
            <w:bookmarkStart w:id="128" w:name="_Hlk214279778"/>
            <w:r>
              <w:rPr>
                <w:rFonts w:hint="eastAsia" w:cs="宋体"/>
                <w:color w:val="000000" w:themeColor="text1"/>
                <w:sz w:val="21"/>
                <w:szCs w:val="21"/>
                <w:highlight w:val="none"/>
                <w14:textFill>
                  <w14:solidFill>
                    <w14:schemeClr w14:val="tx1"/>
                  </w14:solidFill>
                </w14:textFill>
              </w:rPr>
              <w:t>维护教学行政班、处理教学行政班异常学生；可查看行政班下学生名单（现有学生、转出学生、预入学生），可对学生进行调班操作。可对异常学生进行调班处理。</w:t>
            </w:r>
            <w:bookmarkEnd w:id="128"/>
          </w:p>
          <w:p w14:paraId="2B299E45">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人才培养方案管理</w:t>
            </w:r>
          </w:p>
          <w:p w14:paraId="6B757F1D">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培养方案模板库：</w:t>
            </w:r>
            <w:bookmarkStart w:id="129" w:name="OLE_LINK14"/>
            <w:r>
              <w:rPr>
                <w:rFonts w:hint="eastAsia" w:cs="宋体"/>
                <w:color w:val="000000" w:themeColor="text1"/>
                <w:sz w:val="21"/>
                <w:szCs w:val="21"/>
                <w:highlight w:val="none"/>
                <w14:textFill>
                  <w14:solidFill>
                    <w14:schemeClr w14:val="tx1"/>
                  </w14:solidFill>
                </w14:textFill>
              </w:rPr>
              <w:t>支持维护培养方案模板后，可直接复制模板进行少量修改和调整后快速创建人才培养方案。也支持在线新增编辑培养方案。</w:t>
            </w:r>
            <w:bookmarkEnd w:id="129"/>
          </w:p>
          <w:p w14:paraId="472EA28C">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人才培养方案管理：</w:t>
            </w:r>
            <w:bookmarkStart w:id="130" w:name="_Hlk214284336"/>
            <w:r>
              <w:rPr>
                <w:rFonts w:hint="eastAsia" w:cs="宋体"/>
                <w:color w:val="000000" w:themeColor="text1"/>
                <w:sz w:val="21"/>
                <w:szCs w:val="21"/>
                <w:highlight w:val="none"/>
                <w14:textFill>
                  <w14:solidFill>
                    <w14:schemeClr w14:val="tx1"/>
                  </w14:solidFill>
                </w14:textFill>
              </w:rPr>
              <w:t>支持从培养方案模板库复制模板、从实际开课清单生成培养方案，从开课清单生成的培养方案需手动调整课程类别学分和证书要求。可将培养方案自动指定给班级，支持修改、调整执行教学计划、删除和停用等操作；支持选择班级后对班级指定培养方案，已指定的培养方案可移除。新增培养方案填写基本信息后设置毕业要求学分及证书。新增培养方案需审核。</w:t>
            </w:r>
          </w:p>
          <w:bookmarkEnd w:id="130"/>
          <w:p w14:paraId="30801416">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培养方案基础设置：支持维护课程性质，设置课程必修、指定选修、任意选修，可对课程性质进行删除、添加、修改、停用操作；支持对培养方案进行相关配置，可对已被使用的培养方案是否允许修改教学计划、配置培养方案学时要求、培养方案修订后的审核模式。</w:t>
            </w:r>
          </w:p>
          <w:p w14:paraId="631B053F">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培养方案流程配置：</w:t>
            </w:r>
            <w:bookmarkStart w:id="131" w:name="_Hlk190522532"/>
            <w:r>
              <w:rPr>
                <w:rFonts w:hint="eastAsia" w:cs="宋体"/>
                <w:color w:val="000000" w:themeColor="text1"/>
                <w:sz w:val="21"/>
                <w:szCs w:val="21"/>
                <w:highlight w:val="none"/>
                <w14:textFill>
                  <w14:solidFill>
                    <w14:schemeClr w14:val="tx1"/>
                  </w14:solidFill>
                </w14:textFill>
              </w:rPr>
              <w:t>支持对培养方案的流程模板进行设置，支持修改流程人员、分支条件设置、其他设置；支持对流程变量进行管理；支持对流程实例进行管理。</w:t>
            </w:r>
            <w:bookmarkEnd w:id="131"/>
          </w:p>
          <w:p w14:paraId="50746F22">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教学任务安排</w:t>
            </w:r>
          </w:p>
          <w:p w14:paraId="5CB7092B">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校历及作息时间维护：</w:t>
            </w:r>
            <w:bookmarkStart w:id="132" w:name="_Hlk214288937"/>
            <w:r>
              <w:rPr>
                <w:rFonts w:hint="eastAsia" w:cs="宋体"/>
                <w:color w:val="000000" w:themeColor="text1"/>
                <w:sz w:val="21"/>
                <w:szCs w:val="21"/>
                <w:highlight w:val="none"/>
                <w14:textFill>
                  <w14:solidFill>
                    <w14:schemeClr w14:val="tx1"/>
                  </w14:solidFill>
                </w14:textFill>
              </w:rPr>
              <w:t>支持维护校历、校历事件；</w:t>
            </w:r>
            <w:bookmarkEnd w:id="132"/>
            <w:r>
              <w:rPr>
                <w:rFonts w:hint="eastAsia" w:cs="宋体"/>
                <w:color w:val="000000" w:themeColor="text1"/>
                <w:sz w:val="21"/>
                <w:szCs w:val="21"/>
                <w:highlight w:val="none"/>
                <w14:textFill>
                  <w14:solidFill>
                    <w14:schemeClr w14:val="tx1"/>
                  </w14:solidFill>
                </w14:textFill>
              </w:rPr>
              <w:t>支持维护教学作息时间，选择需要排课的学期进行教学作息时间维护，设置周天数及每天上课节次，预览作息时间，可在周历中设置禁排；支持复制现有教学作息时间。</w:t>
            </w:r>
          </w:p>
          <w:p w14:paraId="44B62793">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教学进程维护：维护班级教学活动，设置是否允许排课，支持修改和删除；支持导出或打印全校教学活动表进行存档。</w:t>
            </w:r>
          </w:p>
          <w:p w14:paraId="1643BD27">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实施开课计划提交：支持管理机构下的执行教学计划进行调整和提交审核。</w:t>
            </w:r>
          </w:p>
          <w:p w14:paraId="1F8CF906">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bookmarkStart w:id="133" w:name="OLE_LINK15"/>
            <w:r>
              <w:rPr>
                <w:rFonts w:hint="eastAsia" w:cs="宋体"/>
                <w:color w:val="000000" w:themeColor="text1"/>
                <w:sz w:val="21"/>
                <w:szCs w:val="21"/>
                <w:highlight w:val="none"/>
                <w14:textFill>
                  <w14:solidFill>
                    <w14:schemeClr w14:val="tx1"/>
                  </w14:solidFill>
                </w14:textFill>
              </w:rPr>
              <w:t>开课机构设置教学任务：添加开课计划后，为每个班级设置对应的老师和节次，进行教学任务安排，设置课程的计划总周数、学期总学时、上课周次、周学时、连排节数、连排次数等；可将当前教学任务应用到其他班级。</w:t>
            </w:r>
          </w:p>
          <w:p w14:paraId="5E449900">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排课条件及教学班设置：单个/批量设置排课要求，按班级/课程/教师/上课地点等多个维度设置禁排、优先排、课表分布、教师互斥、教室互斥等；系统可自动检查教学任务安排的合理性，可及时修改。</w:t>
            </w:r>
          </w:p>
          <w:p w14:paraId="128A05D7">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教学任务流程配置：支持对教学任务的流程模板进行设置，支持修改流程人员、分支条件设置、其他设置；支持对流程变量进行管理；支持对流程实例进行管理。</w:t>
            </w:r>
          </w:p>
          <w:bookmarkEnd w:id="133"/>
          <w:p w14:paraId="6AC9A5CA">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▲排课(web端)</w:t>
            </w:r>
          </w:p>
          <w:p w14:paraId="29A76F83">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设置排课要求：获取排课班级，支持手动自动结合排课，可对教学班的排课结果进行锁定，排课后可在线预览课表，可统计排课情况。各系自行设置早晚自习安排，管理员对各个班级、各个教室每学期的早晚自习安排统计查看。</w:t>
            </w:r>
          </w:p>
          <w:p w14:paraId="52D73BAA">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排课老师根据已定的教学任务安排，设置排课条件后自动或手动排课。</w:t>
            </w:r>
          </w:p>
          <w:p w14:paraId="3ED97C1B">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支持单个或批量设置班级、教室、教师、课程排课要求。设置周学时拆分单双周。</w:t>
            </w:r>
          </w:p>
          <w:p w14:paraId="594E4B53">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▲排课（C/S客户端）</w:t>
            </w:r>
          </w:p>
          <w:p w14:paraId="466B04D0">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支持在排课客户端进行全校统一排课，支持系部独立排课；支持理论与实操分别授权不同老师排课。</w:t>
            </w:r>
          </w:p>
          <w:p w14:paraId="639FB38E">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自动排课：根据学校设置的排课安排及排课要求，智能自动编排课程，自动匹配教室、时间等，自动检测冲突，保证课表准确性；支持多人同时排课时冲突检测。</w:t>
            </w:r>
          </w:p>
          <w:p w14:paraId="7AC453BC">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手动排课：</w:t>
            </w:r>
          </w:p>
          <w:p w14:paraId="61108D75">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图形化、人性化交互界面。多维度手动排课（班级、教师、教室、课程）；排课界面可区分待排课程、已排课程、冲突课程、无效课程等，通过图形化界面展示。</w:t>
            </w:r>
          </w:p>
          <w:p w14:paraId="0FFCCE3F">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对某门课程进行手动排课时，自动显示与该课程相关联的资源信息（如教室课表、教师课表、班级课表等），以便进行排课冲突检测。</w:t>
            </w:r>
          </w:p>
          <w:p w14:paraId="7DB38356">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锁定解锁课表：支持排课老师锁定或解锁排课任务，锁定后，系统清除排课结果时会自动跳过已锁定的排课结果。</w:t>
            </w:r>
          </w:p>
          <w:p w14:paraId="6F3646B8">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清除课表：支持排课老师对不满意的排课进行清除，支持一键清除或按周次清除。</w:t>
            </w:r>
          </w:p>
          <w:p w14:paraId="38D8B0F6">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排课结果统计：支持通过该功能检查漏排情况，支持按班级、教师、教室、课程等多维度统计未排。</w:t>
            </w:r>
          </w:p>
          <w:p w14:paraId="648143DE">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不合条件排课检测：支持检测手动排课结果不满足排课条件要求的排课信息，支持调整或删除。</w:t>
            </w:r>
          </w:p>
          <w:p w14:paraId="5B5558DD">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预览排课结果：支持在线预览排课结果，支持多维度预览。</w:t>
            </w:r>
          </w:p>
          <w:p w14:paraId="34AEE659">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▲早晚自习排课（C/S客户端）</w:t>
            </w:r>
          </w:p>
          <w:p w14:paraId="002EF98F">
            <w:pPr>
              <w:pStyle w:val="17"/>
              <w:spacing w:line="380" w:lineRule="exact"/>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支持排课端手动或自动排课，支持全校统一排课、院系独立排课。</w:t>
            </w:r>
          </w:p>
          <w:p w14:paraId="4F42D6AE">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自动排课：根据学校设置的排课安排及排课要求，智能自动编排早晚自习课程；支持多人同时排课时冲突检测。</w:t>
            </w:r>
          </w:p>
          <w:p w14:paraId="131D8C28">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手动排课：</w:t>
            </w:r>
          </w:p>
          <w:p w14:paraId="466C92FB">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图形化、人性化交互界面。按班级、教师手动排早晚自习；排课界面可区分待排课程、已排课程、冲突课程、无效课程等，通过图形化界面展示。</w:t>
            </w:r>
          </w:p>
          <w:p w14:paraId="02E1C9E6">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支持对某门课程进行手动排课时，自动显示与该课程相关联的资源信息（如教室课表、教师课表、班级课表等），以便进行排课冲突检测。</w:t>
            </w:r>
          </w:p>
          <w:p w14:paraId="27EF34F2">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清除课表：支持排课老师对不满意的排课进行清除，支持一键清除或按周次清除。</w:t>
            </w:r>
          </w:p>
          <w:p w14:paraId="6BEE8CF0">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不合条件排课检测：支持检测手动排课结果不满足排课条件要求的排课信息，支持调整或删除。</w:t>
            </w:r>
          </w:p>
          <w:p w14:paraId="611DFCD3">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预览排课结果：支持在线预览排课结果，支持多维度预览。</w:t>
            </w:r>
          </w:p>
          <w:p w14:paraId="137DB704">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正课课表管理</w:t>
            </w:r>
          </w:p>
          <w:p w14:paraId="56F88901">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正课排课员授权：支持对排课员进行授权，选择人员管理的班级范围，设置管理课程范围（理论+实操、仅理论、仅实操）；支持修改、删除、添加操作。</w:t>
            </w:r>
          </w:p>
          <w:p w14:paraId="5EE6F658">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发布正式课表：有权限的排课人员发布管理域内的排课课表，可选择是否发送消息提醒相关人员。</w:t>
            </w:r>
          </w:p>
          <w:p w14:paraId="2A69D627">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课表样式设置：设置课表样式模板，设置课表大标题和副标题，选择课表显示范围。设置打印纸张大小，支持A3横向格式、A3纵向格式、A4横向格式。</w:t>
            </w:r>
          </w:p>
          <w:p w14:paraId="0E3695C6">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正课学时分布统计：支持按教师学时分布统计、按课程学时分布统计。</w:t>
            </w:r>
          </w:p>
          <w:p w14:paraId="74FCF3E1">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早晚自习课表管理</w:t>
            </w:r>
          </w:p>
          <w:p w14:paraId="688AB6E6">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早晚自习排课员授权：支持选择自习排课管理员，对管理员设置管理班级的范围，支持对权限进行修改、删除。</w:t>
            </w:r>
          </w:p>
          <w:p w14:paraId="7D52AC2E">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早晚自习作息时间维护：支持直接复制上学期早晚自习作息时间。</w:t>
            </w:r>
          </w:p>
          <w:p w14:paraId="644F3565">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早晚自习教学任务维护：支持单个或批量按班级、教师、课程维度设置早晚自习任务。支持对班级、教师每学期的早晚自习安排情况统计。</w:t>
            </w:r>
          </w:p>
          <w:p w14:paraId="4FE015BA">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发布早晚自习课表：完成排课后上传排课结果，节课发布早晚自习课表，根据选择的范围，发布后相应范围内的课表即可查看。</w:t>
            </w:r>
          </w:p>
          <w:p w14:paraId="1ADF28BA">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全校早晚自习课表查看：支持按班级课表、教师课表、教室课表等多维度进行全校早晚自习的课程查看。</w:t>
            </w:r>
          </w:p>
          <w:p w14:paraId="5E912875">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全校课表查看</w:t>
            </w:r>
          </w:p>
          <w:p w14:paraId="3B505616">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执行课表查看（学时课）：可按学期、周次、机构分多维度（班级、教师、教室、任意选修课）查看全校学时课表；管理员可设置课表样式，查看过程中可切换课表显示样式；支持下载、打印。</w:t>
            </w:r>
          </w:p>
          <w:p w14:paraId="4FF4EA13">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执行课表查看（实训课）：支持按学期、机构、年级等查看全校班级实训课表、全校教师实训课表、全校教室实训课表，支持导出与打印。</w:t>
            </w:r>
          </w:p>
          <w:p w14:paraId="0D3AC585">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空闲教室查询：支持按日期和节次查询全校空闲教室。</w:t>
            </w:r>
          </w:p>
          <w:p w14:paraId="077408E3">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调课管理</w:t>
            </w:r>
          </w:p>
          <w:p w14:paraId="7FEF494F">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待我审批的调课申请：支持各节点审批人在Pc或App端查看需审批的调课流程并进行审核；审核通过后自动修改课表并记录老师增减课明细；同时支持发送消息提醒相关人员。</w:t>
            </w:r>
          </w:p>
          <w:p w14:paraId="7CB16E3C">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调课记录查看：任课老师可查看自己的调课、代课明细。教务管理员可查看全校或各系的调课、代课明细。</w:t>
            </w:r>
          </w:p>
          <w:p w14:paraId="3C54DFAD">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代教师调课：支持调课员代任课老师进行调课，也支持任课老师自行申请调课。</w:t>
            </w:r>
          </w:p>
          <w:p w14:paraId="64BECD76">
            <w:pPr>
              <w:pStyle w:val="17"/>
              <w:spacing w:line="380" w:lineRule="exact"/>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节假日等调/停课：选择调课原因，如节假日等；设置调课、停课或临时加课，选择原上课日期和新上课日期；调课成功后可选择系统发送消息提醒任课老师、班主任。</w:t>
            </w:r>
          </w:p>
          <w:p w14:paraId="0EC91A59">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调/停课原因类别维护：支持维护调/听课原因，如出差、重大活动、节假日等。</w:t>
            </w:r>
          </w:p>
          <w:p w14:paraId="3390F0D5">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调课流程配置：支持配置调课流程，支持修改流程人员、分支条件设置、其他设置（如待办消息配置、催办消息配置、追回消息配置、撤销消息配置等）；支持对流程变量进行管理；支持对流程实例进行管理。</w:t>
            </w:r>
          </w:p>
          <w:p w14:paraId="06F4D658">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调课相关设置：支持设置允许发起调课申请的时间要求、支持设置是否允许临时加课。</w:t>
            </w:r>
          </w:p>
          <w:p w14:paraId="7CCB7487">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学时管理</w:t>
            </w:r>
          </w:p>
          <w:p w14:paraId="5F5C2EC1">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教学工作量实时统计：支持按教学周、按日期2个维度统计教学工作量；主要包括授课学时数、代课/调课学时数、其他申报的各类工作学时数。</w:t>
            </w:r>
          </w:p>
          <w:p w14:paraId="550D79CF">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早晚自习课时统计：支持按时间范围统计教师上课自习课课时，可查看具体的自习课程，早自习晚自习的课时数量。</w:t>
            </w:r>
          </w:p>
          <w:p w14:paraId="16217773">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申报学时管理：支持管理员为教师申报学时；支持管理员直接导入教师学时；支持任课老师自行申报学时。</w:t>
            </w:r>
          </w:p>
          <w:p w14:paraId="43B03E36">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周与学时换算设置：支持为上周课的老师进行学时换算。</w:t>
            </w:r>
          </w:p>
          <w:p w14:paraId="4B4E73ED">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任课月学时生成：支持生成月学时，选择所属年月、月份起止时间后系统自动生成月学时。</w:t>
            </w:r>
          </w:p>
          <w:p w14:paraId="7863065E">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任课月学时统计：支持按时间范围统计月学时。可以查看该教师的教学学时、申报学时。</w:t>
            </w:r>
          </w:p>
          <w:p w14:paraId="6E62A924">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选课管理</w:t>
            </w:r>
          </w:p>
          <w:p w14:paraId="4AC9C45A">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学期选课安排：添加学期选课安排，设置选课起止时间，设置选课总体要求；设置课程选课范围，支持按课程、专业2个维度设置，并给相应人员发送选课提醒。</w:t>
            </w:r>
          </w:p>
          <w:p w14:paraId="00D43676">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选课审核：管理员对选课情况进行审核，支持查看待审核列表，已通过列表，未通过列表。</w:t>
            </w:r>
          </w:p>
          <w:p w14:paraId="3843A8F0">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学生选课：支持学生自主选课（规定时间范围内，通过App或Pc端选课，管理员审核）、选课老师代学生选课（按班级或按专业批量选课）。</w:t>
            </w:r>
          </w:p>
          <w:p w14:paraId="6880A4C0">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已选课学生调整：已选课学生在规定时间范围内，可调整选课课程。</w:t>
            </w:r>
          </w:p>
          <w:p w14:paraId="3EBA199C">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选课日志查询：可查询选课日志，选课学生的操作类型、操作终端、是否为学生本人操作、审核通过情况等。</w:t>
            </w:r>
          </w:p>
          <w:p w14:paraId="3462FAE2">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学生选课统计：支持班主任查看和统计本班学生选课情况，支持按年级、专业、班级查询；学校管理员支持查看本学期全校学生选课情况。</w:t>
            </w:r>
          </w:p>
          <w:p w14:paraId="574A9BE4">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学生选修课程一览表：支持查看学期学生选课情况一览表，可查看课程学分及任课老师等基础信息。</w:t>
            </w:r>
          </w:p>
          <w:p w14:paraId="7DCE873F">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统一考试排考管理</w:t>
            </w:r>
          </w:p>
          <w:p w14:paraId="7EA0DBF8">
            <w:pPr>
              <w:pStyle w:val="17"/>
              <w:spacing w:line="380" w:lineRule="exact"/>
              <w:ind w:firstLine="420" w:firstLineChars="200"/>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统一考试计划管理：设置考试场次，考试起止时间、考试场地和监考教师等；系统自动检测时间冲突、教室冲突等；支持修改场次。</w:t>
            </w:r>
          </w:p>
          <w:p w14:paraId="718A2F9D">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统一排课资源设置：设置各个课程考试形式（纸质、无纸化、实操、开卷、闭卷等）、排考方式（排考方式支持系部排考、统一排考）等。</w:t>
            </w:r>
          </w:p>
          <w:p w14:paraId="3BB5BD2E">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考试课程变更申请：支持在规定时间内对与系统需排考课程信息要求不一致的考试信息进行申请修改或申请取消考试。</w:t>
            </w:r>
          </w:p>
          <w:p w14:paraId="064C8113">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自动/手动排考：支持手动和自动结合排考；支持安排线上、线下考试。</w:t>
            </w:r>
          </w:p>
          <w:p w14:paraId="46F4179B">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自动排考前，支持手动安排特殊要求的课程，再由系统自动排考；自动编排排考结果，自动匹配考场、时间、监考老师等；自动检测冲突。</w:t>
            </w:r>
          </w:p>
          <w:p w14:paraId="642474E0">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系统提供3种模式的排考安排（教务处统一安排、教务处安排基础课，院系安排系部课、院系自行安排所有课程考试）。</w:t>
            </w:r>
          </w:p>
          <w:p w14:paraId="26E6FEB4">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考场学生座次管理：为考场学生安排学生座次，按事先设定的座次生成规则自动生成考场的学生座次，支持批量打印考场座次表，打印考场学生座签、试卷标签。</w:t>
            </w:r>
          </w:p>
          <w:p w14:paraId="21FE0DBF">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考试巡查安排：为考试安排考试巡查（按场次、楼层），添加巡考、巡视、协助监考老师等，选择巡考相关人员。</w:t>
            </w:r>
          </w:p>
          <w:p w14:paraId="511C7A8F">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排考安排表查看：支持多个维度查询排考安排，支持查看班级考试安排表、教师监考安排表、考场考试安排表。</w:t>
            </w:r>
          </w:p>
          <w:p w14:paraId="0C3407A6">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监考情况管理：支持添加、查看考试过程中作弊、缺考的学生信息（包括情况说明、处理结果成绩分和处理意见等内容）；支持设置考试违纪维护由监考老师、教务处统一维护或由录成绩老师进行维护。</w:t>
            </w:r>
          </w:p>
          <w:p w14:paraId="163BCA67">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排考员授权管理：支持添加排考员，设置排考员权限，设置该排考员是统一排考员还是系部排考员，支持设置是否限制可安排考场的管理域、是否限制可安排监考教师的管理员。</w:t>
            </w:r>
          </w:p>
          <w:p w14:paraId="6A9AEC9C">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补考安排管理</w:t>
            </w:r>
          </w:p>
          <w:p w14:paraId="4AB5687F">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生成补考名单：支持维护补考计划，教务处统一安排补考计划，各院部安排学生考试范围，考试起止日期、申请补考起止日期、确定补考课程及班级。</w:t>
            </w:r>
          </w:p>
          <w:p w14:paraId="116583A8">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维护各院系补考名单，补考维护人员添加补考信息，补考名单确认支持学生确认、班主任确认或补考管理人员确认。</w:t>
            </w:r>
          </w:p>
          <w:p w14:paraId="0961719A">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补考名单查询：支持多维度查询，可按班级维度查看补考名单、按课程维度查看补考名单、按学生维度查看。</w:t>
            </w:r>
          </w:p>
          <w:p w14:paraId="726F9250">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补考相关设置：支持设置某些课程为不需要补课课程。</w:t>
            </w:r>
          </w:p>
          <w:p w14:paraId="6050825D">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补考排考：选择需补考的课程，由教务处统一安排补考计划，院系安排补考考试时间，安排考场，安排监考教师；支持更换监考老师，清除监考老师、考场及补考安排；可预览补考排考结果。</w:t>
            </w:r>
          </w:p>
          <w:p w14:paraId="2F844779">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查看补考考试安排表：支持学生、教职工、班主任在PC和App端查看与自己相关的补考安排。支持管理员按课程、考场、监考老师查看补考安排。</w:t>
            </w:r>
          </w:p>
          <w:p w14:paraId="09B1FE0F">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缓考及取消考试资格管理</w:t>
            </w:r>
          </w:p>
          <w:p w14:paraId="1D8880D0">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缓考管理：缓考管理包括缓考申请审批、缓考名单维护、缓考成绩管理、缓考成绩单审核、成绩修改申请审核、缓考成绩都发布、缓考成绩查询等。</w:t>
            </w:r>
          </w:p>
          <w:p w14:paraId="631D5BC2">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取消考试资格管理：取消考试资格可由教务处维护、由录入成绩的老师自行维护，管理员可取消缺课、缺交作业人员的考试资格。支持单个添加或批量导入取消资格的名单，同时支持导出与打印。可对学生名单进行修改、删除、撤销等操作。</w:t>
            </w:r>
          </w:p>
          <w:p w14:paraId="58A7FE00">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课程成绩管理</w:t>
            </w:r>
          </w:p>
          <w:p w14:paraId="45659778">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教学班不生成成绩单设置：支持对教学班的课程设置是否需要生成期中成绩单、期末成绩单。</w:t>
            </w:r>
          </w:p>
          <w:p w14:paraId="6F0B30D3">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期中成绩单管理</w:t>
            </w:r>
            <w:bookmarkStart w:id="134" w:name="_Hlk66886953"/>
            <w:r>
              <w:rPr>
                <w:rFonts w:hint="eastAsia" w:cs="宋体"/>
                <w:color w:val="000000" w:themeColor="text1"/>
                <w:sz w:val="21"/>
                <w:szCs w:val="21"/>
                <w:highlight w:val="none"/>
                <w14:textFill>
                  <w14:solidFill>
                    <w14:schemeClr w14:val="tx1"/>
                  </w14:solidFill>
                </w14:textFill>
              </w:rPr>
              <w:t>：管理期中成绩；制定期中成绩单模板，选择录入成绩教师，添加学生名单；支持对未及时录入成绩的老师，可发送消息提醒录入成绩。成绩可暂存或正式提交，正式提交成绩后需审核；审核发布后学生可查看。</w:t>
            </w:r>
          </w:p>
          <w:bookmarkEnd w:id="134"/>
          <w:p w14:paraId="180613D5">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期末成绩管理：支持按正考成绩单、缓考成绩单两个维度管理期末成绩；生成期末成绩单，选择录入成绩教师，添加学生名单。对未及时录入成绩的老师，可发送消息提醒录入成绩。</w:t>
            </w:r>
          </w:p>
          <w:p w14:paraId="660907EE">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支持按学生修改成绩，可修改学生成绩构成项成绩（平时成绩、期中成绩、期末成绩、实践成绩等）；可修改学生期末总评成绩和学分。若需修改成绩需管理员审核通过才能发布，审核支持单个或批量。</w:t>
            </w:r>
          </w:p>
          <w:p w14:paraId="57D609E4">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补考成绩管理：管理补考成绩；生成补考成绩单，选择录入成绩教师，添加学生名单。对未及时录入成绩的老师，可发送消息提醒录入成绩。支持按多个维度录入补考成绩，按成绩单录入，按学生录入，按课程录入，按成绩录入等。</w:t>
            </w:r>
          </w:p>
          <w:p w14:paraId="7120AA26">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异动学生成绩管理：支持对异动学生的成绩作作废处理，作废原因包括留级、转专业、转班等。</w:t>
            </w:r>
          </w:p>
          <w:p w14:paraId="0951D235">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课程成绩相关配置：支持对成绩的相关内容进行配置，如成绩分制维护、成绩单模板维护、成绩评定方式设置、成绩录入及发布设置、免修、置换、补考与重修相关设置等。</w:t>
            </w:r>
          </w:p>
          <w:p w14:paraId="7C21431B">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重修管理</w:t>
            </w:r>
          </w:p>
          <w:p w14:paraId="4EAD535C">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重修名单管理：支持重修名单的生成与发布，设置名单生成范围，确认名单并发布。</w:t>
            </w:r>
          </w:p>
          <w:p w14:paraId="11878D67">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学期重修安排：可安排重修报名、为重修学生选课、按正考课程添加重修学生等。</w:t>
            </w:r>
          </w:p>
          <w:p w14:paraId="4F561273">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重修学生及成绩查询：可查询所有重修学生相关信息，可查询正考成绩、补考成绩、重修成绩和获得学分等情况。</w:t>
            </w:r>
          </w:p>
          <w:p w14:paraId="6DA3E5B2">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课程成绩查询统计</w:t>
            </w:r>
          </w:p>
          <w:p w14:paraId="59C62298">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平时成绩录入情况：支持按学期查看平时成绩录入情况，查看课程成绩录入情况。</w:t>
            </w:r>
          </w:p>
          <w:p w14:paraId="5F1E8914">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期中成绩查询统计：支持按班级统计期中成绩、按教学班统计、按单科期中成绩统计；成绩显示方式可选择按实际成绩分制显示成绩、按100分制评比成绩显示成绩、只显示主修课程等。</w:t>
            </w:r>
          </w:p>
          <w:p w14:paraId="7DA7B3C2">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各院系期末成绩分析：支持统计全校的期末成绩单，可按多个班级分析、按班级期末成绩汇总表分析、从单科期末成绩单分析。</w:t>
            </w:r>
          </w:p>
          <w:p w14:paraId="3DFC1501">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各教研组期末成绩分析：支持按课程成绩进行分析、按教学班成绩进行分析，需可查看课程优、良、差的百分比；及格率、不及格率的百分比等。</w:t>
            </w:r>
          </w:p>
          <w:p w14:paraId="15F052BA">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期末不及格学生查询：需支持按课程查询该课程下期末不及格的学生情况，查看学生名单及学生的具体成绩，如正考成绩分数、补考成绩分数等。</w:t>
            </w:r>
          </w:p>
          <w:p w14:paraId="65682493">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学生毕业风险预警：根据专业人才培养方案要求统计学生必修课、指定选修课、任意选修课的学分情况；可查询必修课、指定选修课和任意选修课的达标情况，从而对学生毕业风险进行预警。</w:t>
            </w:r>
          </w:p>
          <w:p w14:paraId="1C2493AE">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期末成绩分析模板管理：需支持设置成绩分数段的所属分率，支持设置和修改成绩分析模板，设置学生查看成绩是是否允许查看成绩构成项、成绩排名等。</w:t>
            </w:r>
          </w:p>
          <w:p w14:paraId="346954E2">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学分认定与互换管理</w:t>
            </w:r>
          </w:p>
          <w:p w14:paraId="7FBC5D2F">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课程置换管理：支持添加和审核课程置换。支持课程置换成绩认定。</w:t>
            </w:r>
          </w:p>
          <w:p w14:paraId="2741230C">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课程免修管理：支持查询管理域内的学生免修课程情况，支持审批免修申请和修改成绩认定。</w:t>
            </w:r>
          </w:p>
          <w:p w14:paraId="7E7A8D08">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学生成果登记：支持添加、删除、修改学生成果登记情况，成果类型包括三好生、优秀班干部等。</w:t>
            </w:r>
          </w:p>
          <w:p w14:paraId="0A387EEE">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认定成果维护：支持添加、删除学生认定成果类型。可修改状态。</w:t>
            </w:r>
          </w:p>
          <w:p w14:paraId="02C2A3E3">
            <w:pPr>
              <w:pStyle w:val="3"/>
              <w:numPr>
                <w:ilvl w:val="0"/>
                <w:numId w:val="21"/>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技能鉴定成绩管理</w:t>
            </w:r>
          </w:p>
          <w:p w14:paraId="7C92AFE5">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技能鉴定成绩管理：支持在线录入或批量导入参加考证的学生成绩。成绩发布后，学生可以自主查询，管理员也可以向学生推送祝贺短信。</w:t>
            </w:r>
          </w:p>
          <w:p w14:paraId="77C8F637">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考试计划及证书维护：维护考试计划，证书和工种。</w:t>
            </w:r>
          </w:p>
          <w:p w14:paraId="14E76868">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添加证书信息，填写证书名称及工种信息，选择等级判断规则；维护证书等级，级别编码等。</w:t>
            </w:r>
          </w:p>
          <w:p w14:paraId="41DF47B7">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维护技能鉴定及发证机构：支持添加、修改停用发证机构。</w:t>
            </w:r>
          </w:p>
          <w:p w14:paraId="262EB74B">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学生通过率统计：支持查看每一次技能鉴定考试学生的考试通过率。</w:t>
            </w:r>
          </w:p>
          <w:p w14:paraId="440E9BB5">
            <w:pPr>
              <w:pStyle w:val="2"/>
              <w:widowControl w:val="0"/>
              <w:numPr>
                <w:ilvl w:val="0"/>
                <w:numId w:val="15"/>
              </w:numPr>
              <w:tabs>
                <w:tab w:val="left" w:pos="895"/>
              </w:tabs>
              <w:spacing w:line="380" w:lineRule="exact"/>
              <w:ind w:left="482" w:firstLine="420"/>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教材管理服务</w:t>
            </w:r>
          </w:p>
          <w:p w14:paraId="7C6E410B">
            <w:pPr>
              <w:pStyle w:val="3"/>
              <w:numPr>
                <w:ilvl w:val="0"/>
                <w:numId w:val="22"/>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教材信息维护</w:t>
            </w:r>
          </w:p>
          <w:p w14:paraId="21ABB157">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教材基本信息维护：录入教材基本信息，管理形成学校教材仓库，指定仓库维护人，支持单个添加教材和批量导入教材信息。</w:t>
            </w:r>
          </w:p>
          <w:p w14:paraId="3177FC91">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通用教材维护：维护和管理通用教材，添加通用教材，设置每人发放的数量；支持修改数量和删除添加的教材信息。</w:t>
            </w:r>
          </w:p>
          <w:p w14:paraId="5B7BE97F">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书商维护：维护和管理书商信息，支持添加、删除、修改、导出和打印等操作。</w:t>
            </w:r>
          </w:p>
          <w:p w14:paraId="6F88A6ED">
            <w:pPr>
              <w:pStyle w:val="3"/>
              <w:numPr>
                <w:ilvl w:val="0"/>
                <w:numId w:val="22"/>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教材申报与征订</w:t>
            </w:r>
          </w:p>
          <w:p w14:paraId="72ED7B3C">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教材申报模式设置：支持设置由开课机构负责教材选用、系部负责教材数量核对，或选择由开课机构负责教材的选用及核对等模式。同时可对应的选择教材选用负责人、教材核对负责人。</w:t>
            </w:r>
          </w:p>
          <w:p w14:paraId="7F4A1246">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教材选用进度跟踪：支持查看各开课机构下的课程教材选用情况，支持对已经取消的课程进行教材移除。</w:t>
            </w:r>
          </w:p>
          <w:p w14:paraId="2C52A394">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材科查看学期教材量：支持教材科按学期进行教材量统计，可针对教材一键添加采购清单，支持按行政班到处所需教材清单。支持为当前学期申报所需教材种类及数量，教材申报支持各系部/院系/教研室等独立申报，也支持学校教务处统一申报。</w:t>
            </w:r>
          </w:p>
          <w:p w14:paraId="3F6E23D1">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我的订单：管理教材申报订单，查看订单具体信息。</w:t>
            </w:r>
          </w:p>
          <w:p w14:paraId="2FC6EAF5">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 xml:space="preserve">订单审核：管理员审核教材申报订单，可审核通过或不通过。 </w:t>
            </w:r>
          </w:p>
          <w:p w14:paraId="032470D9">
            <w:pPr>
              <w:pStyle w:val="3"/>
              <w:numPr>
                <w:ilvl w:val="0"/>
                <w:numId w:val="22"/>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教材库存管理</w:t>
            </w:r>
          </w:p>
          <w:p w14:paraId="6E0DE7B0">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教材仓库维护：支持为教材指定仓库，维护仓库信息，支持添加、删除仓库，可为仓库指定库管员，已指定的库管员支持删除或修改。</w:t>
            </w:r>
          </w:p>
          <w:p w14:paraId="6D8BB0B0">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教材入库：可单个教材入库、导入教材、按订单入库等方式。</w:t>
            </w:r>
          </w:p>
          <w:p w14:paraId="0EB8DF39">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教材发放与退还：教材发放支持按班级发放、学生发放（支持单个）、教师教科书发放（支持单个）。教材退还支持按班级教材退还、学生教材退还、教师教科书退还等3种方式；退还后系统自动记录退还信息。</w:t>
            </w:r>
          </w:p>
          <w:p w14:paraId="17A07D99">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教材出库管理：自动记录教材出入库流水信息；同时同步更新教材库。</w:t>
            </w:r>
          </w:p>
          <w:p w14:paraId="2B7E20CF">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移库管理：支持申请教材移库，支持教学从一个库存机构移动到另一个库存机构。审核需要移库的教材移库申请单。</w:t>
            </w:r>
          </w:p>
          <w:p w14:paraId="2F12038A">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教材盘点管理：添加盘点教材，系统自动计算出入库情况，用于盘点对比数据，填写实盘数量，提交生成盘点表。</w:t>
            </w:r>
          </w:p>
          <w:p w14:paraId="2E22DF3A">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出库单查看：可查看出库单，查看领用人、出库时间、领用班级。</w:t>
            </w:r>
          </w:p>
          <w:p w14:paraId="1B9ADF0D">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出入库流水查看：支持按组织机构筛选查看出入库流水账，支持导出与打印。</w:t>
            </w:r>
          </w:p>
          <w:p w14:paraId="222CCF29">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教材库存查询：教材管理员可实时查看负责仓库的教材分布与剩余库存情况。</w:t>
            </w:r>
          </w:p>
          <w:p w14:paraId="6EE109BB">
            <w:pPr>
              <w:pStyle w:val="3"/>
              <w:numPr>
                <w:ilvl w:val="0"/>
                <w:numId w:val="22"/>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教材查询统计</w:t>
            </w:r>
          </w:p>
          <w:p w14:paraId="1CD1070C">
            <w:pPr>
              <w:pStyle w:val="17"/>
              <w:spacing w:line="380" w:lineRule="exact"/>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支持灵活多样的统计角度，支持按班级、学生、教师、教材科等多维度统计教材领用与代收费情况。</w:t>
            </w:r>
          </w:p>
          <w:p w14:paraId="08679A41">
            <w:pPr>
              <w:pStyle w:val="2"/>
              <w:widowControl w:val="0"/>
              <w:numPr>
                <w:ilvl w:val="0"/>
                <w:numId w:val="15"/>
              </w:numPr>
              <w:tabs>
                <w:tab w:val="left" w:pos="895"/>
              </w:tabs>
              <w:spacing w:line="380" w:lineRule="exact"/>
              <w:ind w:left="482" w:firstLine="420"/>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实验实训管理服务</w:t>
            </w:r>
          </w:p>
          <w:p w14:paraId="71AE5436">
            <w:pPr>
              <w:pStyle w:val="3"/>
              <w:numPr>
                <w:ilvl w:val="0"/>
                <w:numId w:val="23"/>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基础数据管理</w:t>
            </w:r>
          </w:p>
          <w:p w14:paraId="6CB8C2D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实训基地信息管理：实现实训基地、实训室全生命周期数据管理，支持信息录入、修改、删除、多条件组合查询。</w:t>
            </w:r>
          </w:p>
          <w:p w14:paraId="66BE3D3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权限管理：针对不同管理岗位配置差异化操作权限，按管理范围划分数据操作权限。</w:t>
            </w:r>
          </w:p>
          <w:p w14:paraId="304F581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实训项目库：维护实训项目基础信息，关联所需设备、耗材资源，建立课程、实训室与实训项目的对应关系。</w:t>
            </w:r>
          </w:p>
          <w:p w14:paraId="6E52CCC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耗材分类管理：搭建可自定义层级的耗材多级分类体系，支持分类节点新增、修改、删除，校验分类名称唯一性。</w:t>
            </w:r>
          </w:p>
          <w:p w14:paraId="680E7D1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耗材信息管理：维护耗材与工具基础档案，支持单条、批量维护，可按多条件检索耗材信息。</w:t>
            </w:r>
          </w:p>
          <w:p w14:paraId="7A057A91">
            <w:pPr>
              <w:pStyle w:val="3"/>
              <w:numPr>
                <w:ilvl w:val="0"/>
                <w:numId w:val="23"/>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库存管理</w:t>
            </w:r>
          </w:p>
          <w:p w14:paraId="1DF6970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库房维护：实现库房、区域、货架、仓位多级存储结构管理，支持库房存储单元新增、修改、删除、启停管控。</w:t>
            </w:r>
          </w:p>
          <w:p w14:paraId="56FF35E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出入库类型管理：支持自定义出入库业务类型，可配置各类出入库的必填字段，支持类型维护查询。</w:t>
            </w:r>
          </w:p>
          <w:p w14:paraId="7768076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耗材入库：按入库流程完成耗材入库登记，自动核算金额，入库后自动更新库存并留存入库记录。</w:t>
            </w:r>
          </w:p>
          <w:p w14:paraId="702B52A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耗材出库：执行耗材出库业务，出库时校验库存，完成后自动扣减库存，生成出库业务记录。</w:t>
            </w:r>
          </w:p>
          <w:p w14:paraId="7C8BE8D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调拨申请与审批：实现跨库房耗材调拨全流程线上审批，审批确认后双向更新调出、调入库房库存数据。</w:t>
            </w:r>
          </w:p>
          <w:p w14:paraId="5FE5252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耗材库存管理：支持多库房耗材库存查询，查看库存金额、出入库流水记录，实时监控库存状态。</w:t>
            </w:r>
          </w:p>
          <w:p w14:paraId="5412634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变更仓位：支持库房内部耗材仓位调整，自动生成仓位变更操作记录。</w:t>
            </w:r>
          </w:p>
          <w:p w14:paraId="7052F21F">
            <w:pPr>
              <w:pStyle w:val="3"/>
              <w:numPr>
                <w:ilvl w:val="0"/>
                <w:numId w:val="23"/>
              </w:numPr>
              <w:tabs>
                <w:tab w:val="left" w:pos="482"/>
                <w:tab w:val="left" w:pos="1186"/>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课程耗材采购申请与审批</w:t>
            </w:r>
          </w:p>
          <w:p w14:paraId="5477246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课程耗材采购申请：课程负责人线上提交耗材采购申请，可关联实训项目带出耗材清单，支持修改、预览、跟踪审核进度。</w:t>
            </w:r>
          </w:p>
          <w:p w14:paraId="066550E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课程耗材采购审核：审核人员对采购申请开展合理性审核，填写审核意见，驳回可退回修改，留存审核轨迹。</w:t>
            </w:r>
          </w:p>
          <w:p w14:paraId="6F55A4F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教研室耗材采购申请：汇总已经过审核的课程采购需求，自动合并耗材用量，生成教研室级采购申请单。</w:t>
            </w:r>
          </w:p>
          <w:p w14:paraId="0DA9A49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教研室耗材采购审核：教研室层面审核汇总采购需求，审核通过进入校级汇总环节，不通过予以退回。</w:t>
            </w:r>
          </w:p>
          <w:p w14:paraId="71BD159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采购申请汇总：按机构、学期汇总已通过的采购申请，自动合并耗材用量，可导出校级/部门采购汇总表。</w:t>
            </w:r>
          </w:p>
          <w:p w14:paraId="10E6F4C4">
            <w:pPr>
              <w:pStyle w:val="3"/>
              <w:numPr>
                <w:ilvl w:val="0"/>
                <w:numId w:val="23"/>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实验实训过程管理</w:t>
            </w:r>
          </w:p>
          <w:p w14:paraId="2EC6212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实训上课通知：教师提交实训上课通知，填报课程、实训项目、场地、设备耗材及特殊资源需求。</w:t>
            </w:r>
          </w:p>
          <w:p w14:paraId="6368955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上课通知审批：实训室管理员审核上课通知，确认资源可行性，审核通过后开展课前筹备。</w:t>
            </w:r>
          </w:p>
          <w:p w14:paraId="7054037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课前准备：实训室人员依据审核通过的通知完成资源筹备，同步筹备进度给到授课教师。</w:t>
            </w:r>
          </w:p>
          <w:p w14:paraId="0D286BD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课前检查：授课教师核验实训耗材、设备等资源筹备情况，排查开课风险。</w:t>
            </w:r>
          </w:p>
          <w:p w14:paraId="361898F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实训课后检查项管理：支持按实训室自定义课后检查项目。</w:t>
            </w:r>
          </w:p>
          <w:p w14:paraId="7203998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实训课后检查：依据检查项完成课后设备工具核查，支持手动创建无通知场景下的课后检查单。</w:t>
            </w:r>
          </w:p>
          <w:p w14:paraId="1F2C4BC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实训课耗材归还：实训课程结束后办理未使用耗材归还，归还后自动更新库存并生成流水记录。</w:t>
            </w:r>
          </w:p>
          <w:p w14:paraId="374B45C8">
            <w:pPr>
              <w:pStyle w:val="3"/>
              <w:numPr>
                <w:ilvl w:val="0"/>
                <w:numId w:val="23"/>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实验实训数据统计</w:t>
            </w:r>
          </w:p>
          <w:p w14:paraId="7E86BAA6">
            <w:pPr>
              <w:pStyle w:val="17"/>
              <w:spacing w:line="380" w:lineRule="exact"/>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实训室使用统计：统计各实训室实训课程课时使用情况。</w:t>
            </w:r>
          </w:p>
          <w:p w14:paraId="67BCF27A">
            <w:pPr>
              <w:pStyle w:val="17"/>
              <w:spacing w:line="380" w:lineRule="exact"/>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实训课开出率统计：从课程、开课机构、教师多维度统计实训课开出课时与开出率。</w:t>
            </w:r>
          </w:p>
          <w:p w14:paraId="0CF02EFF">
            <w:pPr>
              <w:pStyle w:val="17"/>
              <w:spacing w:line="380" w:lineRule="exact"/>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课程耗材成本统计：按课程、专业统计耗材消耗数量、消耗总额以及生均耗材成本。</w:t>
            </w:r>
          </w:p>
          <w:p w14:paraId="7CC4AD86">
            <w:pPr>
              <w:pStyle w:val="3"/>
              <w:numPr>
                <w:ilvl w:val="0"/>
                <w:numId w:val="23"/>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考勤管理</w:t>
            </w:r>
          </w:p>
          <w:p w14:paraId="621C26E6">
            <w:pPr>
              <w:pStyle w:val="17"/>
              <w:spacing w:line="380" w:lineRule="exact"/>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签到方式：支持实训课手动登记考勤。</w:t>
            </w:r>
          </w:p>
          <w:p w14:paraId="6B275CAF">
            <w:pPr>
              <w:pStyle w:val="17"/>
              <w:spacing w:line="380" w:lineRule="exact"/>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考勤统计分析：多维度统计实训课考勤数据，支持数据导出Excel。</w:t>
            </w:r>
          </w:p>
          <w:p w14:paraId="37FA2D41">
            <w:pPr>
              <w:pStyle w:val="3"/>
              <w:numPr>
                <w:ilvl w:val="0"/>
                <w:numId w:val="23"/>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实训课管理</w:t>
            </w:r>
          </w:p>
          <w:p w14:paraId="42C9F5A8">
            <w:pPr>
              <w:pStyle w:val="17"/>
              <w:spacing w:line="380" w:lineRule="exact"/>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课表查看：支持按班级、教师、实训室、课程、周次多维度查看实训课表，支持课表导出打印。</w:t>
            </w:r>
          </w:p>
          <w:p w14:paraId="1A22134B">
            <w:pPr>
              <w:pStyle w:val="3"/>
              <w:numPr>
                <w:ilvl w:val="0"/>
                <w:numId w:val="23"/>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实训教学日志管理</w:t>
            </w:r>
          </w:p>
          <w:p w14:paraId="45418AFE">
            <w:pPr>
              <w:pStyle w:val="17"/>
              <w:spacing w:line="380" w:lineRule="exact"/>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实训教师课后线上填报实训教学日志，支持上传音图附件、保存草稿。</w:t>
            </w:r>
          </w:p>
          <w:p w14:paraId="4A5B0B86">
            <w:pPr>
              <w:pStyle w:val="17"/>
              <w:spacing w:line="380" w:lineRule="exact"/>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教学日志查看：教师查看个人日志，管理人员查看管辖范围教学日志，支持多维度筛选、统计。</w:t>
            </w:r>
          </w:p>
          <w:bookmarkEnd w:id="127"/>
          <w:p w14:paraId="00FF3AC5">
            <w:pPr>
              <w:pStyle w:val="2"/>
              <w:widowControl w:val="0"/>
              <w:numPr>
                <w:ilvl w:val="0"/>
                <w:numId w:val="15"/>
              </w:numPr>
              <w:tabs>
                <w:tab w:val="left" w:pos="895"/>
              </w:tabs>
              <w:spacing w:line="380" w:lineRule="exact"/>
              <w:ind w:left="482" w:firstLine="420"/>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招生管理服务</w:t>
            </w:r>
          </w:p>
          <w:p w14:paraId="7D1F6FE7">
            <w:pPr>
              <w:pStyle w:val="3"/>
              <w:numPr>
                <w:ilvl w:val="0"/>
                <w:numId w:val="24"/>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招生管理</w:t>
            </w:r>
          </w:p>
          <w:p w14:paraId="6A01CF91">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招生相关设置： 新生自助报名支持微官网、门户网站、手机浏览器、现场报名等多种方式。支持配置网上报名相关信息、维护新生报名表模板、对新生缴费阶段和金额获取方式进行设置、配置录取通知书等操作。</w:t>
            </w:r>
          </w:p>
          <w:p w14:paraId="7C8DFABE">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招生消息模板维护：支持添加、删除、修改、停用招生消息模板，设置模板消息接收人员（学生本人、家长、推荐人）及消息发送方式（短信、系统消息）。</w:t>
            </w:r>
          </w:p>
          <w:p w14:paraId="5E0ACCD4">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招生计划维护：维护学校招生计划，制定招生专业和各专业的招生人数计划，填写招生计划基本信息；支持复制历史招生计划。维护招生专业方向和生源地。设置招生人数和招生要求。</w:t>
            </w:r>
          </w:p>
          <w:p w14:paraId="0816A188">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新生报名登记：支持维护学生基本信息、采集学生照片/附件资料等，支持身份证阅读器快速识别学生身份信息，支持接入高拍仪等采集学生姓名、身份证号等基本信息；并支持采集身份证照片、学生照片、户口本照片等。支持添加家庭成员身份证信息。</w:t>
            </w:r>
          </w:p>
          <w:p w14:paraId="33003F35">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新生报名信息管理：支持对新生报名信息进行管理，可修改、删除、采集附件信息，对学生发送消息提醒（如缴费通知、录取通知、入学须知等）。</w:t>
            </w:r>
          </w:p>
          <w:p w14:paraId="59C77B0D">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面试/笔试结果登记：支持对有面试/笔试/体检筛选要求的招生专业方向，支持登记报名学生的面试/笔试/体检成绩。</w:t>
            </w:r>
          </w:p>
          <w:p w14:paraId="6908D6A6">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录取管理：支持录取前先对学生进行预录取，管理待录取、预录通过、预录取不通过的学生；支持修改学生信息、批量预录取、发送短信通知学生。</w:t>
            </w:r>
          </w:p>
          <w:p w14:paraId="5BE94341">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正式录取管理：支持管理待正式录取的学生，对学生进行录取审核、发送消息通知等；维护正式录取的学生，支持修改学生录取信息、取消入学资格等。</w:t>
            </w:r>
          </w:p>
          <w:p w14:paraId="0F117440">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已录学生导入：支持将已录学生信息进行导入，导入过程中如学生信息已存在，可选择覆盖或跳过原有信息。</w:t>
            </w:r>
          </w:p>
          <w:p w14:paraId="7B540CCF">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来校报名：支持新生来校报名，</w:t>
            </w:r>
            <w:bookmarkStart w:id="135" w:name="OLE_LINK1"/>
            <w:r>
              <w:rPr>
                <w:rFonts w:hint="eastAsia" w:cs="宋体"/>
                <w:color w:val="000000" w:themeColor="text1"/>
                <w:sz w:val="21"/>
                <w:szCs w:val="21"/>
                <w:highlight w:val="none"/>
                <w14:textFill>
                  <w14:solidFill>
                    <w14:schemeClr w14:val="tx1"/>
                  </w14:solidFill>
                </w14:textFill>
              </w:rPr>
              <w:t>支持身份证阅读器快速识别学生身份信息，支持接入高拍仪等采集学生姓名、身份证号等基本信息；并支持采集身份证照片、学生照片、户口本照片等。</w:t>
            </w:r>
            <w:bookmarkEnd w:id="135"/>
          </w:p>
          <w:p w14:paraId="6A9BC481">
            <w:pPr>
              <w:pStyle w:val="3"/>
              <w:numPr>
                <w:ilvl w:val="0"/>
                <w:numId w:val="24"/>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招生信息统计</w:t>
            </w:r>
          </w:p>
          <w:p w14:paraId="14EE65A7">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招生实时监控统计：实时查看全校每日报名录取情况、专业每日报名录取情况；支持按表格或折线图。</w:t>
            </w:r>
          </w:p>
          <w:p w14:paraId="33F89CCB">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招生完成情况统计：支持按专业招生完成情况、生源地招生完成情况进行统计。可查看计划人数、报名人数、录取人数、招生完成率等。</w:t>
            </w:r>
          </w:p>
          <w:p w14:paraId="77B75501">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新生住宿要求情况统计：支持查询新生入住情况，查询男女生宿舍床位最大允许床位数和剩余可入住床位数。</w:t>
            </w:r>
          </w:p>
          <w:p w14:paraId="4C8B6A5A">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新生缴费情况统计：支持查询统计全校新生缴费情况。</w:t>
            </w:r>
          </w:p>
          <w:p w14:paraId="4AA82F87">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各专业报名缴费统计：支持查看各专业招生报名录取缴费情况，统计专业方向的计划人数、报名人数、录取人数、缴费人数、缴费金额、录取完成比等。</w:t>
            </w:r>
          </w:p>
          <w:p w14:paraId="015BED2C">
            <w:pPr>
              <w:pStyle w:val="3"/>
              <w:numPr>
                <w:ilvl w:val="0"/>
                <w:numId w:val="24"/>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迎新报到管理</w:t>
            </w:r>
          </w:p>
          <w:p w14:paraId="46452E94">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迎新报到配置：设置迎新报到的起止时间，设置是否允许班主任在迎新报到时，调整本班报到学生名单。</w:t>
            </w:r>
          </w:p>
          <w:p w14:paraId="68532BC3">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新生报到：支持按单个学生报到，也支持按班级批量报到。</w:t>
            </w:r>
          </w:p>
          <w:p w14:paraId="062879DB">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支持新生在班主任处报到，班主任PC或App端确认报到信息。</w:t>
            </w:r>
          </w:p>
          <w:p w14:paraId="19C6CAD0">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未报到新生处理：支持按学期查询统计未报到的学生，可查看学生报到状态、学籍状态、联系方式等，支持将未报到的学生处理为取消入学资格等操作。</w:t>
            </w:r>
          </w:p>
          <w:p w14:paraId="63DFD969">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新生报到情况监控：实时监控新生报到情况，支持按校区、按专业方向、按班级等3个维度统计新生录取人数、实际报到人数、未到校人数等。</w:t>
            </w:r>
          </w:p>
          <w:p w14:paraId="3152CFC1">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新生报到统计：支持按推荐人、生源地统计新生报到情况。</w:t>
            </w:r>
          </w:p>
          <w:p w14:paraId="21D1E9E7">
            <w:pPr>
              <w:pStyle w:val="3"/>
              <w:numPr>
                <w:ilvl w:val="0"/>
                <w:numId w:val="24"/>
              </w:numPr>
              <w:tabs>
                <w:tab w:val="left" w:pos="482"/>
                <w:tab w:val="left" w:pos="1186"/>
              </w:tabs>
              <w:spacing w:line="380" w:lineRule="exact"/>
              <w:ind w:left="1004" w:hanging="522"/>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新生流失率情况分析</w:t>
            </w:r>
          </w:p>
          <w:p w14:paraId="356879A1">
            <w:pPr>
              <w:pStyle w:val="17"/>
              <w:spacing w:line="380" w:lineRule="exact"/>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支持按校区、专业方向分析学校的</w:t>
            </w:r>
            <w:r>
              <w:rPr>
                <w:rFonts w:hint="eastAsia" w:ascii="宋体" w:hAnsi="宋体" w:cs="宋体"/>
                <w:bCs/>
                <w:color w:val="000000" w:themeColor="text1"/>
                <w:sz w:val="21"/>
                <w:szCs w:val="21"/>
                <w:highlight w:val="none"/>
                <w14:textFill>
                  <w14:solidFill>
                    <w14:schemeClr w14:val="tx1"/>
                  </w14:solidFill>
                </w14:textFill>
              </w:rPr>
              <w:t>新生</w:t>
            </w:r>
            <w:r>
              <w:rPr>
                <w:rFonts w:hint="eastAsia" w:ascii="宋体" w:hAnsi="宋体" w:cs="宋体"/>
                <w:color w:val="000000" w:themeColor="text1"/>
                <w:sz w:val="21"/>
                <w:szCs w:val="21"/>
                <w:highlight w:val="none"/>
                <w14:textFill>
                  <w14:solidFill>
                    <w14:schemeClr w14:val="tx1"/>
                  </w14:solidFill>
                </w14:textFill>
              </w:rPr>
              <w:t>报到流失率；可查看未报到人数，报到后流失人数，统计录取后流失率。</w:t>
            </w:r>
          </w:p>
          <w:p w14:paraId="4A3F219B">
            <w:pPr>
              <w:pStyle w:val="2"/>
              <w:widowControl w:val="0"/>
              <w:numPr>
                <w:ilvl w:val="0"/>
                <w:numId w:val="15"/>
              </w:numPr>
              <w:tabs>
                <w:tab w:val="left" w:pos="895"/>
              </w:tabs>
              <w:spacing w:line="380" w:lineRule="exact"/>
              <w:ind w:left="482" w:firstLine="420"/>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校企合作管理服务</w:t>
            </w:r>
          </w:p>
          <w:p w14:paraId="7CF843EB">
            <w:pPr>
              <w:pStyle w:val="3"/>
              <w:numPr>
                <w:ilvl w:val="0"/>
                <w:numId w:val="25"/>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企业信息维护：维护校企合作的企业信息，如企业名称、企业性质、企业行业、企业规模、法人代表信息、联系人、联系电话、合作类型、合作项目、合作专业数等；企业信息有变更时支持修改；同时支持导出、打印、删除、导入等。</w:t>
            </w:r>
          </w:p>
          <w:p w14:paraId="48D001C0">
            <w:pPr>
              <w:pStyle w:val="3"/>
              <w:numPr>
                <w:ilvl w:val="0"/>
                <w:numId w:val="25"/>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企业奖学金：支持查看和管理企业奖学金信息，由班主任评选奖学金学生并提交审核财务发放；支持打印和导出。</w:t>
            </w:r>
          </w:p>
          <w:p w14:paraId="07351D6A">
            <w:pPr>
              <w:pStyle w:val="3"/>
              <w:numPr>
                <w:ilvl w:val="0"/>
                <w:numId w:val="25"/>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企业订单班：支持学校建立企业订单班信息；支持针对订单班单独招生；支持查询企业订单班信息；支持导出与打印。</w:t>
            </w:r>
          </w:p>
          <w:p w14:paraId="08EC2E36">
            <w:pPr>
              <w:pStyle w:val="3"/>
              <w:numPr>
                <w:ilvl w:val="0"/>
                <w:numId w:val="25"/>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实习企业统计：支持统计系统中实习企业的具体信息，支持查看企业中的学生名单；支持导出与打印。</w:t>
            </w:r>
          </w:p>
          <w:p w14:paraId="11848F61">
            <w:pPr>
              <w:pStyle w:val="3"/>
              <w:numPr>
                <w:ilvl w:val="0"/>
                <w:numId w:val="25"/>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合作企业统计：统计与学校合作的相关企业数量；支持查看各企业详细信息。</w:t>
            </w:r>
          </w:p>
          <w:p w14:paraId="7471681B">
            <w:pPr>
              <w:pStyle w:val="2"/>
              <w:widowControl w:val="0"/>
              <w:numPr>
                <w:ilvl w:val="0"/>
                <w:numId w:val="15"/>
              </w:numPr>
              <w:tabs>
                <w:tab w:val="left" w:pos="895"/>
              </w:tabs>
              <w:spacing w:line="380" w:lineRule="exact"/>
              <w:ind w:left="482" w:firstLine="420"/>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生产实习管理</w:t>
            </w:r>
          </w:p>
          <w:p w14:paraId="5C6D4040">
            <w:pPr>
              <w:pStyle w:val="3"/>
              <w:numPr>
                <w:ilvl w:val="0"/>
                <w:numId w:val="26"/>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实习活动维护：维护学生实习活动，填写实习活动基本信息，选择实习活动学生范围，填写实习活动拓展信息、实习计划及内容，实习纪律及安全、实习总结等信息。</w:t>
            </w:r>
          </w:p>
          <w:p w14:paraId="22D5CE13">
            <w:pPr>
              <w:pStyle w:val="3"/>
              <w:numPr>
                <w:ilvl w:val="0"/>
                <w:numId w:val="26"/>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习安排：安排学生生产实习，安排企业、指导老师、实习学生，为学生安排实习时支持选择学生的专业对口程度（对口、基本对口、专业不对口）支持班主任查看本班学生的实习企业；指导老师查看自己负责的实习学生及其实习企业、实习岗位等详细信息。</w:t>
            </w:r>
          </w:p>
          <w:p w14:paraId="04A0722C">
            <w:pPr>
              <w:pStyle w:val="3"/>
              <w:numPr>
                <w:ilvl w:val="0"/>
                <w:numId w:val="26"/>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实习日报</w:t>
            </w:r>
            <w:bookmarkStart w:id="136" w:name="_Hlk73353233"/>
            <w:r>
              <w:rPr>
                <w:rFonts w:hint="eastAsia" w:ascii="宋体" w:hAnsi="宋体" w:eastAsia="宋体" w:cs="宋体"/>
                <w:color w:val="000000" w:themeColor="text1"/>
                <w:sz w:val="21"/>
                <w:szCs w:val="21"/>
                <w:highlight w:val="none"/>
                <w14:textFill>
                  <w14:solidFill>
                    <w14:schemeClr w14:val="tx1"/>
                  </w14:solidFill>
                </w14:textFill>
              </w:rPr>
              <w:t>/周报/月报</w:t>
            </w:r>
            <w:bookmarkEnd w:id="136"/>
            <w:r>
              <w:rPr>
                <w:rFonts w:hint="eastAsia" w:ascii="宋体" w:hAnsi="宋体" w:eastAsia="宋体" w:cs="宋体"/>
                <w:color w:val="000000" w:themeColor="text1"/>
                <w:sz w:val="21"/>
                <w:szCs w:val="21"/>
                <w:highlight w:val="none"/>
                <w14:textFill>
                  <w14:solidFill>
                    <w14:schemeClr w14:val="tx1"/>
                  </w14:solidFill>
                </w14:textFill>
              </w:rPr>
              <w:t>任务安排：安排学生的实习日报/周报/月报任务要求，添加日报/周报/月报任务，设置起止时间及每周填写日期，选择校内指导老师及学生，设置日报/周报/月报填写要求。</w:t>
            </w:r>
          </w:p>
          <w:p w14:paraId="1C145CAD">
            <w:pPr>
              <w:pStyle w:val="3"/>
              <w:numPr>
                <w:ilvl w:val="0"/>
                <w:numId w:val="26"/>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实习日报/周报/月报任务检查：支持查看待检查、通过、未提交的实习日报/周报/月报情况。 </w:t>
            </w:r>
          </w:p>
          <w:p w14:paraId="5D741F94">
            <w:pPr>
              <w:pStyle w:val="3"/>
              <w:numPr>
                <w:ilvl w:val="0"/>
                <w:numId w:val="26"/>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实习成绩管理：维护和管理实习成绩等级、录入成绩开关、实习成绩录入等。设置成绩等级名称。支持企业对实习学生进行评价，校内指导老师可代企业录入实习成绩；管理员根据各项成绩给出最终实习成绩。</w:t>
            </w:r>
          </w:p>
          <w:p w14:paraId="70CF9BB6">
            <w:pPr>
              <w:pStyle w:val="3"/>
              <w:numPr>
                <w:ilvl w:val="0"/>
                <w:numId w:val="26"/>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实习企业及指导老师变更：支持为学生进行转企业登记、更换指导老师登记。</w:t>
            </w:r>
          </w:p>
          <w:p w14:paraId="6A66B5ED">
            <w:pPr>
              <w:pStyle w:val="3"/>
              <w:numPr>
                <w:ilvl w:val="0"/>
                <w:numId w:val="26"/>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实习任务完成情况统计：支持查询学生的实习任务完成情况，统计任务完成率，查看日报/周报/月报的应交次数、实交次数、任务完成率、任务延迟率等。</w:t>
            </w:r>
          </w:p>
          <w:p w14:paraId="6F04AEEE">
            <w:pPr>
              <w:pStyle w:val="2"/>
              <w:widowControl w:val="0"/>
              <w:numPr>
                <w:ilvl w:val="0"/>
                <w:numId w:val="15"/>
              </w:numPr>
              <w:tabs>
                <w:tab w:val="left" w:pos="895"/>
              </w:tabs>
              <w:spacing w:line="380" w:lineRule="exact"/>
              <w:ind w:left="482" w:firstLine="420"/>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毕业离校管理服务</w:t>
            </w:r>
          </w:p>
          <w:p w14:paraId="5AB0C098">
            <w:pPr>
              <w:pStyle w:val="3"/>
              <w:numPr>
                <w:ilvl w:val="0"/>
                <w:numId w:val="27"/>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毕业条件模板管理：添加毕业条件模板；设置毕业判定条件，选择固定毕业项目；同时支持添加自定义项目；支持预览。</w:t>
            </w:r>
          </w:p>
          <w:p w14:paraId="56950735">
            <w:pPr>
              <w:pStyle w:val="3"/>
              <w:numPr>
                <w:ilvl w:val="0"/>
                <w:numId w:val="27"/>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毕业判定条件设置：支持为每个专业设置毕业判定条件；可直接引用毕业条件模板，也可以自行选择固定毕业项目和自定义项目等。</w:t>
            </w:r>
          </w:p>
          <w:p w14:paraId="608BE85C">
            <w:pPr>
              <w:pStyle w:val="3"/>
              <w:numPr>
                <w:ilvl w:val="0"/>
                <w:numId w:val="27"/>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学生毕业审核：查看需要毕业审核的学生名单进行初审，系统自动审核已有数据业务，班主任审核自定义项目达标情况，支持单个或批量审核；支持审核通过或退回初审状态。</w:t>
            </w:r>
          </w:p>
          <w:p w14:paraId="7E0A3349">
            <w:pPr>
              <w:pStyle w:val="3"/>
              <w:numPr>
                <w:ilvl w:val="0"/>
                <w:numId w:val="27"/>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学生毕业终审：管理员结合班主任初审、各部门复审，对学生各个毕业条件进行终审，支持单个或批量审核。对于没有对应的实施培养方案的学生，支持手动强制毕业，毕业判定结果支持毕业、结业、肄业等。</w:t>
            </w:r>
          </w:p>
          <w:p w14:paraId="70CAFBBB">
            <w:pPr>
              <w:pStyle w:val="3"/>
              <w:numPr>
                <w:ilvl w:val="0"/>
                <w:numId w:val="27"/>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学生证书发放登记：添加毕业学生，选择登记学生名单，选择证书类型；支持修改、删除和查看。</w:t>
            </w:r>
          </w:p>
          <w:p w14:paraId="241567CC">
            <w:pPr>
              <w:pStyle w:val="2"/>
              <w:widowControl w:val="0"/>
              <w:numPr>
                <w:ilvl w:val="0"/>
                <w:numId w:val="15"/>
              </w:numPr>
              <w:tabs>
                <w:tab w:val="left" w:pos="895"/>
              </w:tabs>
              <w:spacing w:line="380" w:lineRule="exact"/>
              <w:ind w:left="482" w:firstLine="420"/>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就业管理服务</w:t>
            </w:r>
          </w:p>
          <w:p w14:paraId="2285ABF4">
            <w:pPr>
              <w:pStyle w:val="3"/>
              <w:numPr>
                <w:ilvl w:val="0"/>
                <w:numId w:val="28"/>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开放就业登记开关：支持添加、删除、修改就业开关，设置登记就业的开始日期和结束日期。</w:t>
            </w:r>
          </w:p>
          <w:p w14:paraId="7E09E024">
            <w:pPr>
              <w:pStyle w:val="3"/>
              <w:numPr>
                <w:ilvl w:val="0"/>
                <w:numId w:val="28"/>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毕业去向登记：支持单个学生就业登记，也支持批量导入学生就业信息，登记学生的就业类型（就业、创业、升学、参军等）。</w:t>
            </w:r>
          </w:p>
          <w:p w14:paraId="43156A09">
            <w:pPr>
              <w:pStyle w:val="3"/>
              <w:numPr>
                <w:ilvl w:val="0"/>
                <w:numId w:val="28"/>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毕业去向审核：管理员审核学生的就业信息。毕业去向跟踪：跟踪学生毕业去向信息（包括就业、升学、未就业、参军等），包括学校/单位名称、工作岗位、岗位薪资、未就业类型等。</w:t>
            </w:r>
          </w:p>
          <w:p w14:paraId="6D0D7793">
            <w:pPr>
              <w:pStyle w:val="3"/>
              <w:numPr>
                <w:ilvl w:val="0"/>
                <w:numId w:val="28"/>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行政班就业情况统计：就业信息登记后，系统支持对已有就业数据进行分析，分析结果多维度展示；支持按行政班、专业、系部、企业等进行数据分析。支持按行政班统计班级学生就业情况。</w:t>
            </w:r>
          </w:p>
          <w:p w14:paraId="3CB8E310">
            <w:pPr>
              <w:pStyle w:val="3"/>
              <w:numPr>
                <w:ilvl w:val="0"/>
                <w:numId w:val="28"/>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专业/系部就业情况统计：支持按就业人数统计、按企业性质统计、按就业区域统计等。</w:t>
            </w:r>
          </w:p>
          <w:p w14:paraId="386EFF0A">
            <w:pPr>
              <w:pStyle w:val="3"/>
              <w:numPr>
                <w:ilvl w:val="0"/>
                <w:numId w:val="28"/>
              </w:numPr>
              <w:tabs>
                <w:tab w:val="left" w:pos="482"/>
                <w:tab w:val="left" w:pos="1186"/>
              </w:tabs>
              <w:spacing w:line="380" w:lineRule="exact"/>
              <w:ind w:left="52" w:firstLine="430"/>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就业率趋势分析：可统计全校的就业率情况，选择毕业年月，查询全校各组织机构的就业情况，查询各专业的就业情况。</w:t>
            </w:r>
          </w:p>
          <w:p w14:paraId="03A619C5">
            <w:pPr>
              <w:pStyle w:val="2"/>
              <w:widowControl w:val="0"/>
              <w:numPr>
                <w:ilvl w:val="0"/>
                <w:numId w:val="15"/>
              </w:numPr>
              <w:tabs>
                <w:tab w:val="left" w:pos="895"/>
              </w:tabs>
              <w:spacing w:line="380" w:lineRule="exact"/>
              <w:ind w:left="482" w:firstLine="420"/>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课程学习管理服务</w:t>
            </w:r>
          </w:p>
          <w:p w14:paraId="1016457B">
            <w:pPr>
              <w:pStyle w:val="3"/>
              <w:numPr>
                <w:ilvl w:val="0"/>
                <w:numId w:val="29"/>
              </w:numPr>
              <w:tabs>
                <w:tab w:val="left" w:pos="482"/>
                <w:tab w:val="left" w:pos="1044"/>
              </w:tabs>
              <w:spacing w:line="380" w:lineRule="exact"/>
              <w:ind w:hanging="85"/>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基础数据维护</w:t>
            </w:r>
          </w:p>
          <w:p w14:paraId="10706274">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专业授权：管理员在基础数据管理中维护专业数据信息后，在课程教学平台可对专业权限进行管理，。支持选择专业后进行授权管理，支持删除已授权的用户。</w:t>
            </w:r>
          </w:p>
          <w:p w14:paraId="36DA96D9">
            <w:pPr>
              <w:pStyle w:val="3"/>
              <w:numPr>
                <w:ilvl w:val="0"/>
                <w:numId w:val="29"/>
              </w:numPr>
              <w:tabs>
                <w:tab w:val="left" w:pos="482"/>
                <w:tab w:val="left" w:pos="1044"/>
              </w:tabs>
              <w:spacing w:line="380" w:lineRule="exact"/>
              <w:ind w:hanging="85"/>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用户及授权管理</w:t>
            </w:r>
          </w:p>
          <w:p w14:paraId="57B088A7">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用户授权：用户授权支持按用户授权、按角色授权两种方式。</w:t>
            </w:r>
          </w:p>
          <w:p w14:paraId="30D3D675">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用户授权支持批量勾选用户进行统一授权，可查看角色下包含的菜单数和授权了哪些用户。</w:t>
            </w:r>
          </w:p>
          <w:p w14:paraId="786686FD">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按角色授权，选择角色后，勾选授权菜单。</w:t>
            </w:r>
          </w:p>
          <w:p w14:paraId="5BDFD549">
            <w:pPr>
              <w:pStyle w:val="3"/>
              <w:numPr>
                <w:ilvl w:val="0"/>
                <w:numId w:val="29"/>
              </w:numPr>
              <w:tabs>
                <w:tab w:val="left" w:pos="482"/>
                <w:tab w:val="left" w:pos="1044"/>
              </w:tabs>
              <w:spacing w:line="380" w:lineRule="exact"/>
              <w:ind w:hanging="85"/>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教学管理</w:t>
            </w:r>
          </w:p>
          <w:p w14:paraId="30CCC3CE">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添加课程：填写课程名称、选择主讲老师、专业、上传课程封面、编写课程简介。课程创建后，在配套的教学软件客户端对课程进行章节目录维护及上传相关课件资源（如主讲视频、PPT课件、板书素材、拓展资源等）。</w:t>
            </w:r>
          </w:p>
          <w:p w14:paraId="0D1228BE">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学习统计：支持对课程学习情况进行统计，可按学习者进行统计、按课程目录进行统计两种方式。</w:t>
            </w:r>
          </w:p>
          <w:p w14:paraId="195F8B69">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按学习者统计时，可统计整个班级学习情况，可单独统计单个学生学习情况。可导出学习结果。</w:t>
            </w:r>
          </w:p>
          <w:p w14:paraId="1690729F">
            <w:pPr>
              <w:pStyle w:val="4"/>
              <w:tabs>
                <w:tab w:val="left" w:pos="780"/>
              </w:tabs>
              <w:ind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按课程目录统计，可按章节查询学习情况，具体学习情况（如学习总时长，有效时长、学习进度）可按班级、完成状态、学生姓名等维度搜索查看。</w:t>
            </w:r>
          </w:p>
          <w:p w14:paraId="1A428543">
            <w:pPr>
              <w:pStyle w:val="3"/>
              <w:numPr>
                <w:ilvl w:val="0"/>
                <w:numId w:val="29"/>
              </w:numPr>
              <w:tabs>
                <w:tab w:val="left" w:pos="482"/>
                <w:tab w:val="left" w:pos="1044"/>
              </w:tabs>
              <w:spacing w:line="380" w:lineRule="exact"/>
              <w:ind w:hanging="85"/>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资源中心</w:t>
            </w:r>
          </w:p>
          <w:p w14:paraId="401FECA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对学校资源成果进行统一管理，资源提交资源库时须审核通过才能纳入。便于校内师生快速浏览或查找学习资源，资源类型包括视频、教学PPT课件、板书笔记、教案等类型。</w:t>
            </w:r>
          </w:p>
          <w:p w14:paraId="08B6A2E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资源可设置课程共享。共享后其他教师可复用资源。</w:t>
            </w:r>
          </w:p>
          <w:p w14:paraId="0A3411D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资源检索支持按专业、课程名称、主讲老师、共享时间、课程修改时间等多种类型进行快速检索。</w:t>
            </w:r>
          </w:p>
          <w:p w14:paraId="7A51866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管理员设置资源的使用权限，未授权的用户备课或教学时不能使用课程下的PPT、主视频、板书笔记、试题及资源等内容。</w:t>
            </w:r>
          </w:p>
          <w:p w14:paraId="695EE01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支持对资源建设相关信息进行配置，如资源建设审核配置，课程资源数量/容量统计范围配置等。</w:t>
            </w:r>
          </w:p>
          <w:p w14:paraId="2092B78D">
            <w:pPr>
              <w:pStyle w:val="3"/>
              <w:numPr>
                <w:ilvl w:val="0"/>
                <w:numId w:val="29"/>
              </w:numPr>
              <w:tabs>
                <w:tab w:val="left" w:pos="482"/>
                <w:tab w:val="left" w:pos="1044"/>
              </w:tabs>
              <w:spacing w:line="380" w:lineRule="exact"/>
              <w:ind w:hanging="85"/>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考试中心</w:t>
            </w:r>
          </w:p>
          <w:p w14:paraId="4ED7F0C6">
            <w:pPr>
              <w:pStyle w:val="4"/>
              <w:numPr>
                <w:ilvl w:val="0"/>
                <w:numId w:val="30"/>
              </w:numPr>
              <w:tabs>
                <w:tab w:val="left" w:pos="780"/>
              </w:tabs>
              <w:ind w:left="0"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在线考试安排</w:t>
            </w:r>
          </w:p>
          <w:p w14:paraId="6AFADDF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添加在线考试支持多种方式，如从教务管理系统的排考结果进行添加，从教学任务添加或手动添加等。</w:t>
            </w:r>
          </w:p>
          <w:p w14:paraId="428FBFA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支持考务人员在线安排考试，支持正式考试与非正式考试；</w:t>
            </w:r>
          </w:p>
          <w:p w14:paraId="02B971E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正式考试包括期中考试、期末考试、补考、月考、摸底考试等多种类型。可设置学生考试的考试终端类型（如只允许电脑端考试、只允许手机端考试、允许手机端和电脑端等）。</w:t>
            </w:r>
          </w:p>
          <w:p w14:paraId="3D3F83A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考试安排：选择考试类型，适用学期，填写考试名称、考试时长、考试起止时间；选择监考老师、阅卷老师、考试试卷、考试学生等。考试时长、监考老师支持批量进行设置。支持对考试任务进行修改、复制、删除等。</w:t>
            </w:r>
          </w:p>
          <w:p w14:paraId="65793AD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考试人员安排：支持按年级、专业、班级等维度搜索查询添加考试学生，支持单个移除。</w:t>
            </w:r>
          </w:p>
          <w:p w14:paraId="013110E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阅卷老师、监考老师安排：支持按姓名、机构等搜索添加老师，支持单个移除。</w:t>
            </w:r>
          </w:p>
          <w:p w14:paraId="69B49CB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在线监考：监考老师可通过电脑端或移动端进行在线监考。在监考过程中支持强制交卷或帮助学生重新进入考试。</w:t>
            </w:r>
          </w:p>
          <w:p w14:paraId="63E6238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考试数据查看：支持按考试名称、考试类型、专业、课程、学期等多个维度进行考试数据查询。</w:t>
            </w:r>
          </w:p>
          <w:p w14:paraId="017AD8BB">
            <w:pPr>
              <w:pStyle w:val="17"/>
              <w:spacing w:line="380" w:lineRule="exact"/>
              <w:ind w:firstLine="478" w:firstLineChars="228"/>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统计分析：通过线上考试的统计分析，可了解班级成绩情况，可按分数段统计学生成绩分布；了解及格情况等。</w:t>
            </w:r>
          </w:p>
          <w:p w14:paraId="246AEC06">
            <w:pPr>
              <w:pStyle w:val="4"/>
              <w:numPr>
                <w:ilvl w:val="0"/>
                <w:numId w:val="30"/>
              </w:numPr>
              <w:tabs>
                <w:tab w:val="left" w:pos="780"/>
              </w:tabs>
              <w:ind w:left="0"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试题管理</w:t>
            </w:r>
          </w:p>
          <w:p w14:paraId="4AD9803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试题库支持用户根据业务需要进行维护和管理，支持试题管理员在教学软件客户端在线添加试题。系统支持单选题、多选题、判断题、填空题、简答题、组合题等6种题型。支持单个或批量的修改和删除试题。支持批量设置试题难度。</w:t>
            </w:r>
          </w:p>
          <w:p w14:paraId="252FE95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支持按资源中心课程查看课程下的试题，支持按学期教学任务课程查看课程下的试题，支持修改、删除操作。</w:t>
            </w:r>
          </w:p>
          <w:p w14:paraId="32EE137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支持按试题的题干、题型类型、难度等维度进行查询筛选试题。</w:t>
            </w:r>
          </w:p>
          <w:p w14:paraId="32315ECB">
            <w:pPr>
              <w:pStyle w:val="4"/>
              <w:numPr>
                <w:ilvl w:val="0"/>
                <w:numId w:val="30"/>
              </w:numPr>
              <w:tabs>
                <w:tab w:val="left" w:pos="780"/>
              </w:tabs>
              <w:ind w:left="0"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试卷管理</w:t>
            </w:r>
          </w:p>
          <w:p w14:paraId="4AE599B0">
            <w:pPr>
              <w:pStyle w:val="17"/>
              <w:spacing w:line="380" w:lineRule="exact"/>
              <w:ind w:firstLine="420" w:firstLineChars="20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支持组卷老师在线组装试卷用于考试，设置试卷基础信息后，组卷老师可从试题库中选取试题，试题添加完成后可单个或批量设置分数；支持预览试卷，支持批量删除已经添加完成的试卷。</w:t>
            </w:r>
          </w:p>
          <w:p w14:paraId="6553A6AA">
            <w:pPr>
              <w:pStyle w:val="17"/>
              <w:spacing w:line="380" w:lineRule="exact"/>
              <w:ind w:firstLine="420" w:firstLineChars="20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在组卷过程中可开启当套试卷的选项乱序、题目乱序，以防止学生作弊情况。</w:t>
            </w:r>
          </w:p>
          <w:p w14:paraId="62275810">
            <w:pPr>
              <w:pStyle w:val="17"/>
              <w:spacing w:line="380" w:lineRule="exact"/>
              <w:ind w:firstLine="420" w:firstLineChars="200"/>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支持组卷老师按专业、课程等维度查询已组装好的试卷。</w:t>
            </w:r>
          </w:p>
          <w:p w14:paraId="70E4AE6E">
            <w:pPr>
              <w:pStyle w:val="4"/>
              <w:numPr>
                <w:ilvl w:val="0"/>
                <w:numId w:val="30"/>
              </w:numPr>
              <w:tabs>
                <w:tab w:val="left" w:pos="780"/>
              </w:tabs>
              <w:ind w:left="0"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题型维护</w:t>
            </w:r>
          </w:p>
          <w:p w14:paraId="61FC5D64">
            <w:pPr>
              <w:pStyle w:val="17"/>
              <w:spacing w:line="380" w:lineRule="exact"/>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支持自定义设置题型名称，支持添加、修改和删除。关联系统6种题型（单选题、多选题、判断题、填空题、简答题、组合题）。</w:t>
            </w:r>
          </w:p>
          <w:p w14:paraId="5CCFC650">
            <w:pPr>
              <w:pStyle w:val="4"/>
              <w:numPr>
                <w:ilvl w:val="0"/>
                <w:numId w:val="30"/>
              </w:numPr>
              <w:tabs>
                <w:tab w:val="left" w:pos="780"/>
              </w:tabs>
              <w:ind w:left="0" w:firstLine="420" w:firstLineChars="200"/>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统计分析</w:t>
            </w:r>
          </w:p>
          <w:p w14:paraId="0BC8C92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试题统计：支持统计试题总量、各专业试题数量、各课程试题数量、各教师上传数量；同时支持查看题型分布情况、难度分布情况等。</w:t>
            </w:r>
          </w:p>
          <w:p w14:paraId="6BD02DF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在线考试统计：支持按学期查看统计在线考试，可查看已完成的考试场次、参加考试的学生实考次数、监考教师人次、阅卷教师人次等。</w:t>
            </w:r>
          </w:p>
          <w:p w14:paraId="622EF89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资源统计：支持查看全校资源数量、全校资源容量；各专业资源数量、各专业资源容量、各素材类型数量分布等。</w:t>
            </w:r>
          </w:p>
          <w:p w14:paraId="78873F86">
            <w:pPr>
              <w:pStyle w:val="3"/>
              <w:numPr>
                <w:ilvl w:val="0"/>
                <w:numId w:val="29"/>
              </w:numPr>
              <w:tabs>
                <w:tab w:val="left" w:pos="482"/>
                <w:tab w:val="left" w:pos="1044"/>
              </w:tabs>
              <w:spacing w:line="380" w:lineRule="exact"/>
              <w:ind w:hanging="85"/>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资源使用</w:t>
            </w:r>
          </w:p>
          <w:p w14:paraId="68722419">
            <w:pPr>
              <w:pStyle w:val="17"/>
              <w:spacing w:line="380" w:lineRule="exact"/>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管理员设置资源的使用权限，未授权的用户备课或教学时不能使用课程下的PPT、主视频、板书笔记、试题及资源等内容。</w:t>
            </w:r>
          </w:p>
          <w:p w14:paraId="2705B7C8">
            <w:pPr>
              <w:pStyle w:val="17"/>
              <w:spacing w:line="380" w:lineRule="exact"/>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任课教师备课时可导入专业共享资源进行上课或安排学生学习；同时可使用专业共享课程的题库或测验作业库安排练习。</w:t>
            </w:r>
          </w:p>
          <w:p w14:paraId="5D260F6E">
            <w:pPr>
              <w:pStyle w:val="2"/>
              <w:widowControl w:val="0"/>
              <w:numPr>
                <w:ilvl w:val="0"/>
                <w:numId w:val="15"/>
              </w:numPr>
              <w:tabs>
                <w:tab w:val="left" w:pos="895"/>
              </w:tabs>
              <w:spacing w:line="380" w:lineRule="exact"/>
              <w:ind w:left="482" w:firstLine="420"/>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课程教学服务（C/S端）</w:t>
            </w:r>
          </w:p>
          <w:p w14:paraId="776B560F">
            <w:pPr>
              <w:pStyle w:val="3"/>
              <w:numPr>
                <w:ilvl w:val="0"/>
                <w:numId w:val="31"/>
              </w:numPr>
              <w:tabs>
                <w:tab w:val="left" w:pos="482"/>
                <w:tab w:val="left" w:pos="1044"/>
              </w:tabs>
              <w:spacing w:line="380" w:lineRule="exact"/>
              <w:ind w:hanging="85"/>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在线备课（资源建设）</w:t>
            </w:r>
          </w:p>
          <w:p w14:paraId="1E9B5D7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支持任课老师使用教学软件客户端为每次课进行备课，上传PPT课件资源，准备板书材料、上传主视频、拓展资源、录入试题等；备课完成后支持为学生安排课前预习。</w:t>
            </w:r>
          </w:p>
          <w:p w14:paraId="2B1AA9A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同时支持任课老师为章节备课时，可直接引用学校已共享的资源课程的PPT课件、视频等资源，直接复用优质教学资源，提升备课效率。</w:t>
            </w:r>
          </w:p>
          <w:p w14:paraId="6B1FA68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学期授课计划完成后，老师在备课时可自动获取教务管理中的授课计划，按照周次、课次等快速生成章节目录，提升备课效率。支持按课次自动生成或从文档复制添加生成。</w:t>
            </w:r>
          </w:p>
          <w:p w14:paraId="390DF42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板书笔记支持在线新建板书书写。</w:t>
            </w:r>
          </w:p>
          <w:p w14:paraId="6E61B596">
            <w:pPr>
              <w:pStyle w:val="3"/>
              <w:numPr>
                <w:ilvl w:val="0"/>
                <w:numId w:val="31"/>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学习任务及随堂测验安排</w:t>
            </w:r>
          </w:p>
          <w:p w14:paraId="4272ED2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在线学习：任课教师在</w:t>
            </w:r>
            <w:bookmarkStart w:id="137" w:name="_Hlk135057391"/>
            <w:r>
              <w:rPr>
                <w:rFonts w:hint="eastAsia" w:ascii="宋体" w:hAnsi="宋体" w:cs="宋体"/>
                <w:color w:val="000000" w:themeColor="text1"/>
                <w:sz w:val="21"/>
                <w:szCs w:val="21"/>
                <w:highlight w:val="none"/>
                <w14:textFill>
                  <w14:solidFill>
                    <w14:schemeClr w14:val="tx1"/>
                  </w14:solidFill>
                </w14:textFill>
              </w:rPr>
              <w:t>教学软件客户端</w:t>
            </w:r>
            <w:bookmarkEnd w:id="137"/>
            <w:r>
              <w:rPr>
                <w:rFonts w:hint="eastAsia" w:ascii="宋体" w:hAnsi="宋体" w:cs="宋体"/>
                <w:color w:val="000000" w:themeColor="text1"/>
                <w:sz w:val="21"/>
                <w:szCs w:val="21"/>
                <w:highlight w:val="none"/>
                <w14:textFill>
                  <w14:solidFill>
                    <w14:schemeClr w14:val="tx1"/>
                  </w14:solidFill>
                </w14:textFill>
              </w:rPr>
              <w:t>完成在线备课后安排在线学习任务，学生通过智慧校园App进行在线学习(用于网课、课前预习、课后复习等场景)。支持设置开放内容，如主视频、PPT课件、板书笔记、拓展资源等，同时支持设置开放学习的时间和学习进度标准。</w:t>
            </w:r>
          </w:p>
          <w:p w14:paraId="6AEDC97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测验作业：支持任课老师使用教学软件客户端为学生安排随堂测验和课后作业，学生通过智慧校园App端或Web端完成测验和作业任务。系统自动批阅客观题，任课老师在线批阅主观题。</w:t>
            </w:r>
          </w:p>
          <w:p w14:paraId="3D7F5E5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学情分析：支持追踪每个章节目录的主视频班级每个学生已学有效时长和累积学习时长，了解学生学习情况。</w:t>
            </w:r>
          </w:p>
          <w:p w14:paraId="01DC269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可按单个学习者进行统计学习情况，可查看已学总时长、学习进度等。</w:t>
            </w:r>
          </w:p>
          <w:p w14:paraId="34209A8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可按课程目录进行统计学习情况，可查询当前目录学习的总人数、已完成人数、未完成人数等。</w:t>
            </w:r>
          </w:p>
          <w:p w14:paraId="5CCBF558">
            <w:pPr>
              <w:pStyle w:val="3"/>
              <w:numPr>
                <w:ilvl w:val="0"/>
                <w:numId w:val="31"/>
              </w:numPr>
              <w:tabs>
                <w:tab w:val="left" w:pos="482"/>
                <w:tab w:val="left" w:pos="1044"/>
              </w:tabs>
              <w:spacing w:line="380" w:lineRule="exact"/>
              <w:ind w:hanging="85"/>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题库练习</w:t>
            </w:r>
          </w:p>
          <w:p w14:paraId="1160F99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任课老师可按章节开放自己课程题库给学生进行刷题练习；</w:t>
            </w:r>
          </w:p>
          <w:p w14:paraId="1E5BDA5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学生可通过手机端按顺序刷题、随机刷题、章节刷题、错题本刷题等。</w:t>
            </w:r>
          </w:p>
          <w:p w14:paraId="0C647CE1">
            <w:pPr>
              <w:pStyle w:val="3"/>
              <w:numPr>
                <w:ilvl w:val="0"/>
                <w:numId w:val="31"/>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课堂考勤</w:t>
            </w:r>
          </w:p>
          <w:p w14:paraId="70A37D9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课堂学生考勤支持老师手工考勤、AI考勤、教学软件客户端随机点名考勤；</w:t>
            </w:r>
          </w:p>
          <w:p w14:paraId="2CC2A7C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支持配置课堂考勤权限，设置课堂考勤的预警阈值，到达预警时系统会自动给学生发送预警消息。</w:t>
            </w:r>
          </w:p>
          <w:p w14:paraId="31C2C7D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手工考勤支持老师手动为学生标记考勤状态，若正常出勤，可对所有学生一键标记为正常出勤，提高考勤效率。</w:t>
            </w:r>
          </w:p>
          <w:p w14:paraId="72D5B0C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老师可通过教师摄像头开展AI考勤，通过人脸识别对比，10秒获取考勤结果；教室无摄像头的情况下，还支持老师使用手机摄像头AI考勤，手机拍摄学生进行人脸对比识别。</w:t>
            </w:r>
          </w:p>
          <w:p w14:paraId="54BA77F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可通过教学软件客户端随机点名和发送考勤异常情况，可查看班级总上课人数、应到人数、实到人数、请假、迟到等数据。</w:t>
            </w:r>
          </w:p>
          <w:p w14:paraId="38C5A4BA">
            <w:pPr>
              <w:pStyle w:val="3"/>
              <w:numPr>
                <w:ilvl w:val="0"/>
                <w:numId w:val="31"/>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线上考试</w:t>
            </w:r>
          </w:p>
          <w:p w14:paraId="1AEC9ED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支持老师</w:t>
            </w:r>
            <w:bookmarkStart w:id="138" w:name="OLE_LINK2"/>
            <w:r>
              <w:rPr>
                <w:rFonts w:hint="eastAsia" w:ascii="宋体" w:hAnsi="宋体" w:cs="宋体"/>
                <w:color w:val="000000" w:themeColor="text1"/>
                <w:sz w:val="21"/>
                <w:szCs w:val="21"/>
                <w:highlight w:val="none"/>
                <w14:textFill>
                  <w14:solidFill>
                    <w14:schemeClr w14:val="tx1"/>
                  </w14:solidFill>
                </w14:textFill>
              </w:rPr>
              <w:t>通过教学软件客户端</w:t>
            </w:r>
            <w:bookmarkEnd w:id="138"/>
            <w:r>
              <w:rPr>
                <w:rFonts w:hint="eastAsia" w:ascii="宋体" w:hAnsi="宋体" w:cs="宋体"/>
                <w:color w:val="000000" w:themeColor="text1"/>
                <w:sz w:val="21"/>
                <w:szCs w:val="21"/>
                <w:highlight w:val="none"/>
                <w14:textFill>
                  <w14:solidFill>
                    <w14:schemeClr w14:val="tx1"/>
                  </w14:solidFill>
                </w14:textFill>
              </w:rPr>
              <w:t>进行在线组卷，添加试卷基础信息，在线添加试题（支持手动选题、自动抽题、批量录题等）完成组卷。支持将试卷进行修改、删除和导出。</w:t>
            </w:r>
          </w:p>
          <w:p w14:paraId="1569693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支持阅卷老师通过教学软件客户端进行阅卷，支持修改成绩。</w:t>
            </w:r>
          </w:p>
          <w:p w14:paraId="11E4CFF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支持对考试进行考试分析，查看考试任务下成绩分析情况，如应考人数、及格情况；分析及格率、平均成绩等。也可按试卷进行分析，分析试卷的难度分布、每个试题的得分率等。</w:t>
            </w:r>
          </w:p>
          <w:p w14:paraId="78D15BD4">
            <w:pPr>
              <w:pStyle w:val="3"/>
              <w:numPr>
                <w:ilvl w:val="0"/>
                <w:numId w:val="31"/>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在线授课</w:t>
            </w:r>
          </w:p>
          <w:p w14:paraId="22BCFDE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课中，老师可通过教学软件客户端打开自己需要上课的课程，选择对应的章节目录，用备课时上传的相关资源（如PPT、视频、板书等）进行现场在线授课。</w:t>
            </w:r>
          </w:p>
          <w:p w14:paraId="1B8B220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支持学生在手机端在班级群进行提问，老师可课上为学生进行课堂答疑。</w:t>
            </w:r>
          </w:p>
          <w:p w14:paraId="107CDE9C">
            <w:pPr>
              <w:pStyle w:val="3"/>
              <w:numPr>
                <w:ilvl w:val="0"/>
                <w:numId w:val="31"/>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AI阅卷</w:t>
            </w:r>
          </w:p>
          <w:p w14:paraId="2D02F21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老师批阅主观题后，将主观题分数标记在指定位置后通过小程序拍照上传，上传后AI对客观题自动阅卷，同时利用AI算法模型自动识别老师标记的主观题分数；系统自动计算主、客观题总分并登记学生成绩。提高阅卷效率。</w:t>
            </w:r>
          </w:p>
          <w:p w14:paraId="3B6E7367">
            <w:pPr>
              <w:pStyle w:val="3"/>
              <w:numPr>
                <w:ilvl w:val="0"/>
                <w:numId w:val="31"/>
              </w:numPr>
              <w:tabs>
                <w:tab w:val="left" w:pos="482"/>
                <w:tab w:val="left" w:pos="956"/>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ab/>
            </w:r>
            <w:r>
              <w:rPr>
                <w:rFonts w:hint="eastAsia" w:ascii="宋体" w:hAnsi="宋体" w:eastAsia="宋体" w:cs="宋体"/>
                <w:color w:val="000000" w:themeColor="text1"/>
                <w:sz w:val="21"/>
                <w:szCs w:val="21"/>
                <w:highlight w:val="none"/>
                <w14:textFill>
                  <w14:solidFill>
                    <w14:schemeClr w14:val="tx1"/>
                  </w14:solidFill>
                </w14:textFill>
              </w:rPr>
              <w:t>板书书写</w:t>
            </w:r>
          </w:p>
          <w:p w14:paraId="1FE59DC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支持在教学软件客户端任课教师在任意软件界面书写批注，书写线条颜色、粗细均可调。</w:t>
            </w:r>
          </w:p>
          <w:p w14:paraId="1266677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支持添加黑板页面，黑板页面的背景色可切换。</w:t>
            </w:r>
          </w:p>
          <w:p w14:paraId="705569E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板书内容可保存并上传至课程对应课次章节。</w:t>
            </w:r>
          </w:p>
          <w:p w14:paraId="0A27836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支持局部擦除和整屏清除等功能清除书写的电子板书内容。</w:t>
            </w:r>
          </w:p>
          <w:p w14:paraId="16DB232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在多页黑板的情况下，支持通过点击上一页和下一页图标实现黑板页面的切换。</w:t>
            </w:r>
          </w:p>
          <w:p w14:paraId="5B90921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支持将外接拍摄设备拍摄图片或视频直接上传至黑板。</w:t>
            </w:r>
          </w:p>
          <w:p w14:paraId="55C59A0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支持将黑板页面上的图片、文本、书写笔记等内容保存为PDF格式的文档。</w:t>
            </w:r>
          </w:p>
          <w:p w14:paraId="0CFB70CC">
            <w:pPr>
              <w:pStyle w:val="3"/>
              <w:numPr>
                <w:ilvl w:val="0"/>
                <w:numId w:val="31"/>
              </w:numPr>
              <w:tabs>
                <w:tab w:val="left" w:pos="482"/>
                <w:tab w:val="left" w:pos="1044"/>
              </w:tabs>
              <w:spacing w:line="380" w:lineRule="exact"/>
              <w:ind w:hanging="85"/>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实验拍摄</w:t>
            </w:r>
          </w:p>
          <w:p w14:paraId="13CAA36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支持使用摄像头或高拍仪等完成随堂拍摄教学资料、学生作业、笔记、试卷、实验场景照片或短视频后，上传到黑板中并同步展示到屏幕上，增强课堂互动。</w:t>
            </w:r>
          </w:p>
          <w:p w14:paraId="2B5AE40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支持抓拍实验动态图像的高清画面并自动保存到黑板页面中，抓拍的动态图像画面不失真，有利于老师根据教学需求放大展示操作画面。</w:t>
            </w:r>
          </w:p>
          <w:p w14:paraId="64EFB51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实验过程中，支持在拍摄的动态画面上进行同步书写批注。</w:t>
            </w:r>
          </w:p>
          <w:p w14:paraId="2CAEBFCC">
            <w:pPr>
              <w:pStyle w:val="3"/>
              <w:numPr>
                <w:ilvl w:val="0"/>
                <w:numId w:val="31"/>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同步录课</w:t>
            </w:r>
          </w:p>
          <w:p w14:paraId="5C43141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教学软件客户端支持同步录课，录课支持多种模式进行录制，如只录屏幕内容、只录人像、或者录制屏幕+人像等。</w:t>
            </w:r>
          </w:p>
          <w:p w14:paraId="1D5FFAF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支持自动智能编辑后生成视频课件，支持教师通过人工手动个性化编辑后生成视频课件，在课件编辑时剪辑多余片段，在课件编辑时插入图片、视频等。</w:t>
            </w:r>
          </w:p>
          <w:p w14:paraId="0ADEB16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支持在人工手动编辑界面进行多通道画面切换、转场特效设置、添加水印等操作。</w:t>
            </w:r>
          </w:p>
          <w:p w14:paraId="5FCB1E09">
            <w:pPr>
              <w:pStyle w:val="3"/>
              <w:numPr>
                <w:ilvl w:val="0"/>
                <w:numId w:val="31"/>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课堂问答</w:t>
            </w:r>
          </w:p>
          <w:p w14:paraId="4EE650F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支持对授课班级进行课堂随机抽取问答，系统随机抽人；可查看当堂课程的整体表现等。</w:t>
            </w:r>
          </w:p>
          <w:p w14:paraId="298957E4">
            <w:pPr>
              <w:pStyle w:val="3"/>
              <w:numPr>
                <w:ilvl w:val="0"/>
                <w:numId w:val="31"/>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课程教学数据分析</w:t>
            </w:r>
          </w:p>
          <w:p w14:paraId="3C5D5239">
            <w:pPr>
              <w:pStyle w:val="4"/>
              <w:numPr>
                <w:ilvl w:val="0"/>
                <w:numId w:val="32"/>
              </w:numPr>
              <w:tabs>
                <w:tab w:val="left" w:pos="482"/>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课堂考勤分析</w:t>
            </w:r>
          </w:p>
          <w:p w14:paraId="712B324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支持按班级统计分析考勤情况，可分析本班考勤次数、到课率、请假率、迟到率、早退率、旷课率等，从而了解班级整体考勤情况；</w:t>
            </w:r>
          </w:p>
          <w:p w14:paraId="027A2A3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支持按时间段分析班级考勤情况，可分析时间范围内到课率、请假人次、迟到人次、早退人次、旷课人次等；</w:t>
            </w:r>
          </w:p>
          <w:p w14:paraId="25105C6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支持按单个学生分析考勤情况，可查看该学生的考勤得分、到课率、已到次数、请假次数、迟到次数、早退次数、旷课次数等，详细了解学生的考勤状况。</w:t>
            </w:r>
          </w:p>
          <w:p w14:paraId="334368D6">
            <w:pPr>
              <w:pStyle w:val="4"/>
              <w:numPr>
                <w:ilvl w:val="0"/>
                <w:numId w:val="32"/>
              </w:numPr>
              <w:tabs>
                <w:tab w:val="left" w:pos="482"/>
              </w:tabs>
              <w:ind w:firstLine="57"/>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课堂表现分析</w:t>
            </w:r>
          </w:p>
          <w:p w14:paraId="34972A7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支持按班级分析班级课堂表现得分情况，可查看班级整体得分、课堂问答得分、表扬得分（可通过雷达图了解得分点）、批评得分（可通过雷达图了解扣分点）等，全面掌握班级得分。</w:t>
            </w:r>
          </w:p>
          <w:p w14:paraId="01C85CF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支持按时间段分析班级得分情况，可查看统计课堂问答次数、表扬次数、批评次数等，了解班级课堂表现趋势；</w:t>
            </w:r>
          </w:p>
          <w:p w14:paraId="5D58091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支持按单个学生分析课堂表现，可查看统计学生的课堂表现得分、课堂问答次数、表扬次数、批评次数等，全面了解学生课堂表现。</w:t>
            </w:r>
          </w:p>
          <w:p w14:paraId="77C63686">
            <w:pPr>
              <w:pStyle w:val="4"/>
              <w:numPr>
                <w:ilvl w:val="0"/>
                <w:numId w:val="32"/>
              </w:numPr>
              <w:tabs>
                <w:tab w:val="left" w:pos="482"/>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测验作业分析</w:t>
            </w:r>
          </w:p>
          <w:p w14:paraId="22898BA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支持按班级分析班级测验作业情况，可查看统计作业安排次数、提交率、得分率等，从而监控班级整体测验作业布置和完成情况；</w:t>
            </w:r>
          </w:p>
          <w:p w14:paraId="7A6C434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支持按时间段分析本班测验作业得分率，从而了解得分区域；</w:t>
            </w:r>
          </w:p>
          <w:p w14:paraId="7989CFA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支持按单个学生分析，可查询统计测验作业总得分、测验作业分数等，详细了解学生得分情况。</w:t>
            </w:r>
          </w:p>
          <w:p w14:paraId="4015C53F">
            <w:pPr>
              <w:pStyle w:val="4"/>
              <w:numPr>
                <w:ilvl w:val="0"/>
                <w:numId w:val="32"/>
              </w:numPr>
              <w:tabs>
                <w:tab w:val="left" w:pos="482"/>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学生刷题分析</w:t>
            </w:r>
          </w:p>
          <w:p w14:paraId="7BE25CC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支持按班级分析学生刷题情况，可统计分析刷题任务数、刷题时长、刷题次数、刷题题数、正确率等；</w:t>
            </w:r>
          </w:p>
          <w:p w14:paraId="6A44C31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支持按单个学生检测学生刷题情况，可查看学生刷题时长、次数、题数、正确率等。</w:t>
            </w:r>
          </w:p>
          <w:p w14:paraId="75B9189F">
            <w:pPr>
              <w:pStyle w:val="4"/>
              <w:numPr>
                <w:ilvl w:val="0"/>
                <w:numId w:val="32"/>
              </w:numPr>
              <w:tabs>
                <w:tab w:val="left" w:pos="482"/>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在线学习分析</w:t>
            </w:r>
          </w:p>
          <w:p w14:paraId="6E879F3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支持按章节分析学生</w:t>
            </w:r>
            <w:r>
              <w:rPr>
                <w:rFonts w:hint="eastAsia" w:ascii="宋体" w:hAnsi="宋体" w:cs="宋体"/>
                <w:bCs/>
                <w:color w:val="000000" w:themeColor="text1"/>
                <w:sz w:val="21"/>
                <w:szCs w:val="21"/>
                <w:highlight w:val="none"/>
                <w14:textFill>
                  <w14:solidFill>
                    <w14:schemeClr w14:val="tx1"/>
                  </w14:solidFill>
                </w14:textFill>
              </w:rPr>
              <w:t>的学习情况，可统计学习时长、有效时长、学习进度等，详</w:t>
            </w:r>
            <w:r>
              <w:rPr>
                <w:rFonts w:hint="eastAsia" w:ascii="宋体" w:hAnsi="宋体" w:cs="宋体"/>
                <w:color w:val="000000" w:themeColor="text1"/>
                <w:sz w:val="21"/>
                <w:szCs w:val="21"/>
                <w:highlight w:val="none"/>
                <w14:textFill>
                  <w14:solidFill>
                    <w14:schemeClr w14:val="tx1"/>
                  </w14:solidFill>
                </w14:textFill>
              </w:rPr>
              <w:t>细了解每个学生每个章节的任务完成情况；</w:t>
            </w:r>
          </w:p>
          <w:p w14:paraId="5388BA4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支持按单个学生分析学习情况，可统计学生已学时长、已学任务数、安排任务数、学习进度等。</w:t>
            </w:r>
          </w:p>
          <w:p w14:paraId="3E19C3B9">
            <w:pPr>
              <w:pStyle w:val="4"/>
              <w:numPr>
                <w:ilvl w:val="0"/>
                <w:numId w:val="32"/>
              </w:numPr>
              <w:tabs>
                <w:tab w:val="left" w:pos="482"/>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平时成绩分析</w:t>
            </w:r>
          </w:p>
          <w:p w14:paraId="57E0692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支持按班级分析本班平时成绩，可查看统计学生人数、考勤次数、考勤率、出勤率、测验作业发布次数、作业得分率、课堂问答人次、次数、表扬学生人次、批评学生人次等；</w:t>
            </w:r>
          </w:p>
          <w:p w14:paraId="6389E27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支持查看学生平时成绩分布情况；</w:t>
            </w:r>
          </w:p>
          <w:p w14:paraId="512A0D6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支持按单个学生查看学生平时成绩的构成项得分，详细了解学生成绩构成。</w:t>
            </w:r>
          </w:p>
          <w:p w14:paraId="25B4C932">
            <w:pPr>
              <w:pStyle w:val="3"/>
              <w:numPr>
                <w:ilvl w:val="0"/>
                <w:numId w:val="31"/>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学生画像</w:t>
            </w:r>
          </w:p>
          <w:p w14:paraId="62F655A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根据多维度数据分析（包括学生出勤情况、课堂表现情况、被表扬雷达图、被批评雷达图、测验作业得分率情况、学生刷题情况、学生在线学习情况、学生平时成绩情况等），刻画学生画像，帮助老师针对性的对学生进行辅导。</w:t>
            </w:r>
          </w:p>
          <w:p w14:paraId="41741387">
            <w:pPr>
              <w:pStyle w:val="2"/>
              <w:widowControl w:val="0"/>
              <w:numPr>
                <w:ilvl w:val="0"/>
                <w:numId w:val="15"/>
              </w:numPr>
              <w:tabs>
                <w:tab w:val="left" w:pos="895"/>
              </w:tabs>
              <w:spacing w:line="380" w:lineRule="exact"/>
              <w:ind w:left="482" w:firstLine="478"/>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教学质量管理服务</w:t>
            </w:r>
          </w:p>
          <w:p w14:paraId="4DE6ADC4">
            <w:pPr>
              <w:pStyle w:val="3"/>
              <w:numPr>
                <w:ilvl w:val="0"/>
                <w:numId w:val="33"/>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教案管理</w:t>
            </w:r>
          </w:p>
          <w:p w14:paraId="3C62214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时课教案检查：支持按学期周次检查学时课教案提交情况，可查看课程实际上课学时、统计已提交、未提交、延迟交、待审核、已通过的教案数量；支持一键审核已交教案，支持一键对未交标记为缺交；对未提交可一键发送消息进行催交。</w:t>
            </w:r>
          </w:p>
          <w:p w14:paraId="7A05728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任课老师单个教案排名：可查看教师教案排名；支持按等级统计排名，按平均分统计排名。</w:t>
            </w:r>
          </w:p>
          <w:p w14:paraId="6520599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教案检查工作开展情况：支持按周次查看教案检查工作的开展情况，可查看管理员检查的教案个数、返回修改个数、缺交个数等。</w:t>
            </w:r>
          </w:p>
          <w:p w14:paraId="33C38C9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期末教案检查：学期教案汇总后形成期末教案，支持按课程教学班检查期末教案，查看计划总学时、实际汇总教案学时，对教案进行评价及评分。</w:t>
            </w:r>
          </w:p>
          <w:p w14:paraId="25437DA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期末教案等级分布：支持按校区、按机构两个维度查看教案等级分布情况，查看各等级的数量及百分比。</w:t>
            </w:r>
          </w:p>
          <w:p w14:paraId="3BC6764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期末教案排名：支持按教师、教案两个维度对期末教案进行排名，排名可按等级、平均分进行排名。</w:t>
            </w:r>
          </w:p>
          <w:p w14:paraId="6CC93BD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教案等级设置：支持对平时教案、期末教案进行登记设置，设置等级分值范围及评教标准。</w:t>
            </w:r>
          </w:p>
          <w:p w14:paraId="60235747">
            <w:pPr>
              <w:pStyle w:val="3"/>
              <w:numPr>
                <w:ilvl w:val="0"/>
                <w:numId w:val="33"/>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教师考勤查询</w:t>
            </w:r>
          </w:p>
          <w:p w14:paraId="67D9EF1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任课老师可在课前在电子班牌上完成人脸识别考勤打卡。</w:t>
            </w:r>
          </w:p>
          <w:p w14:paraId="6C21D66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支持按一定的时间周期查询任课老师考勤记录，可统计正常人次、迟到人次、缺卡人次；可查看具体老师各个课程的考勤明细。</w:t>
            </w:r>
          </w:p>
          <w:p w14:paraId="6CCD4308">
            <w:pPr>
              <w:pStyle w:val="3"/>
              <w:numPr>
                <w:ilvl w:val="0"/>
                <w:numId w:val="33"/>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听课管理</w:t>
            </w:r>
          </w:p>
          <w:p w14:paraId="3010A60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听课任务维护：支持安排和维护听课任务，维护听课任务下的任务所属机构、负责人、听课类型、听课记录表，设置是依据课表还是手动指定听课节次；并为听课任务添加听课老师。</w:t>
            </w:r>
          </w:p>
          <w:p w14:paraId="4EE5850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听课记录审核：支持按待审核、审核通过、审核不通过等维度查看听课记录审核情况。</w:t>
            </w:r>
          </w:p>
          <w:p w14:paraId="4F90E18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听课记录管理：听课老师在App或PC端进行听课登记；支持上传听课照片；依据打分项目打分，填写综合评价、建议和意见。同时也支持系统中打印听课表，听课过程中现场登记填写听课记录表。听课记录需管理员审核；支持批量审核听课结果或对听课结果进行修改。</w:t>
            </w:r>
          </w:p>
          <w:p w14:paraId="5B4B2C1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听课表维护：支持维护听课记录表，支持不同类型听课表；不同听课表可设置不同评教项目。制定的听课表支持预览和打印。</w:t>
            </w:r>
          </w:p>
          <w:p w14:paraId="251C7B5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听课设置：设置教师听课要求。设置老师听课结果登记的时间范围。设置听课人的听课结果是否需要授课教师确认。</w:t>
            </w:r>
          </w:p>
          <w:p w14:paraId="1584889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按听课任务听课：管理人员提前安排听课任务，听课老师根据听课任务进行听课。</w:t>
            </w:r>
          </w:p>
          <w:p w14:paraId="72E5B0A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听课到岗巡查：支持巡课老师登记听课老师到岗情况，支持巡查听课结果进行登记统计分析。</w:t>
            </w:r>
          </w:p>
          <w:p w14:paraId="34F77A3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教师被听课情况统计：支持统计教师被听课情况，可查看听课项目明细。</w:t>
            </w:r>
          </w:p>
          <w:p w14:paraId="1C0ADDB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教师听课情况统计：支持统计教师听课情况，可查看各个教师时间段内的总听课次数、总听课节次等。</w:t>
            </w:r>
          </w:p>
          <w:p w14:paraId="583E18A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按项目统计得分情况：可查看项目得分情况，如项目满分、总得分、平均得分等。</w:t>
            </w:r>
          </w:p>
          <w:p w14:paraId="12BED093">
            <w:pPr>
              <w:pStyle w:val="3"/>
              <w:numPr>
                <w:ilvl w:val="0"/>
                <w:numId w:val="33"/>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巡课管理</w:t>
            </w:r>
          </w:p>
          <w:p w14:paraId="137BE6E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巡课情况登记：巡课结果登记支持PC端或App端的线上登记、线下登记后转录系统。</w:t>
            </w:r>
          </w:p>
          <w:p w14:paraId="5A33CC50">
            <w:pPr>
              <w:pStyle w:val="17"/>
              <w:spacing w:line="380" w:lineRule="exact"/>
              <w:ind w:firstLine="478" w:firstLineChars="228"/>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巡课记录表打印：支持打印空白的巡课表线下填写再录入系统；也支持打印带数据的巡课表（可选择填充的数据有巡课教室、巡课节次、巡课班级、上课课程、上课教师、学生应到人数、巡课人等）。</w:t>
            </w:r>
          </w:p>
          <w:p w14:paraId="4B741FE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巡课教室分组维护：添加教室巡课分组，在登记巡课结果时能快速按分组教室顺序逐个记录。</w:t>
            </w:r>
          </w:p>
          <w:p w14:paraId="07E2F42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巡课记录表维护：维护巡课记录表，添加相关巡课记录项目（固定项目、自定义项目）。巡课表支持预览和打印。</w:t>
            </w:r>
          </w:p>
          <w:p w14:paraId="73737E3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异常巡课结果统计：支持标记巡课异常项目，便于管理员监控和跟踪。通过报表自动分析各个维度异常情况，帮助管理员从多个角度分析改进。</w:t>
            </w:r>
          </w:p>
          <w:p w14:paraId="5583879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远程巡课登记：在硬件设备支撑情况下，可基于AI辅助，在巡课客户端完成远程巡课，支持按教室、班级进行巡课，巡课老师可快速筛选未巡课班级，提高巡课效率。</w:t>
            </w:r>
          </w:p>
          <w:p w14:paraId="3CBC394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巡老师：支持远程巡课查看授课老师是否按时到岗，如有异常情况支持放大视频画面在线核查并截图；支持通过上课声音巡查老师是否在正课时间进行自习；支持通过老师视角的视频信息巡查老师是否播放与课程无关内容等。</w:t>
            </w:r>
          </w:p>
          <w:p w14:paraId="49AE7D9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巡学生：支持通过学生视角，巡查学生上课情况（是否睡觉、玩手机、做与上课无关事情等）；支持通过教室声音判断课堂纪律等；支持截图留痕。</w:t>
            </w:r>
          </w:p>
          <w:p w14:paraId="3FD2E7D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班级巡课结果统计：支持按时间段统计班级巡课结果，可查看班级教师的出勤率、迟到率、缺勤率、早退率等；可查看学生的实到率、请假率等。</w:t>
            </w:r>
          </w:p>
          <w:p w14:paraId="0605DC4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登记巡课结果：巡课客户端自动获取班级基础信息（如课程、教室基础信息等），可快速登记巡课结果；巡课正常的班级课可一键批量登记巡课结果，提高效率。</w:t>
            </w:r>
          </w:p>
          <w:p w14:paraId="75DCDAF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教师被巡课情况统计：支持按时间段统计被巡课的教职工被巡课次数，支持查看每次被巡课的巡课结果明细。</w:t>
            </w:r>
          </w:p>
          <w:p w14:paraId="48C0B88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巡课执行情况统计：支持管理人员按日期汇总参与巡课的老师的巡课情况，分析巡课工作实施情况。</w:t>
            </w:r>
          </w:p>
          <w:p w14:paraId="1EE5E836">
            <w:pPr>
              <w:pStyle w:val="3"/>
              <w:numPr>
                <w:ilvl w:val="0"/>
                <w:numId w:val="33"/>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教学日志管理</w:t>
            </w:r>
          </w:p>
          <w:p w14:paraId="579A5B6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bookmarkStart w:id="139" w:name="_Hlk205209709"/>
            <w:r>
              <w:rPr>
                <w:rFonts w:hint="eastAsia" w:ascii="宋体" w:hAnsi="宋体" w:cs="宋体"/>
                <w:color w:val="000000" w:themeColor="text1"/>
                <w:sz w:val="21"/>
                <w:szCs w:val="21"/>
                <w:highlight w:val="none"/>
                <w14:textFill>
                  <w14:solidFill>
                    <w14:schemeClr w14:val="tx1"/>
                  </w14:solidFill>
                </w14:textFill>
              </w:rPr>
              <w:t>教务日志表维护：教务处负责人设置教学日志表，日志表内容可根据学校实际情况自定义（含固定项目、自定义项目）。</w:t>
            </w:r>
          </w:p>
          <w:p w14:paraId="0A5659E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设置教学日志权限：结合学校管理制度，设置教师填写教学日志的时间范围，设置教学日志提交后是否允许修改。</w:t>
            </w:r>
          </w:p>
          <w:p w14:paraId="601439E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登记教学日志：支持在App端登记教学日志，系统自动获取课堂的课表信息、调课情况、考勤情况等内容。</w:t>
            </w:r>
          </w:p>
          <w:p w14:paraId="7763123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按教研室、院（系）部检查及分析：支持检查学时课日志、检查实训（践）课日志、按教师任课课程统计分析教学日志。</w:t>
            </w:r>
            <w:bookmarkStart w:id="140" w:name="OLE_LINK12"/>
            <w:r>
              <w:rPr>
                <w:rFonts w:hint="eastAsia" w:ascii="宋体" w:hAnsi="宋体" w:cs="宋体"/>
                <w:color w:val="000000" w:themeColor="text1"/>
                <w:sz w:val="21"/>
                <w:szCs w:val="21"/>
                <w:highlight w:val="none"/>
                <w14:textFill>
                  <w14:solidFill>
                    <w14:schemeClr w14:val="tx1"/>
                  </w14:solidFill>
                </w14:textFill>
              </w:rPr>
              <w:t>管理员支持按课程节次/按天/按周统计教学日志提交情况，支持对未交的进行一键催交。系统对异常项目进行预警，便于管理人员及时跟踪处理。支持对自己负责的任课老师提交的日志进行批量检查处理。</w:t>
            </w:r>
          </w:p>
          <w:p w14:paraId="13ED325C">
            <w:pPr>
              <w:pStyle w:val="17"/>
              <w:spacing w:line="380" w:lineRule="exact"/>
              <w:ind w:firstLine="478" w:firstLineChars="228"/>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支持按课程统计教学日志，可查看教学进度情况、学生出勤情况、预警情况等。</w:t>
            </w:r>
          </w:p>
          <w:bookmarkEnd w:id="139"/>
          <w:bookmarkEnd w:id="140"/>
          <w:p w14:paraId="4F692286">
            <w:pPr>
              <w:pStyle w:val="3"/>
              <w:numPr>
                <w:ilvl w:val="0"/>
                <w:numId w:val="33"/>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师生评教管理</w:t>
            </w:r>
          </w:p>
          <w:p w14:paraId="1DDA343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评教问卷表维护：管理学校问卷评价表，针对不同学期、不同评教类型设置不同评教指标体系的评价表；支持复制已有评教表进行修改调整。</w:t>
            </w:r>
          </w:p>
          <w:p w14:paraId="077DA9A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师评教安排：支持多种方式安排评价，如学生评价任课老师、学生评价班主任、教师互评、领导评价下属、按分组评教等。安排评教任务，填写评教计划信息，参评人范围、教学班范围等；选择参评人和被评人。</w:t>
            </w:r>
          </w:p>
          <w:p w14:paraId="190E32B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参评进度及成绩管理：支持查看评教进度及发布（统计参评人数情况、问卷统计情况、查看打分情况、查看成绩情况）；支持按参评学生查询学期的评教情况，可按班级汇总未完成评教的学生。</w:t>
            </w:r>
          </w:p>
          <w:p w14:paraId="71E6B88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在线评教：管理评教人员分组，设置好老师之间的评教关系，在后期添加评教时，可直接引用。学生或教职工可查看自己需评教的任务，支持评价人在PC或App端进入网上评价，并在规定时间范围内完成。</w:t>
            </w:r>
          </w:p>
          <w:p w14:paraId="1AEFEA8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学生评任课老师结果分析：支持按学生评任课老师对评教结果进行分析，可按课程排名、教学班得分、问卷分析、项目分析等维度分析；</w:t>
            </w:r>
          </w:p>
          <w:p w14:paraId="4DF43D2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其他评教类型结果分析：支持按被评教师得分排名分析；查看按学生评班主任得分情况；按评价问卷分析、按评教项目分析等。</w:t>
            </w:r>
          </w:p>
          <w:p w14:paraId="49C8E8C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按评教计划统计参评率：管理员可查看进行中或已结束的评教计划，同时支持对评教计划生成评教成绩，可查看应参评人数、实际参评人数、参评率。</w:t>
            </w:r>
          </w:p>
          <w:p w14:paraId="1A0C911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按评教综合成绩查询：管理员可配置评教成绩构成项（如同行评教、学生评教、督导组评教等）、设置构成项的权重，系统自动生成综合评教成绩；管理员可查看每个被评人各个构成项的成绩、名次等。</w:t>
            </w:r>
          </w:p>
          <w:p w14:paraId="4B90292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教职工查看评教成绩：教师可查看自己的评教对应成绩和排名，同时支持查看自己每学期的综合评教成绩，包括构成项占比及分数等。</w:t>
            </w:r>
          </w:p>
          <w:p w14:paraId="6F330A4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评教设置：支持设置教师评教得分邀请，设置去掉最高分、最低分的比例，或不去掉最低最高分计算。</w:t>
            </w:r>
          </w:p>
          <w:p w14:paraId="6BC90AD3">
            <w:pPr>
              <w:pStyle w:val="3"/>
              <w:numPr>
                <w:ilvl w:val="0"/>
                <w:numId w:val="33"/>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学期授课计划管理</w:t>
            </w:r>
          </w:p>
          <w:p w14:paraId="78FA7AE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查看学期授课计划：支持按学期查看授课计划、可查看授课计划的审核时间、审核状态等，支持预览并打印。</w:t>
            </w:r>
          </w:p>
          <w:p w14:paraId="7C1D770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填写学期授课计划：教学任务确认后，任课老师编写授课计划，支持线下通过EXCEL填写授课计划后批量导入系统。支持复制学期授课计划，支持复制历史学期授课计划。</w:t>
            </w:r>
          </w:p>
          <w:p w14:paraId="2BB500A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审核学期授课计划：支持学期授课计划的各节点审批人在Pc或App端审核，审核通过发送消息提醒相关人员。</w:t>
            </w:r>
          </w:p>
          <w:p w14:paraId="4EF2EBF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催交学期授课计划：支持按学期查看学期授课计划的提交情况，对未提交的老师可选择短信、邮件、系统消息、企业微信等渠道发送消息提醒。</w:t>
            </w:r>
          </w:p>
          <w:p w14:paraId="1449AABA">
            <w:pPr>
              <w:pStyle w:val="17"/>
              <w:spacing w:line="380" w:lineRule="exact"/>
              <w:ind w:firstLine="478" w:firstLineChars="228"/>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学期授课计划归档：将提交的学期授课进行归档处理，选择归档机构、归档日期、归档范围等；保存并生成归档文件。</w:t>
            </w:r>
          </w:p>
          <w:p w14:paraId="5FF95E3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学期授课计划设置：设置学期授课计划要求、填写时间及修改时间。设置是否允许复制自己的授课计划，是否允许复制他人相同课程的学期授课计划。</w:t>
            </w:r>
          </w:p>
          <w:p w14:paraId="6CBFEE9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学期授课计划流程配置：支持配置授课计划流程，支持修改流程人员、分支条件设置、其他设置；支持对流程变量进行管理；支持对流程实例进行管理。</w:t>
            </w:r>
          </w:p>
          <w:p w14:paraId="7139FCA5">
            <w:pPr>
              <w:pStyle w:val="3"/>
              <w:numPr>
                <w:ilvl w:val="0"/>
                <w:numId w:val="33"/>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全校教学数据分析与预警</w:t>
            </w:r>
          </w:p>
          <w:p w14:paraId="6AA452EC">
            <w:pPr>
              <w:pStyle w:val="4"/>
              <w:numPr>
                <w:ilvl w:val="0"/>
                <w:numId w:val="34"/>
              </w:numPr>
              <w:tabs>
                <w:tab w:val="left" w:pos="482"/>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教师到岗情况</w:t>
            </w:r>
          </w:p>
          <w:p w14:paraId="628F01C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管理员可以按本周/上周/某几周，查看全校老师的到岗情况，包含教师到岗率、教师脱岗次数；</w:t>
            </w:r>
          </w:p>
          <w:p w14:paraId="177ACDD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管理员可以按周，查看全校老师到岗情况的趋势图，包括教师到岗率、教师脱岗次数的趋势；</w:t>
            </w:r>
          </w:p>
          <w:p w14:paraId="605E1845">
            <w:pPr>
              <w:pStyle w:val="4"/>
              <w:numPr>
                <w:ilvl w:val="0"/>
                <w:numId w:val="34"/>
              </w:numPr>
              <w:tabs>
                <w:tab w:val="left" w:pos="482"/>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教师课堂互动情况</w:t>
            </w:r>
          </w:p>
          <w:p w14:paraId="5670200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管理员可以按本周/上周/某几周，查看全校互动次数TOP10老师</w:t>
            </w:r>
          </w:p>
          <w:p w14:paraId="117C40E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管理员可以按本周/上周/某几周，查看全校互动次数TOP5院系</w:t>
            </w:r>
          </w:p>
          <w:p w14:paraId="0CDF59B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管理员可以按本周/上周/某几周，查看全校互动次数TOP5课程；</w:t>
            </w:r>
          </w:p>
          <w:p w14:paraId="0F2BBBEC">
            <w:pPr>
              <w:pStyle w:val="4"/>
              <w:numPr>
                <w:ilvl w:val="0"/>
                <w:numId w:val="34"/>
              </w:numPr>
              <w:tabs>
                <w:tab w:val="left" w:pos="482"/>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教学日志提交情况</w:t>
            </w:r>
          </w:p>
          <w:p w14:paraId="74B4908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管理员可以按本周/上周/某几周，查看全校老师的教学日志提交情况，包含实交率、未交率、未交日志份数；</w:t>
            </w:r>
          </w:p>
          <w:p w14:paraId="5E1FCD1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管理员可以按周，查看全校老师教学日志提交情况的趋势图，包括实交率、未交日志份数的趋势；</w:t>
            </w:r>
          </w:p>
          <w:p w14:paraId="7024CD16">
            <w:pPr>
              <w:pStyle w:val="4"/>
              <w:numPr>
                <w:ilvl w:val="0"/>
                <w:numId w:val="34"/>
              </w:numPr>
              <w:tabs>
                <w:tab w:val="left" w:pos="482"/>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学生到课情况</w:t>
            </w:r>
          </w:p>
          <w:p w14:paraId="59B5037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管理员可以按本周/上周/某几周，查看全校学生的到课情况，包含到课率、准课率、请假率、请假人次、迟到率、迟到人次、早退率、早退人次、旷课率、旷课人次；</w:t>
            </w:r>
          </w:p>
          <w:p w14:paraId="16E08E0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管理员可以按周，查看全校学生到课情况的趋势图，包括到课率的趋势；</w:t>
            </w:r>
          </w:p>
          <w:p w14:paraId="73375C4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管理员可以按周，查看全校学生准课情况的趋势图，包括准课率的趋势；</w:t>
            </w:r>
          </w:p>
          <w:p w14:paraId="615D80B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管理员可以按周，查看全校学生请假情况的趋势图，包括请假率、请假人次的趋势；</w:t>
            </w:r>
          </w:p>
          <w:p w14:paraId="4108418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管理员可以按周，查看全校学生迟到情况的趋势图，包括迟到率、迟到人次的趋势；</w:t>
            </w:r>
          </w:p>
          <w:p w14:paraId="0A3BA00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管理员可以按周，查看全校学生早退情况的趋势图，包括早退率、早退人次的趋势；</w:t>
            </w:r>
          </w:p>
          <w:p w14:paraId="6AEE805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管理员可以按周，查看全校学生旷课情况的趋势图，包括旷课率、旷课人次的趋势；</w:t>
            </w:r>
          </w:p>
          <w:p w14:paraId="7F567279">
            <w:pPr>
              <w:pStyle w:val="4"/>
              <w:numPr>
                <w:ilvl w:val="0"/>
                <w:numId w:val="34"/>
              </w:numPr>
              <w:tabs>
                <w:tab w:val="left" w:pos="482"/>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学生课堂表现情况</w:t>
            </w:r>
          </w:p>
          <w:p w14:paraId="65D2D9C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管理员可以按本周/上周/某几周，查看全校学生课堂被表扬的情况；</w:t>
            </w:r>
          </w:p>
          <w:p w14:paraId="52317F2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管理员可以按本周/上周/某几周，查看全校学生课堂被批评的情况；</w:t>
            </w:r>
          </w:p>
          <w:p w14:paraId="764C09C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管理员可以按本周/上周/某几周，查看全校被表扬TOP5院系；</w:t>
            </w:r>
          </w:p>
          <w:p w14:paraId="78B77A1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管理员可以按本周/上周/某几周，查看全校被批评TOP5院系；</w:t>
            </w:r>
          </w:p>
          <w:p w14:paraId="649E7708">
            <w:pPr>
              <w:pStyle w:val="2"/>
              <w:widowControl w:val="0"/>
              <w:numPr>
                <w:ilvl w:val="0"/>
                <w:numId w:val="15"/>
              </w:numPr>
              <w:tabs>
                <w:tab w:val="left" w:pos="895"/>
              </w:tabs>
              <w:spacing w:line="380" w:lineRule="exact"/>
              <w:ind w:left="482" w:firstLine="478"/>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学生管理服务</w:t>
            </w:r>
          </w:p>
          <w:p w14:paraId="2B49CA6E">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行政班管理</w:t>
            </w:r>
          </w:p>
          <w:p w14:paraId="33B771A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班级名称及代码生成规则:管理班级名称生成规则及班级代码生成规则。</w:t>
            </w:r>
          </w:p>
          <w:p w14:paraId="44354D1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班级信息维护:统一维护和管理学校班级信息。支持按年级批量添加、按专业方向单个添加两种方式。支持为班级指定班主任、指定教室、合并班级等操作。</w:t>
            </w:r>
          </w:p>
          <w:p w14:paraId="6DB4401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分班管理：分班管理支持手动分班与自动分班。</w:t>
            </w:r>
          </w:p>
          <w:p w14:paraId="72614D68">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学期报到管理</w:t>
            </w:r>
          </w:p>
          <w:p w14:paraId="1B7CAA6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学期报到配置：设置班级报到起止时间。</w:t>
            </w:r>
          </w:p>
          <w:p w14:paraId="74F1650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期报到情况统计：支持班主任对自己班级学生进行报到登记，支持PC或App进行报到确认，支持单个或批量确认，支持查询统计学期报到情况（按校区、专业、班级等维度）；统计应报到人数、实际报到人数、未到校原因跟踪等。</w:t>
            </w:r>
          </w:p>
          <w:p w14:paraId="2BDCD11C">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节假日返校报到管理</w:t>
            </w:r>
          </w:p>
          <w:p w14:paraId="5FECB0B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节假日返校报到：支持设置节假日返校报到起止时间，允许班主任调整学生名单。</w:t>
            </w:r>
          </w:p>
          <w:p w14:paraId="768E233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支持班主任在PC或App对自己班级学生进行报到登记，支持单个或批量处理；未报到的学生，支持推送消息给学生家长。</w:t>
            </w:r>
          </w:p>
          <w:p w14:paraId="2569C9E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节假日返校情况统计：系统自动统计节假日返校情况；支持按专业方向统计、按班级统计；统计应报到人数、实际报到人数、待确认人数、报到率等。</w:t>
            </w:r>
          </w:p>
          <w:p w14:paraId="615CBBF5">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家校互动</w:t>
            </w:r>
          </w:p>
          <w:p w14:paraId="4307C01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学生/家长生日祝福：支持添加、删除、修改生日祝福任务，设置消息发送时间、发送方式、选择消息模板等。</w:t>
            </w:r>
          </w:p>
          <w:p w14:paraId="0C24451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节假日祝贺：设置节日名称、日期、消息模板、消息接收人等；支持新增、修改、删除节假日祝贺任务，选择消息接收人、设置消息发送时间、发送方式。</w:t>
            </w:r>
          </w:p>
          <w:p w14:paraId="1356EA7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学生成人祝贺：支持对学生成人进行祝贺，选择消息接收人员、消息模板、消息发送方式等。</w:t>
            </w:r>
          </w:p>
          <w:p w14:paraId="4696F9BF">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学生请假放行管理</w:t>
            </w:r>
          </w:p>
          <w:p w14:paraId="4F1C613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进出校及节假日管理：支持添加、删除节假日任务，设置节假日放假日期、放假要求、离校和返校要求、住宿生留校要求等。</w:t>
            </w:r>
          </w:p>
          <w:p w14:paraId="0F15EFE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学生请假相关配置：支持配置学校填写请假条相关要求，如请假天数、请假开始时间、结束时间要求等。</w:t>
            </w:r>
          </w:p>
          <w:p w14:paraId="760200F7">
            <w:pPr>
              <w:pStyle w:val="17"/>
              <w:spacing w:line="380" w:lineRule="exact"/>
              <w:ind w:firstLine="478" w:firstLineChars="228"/>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学生请假流程配置：支持对流程模板进行设置、流程变量管理、流程实例管理等。</w:t>
            </w:r>
          </w:p>
          <w:p w14:paraId="1A098ED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学生请假：管理员设置学生填写请假申请的相关规则。支持学生发起请假申请，支持学生在一体机、PC端或App端填写请假条。支持班主任代学生填写请假条。</w:t>
            </w:r>
          </w:p>
          <w:p w14:paraId="07F6C77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学生请假明细查询：支持班主任及宿管员查看和统计某一时间段学生的请假明细。支持家长绑定学校微信服务号后，在微信端查看孩子请假情况。</w:t>
            </w:r>
          </w:p>
          <w:p w14:paraId="1634E40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班级请假情况统计：支持班主任和宿管员按时间段查询统计班级请假情况，可统计请假人数、已出校人数、已返校人数、未返校人数、逾期未返校人数等；支持导出和打印。</w:t>
            </w:r>
          </w:p>
          <w:p w14:paraId="010B0F4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学生留校明细查询：支持按节假日任务、组织机构对住宿生节假日留校明细进行查询，可查询具体学生详细信息，如学号、联系方式、班级、班主任、入住寝室、留校原因等。</w:t>
            </w:r>
          </w:p>
          <w:p w14:paraId="28EC4426">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学生操行分管理</w:t>
            </w:r>
          </w:p>
          <w:p w14:paraId="2B25052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操行分基础配置：设置操行分基础信息、操行分等级设置、操行分考核项目设置等。</w:t>
            </w:r>
          </w:p>
          <w:p w14:paraId="2ECE7A8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操行分记录管理：支持德育处管理人员、教职工、德育检查员在PC或App端录入学生操行分，支持班主任录入本班学生操行分，支持单个或批量录入。</w:t>
            </w:r>
          </w:p>
          <w:p w14:paraId="12F633A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操行分锁定：支持设置某时间段进行操行分锁定，在锁定时间范围内班主任/教职工等相关人员不能对操行分进行录入、修改、删除等操作。</w:t>
            </w:r>
          </w:p>
          <w:p w14:paraId="2F0E85F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班级每日加扣分人次统计：支持按考核时间段查看班级每日操行分加减分。</w:t>
            </w:r>
          </w:p>
          <w:p w14:paraId="701A0F9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班级操行分统计分析：支持德育管理相关部门统计分析每学期各个班级操行分的得分情况，可查询统计不同等级的人数及百分比。</w:t>
            </w:r>
          </w:p>
          <w:p w14:paraId="3D51D29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班级按考核项对比分析：支持各个班级按单个考核项进行对比分析，分别按扣分操行、加分操行进行对比；为后续班级整体操行表现改进提供依据。</w:t>
            </w:r>
          </w:p>
          <w:p w14:paraId="7501D18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全校学生操行表现分析：支持德育处相关部门统一查看及统计全校学生操行表现及加扣分明细，分析操行情况进而做出改进。 </w:t>
            </w:r>
          </w:p>
          <w:p w14:paraId="7B242F7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学生操行分统计：支持德育处相关部门、班主任统计学生操行分及加扣分明细，支持按周操行分统计、按月操行分统计、按学期操行分统计。</w:t>
            </w:r>
          </w:p>
          <w:p w14:paraId="69D47C72">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学生综合素质评价管理</w:t>
            </w:r>
          </w:p>
          <w:p w14:paraId="7B8234D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学生综合素质评价体系维护：支持起草、修订、撤回、查看、废止学生综合素质评价体系等操作。</w:t>
            </w:r>
          </w:p>
          <w:p w14:paraId="3A57D11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综合素质评价体系制定：支持学生管理部门根据学校学生综合素质管理制度，自定义学生综合素质评价体系。填写评价体系基本信息，如综合素质评价体系名称、适用机构、基础分、满分、等级与得分换算规则等。</w:t>
            </w:r>
          </w:p>
          <w:p w14:paraId="636F968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添加评价体系中的评价分类，如德育、智育、体育、美育、劳育等。支持设置分类名称、分类编号、责任部门、满分、基础分、等级与得分换算规则等。支持对每一项分类设置考核项目、考核项目的基础分、满分、评价方式等，评价方式支持“系统自动判分”和“人工酌情打分”两种方式。</w:t>
            </w:r>
          </w:p>
          <w:p w14:paraId="67332A2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考核项目的评价方式为“系统自动判分”：需对接学校智慧校园平台，自动同步学生学期表现数据作为考核评价的依据，如学生操行分数据、课堂考勤数据、课程成绩数据等。管理员可以根据学校相关制度设置“自动判分”参考数据来自于智慧校园平台的学生操行分数据、课堂考勤数据、课程成绩数据等，并设置关联操行分考核项目，以及这些业务数据按照某种规则换算成该考核项目的综合素质得分。设置好后，系统自动汇总计算得分，班主任给学生评分时可以采用“系统默认得分”，也可以手动修改。</w:t>
            </w:r>
          </w:p>
          <w:p w14:paraId="05B97C8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考核项目的评分方式为“人工酌情打分”：管理员可以设置“人工酌情打分”参考数据来自于智慧校园平台的学生操行分数据、课堂考勤数据、课程成绩数据等。平台自动获取学生学期表现数据，班主任在给学生打分时可查看参考，以便对学生进行评价打分。</w:t>
            </w:r>
          </w:p>
          <w:p w14:paraId="67CE825E">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综合素质评价任务安排</w:t>
            </w:r>
          </w:p>
          <w:p w14:paraId="6123B9E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综合素质评价任务安排：支持学校管理部门根据学校学生综合素质管理制度定期安排学校的综合素质评价任务。</w:t>
            </w:r>
          </w:p>
          <w:p w14:paraId="66D05DE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添加综合素质评价任务：设置综合素质评价任务名称、使用的综合素质评价体系、评价周期（可以选择按学年或按学期评价）、被评学年及学期、任务责任机构、任务起止日期、被评学生班级等，设置完成后即可生成评价任务。</w:t>
            </w:r>
          </w:p>
          <w:p w14:paraId="0E9D486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支持对综合素质评价任务进行导出和打印。</w:t>
            </w:r>
          </w:p>
          <w:p w14:paraId="483BC1E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支持查看已完成、未完成综合素质评价任务的班级详情。</w:t>
            </w:r>
          </w:p>
          <w:p w14:paraId="2FAA0256">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班主任对学生进行综合素质评分</w:t>
            </w:r>
          </w:p>
          <w:p w14:paraId="5D05B2A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班主任根据学校管理部门安排的综合素质评价任务，在规定时间内对本班学生综合素质评价体系的各个考核项目进行评分确认，并对学生的综合素质情况填写评语。 </w:t>
            </w:r>
          </w:p>
          <w:p w14:paraId="1303827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若评价考核项目为“系统自动判分”，系统将根据“等级与得分换算规则”自动计算出考核项目的得分。班主任评分默认为“系统计算得分”，支持班主任手动修改得分。</w:t>
            </w:r>
          </w:p>
          <w:p w14:paraId="1F11EB69">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学生综合素质评价数据统计分析</w:t>
            </w:r>
          </w:p>
          <w:p w14:paraId="13321132">
            <w:pPr>
              <w:pStyle w:val="5"/>
              <w:numPr>
                <w:ilvl w:val="0"/>
                <w:numId w:val="36"/>
              </w:numPr>
              <w:tabs>
                <w:tab w:val="left" w:pos="482"/>
              </w:tabs>
              <w:spacing w:before="0" w:after="0" w:line="380" w:lineRule="exact"/>
              <w:ind w:left="0" w:firstLine="481" w:firstLineChars="228"/>
              <w:outlineLvl w:val="3"/>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学校管理部门查看全校学生综合素质评价情况</w:t>
            </w:r>
          </w:p>
          <w:p w14:paraId="7F0970A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学校管理部门可以查看及统计某一被评学年全校学生综合素质评价的情况。</w:t>
            </w:r>
          </w:p>
          <w:p w14:paraId="3B24808D">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学生综合素质评价整体评价情况：支持从德育、智育、体育、美育、劳育五个方面分析各个评价体系学生的平均分、满分与平均分的差距，并图形化展示各个评价体系满分与平均分的差距。支持查看实际提交评价学生人数。</w:t>
            </w:r>
          </w:p>
          <w:p w14:paraId="053ADFDE">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学生成绩分布情况：分析评价体系各成绩等级（如优秀、良好、合格、不合格）的人数分布情况，帮助学校管理部门了解全校学生处于的成绩等级水平；支持进一步分析德育、智育、体育、美育、劳育五个评价体系学生成绩等级的分布情况，可以展示各评价体系的成绩占比，帮助学校管理部门了解各评价体系的成绩等级水平。</w:t>
            </w:r>
          </w:p>
          <w:p w14:paraId="4162F1E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各系部学生综合素质评价情况：分析</w:t>
            </w:r>
            <w:r>
              <w:rPr>
                <w:rFonts w:hint="eastAsia" w:ascii="宋体" w:hAnsi="宋体" w:cs="宋体"/>
                <w:color w:val="000000" w:themeColor="text1"/>
                <w:sz w:val="21"/>
                <w:szCs w:val="21"/>
                <w:highlight w:val="none"/>
                <w14:textFill>
                  <w14:solidFill>
                    <w14:schemeClr w14:val="tx1"/>
                  </w14:solidFill>
                </w14:textFill>
              </w:rPr>
              <w:t>各系部学生综合素质评价平均分统计情况，支持图表方式展示高于/低于全校平均分数的系部；支持图表方式分析展示各系部各成绩等级的学生人数分布情况。支持分析系部学生综素整体情况和系部各年级的学生综素情况。</w:t>
            </w:r>
          </w:p>
          <w:p w14:paraId="72955C42">
            <w:pPr>
              <w:pStyle w:val="5"/>
              <w:numPr>
                <w:ilvl w:val="0"/>
                <w:numId w:val="36"/>
              </w:numPr>
              <w:tabs>
                <w:tab w:val="left" w:pos="482"/>
              </w:tabs>
              <w:spacing w:before="0" w:after="0" w:line="380" w:lineRule="exact"/>
              <w:ind w:left="0" w:firstLine="481" w:firstLineChars="228"/>
              <w:outlineLvl w:val="3"/>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班主任查看本班学生综合素质情况</w:t>
            </w:r>
          </w:p>
          <w:p w14:paraId="3BBCF6D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班主任可按班级查看某一被评学年学生的评价情况。</w:t>
            </w:r>
          </w:p>
          <w:p w14:paraId="295E9FF6">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班级整体评价情况：支持查看实际提交评价学生数、班级平均分、班级最高分、班级最低分等；支持图表形式展示班级学生在德育、智育、体育、美育、劳育五个方面的平均分和满分的差距图；支持查看本班成绩等级（如优秀、合格、不合格等）的学生人数分布；分析本班学生得分在各评价分类的成绩等级学生人数分布。</w:t>
            </w:r>
          </w:p>
          <w:p w14:paraId="59534346">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与本系同年级学生综合素质对比分析：支持与本系同年级学生综素得分进行对比分析，让班主任清楚了解本班与本系同年级学生的平均分、最高分、最低分的差异；支持分析与本系同年级学生在“成绩等级”、“各评价分类的成绩”方面，学生人数占比的差异，以便班主任横向了解本班学生与本系同年级学生的差距。</w:t>
            </w:r>
          </w:p>
          <w:p w14:paraId="44945433">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与上一学年得分情况对比分析：支持与上一学年本班学生综素得分情况进行对比分析，分析较上一学年本班的平均分、最高分、最低分的差异；支持与上一学年本班各成绩等级的学生人数占比进行对比分析，让班主任了解各个成绩等级的学生人数变化情况；支持与上一学年本班在各评价分类的成绩学生人数占比的差异，以便班主任纵向了解本班学生与上一学年的差距。</w:t>
            </w:r>
          </w:p>
          <w:p w14:paraId="3E85D4B6">
            <w:pPr>
              <w:pStyle w:val="5"/>
              <w:numPr>
                <w:ilvl w:val="0"/>
                <w:numId w:val="36"/>
              </w:numPr>
              <w:tabs>
                <w:tab w:val="left" w:pos="482"/>
              </w:tabs>
              <w:spacing w:before="0" w:after="0" w:line="380" w:lineRule="exact"/>
              <w:ind w:left="0" w:firstLine="481" w:firstLineChars="228"/>
              <w:outlineLvl w:val="3"/>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学生查看个人综合素质评价情况</w:t>
            </w:r>
          </w:p>
          <w:p w14:paraId="47886CF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学生可按学年查看自己的综合素质评价情况。</w:t>
            </w:r>
          </w:p>
          <w:p w14:paraId="503CD8E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个人综合素质整体评价情况：</w:t>
            </w:r>
            <w:r>
              <w:rPr>
                <w:rFonts w:hint="eastAsia" w:ascii="宋体" w:hAnsi="宋体" w:cs="宋体"/>
                <w:color w:val="000000" w:themeColor="text1"/>
                <w:sz w:val="21"/>
                <w:szCs w:val="21"/>
                <w:highlight w:val="none"/>
                <w14:textFill>
                  <w14:solidFill>
                    <w14:schemeClr w14:val="tx1"/>
                  </w14:solidFill>
                </w14:textFill>
              </w:rPr>
              <w:t>查看个人成绩与得分情况、各评价分类的得分和满分的差距；查看所在班级的平均分、最高分以及最低分；查看班级各成绩等级的学生人数分布情况，以便学生横向了解个人综合素质成绩在班级所处的位置。</w:t>
            </w:r>
          </w:p>
          <w:p w14:paraId="4224424C">
            <w:pPr>
              <w:pStyle w:val="17"/>
              <w:spacing w:line="380" w:lineRule="exact"/>
              <w:ind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与上一学年综合素质得分情况对比：与上一学年个人成绩和得分情况进行对比分析，了解相较于上一学年，个人的各个评价分类得分的差异，以便学生纵向了解自己的情况。</w:t>
            </w:r>
          </w:p>
          <w:p w14:paraId="0C249B08">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学生干部管理</w:t>
            </w:r>
          </w:p>
          <w:p w14:paraId="2F623D0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学生干部人员维护：支持显示和维护校级、系级、班级等在职的各级学生干部名单，可对人员进行离职处理、进行职务变动处理。</w:t>
            </w:r>
          </w:p>
          <w:p w14:paraId="0A0EA16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学生历史职务查询：支持查询学生历史职务信息。</w:t>
            </w:r>
          </w:p>
          <w:p w14:paraId="039EC02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学生职务设置：设置相关职务是否允许德育检查。</w:t>
            </w:r>
          </w:p>
          <w:p w14:paraId="3BEF4B2D">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值日安排管理</w:t>
            </w:r>
          </w:p>
          <w:p w14:paraId="5DF5EA4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值日安排：支持添加、删除、发布、修改、调整值日安排表，设置值日起止时间、值日负责人、值日成员数等。</w:t>
            </w:r>
          </w:p>
          <w:p w14:paraId="1C7F359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查看值日安排表：添加值日安排表，支持手动或自动安排值日干部、值周老师，安排值日时可预览值日安排表。 </w:t>
            </w:r>
          </w:p>
          <w:p w14:paraId="47A38088">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班级考核基础设置</w:t>
            </w:r>
          </w:p>
          <w:p w14:paraId="7E915BE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班级考核项目维护：维护考核类别和考核项目，支持自定义考核项目及每类加分扣分项。配置是否影响学生操行分；支持修改、删除、停用等操作。</w:t>
            </w:r>
          </w:p>
          <w:p w14:paraId="2B2C6B9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班级考核基础分配置：设置班级考核学期、周期和基础分。按照基础分设置班级考核等级。</w:t>
            </w:r>
          </w:p>
          <w:p w14:paraId="3250EE32">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班级巡查考核</w:t>
            </w:r>
          </w:p>
          <w:p w14:paraId="4E5ED89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班级巡查打分授权：授权学生干部、授权值周老师。</w:t>
            </w:r>
          </w:p>
          <w:p w14:paraId="2E9600A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班级巡查考核检查打分：日常班级巡查过程中，支持德育管理员、值周老师、值周学生干部巡查考核打分，支持在PC端和在手机App端巡查打分，打分记录录入方式支持单个、批量或导入等多种方式。</w:t>
            </w:r>
          </w:p>
          <w:p w14:paraId="0B4FF80A">
            <w:pPr>
              <w:pStyle w:val="17"/>
              <w:spacing w:line="380" w:lineRule="exact"/>
              <w:ind w:firstLine="478" w:firstLineChars="228"/>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班级巡查考核结果统计：支持相关部门统计班级巡查考核结果，支持按周统计、按月统计、按学期统计等多个维度。可查看加分明细、扣分明细等。统计班级巡查考核和班级常规考核情况可按周、月、学期来进行；可按等级统计各个校区和组织机构下的班级考核情况并汇总报表存档。 </w:t>
            </w:r>
          </w:p>
          <w:p w14:paraId="52D9C94D">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班级常规考核</w:t>
            </w:r>
          </w:p>
          <w:p w14:paraId="2F80D1F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班级常规考核打分表维护：维护和管理考核打分表相关信息、设置打分表考核区域、维护场地与班级关系。</w:t>
            </w:r>
          </w:p>
          <w:p w14:paraId="38CF224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班级常规考核打分授权：支持对承担教育检查的学生干部进行授权，可按职务授权或按打分表授权。</w:t>
            </w:r>
          </w:p>
          <w:p w14:paraId="62E77A4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班级常规考核检查打分：可以由管理员打分和学生会干部使用后电脑端或手机端打分。</w:t>
            </w:r>
          </w:p>
          <w:p w14:paraId="29D32A6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班级常规考核完成进度：支持按天考核、按周考核、按学期考核3个维度查看班级考核进度，可查看需考核班级数量、未打分考核班级数量。</w:t>
            </w:r>
          </w:p>
          <w:p w14:paraId="25C1F8E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班级常规考核结果统计：支持相关部门按打分表、每日统计班级常规考核结果；可查看统计具体的人数及得分情况；支持查看具体的加分扣分明细；班主任可查看本班每日常规考核得分及明细。</w:t>
            </w:r>
          </w:p>
          <w:p w14:paraId="74B64700">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班级考核结果汇总及存档</w:t>
            </w:r>
          </w:p>
          <w:p w14:paraId="7594FC3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班级考核结果汇总统计：支持按周、按月、按学期对班级考核结果进行统计分析，可查询加分、扣分情况。</w:t>
            </w:r>
          </w:p>
          <w:p w14:paraId="3A10511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班级考核等级分布情况：支持按校区、按组织机构统计班级考核的等级分布情况，可查看所属机构的班主任总数、总班级数、各个等级的班级数及级别占比率。</w:t>
            </w:r>
          </w:p>
          <w:p w14:paraId="5DB90D6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班级考核结果存档：支持按考核打分存档、按考核汇总存档。</w:t>
            </w:r>
          </w:p>
          <w:p w14:paraId="0DCB9061">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宿舍考核管理</w:t>
            </w:r>
          </w:p>
          <w:p w14:paraId="232919E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宿舍考核打分表维护：支持维护设置打分表的相关组成因素，如考核类别、考核项、打分表考核区域、考核区域分组维护、打分表设置等。</w:t>
            </w:r>
          </w:p>
          <w:p w14:paraId="62F5A72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宿舍考核打分授权：支持将考核职能授权给学生干部，支持按学生干部授权打分表或按打分表授权学生干部两个维度。</w:t>
            </w:r>
          </w:p>
          <w:p w14:paraId="3FB5F3B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宿舍考核打分：支持授权的</w:t>
            </w:r>
            <w:bookmarkStart w:id="141" w:name="OLE_LINK5"/>
            <w:r>
              <w:rPr>
                <w:rFonts w:hint="eastAsia" w:ascii="宋体" w:hAnsi="宋体" w:cs="宋体"/>
                <w:color w:val="000000" w:themeColor="text1"/>
                <w:sz w:val="21"/>
                <w:szCs w:val="21"/>
                <w:highlight w:val="none"/>
                <w14:textFill>
                  <w14:solidFill>
                    <w14:schemeClr w14:val="tx1"/>
                  </w14:solidFill>
                </w14:textFill>
              </w:rPr>
              <w:t>值周学生干部在PC或App端进行打分</w:t>
            </w:r>
            <w:bookmarkEnd w:id="141"/>
            <w:r>
              <w:rPr>
                <w:rFonts w:hint="eastAsia" w:ascii="宋体" w:hAnsi="宋体" w:cs="宋体"/>
                <w:color w:val="000000" w:themeColor="text1"/>
                <w:sz w:val="21"/>
                <w:szCs w:val="21"/>
                <w:highlight w:val="none"/>
                <w14:textFill>
                  <w14:solidFill>
                    <w14:schemeClr w14:val="tx1"/>
                  </w14:solidFill>
                </w14:textFill>
              </w:rPr>
              <w:t>。</w:t>
            </w:r>
          </w:p>
          <w:p w14:paraId="7BF27FC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宿舍考核结果排行：支持按考核日期统计宿舍考核结果并进行统计排名；可查看考核寝室的总得分、平均分、平均分排名。</w:t>
            </w:r>
          </w:p>
          <w:p w14:paraId="79BB18F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宿舍考核结果存档：支持统计查看每个寝室的总得分及加扣分明细，支持按寝室统计、支持按班级统计；可查看每个寝室的考核得分、每个寝室的考核明细。并汇总数据存档。</w:t>
            </w:r>
          </w:p>
          <w:p w14:paraId="761EA13F">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班主任考核结果管理</w:t>
            </w:r>
          </w:p>
          <w:p w14:paraId="441A9C7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班主任考核项目维护：管理员添加考核班主任的项目，支持自定义项目及标准。支持按日、按周、按学期制定打分表，定期对各个班级进行考核打分。</w:t>
            </w:r>
          </w:p>
          <w:p w14:paraId="66C82B3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班主任考核明细导入：管理员可以对班主任进行日/周/月/学期考核，支持导入和导出考核明细。支持班主任查看自己的考核得分及明细。</w:t>
            </w:r>
          </w:p>
          <w:p w14:paraId="63CCAE46">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班主任工作日志管理</w:t>
            </w:r>
          </w:p>
          <w:p w14:paraId="084B4AA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日常工作审核：支持班主任填写学期工作计划、总结报告，记录学生工作相关的日常内容，形成工作日志。审核班主任工作系统中填写的日志（包括日常工作、工作计划、总结报告），可查看未提交的，支持催办。</w:t>
            </w:r>
          </w:p>
          <w:p w14:paraId="22E99D3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工作计划审核：支持按学期查看各组织机构工作计划，查看应提交总数、未提交总数、待审核、已审核等，对待审核的进行审核操作。</w:t>
            </w:r>
          </w:p>
          <w:p w14:paraId="018FE77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总结报告审核：支持按学期查看各组织机构总结报告，查看应提交总数、未提交总数、待审核、已审核等，对待审核的进行审核操作。</w:t>
            </w:r>
          </w:p>
          <w:p w14:paraId="313CB57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工作日志查看：德育管理员在系统中查看学校各位班主任的提交情况，分别查看每日工作日志、每周工作日志、每月工作日志；支持打印班主任工作日志手册。</w:t>
            </w:r>
          </w:p>
          <w:p w14:paraId="1A83391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工作类别维护：支持添加维护班主任工作的工作类别，设置工作类别的检查模式。</w:t>
            </w:r>
          </w:p>
          <w:p w14:paraId="1945C34A">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班主任工作</w:t>
            </w:r>
          </w:p>
          <w:p w14:paraId="0A18D96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支持班主任工作大厅，快速开展班级各项日常工作。</w:t>
            </w:r>
          </w:p>
          <w:p w14:paraId="5960EC2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查看班级获奖学生名单。</w:t>
            </w:r>
          </w:p>
          <w:p w14:paraId="2A4D574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查看班级学生处分情况。</w:t>
            </w:r>
          </w:p>
          <w:p w14:paraId="4F9D363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查看班级减免情况。</w:t>
            </w:r>
          </w:p>
          <w:p w14:paraId="4C52B45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查看班级奖助学金情况。</w:t>
            </w:r>
          </w:p>
          <w:p w14:paraId="034E5A9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提报评优名单。</w:t>
            </w:r>
          </w:p>
          <w:p w14:paraId="6820B95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支持班主任填写工作计划、总结报告，记录工作相关日常内容，形成工作日志。</w:t>
            </w:r>
          </w:p>
          <w:p w14:paraId="3EF18F5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支持对班级学生评价。</w:t>
            </w:r>
          </w:p>
          <w:p w14:paraId="42EA682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支持查看、导出、打印班级通知书。</w:t>
            </w:r>
          </w:p>
          <w:p w14:paraId="6356FFF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支持为班级指定德育活动。</w:t>
            </w:r>
          </w:p>
          <w:p w14:paraId="2F143AA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支持对班级做迎新报到登记。</w:t>
            </w:r>
          </w:p>
          <w:p w14:paraId="74B2905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支持代学生请假并审核班级学生请假信息。</w:t>
            </w:r>
          </w:p>
          <w:p w14:paraId="2D8F607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支持对班级学生操行分打分。</w:t>
            </w:r>
          </w:p>
          <w:p w14:paraId="17655C6A">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学生奖助管理</w:t>
            </w:r>
          </w:p>
          <w:p w14:paraId="3308616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奖学金学生名单维护：维护奖学金学生名单（支持单个添加或批量导入），获奖名单需班主任审核、审核通过的可将获奖名单提交至财务发放。</w:t>
            </w:r>
          </w:p>
          <w:p w14:paraId="157E693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奖学金项目维护：维护奖学金基础信息，设置奖学金名称、奖学金金额、奖学金等级等；支持学校设置每学期要评选的奖学金项目，如国家奖学金、企业奖学金、班级奖学金等。</w:t>
            </w:r>
          </w:p>
          <w:p w14:paraId="464112F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奖学金发放：审核通过的奖学金，支持财务按奖学金类型发放奖学金（单个或批量发放）。支持班主任查看本班每学期获得奖学金学生人数及名单明细。支持学生查看自己的奖学金获得情况。</w:t>
            </w:r>
          </w:p>
          <w:p w14:paraId="6F4F463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学生助学金管理：管理员可维护和管理学生助学金，选择始发年月、停发年月等；支持维护助学金学生名单。学生可查看自己的助学金获得情况。</w:t>
            </w:r>
          </w:p>
          <w:p w14:paraId="22EE5DB4">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学生评优奖励管理</w:t>
            </w:r>
          </w:p>
          <w:p w14:paraId="7D0066E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学生评优任务安排：管理员维护学生评优任务，添加评优班级，设置班级最大评优人数，提交给班主任维护学生名单；支持发送消息提醒班主任；班主任维护评优任务并提交审核。</w:t>
            </w:r>
          </w:p>
          <w:p w14:paraId="2A41C6F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学生评优任务进度查看：支持管理员查看评优进度；监控已提交的名单，未结束的评优任务。对未提交的名单、返回修改的名单、不通过的名单进行催交。</w:t>
            </w:r>
          </w:p>
          <w:p w14:paraId="1DA274E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学生评优名单审核：支持学校自定义评优流程，班主任提交评优名单后，各部门审核人审核班主任老师提交的评优名单，评优结果支持系统发送消息通知班主任。</w:t>
            </w:r>
          </w:p>
          <w:p w14:paraId="270CD16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学生奖状模板管理：支持自定义学生奖状模板，支持修改、删除、停用。</w:t>
            </w:r>
          </w:p>
          <w:p w14:paraId="2E2A793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获奖学生名单管理：评优通过后，系统自动生成获奖信息，也支持管理部门手动登记获奖信息，登记获奖信息时，支持系统发送祝贺信息给学生及家长。</w:t>
            </w:r>
          </w:p>
          <w:p w14:paraId="4552E60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学生个人获奖查询：支持查询学生个人获奖信息，可查看获奖类别、获奖级别、获奖登记、获奖次数等。</w:t>
            </w:r>
          </w:p>
          <w:p w14:paraId="59FF18F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学生评优流程配置：支持设置学生评优相关的流程模板、流程变量、流程实例等。</w:t>
            </w:r>
          </w:p>
          <w:p w14:paraId="11370DE3">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学生处分信息管理</w:t>
            </w:r>
          </w:p>
          <w:p w14:paraId="5800D00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处分类型维护：设置基础处分类型，填写处分名称、处分级别。</w:t>
            </w:r>
          </w:p>
          <w:p w14:paraId="2553E1A5">
            <w:pPr>
              <w:pStyle w:val="17"/>
              <w:spacing w:line="380" w:lineRule="exact"/>
              <w:ind w:firstLine="478" w:firstLineChars="228"/>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学生现有处分管理：支持学生处添加或导入学生处分，支持选择处分结果是否推送消息给班主任、学生、家长等。支持对现有学生处分修改、删除、降级、升级、撤销等。</w:t>
            </w:r>
          </w:p>
          <w:p w14:paraId="6E63F6E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学生历史处分查询：支持学生管理部门查询学生现有处分和历史处分信息，支持班主任在PC或App查询班级处分情况。</w:t>
            </w:r>
          </w:p>
          <w:p w14:paraId="72A021CD">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宿舍楼栋及寝室维护</w:t>
            </w:r>
          </w:p>
          <w:p w14:paraId="67C3112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宿舍楼栋维护：支持添加学校的宿舍楼栋、楼层信息。</w:t>
            </w:r>
          </w:p>
          <w:p w14:paraId="51FAAF3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寝室类型维护：添加寝室类型，填写寝室人数，自动生成床位数量。设置寝室号生成规则。</w:t>
            </w:r>
          </w:p>
          <w:p w14:paraId="2226A50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寝室维护：支持统一维护寝室信息，支持单个添加或批量添加，设置寝室基本信息、生成床位数。</w:t>
            </w:r>
          </w:p>
          <w:p w14:paraId="5AC876A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寝室床位维护：选择宿舍后可直观的查看到该宿舍的寝室及床位情况，支持批量添加床位或者单个添加床位；同时也支持打印床位标签；可重新生成床位编号或删除床位。</w:t>
            </w:r>
          </w:p>
          <w:p w14:paraId="1EF435C8">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宿舍安排管理</w:t>
            </w:r>
          </w:p>
          <w:p w14:paraId="4846469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宿管员任命：系统自动统计已分配、未分配宿舍管理员的寝室数并自动分配宿管员管理员可查看权限范围内的宿舍入住情况、对宿舍的归寝情况进行登记；支持修改和删除管理员。 </w:t>
            </w:r>
          </w:p>
          <w:p w14:paraId="6BEFB35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宿舍安排相关配置：支持对宿舍安排相关内容进行配置，设置班主任安排/调整新生寝室的时间段，设置是否允许为新生预订寝室，设置预分寝室时人数计算方式，配置学生是否可见床位安排信息等。</w:t>
            </w:r>
          </w:p>
          <w:p w14:paraId="2AA3E79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预分寝室管理：支持宿管员为新生预分寝室。</w:t>
            </w:r>
          </w:p>
          <w:p w14:paraId="690E83A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确认班级预分寝室信息，系统会自动对学生入住进行分配；在规定时间内可对新生床位进行调整；学生入住后，班主任可在App上随时查看本班学生入住的寝室及床位。</w:t>
            </w:r>
          </w:p>
          <w:p w14:paraId="31B23D0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为学生安排寝室：支持按学生安排床位、按班级批量安排床位、导入学生入住信息安排床位、按寝室调整床位。</w:t>
            </w:r>
          </w:p>
          <w:p w14:paraId="5FC89E4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学生床位调整：支持调整学生床位，按学生、按房间批量调整；系统记录学生调寝日期、调寝原因，并消息通知班主任。</w:t>
            </w:r>
          </w:p>
          <w:p w14:paraId="3B9ACD2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退寝管理：支持对学生床位进行退寝处理，支持对学籍异动的学生、休学退学的学生进行退寝；记录退寝原因等；支持单个或批量操作。可按班级为现住学生退寝、按寝室为现住学生退寝、按班级为离校/毕业学生退寝、按寝室为离校/毕业学生退寝、为单个学生退寝等。</w:t>
            </w:r>
          </w:p>
          <w:p w14:paraId="2D2455F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调寝流程配置：支持对调寝流程模板进行设置、设置流程变量、流程实例等。</w:t>
            </w:r>
          </w:p>
          <w:p w14:paraId="08911868">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宿舍查询统计</w:t>
            </w:r>
          </w:p>
          <w:p w14:paraId="48E2013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寝室预分情况查询：支持按行政班、按寝室查询统计寝室预分情况。</w:t>
            </w:r>
          </w:p>
          <w:p w14:paraId="2B6F835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寝室入住情况查询：支持按寝室号查询寝室入住详情，可查看寝室内入住的学生姓名、学号、行政班、班主任、联系方式、具体床位号等。</w:t>
            </w:r>
          </w:p>
          <w:p w14:paraId="3CAF51FE">
            <w:pPr>
              <w:pStyle w:val="17"/>
              <w:spacing w:line="380" w:lineRule="exact"/>
              <w:ind w:firstLine="478" w:firstLineChars="228"/>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楼栋住宿情况查询：支持按楼栋查询统计学生住宿情况，如该楼栋寝室总数、可用寝室数、床位总数、可用床位数、已入住人数、剩余床位数等。</w:t>
            </w:r>
          </w:p>
          <w:p w14:paraId="2724E10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行政班入住情况统计：可查看班级总人数、走读人数、已安排和未安排的住宿人数。</w:t>
            </w:r>
          </w:p>
          <w:p w14:paraId="39B8CBE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全校住宿生人数统计：支持查询全校的住宿生情况，分男女生查询学生人总数、需住宿总人数、已安排住宿人数等。</w:t>
            </w:r>
          </w:p>
          <w:p w14:paraId="2EEE149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新生可用床位预估：支持预估查询学校新生可用床位；按楼栋统计男、女生空置床位，即将毕业的学生床位等。</w:t>
            </w:r>
          </w:p>
          <w:p w14:paraId="1A997E06">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宿舍考勤</w:t>
            </w:r>
          </w:p>
          <w:p w14:paraId="754FF53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支持宿管员在App上对学生的归寝情况进行登记，查寝时能自动查询系统中请假不归寝的学生名单。若发现未归学生支持App拨号联系班主任，也支持系统发送提醒消息。</w:t>
            </w:r>
          </w:p>
          <w:p w14:paraId="6D30EAB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支持安装人脸识别考勤和显示终端后，学生主动在设备上完成归寝打卡，有效提升查寝效率和保障学生宿舍安全。</w:t>
            </w:r>
          </w:p>
          <w:p w14:paraId="4D478D7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宿舍无感考勤规则设置：设置查寝规则（如无感考勤设备的自助考勤设置、查寝时间段、安全预警规则等）、特殊查寝规则（如升学班与非升学班晚自行时间不一致等情况）；</w:t>
            </w:r>
          </w:p>
          <w:p w14:paraId="755DFF5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全校楼栋归寝情况：支持按日期查看全校楼栋的查寝结果，可查看未归寝、晚归寝的具体名单。</w:t>
            </w:r>
          </w:p>
          <w:p w14:paraId="4C04C8A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每日归寝情况查询：可按学生、系部、班级、寝室号等维度查询每日寝室的归寝情况。</w:t>
            </w:r>
          </w:p>
          <w:p w14:paraId="687FC1BF">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收费中心</w:t>
            </w:r>
          </w:p>
          <w:p w14:paraId="0DB77E0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收费基础设置：设置收费基础信息，如维护账套信息、维护商户号、维护收费项目、其他设置等。</w:t>
            </w:r>
          </w:p>
          <w:p w14:paraId="3D23468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账套信息与商户号相对应，创建收费任务时选取账套信息，以确保费用能进入对应商户号。</w:t>
            </w:r>
          </w:p>
          <w:p w14:paraId="1EC08D5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校可根据自身需求与微信签署协议开通多个商户号，商户号添加需设置商户号、密钥、证书序列号、安全证书附件等，同时可设置是否允许按微信订单进行退费。商户号设置成功后学生可通过公众号进行项目缴费。</w:t>
            </w:r>
          </w:p>
          <w:p w14:paraId="393F074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维护学校收费项目（如学费、教材费、住宿费等），支持添加和修改，设置收费项目的用途、收费性质、业务类型、收费项目名称等，设置此收费项目是否为必缴项目。</w:t>
            </w:r>
          </w:p>
          <w:p w14:paraId="16CF762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收费标准维护：学校可根据学期或学年收费制度创建收费标准，支持维护专业收费任务、招生报名预缴费任务，支持按单个专业设置不同收费项目收费标准，也可按收费项目批量设置多个专业方向收费标准；支持修改、查看、删除等操作；支持调整学生个人收费标准，支持对学生的收费项目进行添加和移除，也支持导入学生个人的收费标准信息。</w:t>
            </w:r>
          </w:p>
          <w:p w14:paraId="6F778A6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学生缴费：支持微信服务号缴费、到校现场缴费；学校可设置学生微信服务号缴费开关，支持设置老生缴费时，需先结清历史欠费。</w:t>
            </w:r>
          </w:p>
          <w:p w14:paraId="03136F0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收费/退费：支持现场缴费或学生网上缴费；现场缴费支持按身份证或学号查询学生的收费任务进行现场缴费，若学生需要退费可选择线下退费选项进行相应的退费操作；若学生网上缴费需退费，可直接系统选择按原支付方式退费即可。</w:t>
            </w:r>
          </w:p>
          <w:p w14:paraId="6BCC1D4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收费记录/退费记录导入：支持学校从本地导入历史收费与退费记录，选择填写收费、退费记录的EXCEL文件直接导入，设置学生唯一标识码，导入记录的收费任务。</w:t>
            </w:r>
          </w:p>
          <w:p w14:paraId="14AE41A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票据基础设置：支持添加开票方式，支持修改和删除，开票类型支持财政票据和电子票据。同时开票支持自动开票与手动开票；自动开票可设置是否由系统在缴费成功后，自动开电子收据或自动开财政票据。支持按账套自定义电子收据模板，按模板开具电子收据，同时支持票据效果预览。</w:t>
            </w:r>
          </w:p>
          <w:p w14:paraId="62CD6F1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开票管理：支持按票据类型、票据状态、交款人、开票人、票据号、开票日期、收费任务等进行查询票据，可查询票据详细信息，同时可查看和下载该票据PDF文档。</w:t>
            </w:r>
          </w:p>
          <w:p w14:paraId="63C92C3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每日收费情况：支持按账套、收费日期、收费学年、收费任务、支付方式等多种类型筛选查询收费情况，可查询具体支付方式、商户号、订单数、实收金额等，并支持导出。</w:t>
            </w:r>
          </w:p>
          <w:p w14:paraId="508547A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系部缴费情况统计：支持按系统查询统计缴费情况，查看实际收费金额、减免金额、应缴金额、已交金额、欠费金额、欠费率等。</w:t>
            </w:r>
          </w:p>
          <w:p w14:paraId="029B562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各班级缴费情况统计：支持按收费学年查询统计各个行政班的缴费情况，可汇总所有行政班实际收费标准、减免费用、应缴费用、已缴费用、欠费人数、欠费金额、欠费率等；同时可具体查询各个行政班的应缴人数和金额、已缴人数和金额、欠费人数和金额、欠费率等。</w:t>
            </w:r>
          </w:p>
          <w:p w14:paraId="2364A51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学生缴费情况统计：支持按单个学生查询缴费情况，查看学生收费学年的收费任务、收费项目、应收标准、应缴金额、已缴金额、欠费金额、欠费总金额等。</w:t>
            </w:r>
          </w:p>
          <w:p w14:paraId="12EFC77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本班缴费情况：班主任登录系统后，可查询所辖班级的缴费情况，可具体查询已缴费、未缴费的学生具体情况，查询欠费明细和欠费总金额，以便对欠费学生进行催缴。</w:t>
            </w:r>
          </w:p>
          <w:p w14:paraId="6EC18163">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减免管理</w:t>
            </w:r>
          </w:p>
          <w:p w14:paraId="302421B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减免政策维护：支持管理员维护国家减免政策。支持复制到其他学期使用，维护减免政策的判定条件。支持按年级、招生类型等创建不同的减免政策。针对单个学生管理学生的减免政策（减免政策、减免金额等），支持添加和导入学生减免政策，可修改和删除。</w:t>
            </w:r>
          </w:p>
          <w:p w14:paraId="0F38F6A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学生个人减免管理：支持系统按学生的各项信息自动计算可享受的减免政策，老师手动确认学生是否能享受此项减免，确认名单后，学生缴费时会自动扣减减免金额，支持单个或批量确认。</w:t>
            </w:r>
          </w:p>
          <w:p w14:paraId="5B8DAD06">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助学贷款管理</w:t>
            </w:r>
          </w:p>
          <w:p w14:paraId="336BD0E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助学贷款基础设置：支持添加、维护贷款银行信息；设置是否允许学生登记助学贷款。</w:t>
            </w:r>
          </w:p>
          <w:p w14:paraId="3626602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学生助学贷款管理：维护学生贷款学年、贷款银行、贷款金额、银行贷款进度、贷款到校日期、到校金额等。</w:t>
            </w:r>
          </w:p>
          <w:p w14:paraId="4CEAD2E1">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学生保险管理</w:t>
            </w:r>
          </w:p>
          <w:p w14:paraId="1CD5225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学生保险维护：支持相关部门维护学生保险信息，支持添加、导入、修改、删除等；包括保险种类、保险公司、购买日期、生效期和到期时间、保险金额等。</w:t>
            </w:r>
          </w:p>
          <w:p w14:paraId="1848D38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学生保险统计：支持相关部门统计学校购买的保险情况，统计班级已购买人数、未购买人数。</w:t>
            </w:r>
          </w:p>
          <w:p w14:paraId="64C8F4A2">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德育活动维护</w:t>
            </w:r>
          </w:p>
          <w:p w14:paraId="1CB06EA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支持相关部门维护学校各系部、各年级德育活动，可对班级添加德育活动，支持修改和删除。</w:t>
            </w:r>
          </w:p>
          <w:p w14:paraId="3505709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班主任可为本班级指定德育活动。</w:t>
            </w:r>
          </w:p>
          <w:p w14:paraId="227CBC2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学生可查看自己要参加的德育活动。</w:t>
            </w:r>
          </w:p>
          <w:p w14:paraId="435324DD">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活动考勤管理</w:t>
            </w:r>
          </w:p>
          <w:p w14:paraId="73B0151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考勤设备维护：支持学生维护自己的考勤设备。支持集成一卡通系统把考勤设备数据自动获取到系统中。</w:t>
            </w:r>
          </w:p>
          <w:p w14:paraId="520C30D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考勤活动维护：支持学校维护自己活动考勤项目，制定考勤规则，选择被考勤人员等。支持自定义考勤规则。支持维护考勤活动，支持批量生成考勤活动。</w:t>
            </w:r>
          </w:p>
          <w:p w14:paraId="4980738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打卡记录管理：支持从学校考勤机导出考勤打卡记录，并按系统要求格式导入数据。支持维护和管理打卡记录，支持按时间段批量清理打卡记录。</w:t>
            </w:r>
          </w:p>
          <w:p w14:paraId="64FD558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每日考勤结果查看：查看活动考勤的考勤结果，查看正常考勤、迟到、早退、请假、缺席的人员名单。</w:t>
            </w:r>
          </w:p>
          <w:p w14:paraId="622266A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考勤汇总统计：支持学校相关部门查看每个考勤项目的考勤明细。不同考勤状态的人数及名单。某一时间段的被考勤人出勤次数。支持被考勤人查看自己的考勤记录。</w:t>
            </w:r>
          </w:p>
          <w:p w14:paraId="213773A0">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学生操行评价</w:t>
            </w:r>
          </w:p>
          <w:p w14:paraId="6F85A49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学期操行评价开关：设置学生评价开关；开启状态设置评价起止时间。</w:t>
            </w:r>
          </w:p>
          <w:p w14:paraId="0020FC8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操行评价：开启学生评价后，学生可对自我表现进行总结评价。</w:t>
            </w:r>
          </w:p>
          <w:p w14:paraId="6AB2E97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开启班主任评价后，班主任可对学生日常标准进行评价。</w:t>
            </w:r>
          </w:p>
          <w:p w14:paraId="416A94A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开启校方评价后，学校相关管理部门对全校学生进行操行评价，选择评定等级，填写评价内容等；评价时可查看学生自我评价、班主任评价。</w:t>
            </w:r>
          </w:p>
          <w:p w14:paraId="12075E82">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期末通知书管理</w:t>
            </w:r>
          </w:p>
          <w:p w14:paraId="19DEBCF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通知书模板维护：学校管理员维护和管理通知书模板；选择模板内容（学校通知、课程成绩、操行成绩、班主任评语、学校评价、班级通知、家长反馈等，支持模板内容的上移下移）。</w:t>
            </w:r>
          </w:p>
          <w:p w14:paraId="239B11EC">
            <w:pPr>
              <w:pStyle w:val="17"/>
              <w:spacing w:line="380" w:lineRule="exact"/>
              <w:ind w:firstLine="478" w:firstLineChars="228"/>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通知书任务维护：添加每学期的期末通知书任务，支持管理员设置期末通知书管理员、班主任、学生是否可见。</w:t>
            </w:r>
          </w:p>
          <w:p w14:paraId="1076C71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通知书的学校公告维护：支持管理员添加和维护学校通知书的通知公告，支持修改、删除和查看。支持班主任设置班级通知公告。</w:t>
            </w:r>
          </w:p>
          <w:p w14:paraId="4672675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学生通知书预览：通知书发布之后支持预览；支持管理员查看全校通知书、支持班主任查看本班通知书、支持学生查看个人通知书；支持家长绑定微信服务号后，查看孩子期末通知书。</w:t>
            </w:r>
          </w:p>
          <w:p w14:paraId="76DC304A">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学生离校手续办理</w:t>
            </w:r>
          </w:p>
          <w:p w14:paraId="5E72A02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就业意向管理：支持为学生填写就业意向，记录学生班级、专业、就业意向，意向省份、意向行业、意向单位等，为学校做就业分析做支撑数据。</w:t>
            </w:r>
          </w:p>
          <w:p w14:paraId="53A9622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离校手续办理：支持在学生管理系统办理学生离校手续，支持录入学生姓名、班级、结费情况的确认日期、学分确认日期、图书归还确认日期、宿舍退宿日期、毕业领证取确认日期等，便于后期离校手续相关数据的追踪管理。</w:t>
            </w:r>
          </w:p>
          <w:p w14:paraId="5AE12DE7">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bookmarkStart w:id="142" w:name="_Hlk190358199"/>
            <w:r>
              <w:rPr>
                <w:rFonts w:hint="eastAsia" w:ascii="宋体" w:hAnsi="宋体" w:eastAsia="宋体" w:cs="宋体"/>
                <w:color w:val="000000" w:themeColor="text1"/>
                <w:sz w:val="21"/>
                <w:szCs w:val="21"/>
                <w:highlight w:val="none"/>
                <w14:textFill>
                  <w14:solidFill>
                    <w14:schemeClr w14:val="tx1"/>
                  </w14:solidFill>
                </w14:textFill>
              </w:rPr>
              <w:t>心理咨询管理</w:t>
            </w:r>
          </w:p>
          <w:bookmarkEnd w:id="142"/>
          <w:p w14:paraId="1580A9A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心理咨询预约管理：支持老师为学生提交心理预约申请，预约时选择学生、班级、预约开始与结束时间、咨询类型（如团体、个体、家庭等）与咨询问题描述等。支持查看和管理学生心理咨询预约的数据。</w:t>
            </w:r>
          </w:p>
          <w:p w14:paraId="742197D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预约取消管理：支持为管理的学生进行预约取消，直接选择预约表单后进行取消申请提交即可。</w:t>
            </w:r>
          </w:p>
          <w:p w14:paraId="70BD01A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心理咨询登记：心理咨询导师对咨询学生进行咨询结果登记，可直接选择预约表单，选择预约表单后自动同步学生、班级、预约开始与结束时间、咨询类型与问题描述；登记导师姓名、咨询开始与结束时间、诊断类型记录（如焦虑、适应障碍、强迫症、抑郁等）、咨询内容记录等，同时支持上传附件内容。支持查看和管理学生心理咨询登记的数据。</w:t>
            </w:r>
          </w:p>
          <w:p w14:paraId="3138CB25">
            <w:pPr>
              <w:pStyle w:val="3"/>
              <w:numPr>
                <w:ilvl w:val="0"/>
                <w:numId w:val="35"/>
              </w:numPr>
              <w:tabs>
                <w:tab w:val="left" w:pos="482"/>
                <w:tab w:val="left" w:pos="1044"/>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社团（协会）管理</w:t>
            </w:r>
          </w:p>
          <w:p w14:paraId="1964970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社团基础信息管理：支持维护社团基础信息，如社团名称、编号、类型、简介、成立日期、挂靠单位、负责人、指导教师、当前状态、解散日期等。支持修改社团状态、支持查看和管理社团基础信息的数据。</w:t>
            </w:r>
          </w:p>
          <w:p w14:paraId="02DDF96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社团成员管理：支持维护社团成员信息，如姓名、班级、职务、会员状态、参加日期、退出日期等。支持修改成员状态、支持查看和管理社团成员管理的数据。</w:t>
            </w:r>
          </w:p>
          <w:p w14:paraId="3D9A783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社团活动管理：支持在线录入社团活动，如参加活动的社团名称、活动名称、活动类型、活动级别、活动编号、活动状态、最大报名人数、实际报名人数、活动参与方式、活动录取方式、活动指导老师、活动发布日期、活动开始日期、活动结束日期等。支持查看和管理社团活动举办的数据。</w:t>
            </w:r>
          </w:p>
          <w:p w14:paraId="6250B50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社团活动参与登记：登记内容包括学生姓名、社团活动名称、是否获奖、参加活动的时间、获奖级别、获奖日期、颁奖单位、指导教师等。支持查看和管理学生参与社团活动登记的数据。</w:t>
            </w:r>
          </w:p>
          <w:p w14:paraId="371E24A8">
            <w:pPr>
              <w:pStyle w:val="2"/>
              <w:widowControl w:val="0"/>
              <w:numPr>
                <w:ilvl w:val="0"/>
                <w:numId w:val="15"/>
              </w:numPr>
              <w:tabs>
                <w:tab w:val="left" w:pos="895"/>
              </w:tabs>
              <w:spacing w:line="380" w:lineRule="exact"/>
              <w:ind w:left="482" w:firstLine="478"/>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人事管理服务</w:t>
            </w:r>
          </w:p>
          <w:p w14:paraId="3C851320">
            <w:pPr>
              <w:pStyle w:val="3"/>
              <w:numPr>
                <w:ilvl w:val="0"/>
                <w:numId w:val="37"/>
              </w:numPr>
              <w:tabs>
                <w:tab w:val="left" w:pos="48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教职工坐班考勤</w:t>
            </w:r>
          </w:p>
          <w:p w14:paraId="1E1CA45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考勤组规则设置：支持对班次进行设置（上下班时间、教职工打卡时间范围、上下班打卡次数等），对考勤组规则进行设置（设置被考勤人员、工作日班次、考勤方式、特殊考勤要求等）；打卡异常的支持系统发送提醒消息。</w:t>
            </w:r>
          </w:p>
          <w:p w14:paraId="51E9CCE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考勤打卡：教职工按规定进行打卡。考勤结束后，系统依据教职工请假情况、特殊考勤要求和打卡要求自动计算每个教职工的考勤结果，系统自动为打卡异常的教职工发送提醒消息。</w:t>
            </w:r>
          </w:p>
          <w:p w14:paraId="2C5F796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考勤设备离线管理：支持考勤设备与智慧校园平台短期离线时，仍可打卡，连接恢复后，支持管理员补上传7天内的打卡记录。补录系统后自动更新考勤数据。</w:t>
            </w:r>
          </w:p>
          <w:p w14:paraId="04045CDF">
            <w:pPr>
              <w:pStyle w:val="3"/>
              <w:numPr>
                <w:ilvl w:val="0"/>
                <w:numId w:val="37"/>
              </w:numPr>
              <w:tabs>
                <w:tab w:val="left" w:pos="48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教职工基本信息管理</w:t>
            </w:r>
          </w:p>
          <w:p w14:paraId="46E276F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教职工基本信息维护：支持对教职工基本信息进行维护，可单个添加或批量导入；支持通过“教师画像”对教职工进行分析；支持在线采集或批量导入/导出教职工照片。</w:t>
            </w:r>
          </w:p>
          <w:p w14:paraId="7FBE8D2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教职工信息修改权限开关：设置任务信息，任务起止时间、是否需要审核；设置教职工可修改的基本信息字段，设置是否允许添加家庭成员信息。</w:t>
            </w:r>
          </w:p>
          <w:p w14:paraId="5AE1CCC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职工信息属性管理：支持管理教职工基本属性，对基本信息的固定字段设置为必填还是选填；可根据学校需求自定义基本信息字段；设置教职工照片采集的尺寸大小；设置家庭成员的固定字段必填或选填；支持自定义家庭成员字段。</w:t>
            </w:r>
          </w:p>
          <w:p w14:paraId="4D3827E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教职工基础设置：对教职工的职务职称进行维护、对聘用方式、校内岗位类别、校内岗位、校内职务、教职工学历学位专业等进行统一维护；选择学校教职工可能存在的在职状态；</w:t>
            </w:r>
          </w:p>
          <w:p w14:paraId="438BF2C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支持设置教师画像码值，如教师评价分数段、工作量设置、授课数量、周课时数量、学生评价分数段、听课评价分数段等；</w:t>
            </w:r>
          </w:p>
          <w:p w14:paraId="33302F4B">
            <w:pPr>
              <w:pStyle w:val="3"/>
              <w:numPr>
                <w:ilvl w:val="0"/>
                <w:numId w:val="37"/>
              </w:numPr>
              <w:tabs>
                <w:tab w:val="left" w:pos="48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教职工证书信息管理</w:t>
            </w:r>
          </w:p>
          <w:p w14:paraId="5485CB5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证书信息：支持管理员单个维护或批量导入教职工证书信息，导入后支持管理员或教职工自行维护修改证书相关信息，如证书编号、名称、颁发时间、单位及附件信息等。</w:t>
            </w:r>
          </w:p>
          <w:p w14:paraId="70871E8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证书信息审核：导入或修改的证书信息需审核，可统一查看待审核证书信息；审核通过、审核不通过的证书信息。</w:t>
            </w:r>
          </w:p>
          <w:p w14:paraId="0C679F8E">
            <w:pPr>
              <w:pStyle w:val="3"/>
              <w:numPr>
                <w:ilvl w:val="0"/>
                <w:numId w:val="37"/>
              </w:numPr>
              <w:tabs>
                <w:tab w:val="left" w:pos="48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教职工经历信息管理</w:t>
            </w:r>
          </w:p>
          <w:p w14:paraId="5EC3F0C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支持维护教职工个人学习经历、培训经历、工作经历、下企业经历、继续教育等。</w:t>
            </w:r>
          </w:p>
          <w:p w14:paraId="3860A68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教育经历维护与审核：支持管理员单个或批量导入教职工学历、学位信息，并进行维护管理；支持对学历、学位信息修改、删除、导出佐证材料等。学位、学历信息导入或修改后需审核。</w:t>
            </w:r>
          </w:p>
          <w:p w14:paraId="5BAB6B7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下企业经历维护：支持添加、维护教职工下企业信息，详细记录企业名称、学习形式、岗位、实践起止时间等。相关信息添加或维护后需管理员审核。</w:t>
            </w:r>
          </w:p>
          <w:p w14:paraId="79664BE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培训经历维护：支持添加、维护教职工培训经历。</w:t>
            </w:r>
          </w:p>
          <w:p w14:paraId="16A1A74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继续教育信息：支持单个添加或批量导入教职工继续教育信息，支持修改、导出等操作，相关信息添加或维护后需管理员审核。</w:t>
            </w:r>
          </w:p>
          <w:p w14:paraId="0B61740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工作经历维护：支持添加、维护教职工工作经历信息，可修改或删除等操作。</w:t>
            </w:r>
          </w:p>
          <w:p w14:paraId="2EB21866">
            <w:pPr>
              <w:pStyle w:val="3"/>
              <w:numPr>
                <w:ilvl w:val="0"/>
                <w:numId w:val="37"/>
              </w:numPr>
              <w:tabs>
                <w:tab w:val="left" w:pos="48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教职工奖惩信息管理</w:t>
            </w:r>
          </w:p>
          <w:p w14:paraId="385ECA9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奖励信息管理：支持管理员对教职工奖励信息进行添加、删除、修改、查看等操作，教职工自主维护个人奖励信息的需由管理员审核。</w:t>
            </w:r>
          </w:p>
          <w:p w14:paraId="0F40535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惩处信息管理：支持管理员对教职工惩处信息进行管理，支持添加、删除、修改、撤销、查看等。</w:t>
            </w:r>
          </w:p>
          <w:p w14:paraId="2D4D4E99">
            <w:pPr>
              <w:pStyle w:val="3"/>
              <w:numPr>
                <w:ilvl w:val="0"/>
                <w:numId w:val="37"/>
              </w:numPr>
              <w:tabs>
                <w:tab w:val="left" w:pos="48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教职工生日短信开关</w:t>
            </w:r>
          </w:p>
          <w:p w14:paraId="322213E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支持对教职工生日短信进行开关设置，开启后教职工生日当天系统自动发送生日短信，可自定义编辑短信内容。</w:t>
            </w:r>
          </w:p>
          <w:p w14:paraId="184715E7">
            <w:pPr>
              <w:pStyle w:val="3"/>
              <w:numPr>
                <w:ilvl w:val="0"/>
                <w:numId w:val="37"/>
              </w:numPr>
              <w:tabs>
                <w:tab w:val="left" w:pos="48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工资条管理</w:t>
            </w:r>
          </w:p>
          <w:p w14:paraId="1404176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工资条导入：支持导入教职工工资条信息，可查看工资条明细，如当月考勤天数、加班费、基本工资、岗位津贴、责任津贴、补贴等。</w:t>
            </w:r>
          </w:p>
          <w:p w14:paraId="3DCEE00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年度工资统计：支持按年度对教职工工资进行统计，可查看每月工资发放金额，统计年度工资合计，计算月平均工资等。</w:t>
            </w:r>
          </w:p>
          <w:p w14:paraId="3059A611">
            <w:pPr>
              <w:pStyle w:val="3"/>
              <w:numPr>
                <w:ilvl w:val="0"/>
                <w:numId w:val="37"/>
              </w:numPr>
              <w:tabs>
                <w:tab w:val="left" w:pos="48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教职工信息统计</w:t>
            </w:r>
          </w:p>
          <w:p w14:paraId="68C110A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可按不同维度统计教职工分布情况，包括基本信息、在职状态、聘用方式、学历、岗位、奖励、教职工子女情况等，同时支持分析数据的导出与打印。</w:t>
            </w:r>
          </w:p>
          <w:p w14:paraId="07711AD9">
            <w:pPr>
              <w:pStyle w:val="3"/>
              <w:numPr>
                <w:ilvl w:val="0"/>
                <w:numId w:val="37"/>
              </w:numPr>
              <w:tabs>
                <w:tab w:val="left" w:pos="48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人事辅助管理</w:t>
            </w:r>
          </w:p>
          <w:p w14:paraId="2F7A3DE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实习试用管理：对教职工实习/试用期的表现情况进行跟踪记录。实习或试用期满后，通过系统提交转正申请，学校可根据表现情况对转正申请进行审批。</w:t>
            </w:r>
          </w:p>
          <w:p w14:paraId="70D7E11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教职工商业险记录：支持添加、导入教职工商业保险信息，登记商业险保险单号、保险公司、保额、保费、保险期限等内容。</w:t>
            </w:r>
          </w:p>
          <w:p w14:paraId="6F095B1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劳务合同用人登记：支持登记和管理教职工劳务合同，登记教职工入职时间、聘用性质、岗位等级、社保购买方式、公积金购买方式、个税缴纳方式等。</w:t>
            </w:r>
          </w:p>
          <w:p w14:paraId="69F92DB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临时用工管理：支持对学校临时用工进行统一管理，可单个添加或批量导入相关信息，如身份证、联系方式、工资卡信息、岗位信息、用工时间等。</w:t>
            </w:r>
          </w:p>
          <w:p w14:paraId="45FB939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部门用人需求登记：支持对有用人需求的部门进行用人需求登记，登记需求岗位、需求人数、希望到岗时间、用人要求等。</w:t>
            </w:r>
          </w:p>
          <w:p w14:paraId="1A46C534">
            <w:pPr>
              <w:pStyle w:val="2"/>
              <w:widowControl w:val="0"/>
              <w:numPr>
                <w:ilvl w:val="0"/>
                <w:numId w:val="15"/>
              </w:numPr>
              <w:tabs>
                <w:tab w:val="left" w:pos="895"/>
              </w:tabs>
              <w:spacing w:line="380" w:lineRule="exact"/>
              <w:ind w:left="482" w:firstLine="478"/>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科研管理服务</w:t>
            </w:r>
          </w:p>
          <w:p w14:paraId="48C129FD">
            <w:pPr>
              <w:pStyle w:val="3"/>
              <w:numPr>
                <w:ilvl w:val="0"/>
                <w:numId w:val="38"/>
              </w:numPr>
              <w:tabs>
                <w:tab w:val="left" w:pos="48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门户首页</w:t>
            </w:r>
          </w:p>
          <w:p w14:paraId="172DC97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门户首页管理：支持依据用户角色展示个性化首页，包含待办、数据看板、快捷入口，支持多角色切换刷新视图。</w:t>
            </w:r>
          </w:p>
          <w:p w14:paraId="4F8C6B4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科研管理员首页：展示全校科研核心指标看板，汇聚统一待办任务，支持自定义快捷入口，具备项目风险预警、申报计划展示功能。</w:t>
            </w:r>
          </w:p>
          <w:p w14:paraId="0740EA3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科研人员首页：展示个人待办事项，概览本人负责及参与项目，提供业务快捷入口，展示经费、成果统计摘要。</w:t>
            </w:r>
          </w:p>
          <w:p w14:paraId="06B8559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财务人员首页：集中展示财务类待办任务，提供经费统计概览，支持一键跳转项目入账处理。</w:t>
            </w:r>
          </w:p>
          <w:p w14:paraId="3B6D54DF">
            <w:pPr>
              <w:pStyle w:val="3"/>
              <w:numPr>
                <w:ilvl w:val="0"/>
                <w:numId w:val="38"/>
              </w:numPr>
              <w:tabs>
                <w:tab w:val="left" w:pos="48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科研人员个人空间</w:t>
            </w:r>
          </w:p>
          <w:p w14:paraId="0137A9C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我的项目：区分我负责、我参与项目视图，支持筛选查询；项目详情以标签页聚合展示项目全维度信息。</w:t>
            </w:r>
          </w:p>
          <w:p w14:paraId="289B1C1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中期检查材料提交：项目列入中检名单后，科研人员可线上填报、上传中检材料并提交审批。</w:t>
            </w:r>
          </w:p>
          <w:p w14:paraId="20965F9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开题材料提交：立项完成后支持线上提交开题报告及附件，流转开题审核流程。</w:t>
            </w:r>
          </w:p>
          <w:p w14:paraId="4A48997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结题材料提交：线上填报结题报告，关联项目成果，上传决算等支撑材料，发起结题为审批。</w:t>
            </w:r>
          </w:p>
          <w:p w14:paraId="4D65377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我的成果：查看个人各类科研成果，支持直接录入成果提交审核。</w:t>
            </w:r>
          </w:p>
          <w:p w14:paraId="76CC035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我的经费：跨项目汇总展示本人项目经费，卡片展示经费余额、执行进度，可查看科目明细。</w:t>
            </w:r>
          </w:p>
          <w:p w14:paraId="7C42F2BB">
            <w:pPr>
              <w:pStyle w:val="3"/>
              <w:numPr>
                <w:ilvl w:val="0"/>
                <w:numId w:val="38"/>
              </w:numPr>
              <w:tabs>
                <w:tab w:val="left" w:pos="48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项目申报管理</w:t>
            </w:r>
          </w:p>
          <w:p w14:paraId="2312336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申报计划管理：管理员创建发布申报计划，可对计划执行暂停、延期、提前截止，全程记录操作日志。</w:t>
            </w:r>
          </w:p>
          <w:p w14:paraId="031C771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申报材料在线填报：科研人员在有效期内线上填报申报表单，上传附件，支持草稿暂存、正式提交。</w:t>
            </w:r>
          </w:p>
          <w:p w14:paraId="485839D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申报数据管理：总览全部申报记录，支持多条件筛选，提供申报计划进度统计，支持数据下钻查看明细。</w:t>
            </w:r>
          </w:p>
          <w:p w14:paraId="6B3B790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申报审核处理：审批人处理申报待办，记录审批意见，驳回可退回修改重提，审批完成推送结果通知。</w:t>
            </w:r>
          </w:p>
          <w:p w14:paraId="13FEC41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申报结果确认：对审核通过的申报记录，支持一键带入立项表单完成立项入库，留存申报与立项关联追溯关系。</w:t>
            </w:r>
          </w:p>
          <w:p w14:paraId="0C65A2AD">
            <w:pPr>
              <w:pStyle w:val="3"/>
              <w:numPr>
                <w:ilvl w:val="0"/>
                <w:numId w:val="38"/>
              </w:numPr>
              <w:tabs>
                <w:tab w:val="left" w:pos="48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项目管理</w:t>
            </w:r>
          </w:p>
          <w:p w14:paraId="5196EB1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项目库管理与总览：集中展示全校项目，多条件筛选，提供项目统计看板，支持查看项目详情。</w:t>
            </w:r>
          </w:p>
          <w:p w14:paraId="3E2525C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项目立项入库：支持科研人员发起立项申请，也支持管理员手动录入项目信息；入库自动生成项目编号、经费卡并留存操作日志。</w:t>
            </w:r>
          </w:p>
          <w:p w14:paraId="48AF454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项目合同管理：项目下可维护多份合同，管理合同全生命周期状态，到期前自动发送提醒。</w:t>
            </w:r>
          </w:p>
          <w:p w14:paraId="4803581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开题管理：线上提交开题材料，开展开题审批，全部材料及审批结果归入项目档案。</w:t>
            </w:r>
          </w:p>
          <w:p w14:paraId="1D82BCB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中期检查：管理员批量选定项目生成中检任务，发送通知；线上提交中检材料，完成审核归档。</w:t>
            </w:r>
          </w:p>
          <w:p w14:paraId="2C8F33D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项目变更审批：线上发起各类项目变更申请，记录变更前后信息，审批通过自动更新项目数据，变更记录可追溯。</w:t>
            </w:r>
          </w:p>
          <w:p w14:paraId="3D1CF54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结题管理：管理员发布结题通知，科研人员提交结题全套材料，审批完成自动更新项目及经费卡状态。</w:t>
            </w:r>
          </w:p>
          <w:p w14:paraId="4E72550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项目详情页（聚合信息展示）：以标签页聚合项目基础、成员、经费、合同、各类报告、变更、操作日志等完整档案信息。</w:t>
            </w:r>
          </w:p>
          <w:p w14:paraId="72D35703">
            <w:pPr>
              <w:pStyle w:val="3"/>
              <w:numPr>
                <w:ilvl w:val="0"/>
                <w:numId w:val="38"/>
              </w:numPr>
              <w:tabs>
                <w:tab w:val="left" w:pos="48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经费管理</w:t>
            </w:r>
          </w:p>
          <w:p w14:paraId="536A7E2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项目入账：录入入账信息，确认后更新项目经费卡余额。</w:t>
            </w:r>
          </w:p>
          <w:p w14:paraId="1A24C23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入账冲正：支持财务红冲错误入账记录，保留完整审计轨迹。</w:t>
            </w:r>
          </w:p>
          <w:p w14:paraId="494F79E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经费卡管理：立项自动生成经费卡，展示预算、收支、冻结及科目明细；经费卡状态跟随项目状态联动变化。</w:t>
            </w:r>
          </w:p>
          <w:p w14:paraId="1D0F052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经费统计报表：多维度经费统计，支持图表可视化展示。</w:t>
            </w:r>
          </w:p>
          <w:p w14:paraId="7CF2792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经费预警配置：可自定义三级经费预警阈值，触发后推送消息提醒相关人员。</w:t>
            </w:r>
          </w:p>
          <w:p w14:paraId="425D347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我的经费：个人视图查看本人全部项目经费卡片及科目明细。</w:t>
            </w:r>
          </w:p>
          <w:p w14:paraId="59195C38">
            <w:pPr>
              <w:pStyle w:val="3"/>
              <w:numPr>
                <w:ilvl w:val="0"/>
                <w:numId w:val="38"/>
              </w:numPr>
              <w:tabs>
                <w:tab w:val="left" w:pos="48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科研成果</w:t>
            </w:r>
          </w:p>
          <w:p w14:paraId="2C390B2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成果录入：支持录入多类型科研成果，表单根据成果类型动态适配字段。</w:t>
            </w:r>
          </w:p>
          <w:p w14:paraId="64FCBCE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成果批量导入：提供Excel模板，批量导入成果，系统做数据校验。</w:t>
            </w:r>
          </w:p>
          <w:p w14:paraId="7E3F3B8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成果审核管理：支持单条、批量成果审批，可配置多级、分类型审批流程。</w:t>
            </w:r>
          </w:p>
          <w:p w14:paraId="04E83A5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成果库查询与管理：全校成果统一库，多维度检索，成果编辑删除留存操作日志。</w:t>
            </w:r>
          </w:p>
          <w:p w14:paraId="5031A1B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成果统计报表：多维度统计成果产出，图表展示，支持导出Excel。</w:t>
            </w:r>
          </w:p>
          <w:p w14:paraId="1231647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成果类型配置：后台可启用、停用、排序成果类型，配置字段必填与可见属性。</w:t>
            </w:r>
          </w:p>
          <w:p w14:paraId="44928DF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成果获奖记录：可在对应成果下维护多条获奖子记录，登记奖项相关信息与附件。</w:t>
            </w:r>
          </w:p>
          <w:p w14:paraId="36B6DAF0">
            <w:pPr>
              <w:pStyle w:val="3"/>
              <w:numPr>
                <w:ilvl w:val="0"/>
                <w:numId w:val="38"/>
              </w:numPr>
              <w:tabs>
                <w:tab w:val="left" w:pos="48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流程管理</w:t>
            </w:r>
          </w:p>
          <w:p w14:paraId="47FCA6E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流程模板配置：可视化设计审批流程模板，支持多种节点类型，配置审批人规则、超时催办、节点跳过、审批表单。</w:t>
            </w:r>
          </w:p>
          <w:p w14:paraId="2EEA1A0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专家评审节点与分支路由：配置专家评审环节，实现打分汇总、按分数自动分支流转，支持专家回避规则。</w:t>
            </w:r>
          </w:p>
          <w:p w14:paraId="463C208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流程实例监控：集中监控运行中的流程实例，查看流转详情；管理员可执行转办、催办、强制终止等干预操作。</w:t>
            </w:r>
          </w:p>
          <w:p w14:paraId="26996EF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流程模板与业务的关联绑定：各业务模块绑定对应审批流程模板，支持按项目类型、业务场景选用不同模板。</w:t>
            </w:r>
          </w:p>
          <w:p w14:paraId="0DF0C6E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流程版本管理：模板更新生成新版本，运行中实例沿用旧版本，支持查看版本修改记录。</w:t>
            </w:r>
          </w:p>
          <w:p w14:paraId="51466B9A">
            <w:pPr>
              <w:pStyle w:val="2"/>
              <w:widowControl w:val="0"/>
              <w:numPr>
                <w:ilvl w:val="0"/>
                <w:numId w:val="15"/>
              </w:numPr>
              <w:tabs>
                <w:tab w:val="left" w:pos="895"/>
              </w:tabs>
              <w:spacing w:line="380" w:lineRule="exact"/>
              <w:ind w:left="482" w:firstLine="478"/>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资产管理服务</w:t>
            </w:r>
          </w:p>
          <w:p w14:paraId="1F1F604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系统可对固定资产进行入库、变更、盘点、报废等处理。</w:t>
            </w:r>
          </w:p>
          <w:p w14:paraId="2081BD2A">
            <w:pPr>
              <w:pStyle w:val="3"/>
              <w:numPr>
                <w:ilvl w:val="0"/>
                <w:numId w:val="39"/>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固定资产基础信息设置</w:t>
            </w:r>
          </w:p>
          <w:p w14:paraId="553B3A1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资产维度管理：能支持多维度管理资产，将已分类的资产快速录入新系统。</w:t>
            </w:r>
          </w:p>
          <w:p w14:paraId="7BE7D79C">
            <w:pPr>
              <w:pStyle w:val="17"/>
              <w:spacing w:line="380" w:lineRule="exact"/>
              <w:ind w:firstLine="478" w:firstLineChars="228"/>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资产分类维护：维护学校固定资产的分类相关信息，按类别进行固定资产的管理，支持批量导入。</w:t>
            </w:r>
          </w:p>
          <w:p w14:paraId="3C563F4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资产编号规则设置：支持自定义设置资产编号的规则。</w:t>
            </w:r>
          </w:p>
          <w:p w14:paraId="37E67F05">
            <w:pPr>
              <w:pStyle w:val="3"/>
              <w:numPr>
                <w:ilvl w:val="0"/>
                <w:numId w:val="39"/>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固定资产入库管理</w:t>
            </w:r>
          </w:p>
          <w:p w14:paraId="2743B0B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资产入库登记与导入：支持单个资产登记入库或批量导入资产入库。</w:t>
            </w:r>
          </w:p>
          <w:p w14:paraId="46581DB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资产入库查询：支持查询入库资产（查看资产价值、责任人、入库金额等），可导出与打印。可对每个资产进行标签打印。</w:t>
            </w:r>
          </w:p>
          <w:p w14:paraId="4B919C4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资产信息管理：可对资产信息进行统一维护，支持在线配置资产标签样式并进行打印。支持配置App显示字段内容。</w:t>
            </w:r>
          </w:p>
          <w:p w14:paraId="7B3F45B4">
            <w:pPr>
              <w:pStyle w:val="3"/>
              <w:numPr>
                <w:ilvl w:val="0"/>
                <w:numId w:val="39"/>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固定资产变更</w:t>
            </w:r>
          </w:p>
          <w:p w14:paraId="61743DD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资产责任人变更及查询：支持对资产的责任进行变更，选择变更类型，变更后的责任部门与责任人，并说明变更原因。支持查询学校所有变更责任人的资产变更记录。</w:t>
            </w:r>
          </w:p>
          <w:p w14:paraId="03E689B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资产使用人变更及查询：支持对资产的使用人进行变更，选择变更后的使用部门，变更后的使用人和存放位置，并说明变更原因。支持查询学校所有变更使用人的资产变更记录。</w:t>
            </w:r>
          </w:p>
          <w:p w14:paraId="30D6349A">
            <w:pPr>
              <w:pStyle w:val="3"/>
              <w:numPr>
                <w:ilvl w:val="0"/>
                <w:numId w:val="39"/>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固定资产盘点管理</w:t>
            </w:r>
          </w:p>
          <w:p w14:paraId="4C39680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盘点单管理：系统能够根据设置自动生成盘点表；支持在线添加盘点单，选择需盘点的资产，设置无需盘点的资产。可对盘点单进行盘点结果录入、结束盘点等。</w:t>
            </w:r>
          </w:p>
          <w:p w14:paraId="395B4C1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盘点结果处理：可对异常数据进行处理，填写处理结果等。</w:t>
            </w:r>
          </w:p>
          <w:p w14:paraId="69AA85E0">
            <w:pPr>
              <w:pStyle w:val="3"/>
              <w:numPr>
                <w:ilvl w:val="0"/>
                <w:numId w:val="39"/>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固定资产报废管理</w:t>
            </w:r>
          </w:p>
          <w:p w14:paraId="268361E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资产报废：支持对资产进行报废登记处理。</w:t>
            </w:r>
          </w:p>
          <w:p w14:paraId="58EC5956">
            <w:pPr>
              <w:pStyle w:val="17"/>
              <w:spacing w:line="380" w:lineRule="exact"/>
              <w:ind w:firstLine="478" w:firstLineChars="228"/>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资产报废记录查询：可查询学校的资产报废记录，支持打印与导出。</w:t>
            </w:r>
          </w:p>
          <w:p w14:paraId="15A8829D">
            <w:pPr>
              <w:pStyle w:val="3"/>
              <w:numPr>
                <w:ilvl w:val="0"/>
                <w:numId w:val="39"/>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固定资产信息统计</w:t>
            </w:r>
          </w:p>
          <w:p w14:paraId="6A745B8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支持多维度统计固定资产信息。支持按责任部门、资产分类、资产存放位置进行资产信息统计查询。</w:t>
            </w:r>
          </w:p>
          <w:p w14:paraId="05A7EC90">
            <w:pPr>
              <w:pStyle w:val="2"/>
              <w:widowControl w:val="0"/>
              <w:numPr>
                <w:ilvl w:val="0"/>
                <w:numId w:val="15"/>
              </w:numPr>
              <w:tabs>
                <w:tab w:val="left" w:pos="895"/>
              </w:tabs>
              <w:spacing w:line="380" w:lineRule="exact"/>
              <w:ind w:left="482" w:firstLine="478"/>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耐用品/耗材管理服务</w:t>
            </w:r>
          </w:p>
          <w:p w14:paraId="1A8C1EE9">
            <w:pPr>
              <w:pStyle w:val="3"/>
              <w:numPr>
                <w:ilvl w:val="0"/>
                <w:numId w:val="40"/>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耐用品/耗材基础设置</w:t>
            </w:r>
          </w:p>
          <w:p w14:paraId="341E0A6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库房维护：支持为耐用品/耗材设置库房，设置库房编码、责任部门、位置、库管员等。支持添加、修改、删除、停用、指定库房管理员等。</w:t>
            </w:r>
          </w:p>
          <w:p w14:paraId="045D344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物品信息维护：支持对物品信息进行统一维护管理，支持在线添加或批量导入，对信息进行修改、停用、删除，支持打印品名标签。</w:t>
            </w:r>
          </w:p>
          <w:p w14:paraId="3534195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我负责的库房：支持查看我所负责管理的库房。</w:t>
            </w:r>
          </w:p>
          <w:p w14:paraId="12B3DCE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签收签字设置：可配置教职工归还、领/借用资产是否需要在App签字确认规则。</w:t>
            </w:r>
          </w:p>
          <w:p w14:paraId="4610092A">
            <w:pPr>
              <w:pStyle w:val="3"/>
              <w:numPr>
                <w:ilvl w:val="0"/>
                <w:numId w:val="40"/>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耐用品/耗材入库登记</w:t>
            </w:r>
          </w:p>
          <w:p w14:paraId="1F3EAD1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支持管理员单个添加或按模板批量导入耐用品/耗材，登记入库库房、入库时间、入库单号、物品编码、数量、金额等信息。支持删除、查看、修改入库单。</w:t>
            </w:r>
          </w:p>
          <w:p w14:paraId="04CEC33C">
            <w:pPr>
              <w:pStyle w:val="3"/>
              <w:numPr>
                <w:ilvl w:val="0"/>
                <w:numId w:val="40"/>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耐用品/耗材信息统计</w:t>
            </w:r>
          </w:p>
          <w:p w14:paraId="484FFA7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可查询低值耐用品/耗材的基本信息与库存情况。可实时查询商品库存情况，可设置库存的安全库存下限和安全库存上限，当库存商品数量低于或高于上限时，系统有相关预警机制。</w:t>
            </w:r>
          </w:p>
          <w:p w14:paraId="1FC0ED90">
            <w:pPr>
              <w:pStyle w:val="2"/>
              <w:widowControl w:val="0"/>
              <w:numPr>
                <w:ilvl w:val="0"/>
                <w:numId w:val="15"/>
              </w:numPr>
              <w:tabs>
                <w:tab w:val="left" w:pos="895"/>
              </w:tabs>
              <w:spacing w:line="380" w:lineRule="exact"/>
              <w:ind w:left="482" w:firstLine="478"/>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协同办公服务</w:t>
            </w:r>
          </w:p>
          <w:p w14:paraId="1B284305">
            <w:pPr>
              <w:pStyle w:val="3"/>
              <w:numPr>
                <w:ilvl w:val="0"/>
                <w:numId w:val="41"/>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OA流程审批</w:t>
            </w:r>
          </w:p>
          <w:p w14:paraId="72B4057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流程申请：支持在现有流程模板上发起对应的流程，支持上传附件。</w:t>
            </w:r>
          </w:p>
          <w:p w14:paraId="35BFC53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我的申请：支持查看我发起的流程，可查看每个流程的状态和流程明细，可在流程明细中查看目前流程的审批节点。</w:t>
            </w:r>
          </w:p>
          <w:p w14:paraId="3BFCF52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我的已办：支持查看我的已办流程，可对还在审核中的流程进行撤销、追回、催办等。</w:t>
            </w:r>
          </w:p>
          <w:p w14:paraId="18225C3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待我审批：支持查看待我审批的相关流程，可在线审批，支持同意、拒绝、退回、转办、暂存等操作。</w:t>
            </w:r>
          </w:p>
          <w:p w14:paraId="1BD9A32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抄送我的：支持查看需要我关注的，抄送给我的相关流程信息。</w:t>
            </w:r>
          </w:p>
          <w:p w14:paraId="02559717">
            <w:pPr>
              <w:pStyle w:val="3"/>
              <w:numPr>
                <w:ilvl w:val="0"/>
                <w:numId w:val="41"/>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材料缴交</w:t>
            </w:r>
          </w:p>
          <w:p w14:paraId="26FF21F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任务管理：支持查看、修改、删除自己权限下的材料缴交任务。</w:t>
            </w:r>
          </w:p>
          <w:p w14:paraId="601691A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任务类别管理权限设置：支持对材料缴交任务类别进行权限管理，支持任务类别维护、按人指定可管理的任务类别、按任务类别指定可管理的人员，建立任务类别与教职工对应关系后，教职工可对任务类别进行操作处理。</w:t>
            </w:r>
          </w:p>
          <w:p w14:paraId="640C5466">
            <w:pPr>
              <w:pStyle w:val="3"/>
              <w:numPr>
                <w:ilvl w:val="0"/>
                <w:numId w:val="41"/>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知识库管理</w:t>
            </w:r>
          </w:p>
          <w:p w14:paraId="099AE85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将学校各部门、岗位相关的规章制度、岗位工作手册、工作标准、技术规范、各类模板等电子文档，纳入学校知识库统一管理，按知识库授予某类用户对该知识库的上传、下载、预览等权限授权使用，便捷查找同时逐渐积累学校知识资产。</w:t>
            </w:r>
          </w:p>
          <w:p w14:paraId="56207553">
            <w:pPr>
              <w:pStyle w:val="3"/>
              <w:numPr>
                <w:ilvl w:val="0"/>
                <w:numId w:val="41"/>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云盘管理</w:t>
            </w:r>
          </w:p>
          <w:p w14:paraId="2FDBC21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设置学生、教职工、特殊用户的云盘容量，设置云盘允许上传文件类型，随时查看容量使用情况；全校共享目录维护，设置分享及共享范围权限；能设置定时清理文件，防止磁盘空间占满。可以把允许格式和大小的文件上传到个人云盘中进行保存，教职工或学生可以查看别人共享给我的文件，可以在线预览、下载等。</w:t>
            </w:r>
          </w:p>
          <w:p w14:paraId="5CB81D56">
            <w:pPr>
              <w:pStyle w:val="3"/>
              <w:numPr>
                <w:ilvl w:val="0"/>
                <w:numId w:val="41"/>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工作任务管理</w:t>
            </w:r>
          </w:p>
          <w:p w14:paraId="0CE706F1">
            <w:pPr>
              <w:pStyle w:val="4"/>
              <w:numPr>
                <w:ilvl w:val="0"/>
                <w:numId w:val="42"/>
              </w:numPr>
              <w:tabs>
                <w:tab w:val="left" w:pos="482"/>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协作项目管理</w:t>
            </w:r>
          </w:p>
          <w:p w14:paraId="3E288C9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针对持续一段较长时间、涉及人员多的工作项目，提供项目成员管理、任务分解、进度跟踪、问题反馈、工作文档共享、项目成员交流等协同工作支持，提高工作效率。</w:t>
            </w:r>
          </w:p>
          <w:p w14:paraId="15BD081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能可向上级或其他人提交工作报告，指定抄送人、上传报告附件或在线填写报告内容；支持通过PC或手机App快速提交、查看批示工作报告，提高工作效率。</w:t>
            </w:r>
          </w:p>
          <w:p w14:paraId="7B99FF0D">
            <w:pPr>
              <w:pStyle w:val="4"/>
              <w:numPr>
                <w:ilvl w:val="0"/>
                <w:numId w:val="42"/>
              </w:numPr>
              <w:tabs>
                <w:tab w:val="left" w:pos="482"/>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工作任务浏览与统计</w:t>
            </w:r>
          </w:p>
          <w:p w14:paraId="4AB1EA9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校工作任务交办者可指定一个主办人、多个协办人、多个关注人，并为主办人和协办人指定计划办理工时，避免传统OA系统的流程设计冗长弊端；办理人员可通过手机快速完成任务办理和办理情况反馈，可通过附件的形式提交工作报告。支持查看本人工作任务，查看下属工作任务。支持统计工作任务工时。</w:t>
            </w:r>
          </w:p>
          <w:p w14:paraId="1122C58D">
            <w:pPr>
              <w:pStyle w:val="4"/>
              <w:numPr>
                <w:ilvl w:val="0"/>
                <w:numId w:val="42"/>
              </w:numPr>
              <w:tabs>
                <w:tab w:val="left" w:pos="482"/>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工作PDCA浏览与统计</w:t>
            </w:r>
          </w:p>
          <w:p w14:paraId="154D970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教师利用此功够进行有效的个人时间管理，帮助教职工明确每天要做的事情，排出事情的优先等级、紧急程度、重要程度等，按每日填写工作计划，事先能够根据事务的重要和紧急程度做好安排，管理人员查看教职工每日填写的工作计划和总结信息，以月为单位统计每个教职工每天的PDCA计划/总结情况，不断优化自我管理。</w:t>
            </w:r>
          </w:p>
          <w:p w14:paraId="3AE7F2C6">
            <w:pPr>
              <w:pStyle w:val="3"/>
              <w:numPr>
                <w:ilvl w:val="0"/>
                <w:numId w:val="41"/>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目标计划</w:t>
            </w:r>
          </w:p>
          <w:p w14:paraId="0B2308A6">
            <w:pPr>
              <w:pStyle w:val="4"/>
              <w:numPr>
                <w:ilvl w:val="0"/>
                <w:numId w:val="43"/>
              </w:numPr>
              <w:tabs>
                <w:tab w:val="left" w:pos="482"/>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月周工作计划浏览</w:t>
            </w:r>
          </w:p>
          <w:p w14:paraId="1E70AB9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管理员可按时间顺序浏览个人和部门的月/周工作计划，个人和部门可以对月周工作计划进行填报、总结。</w:t>
            </w:r>
          </w:p>
          <w:p w14:paraId="0FFAFF85">
            <w:pPr>
              <w:pStyle w:val="4"/>
              <w:numPr>
                <w:ilvl w:val="0"/>
                <w:numId w:val="43"/>
              </w:numPr>
              <w:tabs>
                <w:tab w:val="left" w:pos="482"/>
              </w:tabs>
              <w:ind w:left="0" w:firstLine="478" w:firstLineChars="228"/>
              <w:jc w:val="both"/>
              <w:outlineLvl w:val="2"/>
              <w:rPr>
                <w:rFonts w:cs="宋体"/>
                <w:color w:val="000000" w:themeColor="text1"/>
                <w:sz w:val="21"/>
                <w:szCs w:val="21"/>
                <w:highlight w:val="none"/>
                <w14:textFill>
                  <w14:solidFill>
                    <w14:schemeClr w14:val="tx1"/>
                  </w14:solidFill>
                </w14:textFill>
              </w:rPr>
            </w:pPr>
            <w:r>
              <w:rPr>
                <w:rFonts w:hint="eastAsia" w:cs="宋体"/>
                <w:color w:val="000000" w:themeColor="text1"/>
                <w:sz w:val="21"/>
                <w:szCs w:val="21"/>
                <w:highlight w:val="none"/>
                <w14:textFill>
                  <w14:solidFill>
                    <w14:schemeClr w14:val="tx1"/>
                  </w14:solidFill>
                </w14:textFill>
              </w:rPr>
              <w:t>基础设置</w:t>
            </w:r>
          </w:p>
          <w:p w14:paraId="2DE8472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OKR管理：设置机构的组织使命与愿景、指定系统管理员、团队/个人OKR权限等，提供OKR填报、复盘、总结，将各级部门、个人目标与机构的目标对齐，以指导和牵引机构、部门和个人的行为，提供OKR围观议论功能，能侧面提升教职工的绩效表现。定期进行OKR复盘和总结；管理员可对OKR复盘情况进行查看。</w:t>
            </w:r>
          </w:p>
          <w:p w14:paraId="017BED0F">
            <w:pPr>
              <w:pStyle w:val="3"/>
              <w:numPr>
                <w:ilvl w:val="0"/>
                <w:numId w:val="41"/>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通知、系统消息、短信</w:t>
            </w:r>
          </w:p>
          <w:p w14:paraId="0F42869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bookmarkStart w:id="143" w:name="OLE_LINK4"/>
            <w:r>
              <w:rPr>
                <w:rFonts w:hint="eastAsia" w:ascii="宋体" w:hAnsi="宋体" w:cs="宋体"/>
                <w:color w:val="000000" w:themeColor="text1"/>
                <w:sz w:val="21"/>
                <w:szCs w:val="21"/>
                <w:highlight w:val="none"/>
                <w14:textFill>
                  <w14:solidFill>
                    <w14:schemeClr w14:val="tx1"/>
                  </w14:solidFill>
                </w14:textFill>
              </w:rPr>
              <w:t>通过业务消息配置，系统支持人工或系统自动发送公告通知，用户可以通过电子邮件、系统消息、手机短信、即时通信查看公告通知提醒。</w:t>
            </w:r>
          </w:p>
          <w:bookmarkEnd w:id="143"/>
          <w:p w14:paraId="5E0DE28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收到的通知/消息：支持按通知分类、紧急程度等查看我收到的消息/通知，支持将消息通知标记为已读、星标；可对消息通知的附件进行下载查看保存。可查看我收到的系统消息，支持标记、删除、导出、打印等操作。</w:t>
            </w:r>
          </w:p>
          <w:p w14:paraId="32B76FE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发送通知/消息：填写消息发送内容，设置消息紧急程度，支持添加附件，可预览消息内容；设置通知消息的起止时间，设置是否要求接收人回复、是否允许接收人转发等。选择消息接收对象，设置消息接收渠道（如系统消息、短信、邮件、企业微信等）。</w:t>
            </w:r>
          </w:p>
          <w:p w14:paraId="372FAE2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已发送的通知/消息：支持查看、修改、删除、修改消息接收人等操作。</w:t>
            </w:r>
          </w:p>
          <w:p w14:paraId="7FAF7B8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定时短信任务：系统生成短信任务，到时间自动发送短信；支持按校区、系、行政班、自定义组、个人等方式群发手机短信。</w:t>
            </w:r>
          </w:p>
          <w:p w14:paraId="7962CC4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已发送的短信：支持查看已发送的短信、发送成功的短信、发送失败的短信。</w:t>
            </w:r>
          </w:p>
          <w:p w14:paraId="0861716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私人群组维护：普通用户维护自己的私人群组及群组的人员。</w:t>
            </w:r>
          </w:p>
          <w:p w14:paraId="686DE88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短信套餐充值及统计：管理员维护学校自己的短信套餐，并进行充值。</w:t>
            </w:r>
          </w:p>
          <w:p w14:paraId="6F51D27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阅读明细查看：支持查看通知的阅读明细。</w:t>
            </w:r>
          </w:p>
          <w:p w14:paraId="1FC7D5A0">
            <w:pPr>
              <w:pStyle w:val="3"/>
              <w:numPr>
                <w:ilvl w:val="0"/>
                <w:numId w:val="41"/>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bookmarkStart w:id="144" w:name="OLE_LINK16"/>
            <w:r>
              <w:rPr>
                <w:rFonts w:hint="eastAsia" w:ascii="宋体" w:hAnsi="宋体" w:eastAsia="宋体" w:cs="宋体"/>
                <w:color w:val="000000" w:themeColor="text1"/>
                <w:sz w:val="21"/>
                <w:szCs w:val="21"/>
                <w:highlight w:val="none"/>
                <w14:textFill>
                  <w14:solidFill>
                    <w14:schemeClr w14:val="tx1"/>
                  </w14:solidFill>
                </w14:textFill>
              </w:rPr>
              <w:t>领导日程</w:t>
            </w:r>
          </w:p>
          <w:bookmarkEnd w:id="144"/>
          <w:p w14:paraId="340E99B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bookmarkStart w:id="145" w:name="OLE_LINK18"/>
            <w:r>
              <w:rPr>
                <w:rFonts w:hint="eastAsia" w:ascii="宋体" w:hAnsi="宋体" w:cs="宋体"/>
                <w:color w:val="000000" w:themeColor="text1"/>
                <w:sz w:val="21"/>
                <w:szCs w:val="21"/>
                <w:highlight w:val="none"/>
                <w14:textFill>
                  <w14:solidFill>
                    <w14:schemeClr w14:val="tx1"/>
                  </w14:solidFill>
                </w14:textFill>
              </w:rPr>
              <w:t>支持校办工作人员填报、维护领导的日程安排，可将领导姓名设置为标题名称，设置日程开始时间、结束时间、日程类型和日程事宜描述等；</w:t>
            </w:r>
          </w:p>
          <w:p w14:paraId="1A00590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维护好的领导日程可在智慧校园平台门户首页进行展示，全校教职工登录平台或智慧校园App端即可查看领导日程具体安排时间，避免找领导流程审批、协商事宜等情况扑空。</w:t>
            </w:r>
          </w:p>
          <w:bookmarkEnd w:id="145"/>
          <w:p w14:paraId="113B9B98">
            <w:pPr>
              <w:pStyle w:val="2"/>
              <w:widowControl w:val="0"/>
              <w:numPr>
                <w:ilvl w:val="0"/>
                <w:numId w:val="15"/>
              </w:numPr>
              <w:tabs>
                <w:tab w:val="left" w:pos="895"/>
              </w:tabs>
              <w:spacing w:line="380" w:lineRule="exact"/>
              <w:ind w:left="482" w:firstLine="478"/>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党建思政管理服务</w:t>
            </w:r>
          </w:p>
          <w:p w14:paraId="108B733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对学校党建思政进行统一管理，维护党建基础数据，对党建活动进行详细记录管理（含党组织信息管理、党员发展管理、党组织关系转移管理、党员干部学习管理、党课数据管理、党员活动管理等），便于后期统计分析。</w:t>
            </w:r>
          </w:p>
          <w:p w14:paraId="3C358036">
            <w:pPr>
              <w:pStyle w:val="3"/>
              <w:numPr>
                <w:ilvl w:val="0"/>
                <w:numId w:val="44"/>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党建工作台</w:t>
            </w:r>
          </w:p>
          <w:p w14:paraId="231744C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全校党组织概况展示：支持展示党委班子信息，统计党组织、党员各类核心指标，提供多维度党员结构图表分析，支持数据下钻、按党组织层级逐级查看党建数据。</w:t>
            </w:r>
          </w:p>
          <w:p w14:paraId="48A3560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支部概况展示：支持展示支部班子信息，统计本支部范围内党建指标，可视化展示支部党员各发展阶段人员分布。</w:t>
            </w:r>
          </w:p>
          <w:p w14:paraId="41BAC9B0">
            <w:pPr>
              <w:pStyle w:val="3"/>
              <w:numPr>
                <w:ilvl w:val="0"/>
                <w:numId w:val="44"/>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组织建设</w:t>
            </w:r>
          </w:p>
          <w:p w14:paraId="1470FF1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党组织机构管理：支持多种方式创建党组织，可与智慧校园平台组织机构数据双向同步，实现党组织新增、修改、更名、删除、撤销，具备变更历史审计追溯。</w:t>
            </w:r>
          </w:p>
          <w:p w14:paraId="753805C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领导班子管理：支持党组织领导班子届次、班子成员全生命周期维护管理。</w:t>
            </w:r>
          </w:p>
          <w:p w14:paraId="6149ACB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党小组管理：支持党小组新增、修改、删除管理，完成党员编组、小组长设置，可查看党小组及党员列表。</w:t>
            </w:r>
          </w:p>
          <w:p w14:paraId="3F089453">
            <w:pPr>
              <w:pStyle w:val="3"/>
              <w:numPr>
                <w:ilvl w:val="0"/>
                <w:numId w:val="44"/>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党员管理</w:t>
            </w:r>
          </w:p>
          <w:p w14:paraId="72E474B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数据整合：支持从智慧校园平台同步党员人员信息，可导入补充完善党员党建相关信息。</w:t>
            </w:r>
          </w:p>
          <w:p w14:paraId="5A3A5F4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线下党员信息 Excel 直接导入：支持通过 Excel 模板批量导入线下党员信息，导入过程完成数据校验，输出导入结果。</w:t>
            </w:r>
          </w:p>
          <w:p w14:paraId="2A47015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党员信息维护：维护党员基础及党建信息，基础信息以智慧校园平台为准，支持逻辑删除党员记录，留存历史数据。</w:t>
            </w:r>
          </w:p>
          <w:p w14:paraId="7FFCCDD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党员列表查询：多维度筛选查询党员信息，支持分页、排序展示党员列表。</w:t>
            </w:r>
          </w:p>
          <w:p w14:paraId="668F862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党员详情查看：以标签页形式完整展示党员基本信息、党建信息、人事信息、发展历程时间轴。</w:t>
            </w:r>
          </w:p>
          <w:p w14:paraId="156360F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党员统计：按党组织、党员类别、党籍状态等维度开展党员数据统计。</w:t>
            </w:r>
          </w:p>
          <w:p w14:paraId="432E38AF">
            <w:pPr>
              <w:pStyle w:val="3"/>
              <w:numPr>
                <w:ilvl w:val="0"/>
                <w:numId w:val="44"/>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发展党员</w:t>
            </w:r>
          </w:p>
          <w:p w14:paraId="3524EC9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申请入党：支持师生线上提交入党申请，党支部开展线上审核，登记谈话相关记录。</w:t>
            </w:r>
          </w:p>
          <w:p w14:paraId="2188A34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入党积极分子的确定和培养教育：完成入党积极分子确定、备案、指定联系人、培养考察全流程管理。</w:t>
            </w:r>
          </w:p>
          <w:p w14:paraId="16FB544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发展对象的确定和考察：支持从积极分子中确定发展对象，完成政审材料上传管理。</w:t>
            </w:r>
          </w:p>
          <w:p w14:paraId="6459D44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预备党员的接收：覆盖支委会审查、预审、支部大会表决、党委审批、备案等全审批流程，记录审批操作日志。</w:t>
            </w:r>
          </w:p>
          <w:p w14:paraId="34FEED6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预备党员的教育考察和转正：实现预备党员考察、转正业务流程管理。</w:t>
            </w:r>
          </w:p>
          <w:p w14:paraId="3A4D2F8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全流程跟踪与统计：以时间线跟踪党员发展全流程，按党组织统计各发展阶段人员数量。</w:t>
            </w:r>
          </w:p>
          <w:p w14:paraId="23BB7835">
            <w:pPr>
              <w:pStyle w:val="3"/>
              <w:numPr>
                <w:ilvl w:val="0"/>
                <w:numId w:val="44"/>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组织生活</w:t>
            </w:r>
          </w:p>
          <w:p w14:paraId="0C0A4F1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三会一课管理：支持创建、发布三会一课活动，配置签到规则，选定参与人员，保存草稿，生成签到二维码，登记会议记录、归档材料，查询会议列表与详情。</w:t>
            </w:r>
          </w:p>
          <w:p w14:paraId="7710B89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主题党日管理：支持创建主题党日活动，配置签到、选定参与人员，登记活动内容，上传附件，查询活动列表及详情。</w:t>
            </w:r>
          </w:p>
          <w:p w14:paraId="046025E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考勤管理：对组织生活开展考勤统计，自动计算应到、实到、迟到、请假、缺席数据，可查看签到明细与请假信息。</w:t>
            </w:r>
          </w:p>
          <w:p w14:paraId="22BCD52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谈心谈话管理：支持创建谈心谈话记录，登记谈话要素、问题整改计划，上传附件，可查询谈心谈话列表与详情。</w:t>
            </w:r>
          </w:p>
          <w:p w14:paraId="06B03B89">
            <w:pPr>
              <w:pStyle w:val="3"/>
              <w:numPr>
                <w:ilvl w:val="0"/>
                <w:numId w:val="44"/>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组织关系转入转出</w:t>
            </w:r>
          </w:p>
          <w:p w14:paraId="233E37B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转入记录管理：支持党员组织关系转入，校验避免重复录入，可编辑、删除转入记录，自动更新支部、党小组人员数据。</w:t>
            </w:r>
          </w:p>
          <w:p w14:paraId="09E0BC0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转出记录管理：登记党员组织关系转出信息，可编辑、删除转出记录，自动调整原支部、党小组人员信息。</w:t>
            </w:r>
          </w:p>
          <w:p w14:paraId="5770777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内部流转记录管理：支持党组织内部党员流转，可编辑、删除流转记录，完成跨支部人员数据更新。</w:t>
            </w:r>
          </w:p>
          <w:p w14:paraId="4908BD3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登记管理列表：统一展示转入、转出、内部流转记录，按权限控制数据可见范围，支持筛选、查看详情、编辑、删除、导出。</w:t>
            </w:r>
          </w:p>
          <w:p w14:paraId="487E904D">
            <w:pPr>
              <w:pStyle w:val="2"/>
              <w:widowControl w:val="0"/>
              <w:numPr>
                <w:ilvl w:val="0"/>
                <w:numId w:val="15"/>
              </w:numPr>
              <w:tabs>
                <w:tab w:val="left" w:pos="895"/>
              </w:tabs>
              <w:spacing w:line="380" w:lineRule="exact"/>
              <w:ind w:left="482" w:firstLine="478"/>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校门口进出管控服务</w:t>
            </w:r>
          </w:p>
          <w:p w14:paraId="5CA57361">
            <w:pPr>
              <w:pStyle w:val="3"/>
              <w:numPr>
                <w:ilvl w:val="0"/>
                <w:numId w:val="45"/>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闸机维护</w:t>
            </w:r>
          </w:p>
          <w:p w14:paraId="2C070AE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统一维护学校各校门闸机及人脸识别设备，支持添加设备信息，标记设备的所在小区、位置、设备编码、设备IP等，便于快速查找设备。设备信息支持导出、打印、删除等操作。</w:t>
            </w:r>
          </w:p>
          <w:p w14:paraId="0A99A4F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支持统一维护学校各校门显示屏设备信息，标记所在校区、位置设备IP、设备密码等，设置显示屏所监控的指定闸机，便于快速标记与查找相关设备。设备信息支持导出、打印、删除等操作。</w:t>
            </w:r>
          </w:p>
          <w:p w14:paraId="627BEF3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校门显示屏支持显示今日通行学生、教职工、家属及其他人员通行人次；显示显示屏对应的闸机设备运行情况、刷脸异常情况等，便于学校实时掌握进出校情况及设备运行情况。</w:t>
            </w:r>
          </w:p>
          <w:p w14:paraId="0F9E287A">
            <w:pPr>
              <w:pStyle w:val="3"/>
              <w:numPr>
                <w:ilvl w:val="0"/>
                <w:numId w:val="45"/>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闸机进出设置</w:t>
            </w:r>
          </w:p>
          <w:p w14:paraId="4BEFEB9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针对学校走读生、住校生，单独设置走读生、住校生的进出校管控规则，规则设置可按全校教学作息进行设置（系统动态获取教务教学作息时间管控进出校），也可全校自定义设置或按班级自定义进行设置（按自定义的进出放行执行日期进行管控）。未设置规则的学生，默认不能进出校。若学生在系统已有请假信息或有节假日放假任务则不受进出规则限制。</w:t>
            </w:r>
          </w:p>
          <w:p w14:paraId="11192B4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支持记录进出校时间，支持设置按要求发送进出校信息给监护人或班主任。</w:t>
            </w:r>
          </w:p>
          <w:p w14:paraId="0DAF466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支持按校区制定寒暑假期间走读生、住校生的进出校管控规则。</w:t>
            </w:r>
          </w:p>
          <w:p w14:paraId="39AFBD6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支持对不符合管理要求的学生设备将限制其进出校，显示屏显示异常学生信息及不可放行原因。</w:t>
            </w:r>
          </w:p>
          <w:p w14:paraId="5E5DD96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bookmarkStart w:id="146" w:name="_Hlk187913853"/>
            <w:r>
              <w:rPr>
                <w:rFonts w:hint="eastAsia" w:ascii="宋体" w:hAnsi="宋体" w:cs="宋体"/>
                <w:color w:val="000000" w:themeColor="text1"/>
                <w:sz w:val="21"/>
                <w:szCs w:val="21"/>
                <w:highlight w:val="none"/>
                <w14:textFill>
                  <w14:solidFill>
                    <w14:schemeClr w14:val="tx1"/>
                  </w14:solidFill>
                </w14:textFill>
              </w:rPr>
              <w:t>支持教职工考勤管理员将校门口管控设备添加到考勤组的打卡设备，作为教职工坐班考勤打卡设备，上班时教职工通过校门口管控设备刷脸进校时顺便完成上班打卡，下班时教职工通过校门口管控设备刷脸出校时顺便完成下班打卡。</w:t>
            </w:r>
          </w:p>
          <w:p w14:paraId="707F7C7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支持教职工或信息中心为教职工家属、其他常驻人员申请进出校管控，申请通过后，可通过校门口闸机、人脸考勤设备实现刷脸进出校。</w:t>
            </w:r>
          </w:p>
          <w:bookmarkEnd w:id="146"/>
          <w:p w14:paraId="31FB0219">
            <w:pPr>
              <w:pStyle w:val="3"/>
              <w:numPr>
                <w:ilvl w:val="0"/>
                <w:numId w:val="45"/>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闸机进出记录查询</w:t>
            </w:r>
          </w:p>
          <w:p w14:paraId="7012A1F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支持按姓名、通行类型、人员身份、设备名称、设备位置、通行时间段等多个维度查询校门进出校记录，进出校信息支持导出与打印。</w:t>
            </w:r>
          </w:p>
          <w:p w14:paraId="4AE515F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进出明细可查询此人员的通行时间、人员所属身份、人员学号/工号，通行类型、通行的设备名称和设备所在位置等。</w:t>
            </w:r>
          </w:p>
          <w:p w14:paraId="423ED132">
            <w:pPr>
              <w:pStyle w:val="2"/>
              <w:widowControl w:val="0"/>
              <w:numPr>
                <w:ilvl w:val="0"/>
                <w:numId w:val="15"/>
              </w:numPr>
              <w:tabs>
                <w:tab w:val="left" w:pos="895"/>
              </w:tabs>
              <w:spacing w:line="380" w:lineRule="exact"/>
              <w:ind w:left="482" w:firstLine="478"/>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访客管理服务</w:t>
            </w:r>
          </w:p>
          <w:p w14:paraId="2DFA723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支持维护访客来访事由，可在线添加或对已有事由进行修改；设置访客入校须知注意事项，如禁止携带违禁品入校等；</w:t>
            </w:r>
          </w:p>
          <w:p w14:paraId="4901570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支持配置访客二维码，将访客预约链接到微信服务号。来访人员关注学校微信服务号进行扫码登记预约；也支持被访人分享预约二维码或将二维码贴与门卫供访客扫码预约；</w:t>
            </w:r>
          </w:p>
          <w:p w14:paraId="74459CB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访客预约提交后，被访教职工可在智慧校园App上查看访客预约记录，可对待确认的预约单进行同意或拒绝。</w:t>
            </w:r>
          </w:p>
          <w:p w14:paraId="2ED19C8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预约单通过后生效，来访人员方可入校。学校配置闸机的情况下，访客在预约来访起止时间内，可通过闸机人脸识别、二维码扫码、社保卡、身份证扫码方式快速入校，无需换证等待，实现无感通行。若未配置相关硬件设备可凭预约二维码门卫人工放行；</w:t>
            </w:r>
          </w:p>
          <w:p w14:paraId="30B9C83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系统自动记录访客进出校时间，出校成功后系统自动释放权限。</w:t>
            </w:r>
          </w:p>
          <w:p w14:paraId="68FFB93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系统将方可预约记录、访客进出校明细等数据进行保留（180天），为保障访客信息安全，访客提交的人脸底库等私人信息将在来访预约单结束1个工作日后自动删除。</w:t>
            </w:r>
          </w:p>
          <w:p w14:paraId="52F302F2">
            <w:pPr>
              <w:pStyle w:val="2"/>
              <w:widowControl w:val="0"/>
              <w:numPr>
                <w:ilvl w:val="0"/>
                <w:numId w:val="15"/>
              </w:numPr>
              <w:tabs>
                <w:tab w:val="left" w:pos="895"/>
              </w:tabs>
              <w:spacing w:line="380" w:lineRule="exact"/>
              <w:ind w:left="482" w:firstLine="478"/>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低代码开发服务</w:t>
            </w:r>
          </w:p>
          <w:p w14:paraId="33805ECE">
            <w:pPr>
              <w:pStyle w:val="3"/>
              <w:numPr>
                <w:ilvl w:val="0"/>
                <w:numId w:val="46"/>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应用设计权限管理</w:t>
            </w:r>
          </w:p>
          <w:p w14:paraId="442A3EB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支持超级管理员将权限下发分配给其他管理员，管理员可对应用进行开发和维护。</w:t>
            </w:r>
          </w:p>
          <w:p w14:paraId="1CBAAA3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超级管理员可新增权限组，可对已有权限组进行禁用、删除、编辑等操作。</w:t>
            </w:r>
          </w:p>
          <w:p w14:paraId="435DB2E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设置权限组名称，为权限组添加组成员，选择有权限的应用，设置成功后，组内成员均可对有权限的应用进行开发和维护管理。</w:t>
            </w:r>
          </w:p>
          <w:p w14:paraId="763F4EE9">
            <w:pPr>
              <w:pStyle w:val="3"/>
              <w:numPr>
                <w:ilvl w:val="0"/>
                <w:numId w:val="46"/>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应用开发与管理</w:t>
            </w:r>
          </w:p>
          <w:p w14:paraId="0F46E27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支持学校个性化应用自主搭建。</w:t>
            </w:r>
          </w:p>
          <w:p w14:paraId="5EAD6E6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短平快上线软件功能，应对阶段性、临时性、易变的、个性化的业务场景及管理需要，如满意度调查、健康上报、体温登记、活动报名等短期高频应用等。</w:t>
            </w:r>
          </w:p>
          <w:p w14:paraId="79EC9C3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无需编程，懂业务即可搭建，简单拖拽式快速上线发布；与智慧校园平台深度整合集成，开发成功支持在网页端、App端使用。</w:t>
            </w:r>
          </w:p>
          <w:p w14:paraId="71C0E414">
            <w:pPr>
              <w:pStyle w:val="3"/>
              <w:numPr>
                <w:ilvl w:val="0"/>
                <w:numId w:val="46"/>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创建应用</w:t>
            </w:r>
          </w:p>
          <w:p w14:paraId="21917E4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支持管理员在线创建微应用，如车辆管理、设备报修等；选择应用分组（教务教学、学生事务、招生就业等），添加应用图标；创建成功后为应用添加流程表单、普通表单等，支持对应用进行删除、停用操作。</w:t>
            </w:r>
          </w:p>
          <w:p w14:paraId="6ACBA47E">
            <w:pPr>
              <w:pStyle w:val="3"/>
              <w:numPr>
                <w:ilvl w:val="0"/>
                <w:numId w:val="46"/>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流程表单管理</w:t>
            </w:r>
          </w:p>
          <w:p w14:paraId="501E6E9C">
            <w:pPr>
              <w:pStyle w:val="17"/>
              <w:numPr>
                <w:ilvl w:val="0"/>
                <w:numId w:val="47"/>
              </w:numPr>
              <w:tabs>
                <w:tab w:val="left" w:pos="482"/>
              </w:tabs>
              <w:spacing w:line="380" w:lineRule="exact"/>
              <w:ind w:left="0"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管理员流程配置</w:t>
            </w:r>
          </w:p>
          <w:p w14:paraId="1D15851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支持管理员无代码构建流程与表单，系统已支持15种表单控件，满足学校常用表单配置。</w:t>
            </w:r>
          </w:p>
          <w:p w14:paraId="5C4F001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动态审批人：支持为流程设置动态审批人，如设置审批人为流程发起人所在组织负责人，发起表单时系统自动查找选择机构负责人；若学校人员组织变更系统自动查找新的负责人，无需更改流程。</w:t>
            </w:r>
          </w:p>
          <w:p w14:paraId="5F4DC6F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设置节点权限：可根据业务具体场景，设置不同节点审批人可查看或可编辑不同字段；如某流程中仅班主任可查看学生身份证号码与手机号等。同时可对节点设置打印权限、退回权限等。</w:t>
            </w:r>
          </w:p>
          <w:p w14:paraId="4AE97C9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数据标题设置：支持使用表单中的字段加自定义内容设置数据标题，可将发起人设置为标题内容组成（可帮助审批人快速区分）、可将紧急程度设置为标题内容组成（可快速识别重要程度）。</w:t>
            </w:r>
          </w:p>
          <w:p w14:paraId="648503D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设置表单数据与业务互通：支持管理员将表单数据推送到智慧校园平台坐班考勤，实现请假、销假流程与考勤业务进行互通，实现系统自动根据人员休假情况进行考勤。</w:t>
            </w:r>
          </w:p>
          <w:p w14:paraId="18834D0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设置消息提醒：可根据不同流程状态或流程重要程度设置消息提醒，消息提醒方式包括系统推送消息、邮件、企业微信、短信等。确保审批人员能及时查看并处理。</w:t>
            </w:r>
          </w:p>
          <w:p w14:paraId="1A037415">
            <w:pPr>
              <w:pStyle w:val="17"/>
              <w:numPr>
                <w:ilvl w:val="0"/>
                <w:numId w:val="47"/>
              </w:numPr>
              <w:tabs>
                <w:tab w:val="left" w:pos="482"/>
              </w:tabs>
              <w:spacing w:line="380" w:lineRule="exact"/>
              <w:ind w:left="0"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管理员维护流程</w:t>
            </w:r>
          </w:p>
          <w:p w14:paraId="2CE854A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支持管理员对流程数据进行维护管理，可查看流程产生的相关数据，可对数据进行过滤、筛选等，以便快速查找需要查看的数据；同时支持管理员对流程产生的废数据进行删除；支持对历史数据进行打印。</w:t>
            </w:r>
          </w:p>
          <w:p w14:paraId="6898E396">
            <w:pPr>
              <w:pStyle w:val="17"/>
              <w:numPr>
                <w:ilvl w:val="0"/>
                <w:numId w:val="47"/>
              </w:numPr>
              <w:tabs>
                <w:tab w:val="left" w:pos="482"/>
              </w:tabs>
              <w:spacing w:line="380" w:lineRule="exact"/>
              <w:ind w:left="0"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流程设计</w:t>
            </w:r>
          </w:p>
          <w:p w14:paraId="554AD6F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采用可视化、引导式流程设计，可对流程设置多节点与分支，以便适配多场景流程应用。</w:t>
            </w:r>
          </w:p>
          <w:p w14:paraId="5FD692B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流程节点配置：支持配置发起节点、审批节点、抄送节点、任务分发节点，支持配置各个节点名称、按钮配置（提交、保存草稿、暂存、撤回、打印等）、权限配置（可见、可编辑等）。</w:t>
            </w:r>
          </w:p>
          <w:p w14:paraId="641790B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分支配置：支持配置分支条件，实现分支并行、串行等。</w:t>
            </w:r>
          </w:p>
          <w:p w14:paraId="5EE6B6D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流程图导出：支持将流程图导出打印存档。</w:t>
            </w:r>
          </w:p>
          <w:p w14:paraId="614F8AA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流程版本管理：为保证流程和表单的独立性与扩展性，支持分离流程模型和表单模型，以便支持线上多个版本流程并存，修改时不影响历史数据，不影响正在进行的流程。</w:t>
            </w:r>
          </w:p>
          <w:p w14:paraId="48138203">
            <w:pPr>
              <w:pStyle w:val="17"/>
              <w:numPr>
                <w:ilvl w:val="0"/>
                <w:numId w:val="47"/>
              </w:numPr>
              <w:tabs>
                <w:tab w:val="left" w:pos="482"/>
              </w:tabs>
              <w:spacing w:line="380" w:lineRule="exact"/>
              <w:ind w:left="0"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表单设计</w:t>
            </w:r>
          </w:p>
          <w:p w14:paraId="16B4E5B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支持无代码构建流程表单，根据需求进行可视化拖拽方式表单设计。</w:t>
            </w:r>
          </w:p>
          <w:p w14:paraId="00628C9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表单字段：</w:t>
            </w:r>
          </w:p>
          <w:p w14:paraId="50E8E30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支持单行文本、多行文本，支持标题自定义、配置标题布局、描述等，设置控件大小配置、最大长度限制等。</w:t>
            </w:r>
          </w:p>
          <w:p w14:paraId="4C37013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支持数字输入，支持标题自定义、配置标题布局、描述等，设置控件大小配置、显示类别配置（小数、百分比、金额）、数值范围限制等。</w:t>
            </w:r>
          </w:p>
          <w:p w14:paraId="35B0518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支持函数公式，函数公式采用Aviator框架完成算术、比较等计算，支持个性化自定义函数及函数验证。</w:t>
            </w:r>
          </w:p>
          <w:p w14:paraId="17D051D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支持下拉单选、下拉多选配置。支持下拉选项内容可关联其他表单数据的某个字段的值进行选择。</w:t>
            </w:r>
          </w:p>
          <w:p w14:paraId="08BE77D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支持配置附件、子表单、手写签名、行政班单选、行政班多选、人员单选、人员多选、组织单选、组织多选、图片字段、关联表单字段、单行文本数据联动等；</w:t>
            </w:r>
          </w:p>
          <w:p w14:paraId="11CC1B4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支持数据关联，支持配置业务系统数据获取的数据源、数据源展示字段、数据回填等。</w:t>
            </w:r>
          </w:p>
          <w:p w14:paraId="64D1B51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支持审批意见回填，支持将审批节点的审批意见、签名等回填到字段中。</w:t>
            </w:r>
          </w:p>
          <w:p w14:paraId="7AA6675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表单预览：支持表单预览，可在PC端和App端预览表单填写效果，便于及时调整。</w:t>
            </w:r>
          </w:p>
          <w:p w14:paraId="4A942E8D">
            <w:pPr>
              <w:pStyle w:val="17"/>
              <w:numPr>
                <w:ilvl w:val="0"/>
                <w:numId w:val="47"/>
              </w:numPr>
              <w:tabs>
                <w:tab w:val="left" w:pos="482"/>
              </w:tabs>
              <w:spacing w:line="380" w:lineRule="exact"/>
              <w:ind w:left="0"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流程表单其他设置</w:t>
            </w:r>
          </w:p>
          <w:p w14:paraId="4933494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数据标题设置：支持默认数据标题、自定义数据标题；用户可根据数据标题快速区分流程。</w:t>
            </w:r>
          </w:p>
          <w:p w14:paraId="41ABD56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提醒设置：支持待办事项提醒、退回提醒、流程结束提醒、抄送提醒等。提醒方式支持系统消息、手机短信、企业微信、电子邮件。</w:t>
            </w:r>
          </w:p>
          <w:p w14:paraId="586DAE8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打印模板：支持系统默认模板、自定义模板。</w:t>
            </w:r>
          </w:p>
          <w:p w14:paraId="344E77D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提交设置：支持配置每人提交次数、每人每天、每人每月、每人每年提交次数、不限制次数等。</w:t>
            </w:r>
          </w:p>
          <w:p w14:paraId="0A712B2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自动审批：支持设置相邻流程节点负责人相同时，系统可自动审批。</w:t>
            </w:r>
          </w:p>
          <w:p w14:paraId="495D01A9">
            <w:pPr>
              <w:pStyle w:val="17"/>
              <w:numPr>
                <w:ilvl w:val="0"/>
                <w:numId w:val="47"/>
              </w:numPr>
              <w:tabs>
                <w:tab w:val="left" w:pos="482"/>
              </w:tabs>
              <w:spacing w:line="380" w:lineRule="exact"/>
              <w:ind w:left="0"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流程表单数据管理</w:t>
            </w:r>
          </w:p>
          <w:p w14:paraId="759D532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bookmarkStart w:id="147" w:name="OLE_LINK8"/>
            <w:r>
              <w:rPr>
                <w:rFonts w:hint="eastAsia" w:ascii="宋体" w:hAnsi="宋体" w:cs="宋体"/>
                <w:color w:val="000000" w:themeColor="text1"/>
                <w:sz w:val="21"/>
                <w:szCs w:val="21"/>
                <w:highlight w:val="none"/>
                <w14:textFill>
                  <w14:solidFill>
                    <w14:schemeClr w14:val="tx1"/>
                  </w14:solidFill>
                </w14:textFill>
              </w:rPr>
              <w:t>字段展示：支持配置查看所有字段或查看当前在用字段；查看字段时可拖拉查看宽度；可配置每页数据展示条数；可直接输入页码进行跳转。</w:t>
            </w:r>
          </w:p>
          <w:p w14:paraId="5DFA922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字段筛选：文本字段支持模糊搜索查询，数字字段支持最大值最小值过滤，日期字段支持区间筛选，下拉支持按选项过滤查找。</w:t>
            </w:r>
          </w:p>
          <w:p w14:paraId="1C04C10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数据详情：支持查看每条数据的详情，包括历史审批数据等，支持打印和删除。</w:t>
            </w:r>
          </w:p>
          <w:bookmarkEnd w:id="147"/>
          <w:p w14:paraId="19D509C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流程干预：支持管理员手动中断流程、更改流程实例。</w:t>
            </w:r>
          </w:p>
          <w:p w14:paraId="15C54661">
            <w:pPr>
              <w:pStyle w:val="17"/>
              <w:numPr>
                <w:ilvl w:val="0"/>
                <w:numId w:val="47"/>
              </w:numPr>
              <w:tabs>
                <w:tab w:val="left" w:pos="482"/>
              </w:tabs>
              <w:spacing w:line="380" w:lineRule="exact"/>
              <w:ind w:left="0" w:firstLine="478" w:firstLineChars="228"/>
              <w:jc w:val="both"/>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流程使用</w:t>
            </w:r>
          </w:p>
          <w:p w14:paraId="3CC8309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发起流程：</w:t>
            </w:r>
            <w:bookmarkStart w:id="148" w:name="OLE_LINK20"/>
            <w:r>
              <w:rPr>
                <w:rFonts w:hint="eastAsia" w:ascii="宋体" w:hAnsi="宋体" w:cs="宋体"/>
                <w:color w:val="000000" w:themeColor="text1"/>
                <w:sz w:val="21"/>
                <w:szCs w:val="21"/>
                <w:highlight w:val="none"/>
                <w14:textFill>
                  <w14:solidFill>
                    <w14:schemeClr w14:val="tx1"/>
                  </w14:solidFill>
                </w14:textFill>
              </w:rPr>
              <w:t>发起人可在PC端App端查看自己可发起的流程并选择流程发起</w:t>
            </w:r>
            <w:bookmarkEnd w:id="148"/>
            <w:r>
              <w:rPr>
                <w:rFonts w:hint="eastAsia" w:ascii="宋体" w:hAnsi="宋体" w:cs="宋体"/>
                <w:color w:val="000000" w:themeColor="text1"/>
                <w:sz w:val="21"/>
                <w:szCs w:val="21"/>
                <w:highlight w:val="none"/>
                <w14:textFill>
                  <w14:solidFill>
                    <w14:schemeClr w14:val="tx1"/>
                  </w14:solidFill>
                </w14:textFill>
              </w:rPr>
              <w:t>，发起时可自动填写相关数据，如自动回填人员姓名、电话等配置回填的基础信息。</w:t>
            </w:r>
          </w:p>
          <w:p w14:paraId="74F8104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审批流程：审批人可查看待我审批的流程，审批完成后可在已审批中查看。</w:t>
            </w:r>
          </w:p>
          <w:p w14:paraId="15F5A13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手写签名：支持审批时手写签名作为流程审批凭证。</w:t>
            </w:r>
          </w:p>
          <w:p w14:paraId="42AECA5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审批历史：发起人、审批人可对流程审批过程进行查看。</w:t>
            </w:r>
          </w:p>
          <w:p w14:paraId="5AA34621">
            <w:pPr>
              <w:pStyle w:val="3"/>
              <w:numPr>
                <w:ilvl w:val="0"/>
                <w:numId w:val="46"/>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普通表单管理</w:t>
            </w:r>
          </w:p>
          <w:p w14:paraId="177EED5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适用于学校信息搜集存档类场景，如家假日学生留校情况、学生家庭住址收集、实习情况收集等。</w:t>
            </w:r>
          </w:p>
          <w:p w14:paraId="7B457E9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表单包括基础控件、高级控件；</w:t>
            </w:r>
          </w:p>
          <w:p w14:paraId="341862F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基础控件包括：单行文本、多行文本、数字输入、文字描述、日期、单项选择、多项选择、附件、图片等；</w:t>
            </w:r>
          </w:p>
          <w:p w14:paraId="49006C7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高级控件包括：子表单、关联数据、关联表单、地理位置、手写签名、行政班单选、行政班多选、人员单选、人员多选、组织单选、组织多选、编号、意见回填等。</w:t>
            </w:r>
          </w:p>
          <w:p w14:paraId="4BCD732C">
            <w:pPr>
              <w:pStyle w:val="3"/>
              <w:numPr>
                <w:ilvl w:val="0"/>
                <w:numId w:val="46"/>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表单设计</w:t>
            </w:r>
          </w:p>
          <w:p w14:paraId="4075E94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支持单行文本、多行文本，支持标题自定义、配置标题布局、描述等，设置控件大小配置、最大长度限制等。</w:t>
            </w:r>
          </w:p>
          <w:p w14:paraId="76A3F65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支持数字输入，支持标题自定义、配置标题布局、描述等，设置控件大小配置、显示类别配置（小数、百分比、金额）、数值范围限制等。</w:t>
            </w:r>
          </w:p>
          <w:p w14:paraId="53076A2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支持下拉单选、下拉多选配置。支持下拉选项内容可关联其他表单数据的某个字段的值进行选择。</w:t>
            </w:r>
          </w:p>
          <w:p w14:paraId="164F3C7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支持配置附件、子表单、手写签名、行政班单选、人员单选、人员多选、组织单选、组织多选、图片字段等；</w:t>
            </w:r>
          </w:p>
          <w:p w14:paraId="2C19325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支持数据关联，支持配置业务系统数据获取的数据源、数据源展示字段、数据回填等。</w:t>
            </w:r>
          </w:p>
          <w:p w14:paraId="0081406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支持拖拽可视化设计表单，表单设计完成后可在线预览填写效果。</w:t>
            </w:r>
          </w:p>
          <w:p w14:paraId="134351AE">
            <w:pPr>
              <w:pStyle w:val="3"/>
              <w:numPr>
                <w:ilvl w:val="0"/>
                <w:numId w:val="46"/>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表单权限设置</w:t>
            </w:r>
          </w:p>
          <w:p w14:paraId="77733A5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支持对表单发起人进行权限配置，支持对表单数据管理进行权限配置；</w:t>
            </w:r>
          </w:p>
          <w:p w14:paraId="1F19B84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可设置教职工可发起、指定特定教职工发起、学生可发起、所有人可发起；</w:t>
            </w:r>
          </w:p>
          <w:p w14:paraId="1E987CB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针对表单数据可设置多个权限组，可设置每个权限组的权限，如设置不同字段查看、编辑权限等。</w:t>
            </w:r>
          </w:p>
          <w:p w14:paraId="14611B45">
            <w:pPr>
              <w:pStyle w:val="17"/>
              <w:numPr>
                <w:ilvl w:val="0"/>
                <w:numId w:val="48"/>
              </w:numPr>
              <w:tabs>
                <w:tab w:val="left" w:pos="482"/>
              </w:tabs>
              <w:spacing w:line="380" w:lineRule="exact"/>
              <w:ind w:left="0" w:firstLine="481" w:firstLineChars="228"/>
              <w:jc w:val="both"/>
              <w:rPr>
                <w:rFonts w:ascii="宋体" w:hAnsi="宋体" w:cs="宋体"/>
                <w:b/>
                <w:color w:val="000000" w:themeColor="text1"/>
                <w:sz w:val="21"/>
                <w:szCs w:val="21"/>
                <w:highlight w:val="none"/>
                <w14:textFill>
                  <w14:solidFill>
                    <w14:schemeClr w14:val="tx1"/>
                  </w14:solidFill>
                </w14:textFill>
              </w:rPr>
            </w:pPr>
            <w:r>
              <w:rPr>
                <w:rFonts w:hint="eastAsia" w:ascii="宋体" w:hAnsi="宋体" w:cs="宋体"/>
                <w:b/>
                <w:color w:val="000000" w:themeColor="text1"/>
                <w:sz w:val="21"/>
                <w:szCs w:val="21"/>
                <w:highlight w:val="none"/>
                <w14:textFill>
                  <w14:solidFill>
                    <w14:schemeClr w14:val="tx1"/>
                  </w14:solidFill>
                </w14:textFill>
              </w:rPr>
              <w:t>表单填报设置</w:t>
            </w:r>
          </w:p>
          <w:p w14:paraId="1035150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填报规则设置：可设置每人每天填报一次、不限制填报次数等；</w:t>
            </w:r>
          </w:p>
          <w:p w14:paraId="43670E1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填报要求：支持设置普通表单为必填或非必填；</w:t>
            </w:r>
          </w:p>
          <w:p w14:paraId="57D27EC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填报时间：支持设置填报时间，在非填报时间内不可填写；</w:t>
            </w:r>
          </w:p>
          <w:p w14:paraId="684F078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填报修改设置：支持设置在填报后某个时间段内可编辑修改已填报的表单；</w:t>
            </w:r>
          </w:p>
          <w:p w14:paraId="5C366C7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置顶：可将表单置顶展示；</w:t>
            </w:r>
          </w:p>
          <w:p w14:paraId="1F456E9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提交设置：可设置每人每天提交的次数、每月、每年提交的次数等。</w:t>
            </w:r>
          </w:p>
          <w:p w14:paraId="545BC5D5">
            <w:pPr>
              <w:pStyle w:val="3"/>
              <w:numPr>
                <w:ilvl w:val="0"/>
                <w:numId w:val="46"/>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表单数据管理</w:t>
            </w:r>
          </w:p>
          <w:p w14:paraId="7A597EB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字段展示：支持配置查看所有字段或查看当前在用字段；查看字段时可拖拉查看宽度；可配置每页数据展示条数；可直接输入页码进行跳转。</w:t>
            </w:r>
          </w:p>
          <w:p w14:paraId="4213C80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字段筛选：文本字段支持模糊搜索查询，数字字段支持最大值最小值过滤，日期字段支持区间筛选，下拉支持按选项过滤查找。</w:t>
            </w:r>
          </w:p>
          <w:p w14:paraId="5E6D845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数据详情：支持查看每条数据的详情，包括历史审批数据等，支持打印和删除。</w:t>
            </w:r>
          </w:p>
          <w:p w14:paraId="11C8D44B">
            <w:pPr>
              <w:pStyle w:val="3"/>
              <w:numPr>
                <w:ilvl w:val="0"/>
                <w:numId w:val="46"/>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填写表单</w:t>
            </w:r>
          </w:p>
          <w:p w14:paraId="5925919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支持在移动端查看待填写表单并填写表单提交，支持展示置顶的表单，可按填报时间排序表单；</w:t>
            </w:r>
          </w:p>
          <w:p w14:paraId="7ABC20C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支持查看我已填写的表单，支持修改已填写的表单。</w:t>
            </w:r>
          </w:p>
          <w:p w14:paraId="4203A570">
            <w:pPr>
              <w:pStyle w:val="3"/>
              <w:numPr>
                <w:ilvl w:val="0"/>
                <w:numId w:val="46"/>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工作台</w:t>
            </w:r>
          </w:p>
          <w:p w14:paraId="7D9ABF3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bookmarkStart w:id="149" w:name="OLE_LINK21"/>
            <w:r>
              <w:rPr>
                <w:rFonts w:hint="eastAsia" w:ascii="宋体" w:hAnsi="宋体" w:cs="宋体"/>
                <w:color w:val="000000" w:themeColor="text1"/>
                <w:sz w:val="21"/>
                <w:szCs w:val="21"/>
                <w:highlight w:val="none"/>
                <w14:textFill>
                  <w14:solidFill>
                    <w14:schemeClr w14:val="tx1"/>
                  </w14:solidFill>
                </w14:textFill>
              </w:rPr>
              <w:t>每个微应用发布成功后自带工作台，用户可在工作台查看我的待办、我发起的、我的已办、抄送我的等；工作台支持App端和PC端。</w:t>
            </w:r>
          </w:p>
          <w:bookmarkEnd w:id="149"/>
          <w:p w14:paraId="0BB7E76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我的待办：支持管理所有待办，用户可快捷处理待办应用；可查询超时的待办、可使用流程进行查询待办、支持使用流程名称进行模糊搜索待办；可对待办进行批量处理；</w:t>
            </w:r>
          </w:p>
          <w:p w14:paraId="63BFD85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我发起的：可集中展示用户发起的表单，支持按发起时间过滤查询、按流程进行过滤查询、按流程名称进行过滤查询。可对自己发起的表单进行升序、降序的排列。</w:t>
            </w:r>
          </w:p>
          <w:p w14:paraId="6686E02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我的已办：集中展示用户已办列表，可根据办理时间进行查询，可按流程进行过滤查询、按流程名称进行模糊搜索；可对已办列表进行升序、降序排列。</w:t>
            </w:r>
          </w:p>
          <w:p w14:paraId="5A7BAE8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抄送我的：集中展示抄送我的列表，可按抄送时间进行查询、按流程名称进行模糊搜索、按阅读状态进行查询；可对抄送我的列表进行升序、降序的排列。</w:t>
            </w:r>
          </w:p>
          <w:p w14:paraId="1DCF22A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表单使用：支持使用流程表单、普通表单构建微应用功能，填写表单信息、查看和管理表单数据。支持切换权限组，满足表单填写与数据管理需求；可根据权限展示相应数据。根据设计端配置展示表单排序、分类。</w:t>
            </w:r>
          </w:p>
          <w:p w14:paraId="27512457">
            <w:pPr>
              <w:pStyle w:val="3"/>
              <w:numPr>
                <w:ilvl w:val="0"/>
                <w:numId w:val="46"/>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统一信息门户直接调用</w:t>
            </w:r>
          </w:p>
          <w:p w14:paraId="1B259C1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基于零代码开发的应用可自动嵌入统一信息门户，实现无缝集成；适配PC Web端、移动端，支持师生多终端同步访问使用。</w:t>
            </w:r>
          </w:p>
          <w:p w14:paraId="5A827C01">
            <w:pPr>
              <w:pStyle w:val="2"/>
              <w:widowControl w:val="0"/>
              <w:numPr>
                <w:ilvl w:val="0"/>
                <w:numId w:val="15"/>
              </w:numPr>
              <w:tabs>
                <w:tab w:val="left" w:pos="895"/>
              </w:tabs>
              <w:spacing w:line="380" w:lineRule="exact"/>
              <w:ind w:left="0" w:firstLine="478" w:firstLineChars="228"/>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社会培训管理服务</w:t>
            </w:r>
          </w:p>
          <w:p w14:paraId="17081C1A">
            <w:pPr>
              <w:pStyle w:val="3"/>
              <w:numPr>
                <w:ilvl w:val="0"/>
                <w:numId w:val="49"/>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管理端</w:t>
            </w:r>
          </w:p>
          <w:p w14:paraId="634EB7B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基础数据维护：支持维护组织机构、培训类型、培训对象等基础信息。</w:t>
            </w:r>
          </w:p>
          <w:p w14:paraId="368B7D5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用户与授权管理：管理平台用户的账号，支持基于RBAC权限模型的用户权限管理。</w:t>
            </w:r>
          </w:p>
          <w:p w14:paraId="5BAAC8E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师资库管理：维护学校培训师资库，支持校内、校外培训讲师的添加、修改、删除及批量导入。</w:t>
            </w:r>
          </w:p>
          <w:p w14:paraId="70864D1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课程库管理：维护培训课程，支持课程的添加、修改、删除及批量导入。</w:t>
            </w:r>
          </w:p>
          <w:p w14:paraId="1F25C9B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培训项目库管理：维护学校已开设的培训项目信息，整合培训资源，方便复用项目库快速开展新培训。可维护项目名称、培训类型、负责机构、项目负责人、培训对象、培训起止日期、项目简介、报名条件、咨询联系人等信息；支持维护项目的培训内容，选择项目对应的培训课程；支持为不同项目配置报名表，定义学员需填写的信息及上传的附件资料。</w:t>
            </w:r>
          </w:p>
          <w:p w14:paraId="7F3FB0F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培训项目开班管理：学校的培训以项目形式组织开展。可从项目库引用已有项目快速开班，也支持新建一次性开班项目。可维护项目基本信息（同项目库），并支持配置报名计划（报名起止时间、计划招生人数、是否开放学员自主报名）、报名审核规则（是否审核及审核人员）、收费设置（是否收费、收费标准）、分班方式等信息。</w:t>
            </w:r>
          </w:p>
          <w:p w14:paraId="41DECCB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学员报名审核管理：对需要审核的培训项目，由审核人员审核学员提交的报名申请。支持将线下报名或企业统一报名的学员名单直接导入平台，为其完成报名。</w:t>
            </w:r>
          </w:p>
          <w:p w14:paraId="68B9CF1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培训通知管理：按班级或面向全体学员发放培训相关通知，告知教学计划、食宿安排等信息。</w:t>
            </w:r>
          </w:p>
          <w:p w14:paraId="1D86C24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学员分班管理：若项目配置为手动分班，由项目负责人对学员进行手动分班；若配置为自动分班，系统自动完成分班。项目负责人可手动调整学员所在班级。</w:t>
            </w:r>
          </w:p>
          <w:p w14:paraId="5B857E1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学员缴费管理：个体学员支持在线自行缴费或到学校现场缴费；企业统一报名的学员，由企业统一支付费用，学员无需单独缴费。</w:t>
            </w:r>
          </w:p>
          <w:p w14:paraId="721A3133">
            <w:pPr>
              <w:pStyle w:val="3"/>
              <w:numPr>
                <w:ilvl w:val="0"/>
                <w:numId w:val="49"/>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学员端</w:t>
            </w:r>
          </w:p>
          <w:p w14:paraId="2589129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支持学员匿名查看开放自主报名的培训项目。</w:t>
            </w:r>
          </w:p>
          <w:p w14:paraId="28F3BE6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学员注册，并支持绑定微信实现微信自动登录。</w:t>
            </w:r>
          </w:p>
          <w:p w14:paraId="4AC3DA0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学员填写报名信息，提交报名申请。</w:t>
            </w:r>
          </w:p>
          <w:p w14:paraId="2F08D8A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学员查看自己的报名进度。</w:t>
            </w:r>
          </w:p>
          <w:p w14:paraId="6B09CD9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学员查看自己相关的培训通知。</w:t>
            </w:r>
          </w:p>
          <w:p w14:paraId="222091F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学员在线完成培训缴费。</w:t>
            </w:r>
          </w:p>
          <w:p w14:paraId="0270B83F">
            <w:pPr>
              <w:pStyle w:val="2"/>
              <w:widowControl w:val="0"/>
              <w:numPr>
                <w:ilvl w:val="0"/>
                <w:numId w:val="15"/>
              </w:numPr>
              <w:tabs>
                <w:tab w:val="left" w:pos="895"/>
              </w:tabs>
              <w:spacing w:line="380" w:lineRule="exact"/>
              <w:ind w:left="0" w:firstLine="478" w:firstLineChars="228"/>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社会培训学习服务</w:t>
            </w:r>
          </w:p>
          <w:p w14:paraId="56522EC4">
            <w:pPr>
              <w:pStyle w:val="3"/>
              <w:numPr>
                <w:ilvl w:val="0"/>
                <w:numId w:val="50"/>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培训课程资源库</w:t>
            </w:r>
          </w:p>
          <w:p w14:paraId="25D04D0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建设学校培训专用资源库，用于在线培训、学员学习。</w:t>
            </w:r>
          </w:p>
          <w:p w14:paraId="0FAF548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支持在线管理培训课程资源，对学校自建的课程进行教学资源上传，也可上传购买的培训教学资源。上传资源包括音视频、PPT课件、板书笔记等各类文档。</w:t>
            </w:r>
          </w:p>
          <w:p w14:paraId="2A72E6A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上传资源需审核通过才能使用；支持统计培训专用资源库建设情况：资源总数、容量，各类型资源分布等。</w:t>
            </w:r>
          </w:p>
          <w:p w14:paraId="7422BEF3">
            <w:pPr>
              <w:pStyle w:val="3"/>
              <w:numPr>
                <w:ilvl w:val="0"/>
                <w:numId w:val="50"/>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在线学习管理</w:t>
            </w:r>
          </w:p>
          <w:p w14:paraId="41B64AD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支持安排教学相关资料供学员学习，系统记录学员学习进度。 </w:t>
            </w:r>
          </w:p>
          <w:p w14:paraId="2A4D3E80">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可统计学员学习情况。</w:t>
            </w:r>
          </w:p>
          <w:p w14:paraId="7CD01814">
            <w:pPr>
              <w:pStyle w:val="3"/>
              <w:numPr>
                <w:ilvl w:val="0"/>
                <w:numId w:val="50"/>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试题库</w:t>
            </w:r>
          </w:p>
          <w:p w14:paraId="294969E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建设学校培训专用试题库，用于培训刷题练习、考试。</w:t>
            </w:r>
          </w:p>
          <w:p w14:paraId="239942B7">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系统内置 6 种题型（单选题、多选题、判断题、填 空题、简答题、组合题），用户可根据业务需要将 这些题型名称维护为自己需要的题型名称；</w:t>
            </w:r>
          </w:p>
          <w:p w14:paraId="4C18EF5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支持快速把学校已积累的电子档试题批量快速录入平台。</w:t>
            </w:r>
          </w:p>
          <w:p w14:paraId="748C21C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支持统计培训试题库建设情况：按专业、课程、题 型、难度等多维度统计试题数量；</w:t>
            </w:r>
          </w:p>
          <w:p w14:paraId="5FD91016">
            <w:pPr>
              <w:pStyle w:val="3"/>
              <w:numPr>
                <w:ilvl w:val="0"/>
                <w:numId w:val="50"/>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刷题练习</w:t>
            </w:r>
          </w:p>
          <w:p w14:paraId="13FAD50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支持学员对开放的题库进行刷题练习，支持按顺序刷题、随机刷题、刷错题等多种练习；可统计学员练习情况。</w:t>
            </w:r>
          </w:p>
          <w:p w14:paraId="1E84F7EF">
            <w:pPr>
              <w:pStyle w:val="3"/>
              <w:numPr>
                <w:ilvl w:val="0"/>
                <w:numId w:val="50"/>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在线考试管理</w:t>
            </w:r>
          </w:p>
          <w:p w14:paraId="5C2C1EF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支持从培训试题库中选择试题组装试卷，也支持设置组卷规则后自动从试题库中抽题组卷；支持配置试卷开启本套试卷的选项乱序、题目乱序。</w:t>
            </w:r>
          </w:p>
          <w:p w14:paraId="45E4735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支持导出系统组装试卷用于线下考试；</w:t>
            </w:r>
          </w:p>
          <w:p w14:paraId="088147F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支持在线安排考试，设置考试时间、引用试卷、安排考生；支持客观题自动批阅；</w:t>
            </w:r>
          </w:p>
          <w:p w14:paraId="0DF0BAC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支持对在线考试的参考情况、考试结果等进行数据的统计和分析。</w:t>
            </w:r>
          </w:p>
          <w:p w14:paraId="4DF4A18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支持学员查看自己的成绩。</w:t>
            </w:r>
          </w:p>
          <w:p w14:paraId="6665F615">
            <w:pPr>
              <w:pStyle w:val="2"/>
              <w:widowControl w:val="0"/>
              <w:numPr>
                <w:ilvl w:val="0"/>
                <w:numId w:val="15"/>
              </w:numPr>
              <w:tabs>
                <w:tab w:val="left" w:pos="895"/>
              </w:tabs>
              <w:spacing w:line="380" w:lineRule="exact"/>
              <w:ind w:left="482" w:firstLine="478"/>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手机短信服务</w:t>
            </w:r>
          </w:p>
          <w:p w14:paraId="418D794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提供短信服务，支持根据业务触发规则自动发送短信。支持通过智慧校园平台相应功能模块手动发送手机短信，如节假日祝福、生日祝福，学校请假放行时短信通知班主任和家长等。支持手机短信验证码登录平台，平台发送验证码延迟不超过5秒（师生手机终端及网络问题引起的除外）。</w:t>
            </w:r>
          </w:p>
          <w:p w14:paraId="7331D3C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要求投标人每年提供2万条手机短信供采购人使用。</w:t>
            </w:r>
          </w:p>
          <w:p w14:paraId="36A2028E">
            <w:pPr>
              <w:pStyle w:val="2"/>
              <w:widowControl w:val="0"/>
              <w:numPr>
                <w:ilvl w:val="0"/>
                <w:numId w:val="15"/>
              </w:numPr>
              <w:tabs>
                <w:tab w:val="left" w:pos="895"/>
              </w:tabs>
              <w:spacing w:line="380" w:lineRule="exact"/>
              <w:ind w:left="482" w:firstLine="478"/>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人脸识别服务</w:t>
            </w:r>
          </w:p>
          <w:p w14:paraId="6BD26832">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平台需提供人脸认证技术支持，在定位打卡考勤、学生请假等功能中集成人脸二次验证功能。人脸底库采集及管理由学校在平台中自行完成，采集方式支持师生自行采集上报、管理人员审核的模式，也支持通过专用工具实现快速统一采集模式，供应商需负责学校人脸底库的安全管理，不向任何第三方透露。</w:t>
            </w:r>
          </w:p>
          <w:p w14:paraId="77662E2D">
            <w:pPr>
              <w:pStyle w:val="2"/>
              <w:widowControl w:val="0"/>
              <w:numPr>
                <w:ilvl w:val="0"/>
                <w:numId w:val="15"/>
              </w:numPr>
              <w:tabs>
                <w:tab w:val="left" w:pos="895"/>
              </w:tabs>
              <w:spacing w:line="380" w:lineRule="exact"/>
              <w:ind w:left="482" w:firstLine="478"/>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访问流量</w:t>
            </w:r>
          </w:p>
          <w:p w14:paraId="596C8971">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学校师生通过电脑浏览器或智慧校园移动端App访问平台中的视频、下载各种附件时会产生下行流量。要求投标人每年提供访问流量8TB，保障采购人正常使用。</w:t>
            </w:r>
          </w:p>
          <w:p w14:paraId="5FA54474">
            <w:pPr>
              <w:pStyle w:val="2"/>
              <w:widowControl w:val="0"/>
              <w:numPr>
                <w:ilvl w:val="0"/>
                <w:numId w:val="4"/>
              </w:numPr>
              <w:tabs>
                <w:tab w:val="left" w:pos="960"/>
              </w:tabs>
              <w:spacing w:line="380" w:lineRule="exact"/>
              <w:ind w:firstLine="44" w:firstLineChars="21"/>
              <w:jc w:val="both"/>
              <w:outlineLvl w:val="0"/>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招生报名辅助设备技术参数</w:t>
            </w:r>
            <w:bookmarkEnd w:id="112"/>
          </w:p>
          <w:p w14:paraId="7618C8FB">
            <w:pPr>
              <w:pStyle w:val="2"/>
              <w:widowControl w:val="0"/>
              <w:numPr>
                <w:ilvl w:val="0"/>
                <w:numId w:val="51"/>
              </w:numPr>
              <w:tabs>
                <w:tab w:val="left" w:pos="612"/>
              </w:tabs>
              <w:spacing w:line="380" w:lineRule="exact"/>
              <w:ind w:left="0" w:firstLine="478" w:firstLineChars="228"/>
              <w:jc w:val="both"/>
              <w:outlineLvl w:val="0"/>
              <w:rPr>
                <w:rFonts w:ascii="宋体" w:hAnsi="宋体" w:eastAsia="宋体" w:cs="宋体"/>
                <w:color w:val="000000" w:themeColor="text1"/>
                <w:sz w:val="21"/>
                <w:szCs w:val="21"/>
                <w:highlight w:val="none"/>
                <w14:textFill>
                  <w14:solidFill>
                    <w14:schemeClr w14:val="tx1"/>
                  </w14:solidFill>
                </w14:textFill>
              </w:rPr>
            </w:pPr>
            <w:bookmarkStart w:id="150" w:name="heading_28"/>
            <w:r>
              <w:rPr>
                <w:rFonts w:hint="eastAsia" w:ascii="宋体" w:hAnsi="宋体" w:eastAsia="宋体" w:cs="宋体"/>
                <w:color w:val="000000" w:themeColor="text1"/>
                <w:sz w:val="21"/>
                <w:szCs w:val="21"/>
                <w:highlight w:val="none"/>
                <w14:textFill>
                  <w14:solidFill>
                    <w14:schemeClr w14:val="tx1"/>
                  </w14:solidFill>
                </w14:textFill>
              </w:rPr>
              <w:t>身份证阅读器</w:t>
            </w:r>
          </w:p>
          <w:p w14:paraId="7FEACCE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配置数量 </w:t>
            </w:r>
            <w:bookmarkEnd w:id="150"/>
            <w:r>
              <w:rPr>
                <w:rFonts w:hint="eastAsia" w:ascii="宋体" w:hAnsi="宋体" w:cs="宋体"/>
                <w:color w:val="000000" w:themeColor="text1"/>
                <w:sz w:val="21"/>
                <w:szCs w:val="21"/>
                <w:highlight w:val="none"/>
                <w14:textFill>
                  <w14:solidFill>
                    <w14:schemeClr w14:val="tx1"/>
                  </w14:solidFill>
                </w14:textFill>
              </w:rPr>
              <w:t>7台</w:t>
            </w:r>
          </w:p>
          <w:p w14:paraId="2C262BC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 用于识别学生的身份信息。例如：新生报名、录取、报到、收费时，可以刷身份证来快速查询学生。</w:t>
            </w:r>
          </w:p>
          <w:p w14:paraId="76787207">
            <w:pPr>
              <w:pStyle w:val="3"/>
              <w:numPr>
                <w:ilvl w:val="0"/>
                <w:numId w:val="52"/>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执行标准</w:t>
            </w:r>
          </w:p>
          <w:p w14:paraId="670B360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符合 GA450-2013《台式居民身份证阅读器通用技术要求》、GA467-2013《居民身份证验证安全控制模块接口技术规范》；</w:t>
            </w:r>
          </w:p>
          <w:p w14:paraId="4DE4685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兼容 ISO/IEC 14443 Type B 国际射频标准，支持二代、三代居民身份证、外国人永久居留身份证机读信息读取。</w:t>
            </w:r>
          </w:p>
          <w:p w14:paraId="54C67CAA">
            <w:pPr>
              <w:pStyle w:val="3"/>
              <w:numPr>
                <w:ilvl w:val="0"/>
                <w:numId w:val="52"/>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硬件射频参数</w:t>
            </w:r>
          </w:p>
          <w:p w14:paraId="13DDE8E8">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工作频率：13.56MHz±7KHz；</w:t>
            </w:r>
          </w:p>
          <w:p w14:paraId="18CFA5F6">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天线磁场强度：天线表面磁场强度（Hmax）≤7.5A/m rms；天线法线最大读卡距离处磁场强度（Hmin）≥1.5A/m rms；</w:t>
            </w:r>
          </w:p>
          <w:p w14:paraId="6C00768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读卡距离：0～3cm；</w:t>
            </w:r>
          </w:p>
          <w:p w14:paraId="670C4DAF">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读卡识别时间：≤1 秒，读卡完成蜂鸣语音提示；</w:t>
            </w:r>
          </w:p>
          <w:p w14:paraId="3286F599">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内置公安部认证专用身份证安全保密 SAM 模块，具备身份证真伪自动核验功能。</w:t>
            </w:r>
          </w:p>
          <w:p w14:paraId="7A195614">
            <w:pPr>
              <w:pStyle w:val="3"/>
              <w:numPr>
                <w:ilvl w:val="0"/>
                <w:numId w:val="52"/>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供电与接口</w:t>
            </w:r>
          </w:p>
          <w:p w14:paraId="6AC22CED">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通讯接口：USB2.0，USB 直接供电 DC5V，无需外接电源适配器；</w:t>
            </w:r>
          </w:p>
          <w:p w14:paraId="4DC179D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 PC/SC、HID、CCID 标准通讯协议；</w:t>
            </w:r>
          </w:p>
          <w:p w14:paraId="23990DA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设备自带电源、读卡、故障三色状态指示灯，直观展示设备运行状态。</w:t>
            </w:r>
          </w:p>
          <w:p w14:paraId="7113D758">
            <w:pPr>
              <w:pStyle w:val="3"/>
              <w:numPr>
                <w:ilvl w:val="0"/>
                <w:numId w:val="52"/>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系统兼容与开发能力</w:t>
            </w:r>
          </w:p>
          <w:p w14:paraId="058437BA">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支持操作系统：Windows XP/7/8/10/11、国产银河麒麟、统信 UOS、Linux 系统；</w:t>
            </w:r>
          </w:p>
          <w:p w14:paraId="0847A3F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提供完整标准化 SDK 二次开发包，支持 VC、Delphi、VB、Python、Java 等开发语言；</w:t>
            </w:r>
          </w:p>
          <w:p w14:paraId="02D73F24">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可无缝对接智慧校园年服务基础数据，读取身份证文字信息、头像照片、户籍地址、有效期等全部机读字段，自动同步至招生、报到、收费业务模块。</w:t>
            </w:r>
          </w:p>
          <w:p w14:paraId="4215F265">
            <w:pPr>
              <w:pStyle w:val="3"/>
              <w:numPr>
                <w:ilvl w:val="0"/>
                <w:numId w:val="52"/>
              </w:numPr>
              <w:tabs>
                <w:tab w:val="left" w:pos="482"/>
                <w:tab w:val="left" w:pos="902"/>
              </w:tabs>
              <w:spacing w:line="380" w:lineRule="exact"/>
              <w:ind w:left="0" w:firstLine="478" w:firstLineChars="228"/>
              <w:jc w:val="both"/>
              <w:outlineLvl w:val="1"/>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环境与可靠性</w:t>
            </w:r>
          </w:p>
          <w:p w14:paraId="47269195">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工作温度：0℃～50℃；储运温度：-40℃～60℃；</w:t>
            </w:r>
          </w:p>
          <w:p w14:paraId="0AEB579C">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相对湿度：工作＜90% RH（无凝露），储运 20%～93% RH；</w:t>
            </w:r>
          </w:p>
          <w:p w14:paraId="285598FB">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大气压力：60kPa～110kPa；</w:t>
            </w:r>
          </w:p>
          <w:p w14:paraId="6C943B93">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平均无故障工作时间 MTBF＞5000小时；</w:t>
            </w:r>
          </w:p>
          <w:p w14:paraId="571FFF9E">
            <w:pPr>
              <w:pStyle w:val="17"/>
              <w:spacing w:line="380" w:lineRule="exact"/>
              <w:ind w:firstLine="478" w:firstLineChars="228"/>
              <w:jc w:val="both"/>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具备防静电、抗干扰设计，适合学校招生大厅、财务收费窗口长期高频使用。</w:t>
            </w:r>
          </w:p>
        </w:tc>
      </w:tr>
      <w:tr w14:paraId="3E20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1" w:type="dxa"/>
            <w:gridSpan w:val="2"/>
            <w:vAlign w:val="center"/>
          </w:tcPr>
          <w:p w14:paraId="06119364">
            <w:pPr>
              <w:pStyle w:val="41"/>
              <w:widowControl/>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▲二、商务条款（不满足商务要求的磋商无效）</w:t>
            </w:r>
          </w:p>
        </w:tc>
      </w:tr>
      <w:tr w14:paraId="1529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dxa"/>
            <w:vAlign w:val="center"/>
          </w:tcPr>
          <w:p w14:paraId="1EC97CD7">
            <w:pPr>
              <w:widowControl w:val="0"/>
              <w:spacing w:line="400" w:lineRule="exact"/>
              <w:jc w:val="center"/>
              <w:rPr>
                <w:rFonts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验收标准</w:t>
            </w:r>
          </w:p>
        </w:tc>
        <w:tc>
          <w:tcPr>
            <w:tcW w:w="7004" w:type="dxa"/>
            <w:vAlign w:val="center"/>
          </w:tcPr>
          <w:p w14:paraId="1D781E7C">
            <w:pPr>
              <w:widowControl w:val="0"/>
              <w:spacing w:line="400" w:lineRule="exact"/>
              <w:jc w:val="both"/>
              <w:rPr>
                <w:rFonts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采购单位将依据采购文件中服务需求，国家、地方或行业质量安全标准规范，及中标供应商的响应文件承诺对成交供应商完成的项目进行验收。在本项目验收时，成交供应商如提供不符合采购文件、响应文件和采购合同规定的服务，采购单位有权拒绝接受，由此产生的一切损失均由成交供应商自行承担。</w:t>
            </w:r>
          </w:p>
        </w:tc>
      </w:tr>
      <w:tr w14:paraId="0C0E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dxa"/>
            <w:vAlign w:val="center"/>
          </w:tcPr>
          <w:p w14:paraId="74C83283">
            <w:pPr>
              <w:widowControl w:val="0"/>
              <w:spacing w:line="400" w:lineRule="exact"/>
              <w:jc w:val="center"/>
              <w:rPr>
                <w:rFonts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售后及其它要求</w:t>
            </w:r>
          </w:p>
        </w:tc>
        <w:tc>
          <w:tcPr>
            <w:tcW w:w="7004" w:type="dxa"/>
            <w:vAlign w:val="center"/>
          </w:tcPr>
          <w:p w14:paraId="139857F3">
            <w:pPr>
              <w:widowControl w:val="0"/>
              <w:spacing w:line="400" w:lineRule="exact"/>
              <w:jc w:val="both"/>
              <w:rPr>
                <w:rFonts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处理问题响应时间：接到采购人处理问题通知后3小时内到达采购人指定现场。</w:t>
            </w:r>
          </w:p>
        </w:tc>
      </w:tr>
      <w:tr w14:paraId="2013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dxa"/>
            <w:vAlign w:val="center"/>
          </w:tcPr>
          <w:p w14:paraId="45C36F5C">
            <w:pPr>
              <w:widowControl w:val="0"/>
              <w:spacing w:line="400" w:lineRule="exact"/>
              <w:jc w:val="center"/>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合同履行期限</w:t>
            </w:r>
          </w:p>
        </w:tc>
        <w:tc>
          <w:tcPr>
            <w:tcW w:w="7004" w:type="dxa"/>
            <w:vAlign w:val="center"/>
          </w:tcPr>
          <w:p w14:paraId="2448758F">
            <w:pPr>
              <w:widowControl w:val="0"/>
              <w:spacing w:line="400" w:lineRule="exact"/>
              <w:jc w:val="both"/>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智慧校园年服务3年。硬件设备质保期1年。自项目验收之日起计算服务期和质保期。</w:t>
            </w:r>
          </w:p>
        </w:tc>
      </w:tr>
      <w:tr w14:paraId="7B81C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dxa"/>
            <w:vAlign w:val="center"/>
          </w:tcPr>
          <w:p w14:paraId="330EB54D">
            <w:pPr>
              <w:widowControl w:val="0"/>
              <w:spacing w:line="400" w:lineRule="exact"/>
              <w:jc w:val="center"/>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服务地点</w:t>
            </w:r>
          </w:p>
        </w:tc>
        <w:tc>
          <w:tcPr>
            <w:tcW w:w="7004" w:type="dxa"/>
            <w:vAlign w:val="center"/>
          </w:tcPr>
          <w:p w14:paraId="6EC82353">
            <w:pPr>
              <w:widowControl w:val="0"/>
              <w:spacing w:line="400" w:lineRule="exact"/>
              <w:jc w:val="left"/>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广西桂林农业学校（采购人指定地点）。</w:t>
            </w:r>
          </w:p>
        </w:tc>
      </w:tr>
      <w:tr w14:paraId="3537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dxa"/>
            <w:vAlign w:val="center"/>
          </w:tcPr>
          <w:p w14:paraId="5D8174BE">
            <w:pPr>
              <w:widowControl w:val="0"/>
              <w:spacing w:line="400" w:lineRule="exact"/>
              <w:jc w:val="center"/>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签订合同日期</w:t>
            </w:r>
          </w:p>
        </w:tc>
        <w:tc>
          <w:tcPr>
            <w:tcW w:w="7004" w:type="dxa"/>
            <w:vAlign w:val="center"/>
          </w:tcPr>
          <w:p w14:paraId="7FB9430F">
            <w:pPr>
              <w:widowControl w:val="0"/>
              <w:spacing w:line="400" w:lineRule="exact"/>
              <w:jc w:val="left"/>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自中标通知书发出之日起25天内。</w:t>
            </w:r>
          </w:p>
        </w:tc>
      </w:tr>
      <w:tr w14:paraId="21401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dxa"/>
            <w:vAlign w:val="center"/>
          </w:tcPr>
          <w:p w14:paraId="4D35A707">
            <w:pPr>
              <w:widowControl w:val="0"/>
              <w:spacing w:line="400" w:lineRule="exact"/>
              <w:ind w:firstLine="422" w:firstLineChars="20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付款</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方式</w:t>
            </w:r>
          </w:p>
        </w:tc>
        <w:tc>
          <w:tcPr>
            <w:tcW w:w="7004" w:type="dxa"/>
            <w:vAlign w:val="center"/>
          </w:tcPr>
          <w:p w14:paraId="569AA4F5">
            <w:pPr>
              <w:widowControl w:val="0"/>
              <w:spacing w:line="400" w:lineRule="exact"/>
              <w:jc w:val="left"/>
              <w:rPr>
                <w:rFonts w:hint="eastAsia" w:eastAsia="宋体"/>
                <w:b/>
                <w:bCs/>
                <w:color w:val="000000" w:themeColor="text1"/>
                <w:spacing w:val="9"/>
                <w:sz w:val="20"/>
                <w:szCs w:val="20"/>
                <w:highlight w:val="none"/>
                <w:u w:val="singl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甲乙双方同意本合同款项的支付应按照招标文件的规定进行，具体如下：合同签订生效后，甲方向乙方预付合同总金额的 30%，项目验收后，凭双方认可的验收单，向乙方付至合同总金额的 90%,结算审核通过后支付至结算金额的100%。付款前，成交供应商需向采购人提供请款函和对应的合法发票，各阶段款项的支付均根据财政资金的拨付情况进行支付，甲方不承担延期付款的责任</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p>
        </w:tc>
      </w:tr>
      <w:tr w14:paraId="0F37F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dxa"/>
            <w:vAlign w:val="center"/>
          </w:tcPr>
          <w:p w14:paraId="235D32CD">
            <w:pPr>
              <w:widowControl w:val="0"/>
              <w:spacing w:line="400" w:lineRule="exact"/>
              <w:jc w:val="center"/>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报价要求</w:t>
            </w:r>
          </w:p>
        </w:tc>
        <w:tc>
          <w:tcPr>
            <w:tcW w:w="7004" w:type="dxa"/>
            <w:vAlign w:val="center"/>
          </w:tcPr>
          <w:p w14:paraId="529C48AA">
            <w:pPr>
              <w:widowControl w:val="0"/>
              <w:spacing w:line="400" w:lineRule="exact"/>
              <w:jc w:val="both"/>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响应报价必须包含满足本次磋商全部采购需求所应提供的服务，以及伴随的货物的价格；包含磋商服务、货物的成本、运输（含保险）、安装（如有）、调试、检验、技术服务、培训、税费等所有费用</w:t>
            </w:r>
          </w:p>
        </w:tc>
      </w:tr>
      <w:tr w14:paraId="4D76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1" w:type="dxa"/>
            <w:gridSpan w:val="2"/>
            <w:vAlign w:val="center"/>
          </w:tcPr>
          <w:p w14:paraId="0BC6B5EC">
            <w:pPr>
              <w:pStyle w:val="41"/>
              <w:widowControl/>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三、其他要求及说明</w:t>
            </w:r>
          </w:p>
        </w:tc>
      </w:tr>
      <w:tr w14:paraId="2EEC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dxa"/>
            <w:vAlign w:val="center"/>
          </w:tcPr>
          <w:p w14:paraId="56345ABC">
            <w:pPr>
              <w:widowControl w:val="0"/>
              <w:spacing w:line="400" w:lineRule="exact"/>
              <w:jc w:val="center"/>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规范标准</w:t>
            </w:r>
          </w:p>
        </w:tc>
        <w:tc>
          <w:tcPr>
            <w:tcW w:w="7004" w:type="dxa"/>
            <w:vAlign w:val="center"/>
          </w:tcPr>
          <w:p w14:paraId="7117F925">
            <w:pPr>
              <w:widowControl w:val="0"/>
              <w:spacing w:line="400" w:lineRule="exact"/>
              <w:jc w:val="both"/>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项目如有国家相关标准、行业标准、地方标准或者其他标准、规范的，应执行相应的标准、规范。如具体采购需求与标准、规范不一致的，高于标准、规范的按具体采购需求执行，低于标准、规范的按标准、规范执行。</w:t>
            </w:r>
          </w:p>
        </w:tc>
      </w:tr>
      <w:tr w14:paraId="00D2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7" w:type="dxa"/>
            <w:vAlign w:val="center"/>
          </w:tcPr>
          <w:p w14:paraId="5E691DF7">
            <w:pPr>
              <w:widowControl/>
              <w:spacing w:after="0" w:line="400" w:lineRule="exact"/>
              <w:jc w:val="center"/>
              <w:rPr>
                <w:rFonts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其他</w:t>
            </w:r>
          </w:p>
        </w:tc>
        <w:tc>
          <w:tcPr>
            <w:tcW w:w="7004" w:type="dxa"/>
            <w:vAlign w:val="center"/>
          </w:tcPr>
          <w:p w14:paraId="12792A95">
            <w:pPr>
              <w:widowControl/>
              <w:spacing w:after="0" w:line="400" w:lineRule="exact"/>
              <w:jc w:val="both"/>
              <w:rPr>
                <w:rFonts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1、演示内容：选自采购需求中“一、服务内容及技术服务要求”部分内容，详见以下“</w:t>
            </w:r>
            <w:r>
              <w:rPr>
                <w:rFonts w:hint="eastAsia" w:ascii="宋体" w:hAnsi="宋体" w:eastAsia="宋体"/>
                <w:b/>
                <w:bCs/>
                <w:color w:val="000000" w:themeColor="text1"/>
                <w:highlight w:val="none"/>
                <w14:textFill>
                  <w14:solidFill>
                    <w14:schemeClr w14:val="tx1"/>
                  </w14:solidFill>
                </w14:textFill>
              </w:rPr>
              <w:t>演示内容</w:t>
            </w:r>
            <w:r>
              <w:rPr>
                <w:rFonts w:hint="eastAsia" w:ascii="宋体" w:hAnsi="宋体" w:eastAsia="宋体" w:cs="宋体"/>
                <w:b/>
                <w:bCs/>
                <w:color w:val="000000" w:themeColor="text1"/>
                <w:sz w:val="21"/>
                <w:szCs w:val="21"/>
                <w:highlight w:val="none"/>
                <w14:textFill>
                  <w14:solidFill>
                    <w14:schemeClr w14:val="tx1"/>
                  </w14:solidFill>
                </w14:textFill>
              </w:rPr>
              <w:t>”表。</w:t>
            </w:r>
          </w:p>
          <w:p w14:paraId="6BFC232B">
            <w:pPr>
              <w:widowControl/>
              <w:spacing w:after="0" w:line="400" w:lineRule="exact"/>
              <w:jc w:val="both"/>
              <w:rPr>
                <w:rFonts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3、演示相关说明</w:t>
            </w:r>
          </w:p>
          <w:p w14:paraId="015E571C">
            <w:pPr>
              <w:widowControl/>
              <w:spacing w:after="0" w:line="400" w:lineRule="exact"/>
              <w:jc w:val="both"/>
              <w:rPr>
                <w:rFonts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（1）供应商演示签到时间：评审当日，供应商可自行选择是否进行演示。演示需供应商自备设备（含电脑、电源线、网络通信等所需辅助设备）并自行搭建演示环境。每家供应商演示时间≤20分钟。</w:t>
            </w:r>
          </w:p>
          <w:p w14:paraId="7670528D">
            <w:pPr>
              <w:widowControl/>
              <w:spacing w:after="0" w:line="400" w:lineRule="exact"/>
              <w:jc w:val="both"/>
              <w:rPr>
                <w:rFonts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（2）演示方式：在广西政府采购云平台视频会议系统通过共享屏幕方式进行现场演示，请投标人自行提前做好演示所有的准备。</w:t>
            </w:r>
          </w:p>
          <w:p w14:paraId="451C9B5A">
            <w:pPr>
              <w:widowControl/>
              <w:spacing w:after="0" w:line="400" w:lineRule="exact"/>
              <w:jc w:val="both"/>
              <w:rPr>
                <w:rFonts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（3）演示时间：竞标截止时间后，具体演示时间由代理机构通知；</w:t>
            </w:r>
          </w:p>
          <w:p w14:paraId="3B674815">
            <w:pPr>
              <w:widowControl/>
              <w:spacing w:after="0" w:line="400" w:lineRule="exact"/>
              <w:jc w:val="both"/>
              <w:rPr>
                <w:rFonts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（4）演示地点：广西政府采购云平台；</w:t>
            </w:r>
          </w:p>
          <w:p w14:paraId="6CD67288">
            <w:pPr>
              <w:widowControl/>
              <w:spacing w:after="0" w:line="400" w:lineRule="exact"/>
              <w:jc w:val="both"/>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（5）演示要求：每位供应商演示时间不超过20分钟（含调试、讲解、演示），如因演示所产生的所有费用由供应商自行承担。</w:t>
            </w:r>
            <w:r>
              <w:rPr>
                <w:rFonts w:hint="eastAsia" w:ascii="宋体" w:hAnsi="宋体" w:eastAsia="宋体" w:cs="宋体"/>
                <w:b/>
                <w:bCs/>
                <w:color w:val="000000" w:themeColor="text1"/>
                <w:sz w:val="21"/>
                <w:szCs w:val="21"/>
                <w:highlight w:val="none"/>
                <w14:textFill>
                  <w14:solidFill>
                    <w14:schemeClr w14:val="tx1"/>
                  </w14:solidFill>
                </w14:textFill>
              </w:rPr>
              <w:br w:type="textWrapping"/>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供应商是否</w:t>
            </w:r>
            <w:r>
              <w:rPr>
                <w:rFonts w:hint="eastAsia" w:ascii="宋体" w:hAnsi="宋体" w:eastAsia="宋体" w:cs="宋体"/>
                <w:b/>
                <w:bCs/>
                <w:color w:val="000000" w:themeColor="text1"/>
                <w:sz w:val="21"/>
                <w:szCs w:val="21"/>
                <w:highlight w:val="none"/>
                <w14:textFill>
                  <w14:solidFill>
                    <w14:schemeClr w14:val="tx1"/>
                  </w14:solidFill>
                </w14:textFill>
              </w:rPr>
              <w:t>进行演示</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涉及评审得分，不是实质性要求。</w:t>
            </w:r>
          </w:p>
        </w:tc>
      </w:tr>
    </w:tbl>
    <w:tbl>
      <w:tblPr>
        <w:tblStyle w:val="46"/>
        <w:tblpPr w:leftFromText="180" w:rightFromText="180" w:vertAnchor="text" w:horzAnchor="page" w:tblpX="1703" w:tblpY="41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7660"/>
      </w:tblGrid>
      <w:tr w14:paraId="4A15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862" w:type="dxa"/>
            <w:vAlign w:val="center"/>
          </w:tcPr>
          <w:p w14:paraId="0E4EAB12">
            <w:pPr>
              <w:widowControl w:val="0"/>
              <w:jc w:val="center"/>
              <w:rPr>
                <w:rFonts w:ascii="宋体" w:hAnsi="宋体" w:eastAsia="宋体"/>
                <w:b/>
                <w:bCs/>
                <w:color w:val="000000" w:themeColor="text1"/>
                <w:highlight w:val="none"/>
                <w14:textFill>
                  <w14:solidFill>
                    <w14:schemeClr w14:val="tx1"/>
                  </w14:solidFill>
                </w14:textFill>
              </w:rPr>
            </w:pPr>
            <w:r>
              <w:rPr>
                <w:rFonts w:hint="eastAsia" w:ascii="宋体" w:hAnsi="宋体" w:eastAsia="宋体"/>
                <w:b/>
                <w:bCs/>
                <w:color w:val="000000" w:themeColor="text1"/>
                <w:highlight w:val="none"/>
                <w14:textFill>
                  <w14:solidFill>
                    <w14:schemeClr w14:val="tx1"/>
                  </w14:solidFill>
                </w14:textFill>
              </w:rPr>
              <w:t>项数</w:t>
            </w:r>
          </w:p>
        </w:tc>
        <w:tc>
          <w:tcPr>
            <w:tcW w:w="7660" w:type="dxa"/>
            <w:vAlign w:val="center"/>
          </w:tcPr>
          <w:p w14:paraId="20858F3A">
            <w:pPr>
              <w:widowControl w:val="0"/>
              <w:jc w:val="center"/>
              <w:rPr>
                <w:rFonts w:ascii="宋体" w:hAnsi="宋体" w:eastAsia="宋体"/>
                <w:b/>
                <w:bCs/>
                <w:color w:val="000000" w:themeColor="text1"/>
                <w:highlight w:val="none"/>
                <w14:textFill>
                  <w14:solidFill>
                    <w14:schemeClr w14:val="tx1"/>
                  </w14:solidFill>
                </w14:textFill>
              </w:rPr>
            </w:pPr>
            <w:r>
              <w:rPr>
                <w:rFonts w:hint="eastAsia" w:ascii="宋体" w:hAnsi="宋体" w:eastAsia="宋体"/>
                <w:b/>
                <w:bCs/>
                <w:color w:val="000000" w:themeColor="text1"/>
                <w:highlight w:val="none"/>
                <w14:textFill>
                  <w14:solidFill>
                    <w14:schemeClr w14:val="tx1"/>
                  </w14:solidFill>
                </w14:textFill>
              </w:rPr>
              <w:t>演示内容</w:t>
            </w:r>
          </w:p>
        </w:tc>
      </w:tr>
      <w:tr w14:paraId="747F3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63FC8FF7">
            <w:pPr>
              <w:widowControl w:val="0"/>
              <w:jc w:val="center"/>
              <w:rPr>
                <w:rFonts w:ascii="宋体" w:hAnsi="宋体" w:eastAsia="宋体"/>
                <w:color w:val="000000" w:themeColor="text1"/>
                <w:sz w:val="21"/>
                <w:szCs w:val="22"/>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1</w:t>
            </w:r>
          </w:p>
        </w:tc>
        <w:tc>
          <w:tcPr>
            <w:tcW w:w="7660" w:type="dxa"/>
          </w:tcPr>
          <w:p w14:paraId="681D30C3">
            <w:pPr>
              <w:pStyle w:val="3"/>
              <w:tabs>
                <w:tab w:val="left" w:pos="482"/>
                <w:tab w:val="left" w:pos="1186"/>
              </w:tabs>
              <w:spacing w:beforeLines="30" w:line="340" w:lineRule="exact"/>
              <w:jc w:val="both"/>
              <w:outlineLvl w:val="1"/>
              <w:rPr>
                <w:rFonts w:ascii="宋体" w:hAnsi="宋体" w:eastAsia="宋体"/>
                <w:b/>
                <w:bCs w:val="0"/>
                <w:color w:val="000000" w:themeColor="text1"/>
                <w:sz w:val="21"/>
                <w:szCs w:val="21"/>
                <w:highlight w:val="none"/>
                <w14:textFill>
                  <w14:solidFill>
                    <w14:schemeClr w14:val="tx1"/>
                  </w14:solidFill>
                </w14:textFill>
              </w:rPr>
            </w:pPr>
            <w:r>
              <w:rPr>
                <w:rFonts w:ascii="宋体" w:hAnsi="宋体" w:eastAsia="宋体"/>
                <w:b/>
                <w:bCs w:val="0"/>
                <w:color w:val="000000" w:themeColor="text1"/>
                <w:sz w:val="21"/>
                <w:szCs w:val="21"/>
                <w:highlight w:val="none"/>
                <w14:textFill>
                  <w14:solidFill>
                    <w14:schemeClr w14:val="tx1"/>
                  </w14:solidFill>
                </w14:textFill>
              </w:rPr>
              <w:t>开发者中心</w:t>
            </w:r>
          </w:p>
          <w:p w14:paraId="2840341D">
            <w:pPr>
              <w:pStyle w:val="17"/>
              <w:spacing w:line="340" w:lineRule="exact"/>
              <w:jc w:val="both"/>
              <w:rPr>
                <w:rFonts w:ascii="宋体" w:hAnsi="宋体"/>
                <w:color w:val="000000" w:themeColor="text1"/>
                <w:sz w:val="21"/>
                <w:szCs w:val="22"/>
                <w:highlight w:val="none"/>
                <w14:textFill>
                  <w14:solidFill>
                    <w14:schemeClr w14:val="tx1"/>
                  </w14:solidFill>
                </w14:textFill>
              </w:rPr>
            </w:pPr>
            <w:r>
              <w:rPr>
                <w:rFonts w:ascii="宋体" w:hAnsi="宋体"/>
                <w:bCs/>
                <w:color w:val="000000" w:themeColor="text1"/>
                <w:sz w:val="21"/>
                <w:szCs w:val="21"/>
                <w:highlight w:val="none"/>
                <w14:textFill>
                  <w14:solidFill>
                    <w14:schemeClr w14:val="tx1"/>
                  </w14:solidFill>
                </w14:textFill>
              </w:rPr>
              <w:t>提供开发者中心</w:t>
            </w:r>
            <w:r>
              <w:rPr>
                <w:rFonts w:hint="eastAsia" w:ascii="宋体" w:hAnsi="宋体"/>
                <w:bCs/>
                <w:color w:val="000000" w:themeColor="text1"/>
                <w:sz w:val="21"/>
                <w:szCs w:val="21"/>
                <w:highlight w:val="none"/>
                <w14:textFill>
                  <w14:solidFill>
                    <w14:schemeClr w14:val="tx1"/>
                  </w14:solidFill>
                </w14:textFill>
              </w:rPr>
              <w:t>。</w:t>
            </w:r>
            <w:r>
              <w:rPr>
                <w:rFonts w:hint="eastAsia" w:ascii="宋体" w:hAnsi="宋体"/>
                <w:bCs/>
                <w:color w:val="000000" w:themeColor="text1"/>
                <w:sz w:val="21"/>
                <w:szCs w:val="21"/>
                <w:highlight w:val="none"/>
                <w14:textFill>
                  <w14:solidFill>
                    <w14:schemeClr w14:val="tx1"/>
                  </w14:solidFill>
                </w14:textFill>
              </w:rPr>
              <w:br w:type="textWrapping"/>
            </w:r>
            <w:r>
              <w:rPr>
                <w:rFonts w:ascii="宋体" w:hAnsi="宋体"/>
                <w:color w:val="000000" w:themeColor="text1"/>
                <w:sz w:val="21"/>
                <w:szCs w:val="21"/>
                <w:highlight w:val="none"/>
                <w14:textFill>
                  <w14:solidFill>
                    <w14:schemeClr w14:val="tx1"/>
                  </w14:solidFill>
                </w14:textFill>
              </w:rPr>
              <w:t>提供接口详细使用文档（如基础数据、课程表、教职工上下班打卡等），并提供整合案例说明。</w:t>
            </w:r>
          </w:p>
        </w:tc>
      </w:tr>
      <w:tr w14:paraId="526B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3B74741C">
            <w:pPr>
              <w:widowControl w:val="0"/>
              <w:jc w:val="center"/>
              <w:rPr>
                <w:rFonts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2</w:t>
            </w:r>
          </w:p>
        </w:tc>
        <w:tc>
          <w:tcPr>
            <w:tcW w:w="7660" w:type="dxa"/>
          </w:tcPr>
          <w:p w14:paraId="111C480C">
            <w:pPr>
              <w:pStyle w:val="3"/>
              <w:tabs>
                <w:tab w:val="left" w:pos="482"/>
                <w:tab w:val="left" w:pos="1044"/>
              </w:tabs>
              <w:spacing w:beforeLines="30" w:line="340" w:lineRule="exact"/>
              <w:jc w:val="both"/>
              <w:outlineLvl w:val="1"/>
              <w:rPr>
                <w:rFonts w:ascii="宋体" w:hAnsi="宋体" w:eastAsia="宋体"/>
                <w:b/>
                <w:bCs w:val="0"/>
                <w:color w:val="000000" w:themeColor="text1"/>
                <w:sz w:val="21"/>
                <w:szCs w:val="21"/>
                <w:highlight w:val="none"/>
                <w14:textFill>
                  <w14:solidFill>
                    <w14:schemeClr w14:val="tx1"/>
                  </w14:solidFill>
                </w14:textFill>
              </w:rPr>
            </w:pPr>
            <w:r>
              <w:rPr>
                <w:rFonts w:ascii="宋体" w:hAnsi="宋体" w:eastAsia="宋体"/>
                <w:b/>
                <w:bCs w:val="0"/>
                <w:color w:val="000000" w:themeColor="text1"/>
                <w:sz w:val="21"/>
                <w:szCs w:val="21"/>
                <w:highlight w:val="none"/>
                <w14:textFill>
                  <w14:solidFill>
                    <w14:schemeClr w14:val="tx1"/>
                  </w14:solidFill>
                </w14:textFill>
              </w:rPr>
              <w:t>课堂考勤</w:t>
            </w:r>
          </w:p>
          <w:p w14:paraId="222258D6">
            <w:pPr>
              <w:pStyle w:val="17"/>
              <w:spacing w:line="340" w:lineRule="exact"/>
              <w:jc w:val="both"/>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课堂学生考勤支持老师手工考勤、AI考勤、教学软件客户端随机点名考勤；</w:t>
            </w:r>
          </w:p>
          <w:p w14:paraId="71374D56">
            <w:pPr>
              <w:pStyle w:val="17"/>
              <w:spacing w:line="340" w:lineRule="exact"/>
              <w:jc w:val="both"/>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支持配置课堂考勤权限，设置课堂考勤的预警阈值。</w:t>
            </w:r>
          </w:p>
          <w:p w14:paraId="1BA6B5FD">
            <w:pPr>
              <w:pStyle w:val="17"/>
              <w:spacing w:line="340" w:lineRule="exact"/>
              <w:jc w:val="both"/>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手工考勤支持老师手动为学生标记考勤状态，若正常出勤，可对所有学生一键标记为正常出勤。</w:t>
            </w:r>
          </w:p>
          <w:p w14:paraId="6FC0D7DB">
            <w:pPr>
              <w:pStyle w:val="17"/>
              <w:spacing w:line="340" w:lineRule="exact"/>
              <w:jc w:val="both"/>
              <w:rPr>
                <w:rFonts w:ascii="宋体" w:hAnsi="宋体"/>
                <w:color w:val="000000" w:themeColor="text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可通过教学软件客户端随机点名和发送考勤异常情况，可查看班级总上课人数、应到人数、实到人数、请假、迟到等数据。</w:t>
            </w:r>
          </w:p>
        </w:tc>
      </w:tr>
      <w:tr w14:paraId="23F8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390559A6">
            <w:pPr>
              <w:widowControl w:val="0"/>
              <w:jc w:val="center"/>
              <w:rPr>
                <w:rFonts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3</w:t>
            </w:r>
          </w:p>
        </w:tc>
        <w:tc>
          <w:tcPr>
            <w:tcW w:w="7660" w:type="dxa"/>
          </w:tcPr>
          <w:p w14:paraId="0BEDB887">
            <w:pPr>
              <w:pStyle w:val="3"/>
              <w:tabs>
                <w:tab w:val="left" w:pos="482"/>
                <w:tab w:val="left" w:pos="956"/>
                <w:tab w:val="left" w:pos="1044"/>
              </w:tabs>
              <w:spacing w:beforeLines="30" w:line="340" w:lineRule="exact"/>
              <w:jc w:val="both"/>
              <w:outlineLvl w:val="1"/>
              <w:rPr>
                <w:rFonts w:ascii="宋体" w:hAnsi="宋体" w:eastAsia="宋体"/>
                <w:b/>
                <w:bCs w:val="0"/>
                <w:color w:val="000000" w:themeColor="text1"/>
                <w:sz w:val="21"/>
                <w:szCs w:val="21"/>
                <w:highlight w:val="none"/>
                <w14:textFill>
                  <w14:solidFill>
                    <w14:schemeClr w14:val="tx1"/>
                  </w14:solidFill>
                </w14:textFill>
              </w:rPr>
            </w:pPr>
            <w:r>
              <w:rPr>
                <w:rFonts w:hint="eastAsia" w:ascii="宋体" w:hAnsi="宋体" w:eastAsia="宋体"/>
                <w:b/>
                <w:bCs w:val="0"/>
                <w:color w:val="000000" w:themeColor="text1"/>
                <w:sz w:val="21"/>
                <w:szCs w:val="21"/>
                <w:highlight w:val="none"/>
                <w14:textFill>
                  <w14:solidFill>
                    <w14:schemeClr w14:val="tx1"/>
                  </w14:solidFill>
                </w14:textFill>
              </w:rPr>
              <w:t>协作项目管理</w:t>
            </w:r>
          </w:p>
          <w:p w14:paraId="34E9560D">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针对持续一段较长时间、涉及人员多的工作项目，提供项目成员管理、任务分解、进度跟踪、问题反馈、工作文档共享、项目成员交流等协同工作支持，提高工作效率。</w:t>
            </w:r>
          </w:p>
          <w:p w14:paraId="54255278">
            <w:pPr>
              <w:pStyle w:val="3"/>
              <w:tabs>
                <w:tab w:val="left" w:pos="482"/>
                <w:tab w:val="left" w:pos="956"/>
                <w:tab w:val="left" w:pos="1044"/>
              </w:tabs>
              <w:spacing w:beforeLines="30" w:line="340" w:lineRule="exact"/>
              <w:jc w:val="both"/>
              <w:outlineLvl w:val="1"/>
              <w:rPr>
                <w:rFonts w:ascii="宋体" w:hAnsi="宋体"/>
                <w:color w:val="000000" w:themeColor="text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能可向上级或其他人提交工作报告，指定抄送人、上传报告附件或在线填写报告内容；支持通过PC或手机App快速提交、查看批示工作报告，提高工作效率。</w:t>
            </w:r>
          </w:p>
        </w:tc>
      </w:tr>
      <w:tr w14:paraId="35FD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5C8FE4E7">
            <w:pPr>
              <w:widowControl w:val="0"/>
              <w:jc w:val="center"/>
              <w:rPr>
                <w:rFonts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4</w:t>
            </w:r>
          </w:p>
        </w:tc>
        <w:tc>
          <w:tcPr>
            <w:tcW w:w="7660" w:type="dxa"/>
          </w:tcPr>
          <w:p w14:paraId="0E0739D1">
            <w:pPr>
              <w:pStyle w:val="3"/>
              <w:tabs>
                <w:tab w:val="left" w:pos="482"/>
                <w:tab w:val="left" w:pos="956"/>
                <w:tab w:val="left" w:pos="1044"/>
              </w:tabs>
              <w:spacing w:beforeLines="30" w:line="340" w:lineRule="exact"/>
              <w:jc w:val="both"/>
              <w:outlineLvl w:val="1"/>
              <w:rPr>
                <w:rFonts w:ascii="宋体" w:hAnsi="宋体" w:eastAsia="宋体"/>
                <w:b/>
                <w:bCs w:val="0"/>
                <w:color w:val="000000" w:themeColor="text1"/>
                <w:sz w:val="21"/>
                <w:szCs w:val="21"/>
                <w:highlight w:val="none"/>
                <w14:textFill>
                  <w14:solidFill>
                    <w14:schemeClr w14:val="tx1"/>
                  </w14:solidFill>
                </w14:textFill>
              </w:rPr>
            </w:pPr>
            <w:r>
              <w:rPr>
                <w:rFonts w:hint="eastAsia" w:ascii="宋体" w:hAnsi="宋体" w:eastAsia="宋体"/>
                <w:b/>
                <w:bCs w:val="0"/>
                <w:color w:val="000000" w:themeColor="text1"/>
                <w:sz w:val="21"/>
                <w:szCs w:val="21"/>
                <w:highlight w:val="none"/>
                <w14:textFill>
                  <w14:solidFill>
                    <w14:schemeClr w14:val="tx1"/>
                  </w14:solidFill>
                </w14:textFill>
              </w:rPr>
              <w:t>巡课管理</w:t>
            </w:r>
          </w:p>
          <w:p w14:paraId="4133B097">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巡课情况登记：巡课结果登记支持PC端或App端的线上登记</w:t>
            </w:r>
          </w:p>
          <w:p w14:paraId="714D09B3">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异常巡课结果统计：支持标记巡课异常项目，便于管理员监控和跟踪。通过报表自动分析各个维度异常情况，帮助管理员从多个角度分析改进。</w:t>
            </w:r>
          </w:p>
          <w:p w14:paraId="58E41D32">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班级巡课结果统计：支持按时间段统计班级巡课结果，可查看班级教师的出勤率、迟到率、缺勤率、早退率等；可查看学生的实到率、请假率等。</w:t>
            </w:r>
          </w:p>
          <w:p w14:paraId="2EC96966">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登记巡课结果：巡课客户端自动获取班级基础信息（如课程、教室基础信息等），可快速登记巡课结果；巡课正常的班级课可一键批量登记巡课结果，提高效率。</w:t>
            </w:r>
          </w:p>
          <w:p w14:paraId="12294D07">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教师被巡课情况统计：支持按时间段统计被巡课的教职工被巡课次数，支持查看每次被巡课的巡课结果明细。</w:t>
            </w:r>
          </w:p>
          <w:p w14:paraId="3E71DD0A">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巡课执行情况统计：支持管理人员按日期汇总参与巡课的老师的巡课情况，分析巡课工作实施情况。</w:t>
            </w:r>
          </w:p>
        </w:tc>
      </w:tr>
      <w:tr w14:paraId="7C77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63E4F820">
            <w:pPr>
              <w:widowControl w:val="0"/>
              <w:jc w:val="center"/>
              <w:rPr>
                <w:rFonts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5</w:t>
            </w:r>
          </w:p>
        </w:tc>
        <w:tc>
          <w:tcPr>
            <w:tcW w:w="7660" w:type="dxa"/>
          </w:tcPr>
          <w:p w14:paraId="7B41F597">
            <w:pPr>
              <w:pStyle w:val="3"/>
              <w:tabs>
                <w:tab w:val="left" w:pos="482"/>
                <w:tab w:val="left" w:pos="956"/>
                <w:tab w:val="left" w:pos="1044"/>
              </w:tabs>
              <w:spacing w:beforeLines="30" w:line="340" w:lineRule="exact"/>
              <w:jc w:val="both"/>
              <w:outlineLvl w:val="1"/>
              <w:rPr>
                <w:rFonts w:ascii="宋体" w:hAnsi="宋体" w:eastAsia="宋体"/>
                <w:b/>
                <w:bCs w:val="0"/>
                <w:color w:val="000000" w:themeColor="text1"/>
                <w:sz w:val="21"/>
                <w:szCs w:val="21"/>
                <w:highlight w:val="none"/>
                <w14:textFill>
                  <w14:solidFill>
                    <w14:schemeClr w14:val="tx1"/>
                  </w14:solidFill>
                </w14:textFill>
              </w:rPr>
            </w:pPr>
            <w:r>
              <w:rPr>
                <w:rFonts w:ascii="宋体" w:hAnsi="宋体" w:eastAsia="宋体"/>
                <w:b/>
                <w:bCs w:val="0"/>
                <w:color w:val="000000" w:themeColor="text1"/>
                <w:sz w:val="21"/>
                <w:szCs w:val="21"/>
                <w:highlight w:val="none"/>
                <w14:textFill>
                  <w14:solidFill>
                    <w14:schemeClr w14:val="tx1"/>
                  </w14:solidFill>
                </w14:textFill>
              </w:rPr>
              <w:t>学生请假放行管理</w:t>
            </w:r>
          </w:p>
          <w:p w14:paraId="298B5B76">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进出校及节假日管理：支持添加、删除节假日任务，设置节假日放假日期、放假要求、离校和返校要求、住宿生留校要求等。</w:t>
            </w:r>
          </w:p>
          <w:p w14:paraId="1B552122">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学生请假相关配置：支持配置学校填写请假条相关要求，如请假天数、请假开始时间、结束时间要求等。</w:t>
            </w:r>
          </w:p>
          <w:p w14:paraId="373ECFAE">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学生请假流程配置：支持对流程模板进行设置、流程变量管理、流程实例管理等。</w:t>
            </w:r>
          </w:p>
          <w:p w14:paraId="06C1343E">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学生请假明细查询：支持班主任及宿管员查看和统计某一时间段学生的请假明细。</w:t>
            </w:r>
          </w:p>
          <w:p w14:paraId="658395EA">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班级请假情况统计：支持班主任和宿管员按时间段查询统计班级请假情况，可统计请假人数、已出校人数、已返校人数、未返校人数、逾期未返校人数等；</w:t>
            </w:r>
          </w:p>
          <w:p w14:paraId="5890DCC1">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学生留校明细查询：支持按节假日任务、组织机构对住宿生节假日留校明细进行查询，可查询具体学生详细信息，如学号、联系方式、班级、班主任、入住寝室、留校原因等。</w:t>
            </w:r>
          </w:p>
        </w:tc>
      </w:tr>
      <w:tr w14:paraId="5539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0DF39C7C">
            <w:pPr>
              <w:widowControl w:val="0"/>
              <w:jc w:val="center"/>
              <w:rPr>
                <w:rFonts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6</w:t>
            </w:r>
          </w:p>
        </w:tc>
        <w:tc>
          <w:tcPr>
            <w:tcW w:w="7660" w:type="dxa"/>
          </w:tcPr>
          <w:p w14:paraId="3E5B9A14">
            <w:pPr>
              <w:pStyle w:val="3"/>
              <w:tabs>
                <w:tab w:val="left" w:pos="482"/>
                <w:tab w:val="left" w:pos="956"/>
                <w:tab w:val="left" w:pos="1044"/>
              </w:tabs>
              <w:spacing w:beforeLines="30" w:line="340" w:lineRule="exact"/>
              <w:jc w:val="both"/>
              <w:outlineLvl w:val="1"/>
              <w:rPr>
                <w:rFonts w:ascii="宋体" w:hAnsi="宋体" w:eastAsia="宋体"/>
                <w:b/>
                <w:bCs w:val="0"/>
                <w:color w:val="000000" w:themeColor="text1"/>
                <w:sz w:val="21"/>
                <w:szCs w:val="21"/>
                <w:highlight w:val="none"/>
                <w14:textFill>
                  <w14:solidFill>
                    <w14:schemeClr w14:val="tx1"/>
                  </w14:solidFill>
                </w14:textFill>
              </w:rPr>
            </w:pPr>
            <w:r>
              <w:rPr>
                <w:rFonts w:ascii="宋体" w:hAnsi="宋体" w:eastAsia="宋体"/>
                <w:b/>
                <w:bCs w:val="0"/>
                <w:color w:val="000000" w:themeColor="text1"/>
                <w:sz w:val="21"/>
                <w:szCs w:val="21"/>
                <w:highlight w:val="none"/>
                <w14:textFill>
                  <w14:solidFill>
                    <w14:schemeClr w14:val="tx1"/>
                  </w14:solidFill>
                </w14:textFill>
              </w:rPr>
              <w:t>宿舍考勤</w:t>
            </w:r>
          </w:p>
          <w:p w14:paraId="11686C7C">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支持宿管员在App上对学生的归寝情况进行登记，查寝时能自动查询系统中请假不归寝的学生名单。若发现未归学生支持App拨号联系班主任，也支持系统发送提醒消息。</w:t>
            </w:r>
          </w:p>
          <w:p w14:paraId="1528E3E5">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特殊查寝规则（如升学班与非升学班晚自行时间不一致等情况）；</w:t>
            </w:r>
          </w:p>
          <w:p w14:paraId="1C7299CC">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全校楼栋归寝情况：支持按日期查看全校楼栋的查寝结果，可查看未归寝、晚归寝的具体名单。</w:t>
            </w:r>
          </w:p>
          <w:p w14:paraId="0C446015">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每日归寝情况查询：可按学生、系部、班级、寝室号等维度查询每日寝室的归寝情况。</w:t>
            </w:r>
          </w:p>
        </w:tc>
      </w:tr>
      <w:tr w14:paraId="367BA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4B5CD1DB">
            <w:pPr>
              <w:widowControl w:val="0"/>
              <w:jc w:val="center"/>
              <w:rPr>
                <w:rFonts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7</w:t>
            </w:r>
          </w:p>
        </w:tc>
        <w:tc>
          <w:tcPr>
            <w:tcW w:w="7660" w:type="dxa"/>
          </w:tcPr>
          <w:p w14:paraId="5A9452FC">
            <w:pPr>
              <w:pStyle w:val="3"/>
              <w:tabs>
                <w:tab w:val="left" w:pos="482"/>
                <w:tab w:val="left" w:pos="956"/>
                <w:tab w:val="left" w:pos="1044"/>
              </w:tabs>
              <w:spacing w:beforeLines="30" w:line="340" w:lineRule="exact"/>
              <w:jc w:val="both"/>
              <w:outlineLvl w:val="1"/>
              <w:rPr>
                <w:rFonts w:ascii="宋体" w:hAnsi="宋体" w:eastAsia="宋体"/>
                <w:b/>
                <w:bCs w:val="0"/>
                <w:color w:val="000000" w:themeColor="text1"/>
                <w:sz w:val="21"/>
                <w:szCs w:val="21"/>
                <w:highlight w:val="none"/>
                <w14:textFill>
                  <w14:solidFill>
                    <w14:schemeClr w14:val="tx1"/>
                  </w14:solidFill>
                </w14:textFill>
              </w:rPr>
            </w:pPr>
            <w:r>
              <w:rPr>
                <w:rFonts w:ascii="宋体" w:hAnsi="宋体" w:eastAsia="宋体"/>
                <w:b/>
                <w:bCs w:val="0"/>
                <w:color w:val="000000" w:themeColor="text1"/>
                <w:sz w:val="21"/>
                <w:szCs w:val="21"/>
                <w:highlight w:val="none"/>
                <w14:textFill>
                  <w14:solidFill>
                    <w14:schemeClr w14:val="tx1"/>
                  </w14:solidFill>
                </w14:textFill>
              </w:rPr>
              <w:t>工作PDCA浏览与统计</w:t>
            </w:r>
          </w:p>
          <w:p w14:paraId="514169B9">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教</w:t>
            </w:r>
            <w:r>
              <w:rPr>
                <w:rFonts w:hint="eastAsia" w:ascii="宋体" w:hAnsi="宋体" w:eastAsia="宋体"/>
                <w:color w:val="000000" w:themeColor="text1"/>
                <w:sz w:val="21"/>
                <w:szCs w:val="21"/>
                <w:highlight w:val="none"/>
                <w14:textFill>
                  <w14:solidFill>
                    <w14:schemeClr w14:val="tx1"/>
                  </w14:solidFill>
                </w14:textFill>
              </w:rPr>
              <w:t>职工</w:t>
            </w:r>
            <w:r>
              <w:rPr>
                <w:rFonts w:ascii="宋体" w:hAnsi="宋体" w:eastAsia="宋体"/>
                <w:color w:val="000000" w:themeColor="text1"/>
                <w:sz w:val="21"/>
                <w:szCs w:val="21"/>
                <w:highlight w:val="none"/>
                <w14:textFill>
                  <w14:solidFill>
                    <w14:schemeClr w14:val="tx1"/>
                  </w14:solidFill>
                </w14:textFill>
              </w:rPr>
              <w:t>每日填写工作</w:t>
            </w:r>
            <w:r>
              <w:rPr>
                <w:rFonts w:hint="eastAsia" w:ascii="宋体" w:hAnsi="宋体" w:eastAsia="宋体"/>
                <w:color w:val="000000" w:themeColor="text1"/>
                <w:sz w:val="21"/>
                <w:szCs w:val="21"/>
                <w:highlight w:val="none"/>
                <w14:textFill>
                  <w14:solidFill>
                    <w14:schemeClr w14:val="tx1"/>
                  </w14:solidFill>
                </w14:textFill>
              </w:rPr>
              <w:t>总结及明日工作</w:t>
            </w:r>
            <w:r>
              <w:rPr>
                <w:rFonts w:ascii="宋体" w:hAnsi="宋体" w:eastAsia="宋体"/>
                <w:color w:val="000000" w:themeColor="text1"/>
                <w:sz w:val="21"/>
                <w:szCs w:val="21"/>
                <w:highlight w:val="none"/>
                <w14:textFill>
                  <w14:solidFill>
                    <w14:schemeClr w14:val="tx1"/>
                  </w14:solidFill>
                </w14:textFill>
              </w:rPr>
              <w:t>计划，管理人员查看教职工每日填写的工作计划和总结信息，以月为单位统计每个教职工每天的PDCA计划/总结情况。</w:t>
            </w:r>
          </w:p>
        </w:tc>
      </w:tr>
      <w:tr w14:paraId="7E1A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09B7BFEE">
            <w:pPr>
              <w:widowControl w:val="0"/>
              <w:jc w:val="center"/>
              <w:rPr>
                <w:rFonts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8</w:t>
            </w:r>
          </w:p>
        </w:tc>
        <w:tc>
          <w:tcPr>
            <w:tcW w:w="7660" w:type="dxa"/>
          </w:tcPr>
          <w:p w14:paraId="20CB0E95">
            <w:pPr>
              <w:pStyle w:val="3"/>
              <w:tabs>
                <w:tab w:val="left" w:pos="482"/>
                <w:tab w:val="left" w:pos="956"/>
                <w:tab w:val="left" w:pos="1044"/>
              </w:tabs>
              <w:spacing w:beforeLines="30" w:line="340" w:lineRule="exact"/>
              <w:jc w:val="both"/>
              <w:outlineLvl w:val="1"/>
              <w:rPr>
                <w:rFonts w:ascii="宋体" w:hAnsi="宋体" w:eastAsia="宋体"/>
                <w:b/>
                <w:bCs w:val="0"/>
                <w:color w:val="000000" w:themeColor="text1"/>
                <w:sz w:val="21"/>
                <w:szCs w:val="21"/>
                <w:highlight w:val="none"/>
                <w14:textFill>
                  <w14:solidFill>
                    <w14:schemeClr w14:val="tx1"/>
                  </w14:solidFill>
                </w14:textFill>
              </w:rPr>
            </w:pPr>
            <w:r>
              <w:rPr>
                <w:rFonts w:ascii="宋体" w:hAnsi="宋体" w:eastAsia="宋体"/>
                <w:b/>
                <w:bCs w:val="0"/>
                <w:color w:val="000000" w:themeColor="text1"/>
                <w:sz w:val="21"/>
                <w:szCs w:val="21"/>
                <w:highlight w:val="none"/>
                <w14:textFill>
                  <w14:solidFill>
                    <w14:schemeClr w14:val="tx1"/>
                  </w14:solidFill>
                </w14:textFill>
              </w:rPr>
              <w:t>OKR管理</w:t>
            </w:r>
          </w:p>
          <w:p w14:paraId="43050716">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设置机构的组织使命与愿景、指定系统管理员、团队/个人OKR权限等，提供OKR填报、复盘、总结，将各级部门、个人目标与机构的目标对齐</w:t>
            </w:r>
            <w:r>
              <w:rPr>
                <w:rFonts w:hint="eastAsia" w:ascii="宋体" w:hAnsi="宋体" w:eastAsia="宋体"/>
                <w:color w:val="000000" w:themeColor="text1"/>
                <w:sz w:val="21"/>
                <w:szCs w:val="21"/>
                <w:highlight w:val="none"/>
                <w14:textFill>
                  <w14:solidFill>
                    <w14:schemeClr w14:val="tx1"/>
                  </w14:solidFill>
                </w14:textFill>
              </w:rPr>
              <w:t>。</w:t>
            </w:r>
          </w:p>
          <w:p w14:paraId="095BD235">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提供OKR围观议论功能</w:t>
            </w:r>
            <w:r>
              <w:rPr>
                <w:rFonts w:hint="eastAsia" w:ascii="宋体" w:hAnsi="宋体" w:eastAsia="宋体"/>
                <w:color w:val="000000" w:themeColor="text1"/>
                <w:sz w:val="21"/>
                <w:szCs w:val="21"/>
                <w:highlight w:val="none"/>
                <w14:textFill>
                  <w14:solidFill>
                    <w14:schemeClr w14:val="tx1"/>
                  </w14:solidFill>
                </w14:textFill>
              </w:rPr>
              <w:t>。</w:t>
            </w:r>
          </w:p>
          <w:p w14:paraId="16303B85">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ascii="宋体" w:hAnsi="宋体" w:eastAsia="宋体"/>
                <w:color w:val="000000" w:themeColor="text1"/>
                <w:sz w:val="21"/>
                <w:szCs w:val="21"/>
                <w:highlight w:val="none"/>
                <w14:textFill>
                  <w14:solidFill>
                    <w14:schemeClr w14:val="tx1"/>
                  </w14:solidFill>
                </w14:textFill>
              </w:rPr>
              <w:t>管理员可对OKR复盘情况进行查看。</w:t>
            </w:r>
          </w:p>
        </w:tc>
      </w:tr>
      <w:tr w14:paraId="05CC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4F927EA4">
            <w:pPr>
              <w:widowControl w:val="0"/>
              <w:jc w:val="center"/>
              <w:rPr>
                <w:rFonts w:ascii="宋体" w:hAnsi="宋体" w:eastAsia="宋体"/>
                <w:color w:val="000000" w:themeColor="text1"/>
                <w:highlight w:val="none"/>
                <w14:textFill>
                  <w14:solidFill>
                    <w14:schemeClr w14:val="tx1"/>
                  </w14:solidFill>
                </w14:textFill>
              </w:rPr>
            </w:pPr>
            <w:r>
              <w:rPr>
                <w:rFonts w:hint="eastAsia" w:ascii="宋体" w:hAnsi="宋体" w:eastAsia="宋体"/>
                <w:color w:val="000000" w:themeColor="text1"/>
                <w:highlight w:val="none"/>
                <w14:textFill>
                  <w14:solidFill>
                    <w14:schemeClr w14:val="tx1"/>
                  </w14:solidFill>
                </w14:textFill>
              </w:rPr>
              <w:t>9</w:t>
            </w:r>
          </w:p>
        </w:tc>
        <w:tc>
          <w:tcPr>
            <w:tcW w:w="7660" w:type="dxa"/>
          </w:tcPr>
          <w:p w14:paraId="095F725D">
            <w:pPr>
              <w:pStyle w:val="3"/>
              <w:tabs>
                <w:tab w:val="left" w:pos="482"/>
                <w:tab w:val="left" w:pos="956"/>
                <w:tab w:val="left" w:pos="1044"/>
              </w:tabs>
              <w:spacing w:beforeLines="30" w:line="340" w:lineRule="exact"/>
              <w:jc w:val="both"/>
              <w:outlineLvl w:val="1"/>
              <w:rPr>
                <w:rFonts w:ascii="宋体" w:hAnsi="宋体" w:eastAsia="宋体"/>
                <w:b/>
                <w:bCs w:val="0"/>
                <w:color w:val="000000" w:themeColor="text1"/>
                <w:sz w:val="21"/>
                <w:szCs w:val="21"/>
                <w:highlight w:val="none"/>
                <w14:textFill>
                  <w14:solidFill>
                    <w14:schemeClr w14:val="tx1"/>
                  </w14:solidFill>
                </w14:textFill>
              </w:rPr>
            </w:pPr>
            <w:r>
              <w:rPr>
                <w:rFonts w:hint="eastAsia" w:ascii="宋体" w:hAnsi="宋体" w:eastAsia="宋体"/>
                <w:b/>
                <w:bCs w:val="0"/>
                <w:color w:val="000000" w:themeColor="text1"/>
                <w:sz w:val="21"/>
                <w:szCs w:val="21"/>
                <w:highlight w:val="none"/>
                <w14:textFill>
                  <w14:solidFill>
                    <w14:schemeClr w14:val="tx1"/>
                  </w14:solidFill>
                </w14:textFill>
              </w:rPr>
              <w:t>闸机进出设置</w:t>
            </w:r>
          </w:p>
          <w:p w14:paraId="3935AF51">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针对学校走读生、住校生，单独设置走读生、住校生的进出校管控规则，规则设置可按全校教学作息进行设置（系统动态获取教务教学作息时间管控进出校），也可全校自定义设置或按班级自定义进行设置（按自定义的进出放行执行日期进行管控）。未设置规则的学生，默认不能进出校。若学生在系统已有请假信息或有节假日放假任务则不受进出规则限制。</w:t>
            </w:r>
          </w:p>
          <w:p w14:paraId="3C1184F9">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支持记录进出校时间，支持设置按要求发送进出校信息给监护人或班主任。</w:t>
            </w:r>
          </w:p>
          <w:p w14:paraId="57D11B32">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支持按校区制定寒暑假期间走读生、住校生的进出校管控规则。</w:t>
            </w:r>
          </w:p>
        </w:tc>
      </w:tr>
      <w:tr w14:paraId="2549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 w:type="dxa"/>
            <w:vAlign w:val="center"/>
          </w:tcPr>
          <w:p w14:paraId="6082424B">
            <w:pPr>
              <w:pStyle w:val="17"/>
              <w:spacing w:line="340" w:lineRule="exact"/>
              <w:jc w:val="both"/>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10</w:t>
            </w:r>
          </w:p>
        </w:tc>
        <w:tc>
          <w:tcPr>
            <w:tcW w:w="7660" w:type="dxa"/>
          </w:tcPr>
          <w:p w14:paraId="20971861">
            <w:pPr>
              <w:pStyle w:val="3"/>
              <w:tabs>
                <w:tab w:val="left" w:pos="482"/>
                <w:tab w:val="left" w:pos="956"/>
                <w:tab w:val="left" w:pos="1044"/>
              </w:tabs>
              <w:spacing w:beforeLines="30" w:line="340" w:lineRule="exact"/>
              <w:jc w:val="both"/>
              <w:outlineLvl w:val="1"/>
              <w:rPr>
                <w:rFonts w:ascii="宋体" w:hAnsi="宋体" w:eastAsia="宋体"/>
                <w:b/>
                <w:bCs w:val="0"/>
                <w:color w:val="000000" w:themeColor="text1"/>
                <w:sz w:val="21"/>
                <w:szCs w:val="21"/>
                <w:highlight w:val="none"/>
                <w14:textFill>
                  <w14:solidFill>
                    <w14:schemeClr w14:val="tx1"/>
                  </w14:solidFill>
                </w14:textFill>
              </w:rPr>
            </w:pPr>
            <w:r>
              <w:rPr>
                <w:rFonts w:hint="eastAsia" w:ascii="宋体" w:hAnsi="宋体" w:eastAsia="宋体"/>
                <w:b/>
                <w:bCs w:val="0"/>
                <w:color w:val="000000" w:themeColor="text1"/>
                <w:sz w:val="21"/>
                <w:szCs w:val="21"/>
                <w:highlight w:val="none"/>
                <w14:textFill>
                  <w14:solidFill>
                    <w14:schemeClr w14:val="tx1"/>
                  </w14:solidFill>
                </w14:textFill>
              </w:rPr>
              <w:t>学生综合素质评价</w:t>
            </w:r>
          </w:p>
          <w:p w14:paraId="7F1F0FD1">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学生综合素质评价整体评价情况：支持从德育、智育、体育、美育、劳育五个方面分析各个评价体系学生的平均分、满分与平均分的差距，并图形化展示各个评价体系满分与平均分的差距。支持查看实际提交评价学生人数。</w:t>
            </w:r>
          </w:p>
          <w:p w14:paraId="30DD61D4">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学生成绩分布情况：分析评价体系各成绩等级（如优秀、良好、合格、不合格）的人数分布情况，帮助学校管理部门了解全校学生处于的成绩等级水平；支持进一步分析德育、智育、体育、美育、劳育五个评价体系学生成绩等级的分布情况，可以展示各评价体系的成绩占比，帮助学校管理部门了解各评价体系的成绩等级水平。</w:t>
            </w:r>
          </w:p>
          <w:p w14:paraId="47F386E9">
            <w:pPr>
              <w:pStyle w:val="3"/>
              <w:tabs>
                <w:tab w:val="left" w:pos="482"/>
                <w:tab w:val="left" w:pos="956"/>
                <w:tab w:val="left" w:pos="1044"/>
              </w:tabs>
              <w:spacing w:beforeLines="30" w:line="340" w:lineRule="exact"/>
              <w:jc w:val="both"/>
              <w:outlineLvl w:val="1"/>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各系部学生综合素质评价情况：分析各系部学生综合素质评价平均分统计情况，支持图表方式展示高于/低于全校平均分数的系部；支持图表方式分析展示各系部各成绩等级的学生人数分布情况。支持分析系部学生综素整体情况和系部各年级的学生综素情况。</w:t>
            </w:r>
          </w:p>
        </w:tc>
      </w:tr>
    </w:tbl>
    <w:p w14:paraId="1F0B1D06">
      <w:pPr>
        <w:spacing w:after="0" w:line="420" w:lineRule="exact"/>
        <w:ind w:firstLine="482" w:firstLineChars="200"/>
        <w:jc w:val="center"/>
        <w:rPr>
          <w:rFonts w:ascii="宋体" w:hAnsi="宋体" w:eastAsia="宋体" w:cs="宋体"/>
          <w:b/>
          <w:color w:val="000000" w:themeColor="text1"/>
          <w:szCs w:val="21"/>
          <w:highlight w:val="none"/>
          <w14:textFill>
            <w14:solidFill>
              <w14:schemeClr w14:val="tx1"/>
            </w14:solidFill>
          </w14:textFill>
        </w:rPr>
      </w:pPr>
    </w:p>
    <w:p w14:paraId="26E05DB4">
      <w:pPr>
        <w:spacing w:after="0" w:line="420" w:lineRule="exact"/>
        <w:ind w:firstLine="482" w:firstLineChars="200"/>
        <w:jc w:val="center"/>
        <w:rPr>
          <w:rFonts w:ascii="宋体" w:hAnsi="宋体" w:eastAsia="宋体" w:cs="宋体"/>
          <w:b/>
          <w:color w:val="000000" w:themeColor="text1"/>
          <w:szCs w:val="21"/>
          <w:highlight w:val="none"/>
          <w14:textFill>
            <w14:solidFill>
              <w14:schemeClr w14:val="tx1"/>
            </w14:solidFill>
          </w14:textFill>
        </w:rPr>
        <w:sectPr>
          <w:footerReference r:id="rId7" w:type="default"/>
          <w:pgSz w:w="11906" w:h="16839"/>
          <w:pgMar w:top="1431" w:right="1518" w:bottom="1449" w:left="1711" w:header="0" w:footer="1287" w:gutter="0"/>
          <w:cols w:space="720" w:num="1"/>
        </w:sectPr>
      </w:pPr>
    </w:p>
    <w:p w14:paraId="31D8DCCA">
      <w:pPr>
        <w:pStyle w:val="23"/>
        <w:jc w:val="left"/>
        <w:rPr>
          <w:rFonts w:ascii="Arial Unicode MS" w:hAnsi="Arial Unicode MS" w:eastAsia="Arial Unicode MS" w:cs="Arial Unicode MS"/>
          <w:color w:val="000000" w:themeColor="text1"/>
          <w:sz w:val="32"/>
          <w:szCs w:val="32"/>
          <w:highlight w:val="none"/>
          <w14:textFill>
            <w14:solidFill>
              <w14:schemeClr w14:val="tx1"/>
            </w14:solidFill>
          </w14:textFill>
        </w:rPr>
      </w:pPr>
      <w:r>
        <w:rPr>
          <w:rFonts w:hint="eastAsia" w:ascii="Arial Unicode MS" w:hAnsi="Arial Unicode MS" w:eastAsia="Arial Unicode MS" w:cs="Arial Unicode MS"/>
          <w:color w:val="000000" w:themeColor="text1"/>
          <w:sz w:val="32"/>
          <w:szCs w:val="32"/>
          <w:highlight w:val="none"/>
          <w14:textFill>
            <w14:solidFill>
              <w14:schemeClr w14:val="tx1"/>
            </w14:solidFill>
          </w14:textFill>
        </w:rPr>
        <w:t>附件2：</w:t>
      </w:r>
    </w:p>
    <w:p w14:paraId="2E71733A">
      <w:pPr>
        <w:spacing w:line="330" w:lineRule="atLeast"/>
        <w:jc w:val="center"/>
        <w:rPr>
          <w:rFonts w:ascii="方正小标宋_GBK" w:hAnsi="宋体" w:eastAsia="方正小标宋_GBK" w:cs="宋体"/>
          <w:color w:val="000000" w:themeColor="text1"/>
          <w:highlight w:val="none"/>
          <w14:textFill>
            <w14:solidFill>
              <w14:schemeClr w14:val="tx1"/>
            </w14:solidFill>
          </w14:textFill>
        </w:rPr>
      </w:pPr>
      <w:bookmarkStart w:id="151" w:name="_Toc19850"/>
      <w:r>
        <w:rPr>
          <w:rFonts w:hint="eastAsia" w:ascii="方正小标宋_GBK" w:hAnsi="宋体" w:eastAsia="方正小标宋_GBK" w:cs="宋体"/>
          <w:color w:val="000000" w:themeColor="text1"/>
          <w:highlight w:val="none"/>
          <w14:textFill>
            <w14:solidFill>
              <w14:schemeClr w14:val="tx1"/>
            </w14:solidFill>
          </w14:textFill>
        </w:rPr>
        <w:t>统计上大中小微型企业划分标准</w:t>
      </w:r>
    </w:p>
    <w:tbl>
      <w:tblPr>
        <w:tblStyle w:val="45"/>
        <w:tblW w:w="9675" w:type="dxa"/>
        <w:jc w:val="center"/>
        <w:tblLayout w:type="fixed"/>
        <w:tblCellMar>
          <w:top w:w="0" w:type="dxa"/>
          <w:left w:w="108" w:type="dxa"/>
          <w:bottom w:w="0" w:type="dxa"/>
          <w:right w:w="108" w:type="dxa"/>
        </w:tblCellMar>
      </w:tblPr>
      <w:tblGrid>
        <w:gridCol w:w="2113"/>
        <w:gridCol w:w="1369"/>
        <w:gridCol w:w="709"/>
        <w:gridCol w:w="1125"/>
        <w:gridCol w:w="1701"/>
        <w:gridCol w:w="1426"/>
        <w:gridCol w:w="1232"/>
      </w:tblGrid>
      <w:tr w14:paraId="65FD9A3E">
        <w:tblPrEx>
          <w:tblCellMar>
            <w:top w:w="0" w:type="dxa"/>
            <w:left w:w="108" w:type="dxa"/>
            <w:bottom w:w="0" w:type="dxa"/>
            <w:right w:w="108" w:type="dxa"/>
          </w:tblCellMar>
        </w:tblPrEx>
        <w:trPr>
          <w:trHeight w:val="622" w:hRule="exact"/>
          <w:jc w:val="center"/>
        </w:trPr>
        <w:tc>
          <w:tcPr>
            <w:tcW w:w="2113" w:type="dxa"/>
            <w:tcBorders>
              <w:top w:val="single" w:color="auto" w:sz="4" w:space="0"/>
              <w:left w:val="single" w:color="auto" w:sz="4" w:space="0"/>
              <w:bottom w:val="single" w:color="auto" w:sz="4" w:space="0"/>
              <w:right w:val="single" w:color="auto" w:sz="4" w:space="0"/>
            </w:tcBorders>
            <w:vAlign w:val="center"/>
          </w:tcPr>
          <w:p w14:paraId="76FF0867">
            <w:pPr>
              <w:spacing w:line="240" w:lineRule="exact"/>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行业名称</w:t>
            </w:r>
          </w:p>
        </w:tc>
        <w:tc>
          <w:tcPr>
            <w:tcW w:w="1369" w:type="dxa"/>
            <w:tcBorders>
              <w:top w:val="single" w:color="auto" w:sz="4" w:space="0"/>
              <w:left w:val="single" w:color="auto" w:sz="4" w:space="0"/>
              <w:bottom w:val="single" w:color="auto" w:sz="4" w:space="0"/>
              <w:right w:val="single" w:color="auto" w:sz="4" w:space="0"/>
            </w:tcBorders>
            <w:vAlign w:val="center"/>
          </w:tcPr>
          <w:p w14:paraId="4C999246">
            <w:pPr>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指标名称</w:t>
            </w:r>
          </w:p>
        </w:tc>
        <w:tc>
          <w:tcPr>
            <w:tcW w:w="709" w:type="dxa"/>
            <w:tcBorders>
              <w:top w:val="single" w:color="auto" w:sz="4" w:space="0"/>
              <w:left w:val="single" w:color="auto" w:sz="4" w:space="0"/>
              <w:bottom w:val="single" w:color="auto" w:sz="4" w:space="0"/>
              <w:right w:val="single" w:color="auto" w:sz="4" w:space="0"/>
            </w:tcBorders>
            <w:vAlign w:val="center"/>
          </w:tcPr>
          <w:p w14:paraId="4C7D57EE">
            <w:pPr>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计量</w:t>
            </w:r>
            <w:r>
              <w:rPr>
                <w:rFonts w:hint="eastAsia" w:ascii="宋体" w:hAnsi="宋体" w:cs="宋体"/>
                <w:b/>
                <w:bCs/>
                <w:color w:val="000000" w:themeColor="text1"/>
                <w:sz w:val="18"/>
                <w:szCs w:val="18"/>
                <w:highlight w:val="none"/>
                <w14:textFill>
                  <w14:solidFill>
                    <w14:schemeClr w14:val="tx1"/>
                  </w14:solidFill>
                </w14:textFill>
              </w:rPr>
              <w:br w:type="textWrapping"/>
            </w:r>
            <w:r>
              <w:rPr>
                <w:rFonts w:hint="eastAsia" w:ascii="宋体" w:hAnsi="宋体" w:cs="宋体"/>
                <w:b/>
                <w:bCs/>
                <w:color w:val="000000" w:themeColor="text1"/>
                <w:sz w:val="18"/>
                <w:szCs w:val="18"/>
                <w:highlight w:val="none"/>
                <w14:textFill>
                  <w14:solidFill>
                    <w14:schemeClr w14:val="tx1"/>
                  </w14:solidFill>
                </w14:textFill>
              </w:rPr>
              <w:t>单位</w:t>
            </w:r>
          </w:p>
        </w:tc>
        <w:tc>
          <w:tcPr>
            <w:tcW w:w="1125" w:type="dxa"/>
            <w:tcBorders>
              <w:top w:val="single" w:color="auto" w:sz="4" w:space="0"/>
              <w:left w:val="single" w:color="auto" w:sz="4" w:space="0"/>
              <w:bottom w:val="single" w:color="auto" w:sz="4" w:space="0"/>
              <w:right w:val="single" w:color="auto" w:sz="4" w:space="0"/>
            </w:tcBorders>
            <w:vAlign w:val="center"/>
          </w:tcPr>
          <w:p w14:paraId="6209438A">
            <w:pPr>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大型</w:t>
            </w:r>
          </w:p>
        </w:tc>
        <w:tc>
          <w:tcPr>
            <w:tcW w:w="1701" w:type="dxa"/>
            <w:tcBorders>
              <w:top w:val="single" w:color="auto" w:sz="4" w:space="0"/>
              <w:left w:val="single" w:color="auto" w:sz="4" w:space="0"/>
              <w:bottom w:val="single" w:color="auto" w:sz="4" w:space="0"/>
              <w:right w:val="single" w:color="auto" w:sz="4" w:space="0"/>
            </w:tcBorders>
            <w:vAlign w:val="center"/>
          </w:tcPr>
          <w:p w14:paraId="1AFFCEB6">
            <w:pPr>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中型</w:t>
            </w:r>
          </w:p>
        </w:tc>
        <w:tc>
          <w:tcPr>
            <w:tcW w:w="1426" w:type="dxa"/>
            <w:tcBorders>
              <w:top w:val="single" w:color="auto" w:sz="4" w:space="0"/>
              <w:left w:val="single" w:color="auto" w:sz="4" w:space="0"/>
              <w:bottom w:val="single" w:color="auto" w:sz="4" w:space="0"/>
              <w:right w:val="single" w:color="auto" w:sz="4" w:space="0"/>
            </w:tcBorders>
            <w:vAlign w:val="center"/>
          </w:tcPr>
          <w:p w14:paraId="1D640D82">
            <w:pPr>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小型</w:t>
            </w:r>
          </w:p>
        </w:tc>
        <w:tc>
          <w:tcPr>
            <w:tcW w:w="1232" w:type="dxa"/>
            <w:tcBorders>
              <w:top w:val="single" w:color="auto" w:sz="4" w:space="0"/>
              <w:left w:val="single" w:color="auto" w:sz="4" w:space="0"/>
              <w:bottom w:val="single" w:color="auto" w:sz="4" w:space="0"/>
              <w:right w:val="single" w:color="auto" w:sz="4" w:space="0"/>
            </w:tcBorders>
            <w:vAlign w:val="center"/>
          </w:tcPr>
          <w:p w14:paraId="3BBF5715">
            <w:pPr>
              <w:jc w:val="center"/>
              <w:rPr>
                <w:rFonts w:ascii="宋体" w:hAnsi="宋体" w:cs="宋体"/>
                <w:b/>
                <w:bCs/>
                <w:color w:val="000000" w:themeColor="text1"/>
                <w:sz w:val="18"/>
                <w:szCs w:val="18"/>
                <w:highlight w:val="none"/>
                <w14:textFill>
                  <w14:solidFill>
                    <w14:schemeClr w14:val="tx1"/>
                  </w14:solidFill>
                </w14:textFill>
              </w:rPr>
            </w:pPr>
            <w:r>
              <w:rPr>
                <w:rFonts w:hint="eastAsia" w:ascii="宋体" w:hAnsi="宋体" w:cs="宋体"/>
                <w:b/>
                <w:bCs/>
                <w:color w:val="000000" w:themeColor="text1"/>
                <w:sz w:val="18"/>
                <w:szCs w:val="18"/>
                <w:highlight w:val="none"/>
                <w14:textFill>
                  <w14:solidFill>
                    <w14:schemeClr w14:val="tx1"/>
                  </w14:solidFill>
                </w14:textFill>
              </w:rPr>
              <w:t>微型</w:t>
            </w:r>
          </w:p>
        </w:tc>
      </w:tr>
      <w:tr w14:paraId="3A259567">
        <w:tblPrEx>
          <w:tblCellMar>
            <w:top w:w="0" w:type="dxa"/>
            <w:left w:w="108" w:type="dxa"/>
            <w:bottom w:w="0" w:type="dxa"/>
            <w:right w:w="108" w:type="dxa"/>
          </w:tblCellMar>
        </w:tblPrEx>
        <w:trPr>
          <w:trHeight w:val="397" w:hRule="exact"/>
          <w:jc w:val="center"/>
        </w:trPr>
        <w:tc>
          <w:tcPr>
            <w:tcW w:w="2113" w:type="dxa"/>
            <w:tcBorders>
              <w:top w:val="single" w:color="auto" w:sz="4" w:space="0"/>
              <w:left w:val="single" w:color="auto" w:sz="4" w:space="0"/>
              <w:bottom w:val="single" w:color="auto" w:sz="4" w:space="0"/>
              <w:right w:val="single" w:color="auto" w:sz="4" w:space="0"/>
            </w:tcBorders>
            <w:vAlign w:val="center"/>
          </w:tcPr>
          <w:p w14:paraId="73955747">
            <w:pPr>
              <w:spacing w:line="240" w:lineRule="exac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农、林、牧、渔业</w:t>
            </w:r>
          </w:p>
        </w:tc>
        <w:tc>
          <w:tcPr>
            <w:tcW w:w="1369" w:type="dxa"/>
            <w:tcBorders>
              <w:top w:val="single" w:color="auto" w:sz="4" w:space="0"/>
              <w:left w:val="single" w:color="auto" w:sz="4" w:space="0"/>
              <w:bottom w:val="single" w:color="auto" w:sz="4" w:space="0"/>
              <w:right w:val="single" w:color="auto" w:sz="4" w:space="0"/>
            </w:tcBorders>
            <w:vAlign w:val="center"/>
          </w:tcPr>
          <w:p w14:paraId="4AB160BE">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709" w:type="dxa"/>
            <w:tcBorders>
              <w:top w:val="single" w:color="auto" w:sz="4" w:space="0"/>
              <w:left w:val="single" w:color="auto" w:sz="4" w:space="0"/>
              <w:bottom w:val="single" w:color="auto" w:sz="4" w:space="0"/>
              <w:right w:val="single" w:color="auto" w:sz="4" w:space="0"/>
            </w:tcBorders>
            <w:vAlign w:val="center"/>
          </w:tcPr>
          <w:p w14:paraId="757C41E4">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125" w:type="dxa"/>
            <w:tcBorders>
              <w:top w:val="single" w:color="auto" w:sz="4" w:space="0"/>
              <w:left w:val="single" w:color="auto" w:sz="4" w:space="0"/>
              <w:bottom w:val="single" w:color="auto" w:sz="4" w:space="0"/>
              <w:right w:val="single" w:color="auto" w:sz="4" w:space="0"/>
            </w:tcBorders>
            <w:vAlign w:val="center"/>
          </w:tcPr>
          <w:p w14:paraId="2E0B2E27">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Y≥20000</w:t>
            </w:r>
          </w:p>
        </w:tc>
        <w:tc>
          <w:tcPr>
            <w:tcW w:w="1701" w:type="dxa"/>
            <w:tcBorders>
              <w:top w:val="single" w:color="auto" w:sz="4" w:space="0"/>
              <w:left w:val="single" w:color="auto" w:sz="4" w:space="0"/>
              <w:bottom w:val="single" w:color="auto" w:sz="4" w:space="0"/>
              <w:right w:val="single" w:color="auto" w:sz="4" w:space="0"/>
            </w:tcBorders>
            <w:vAlign w:val="center"/>
          </w:tcPr>
          <w:p w14:paraId="20320118">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500≤Y＜20000</w:t>
            </w:r>
          </w:p>
        </w:tc>
        <w:tc>
          <w:tcPr>
            <w:tcW w:w="1426" w:type="dxa"/>
            <w:tcBorders>
              <w:top w:val="single" w:color="auto" w:sz="4" w:space="0"/>
              <w:left w:val="single" w:color="auto" w:sz="4" w:space="0"/>
              <w:bottom w:val="single" w:color="auto" w:sz="4" w:space="0"/>
              <w:right w:val="single" w:color="auto" w:sz="4" w:space="0"/>
            </w:tcBorders>
            <w:vAlign w:val="center"/>
          </w:tcPr>
          <w:p w14:paraId="2D22376D">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50≤Y＜500</w:t>
            </w:r>
          </w:p>
        </w:tc>
        <w:tc>
          <w:tcPr>
            <w:tcW w:w="1232" w:type="dxa"/>
            <w:tcBorders>
              <w:top w:val="single" w:color="auto" w:sz="4" w:space="0"/>
              <w:left w:val="single" w:color="auto" w:sz="4" w:space="0"/>
              <w:bottom w:val="single" w:color="auto" w:sz="4" w:space="0"/>
              <w:right w:val="single" w:color="auto" w:sz="4" w:space="0"/>
            </w:tcBorders>
            <w:vAlign w:val="center"/>
          </w:tcPr>
          <w:p w14:paraId="75A20468">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Y＜50</w:t>
            </w:r>
          </w:p>
        </w:tc>
      </w:tr>
      <w:tr w14:paraId="743CF16B">
        <w:tblPrEx>
          <w:tblCellMar>
            <w:top w:w="0" w:type="dxa"/>
            <w:left w:w="108" w:type="dxa"/>
            <w:bottom w:w="0" w:type="dxa"/>
            <w:right w:w="108" w:type="dxa"/>
          </w:tblCellMar>
        </w:tblPrEx>
        <w:trPr>
          <w:trHeight w:val="397" w:hRule="exact"/>
          <w:jc w:val="center"/>
        </w:trPr>
        <w:tc>
          <w:tcPr>
            <w:tcW w:w="2113" w:type="dxa"/>
            <w:vMerge w:val="restart"/>
            <w:tcBorders>
              <w:top w:val="single" w:color="auto" w:sz="4" w:space="0"/>
              <w:left w:val="single" w:color="auto" w:sz="4" w:space="0"/>
              <w:bottom w:val="single" w:color="auto" w:sz="4" w:space="0"/>
              <w:right w:val="single" w:color="auto" w:sz="4" w:space="0"/>
            </w:tcBorders>
            <w:vAlign w:val="center"/>
          </w:tcPr>
          <w:p w14:paraId="04A30AEB">
            <w:pPr>
              <w:spacing w:line="240" w:lineRule="exac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工业 *</w:t>
            </w:r>
          </w:p>
        </w:tc>
        <w:tc>
          <w:tcPr>
            <w:tcW w:w="1369" w:type="dxa"/>
            <w:tcBorders>
              <w:top w:val="single" w:color="auto" w:sz="4" w:space="0"/>
              <w:left w:val="single" w:color="auto" w:sz="4" w:space="0"/>
              <w:bottom w:val="single" w:color="auto" w:sz="4" w:space="0"/>
              <w:right w:val="single" w:color="auto" w:sz="4" w:space="0"/>
            </w:tcBorders>
            <w:vAlign w:val="center"/>
          </w:tcPr>
          <w:p w14:paraId="090974EF">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709" w:type="dxa"/>
            <w:tcBorders>
              <w:top w:val="single" w:color="auto" w:sz="4" w:space="0"/>
              <w:left w:val="single" w:color="auto" w:sz="4" w:space="0"/>
              <w:bottom w:val="single" w:color="auto" w:sz="4" w:space="0"/>
              <w:right w:val="single" w:color="auto" w:sz="4" w:space="0"/>
            </w:tcBorders>
            <w:vAlign w:val="center"/>
          </w:tcPr>
          <w:p w14:paraId="1425923B">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125" w:type="dxa"/>
            <w:tcBorders>
              <w:top w:val="single" w:color="auto" w:sz="4" w:space="0"/>
              <w:left w:val="single" w:color="auto" w:sz="4" w:space="0"/>
              <w:bottom w:val="single" w:color="auto" w:sz="4" w:space="0"/>
              <w:right w:val="single" w:color="auto" w:sz="4" w:space="0"/>
            </w:tcBorders>
            <w:vAlign w:val="center"/>
          </w:tcPr>
          <w:p w14:paraId="001E966A">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X≥1000</w:t>
            </w:r>
          </w:p>
        </w:tc>
        <w:tc>
          <w:tcPr>
            <w:tcW w:w="1701" w:type="dxa"/>
            <w:tcBorders>
              <w:top w:val="single" w:color="auto" w:sz="4" w:space="0"/>
              <w:left w:val="single" w:color="auto" w:sz="4" w:space="0"/>
              <w:bottom w:val="single" w:color="auto" w:sz="4" w:space="0"/>
              <w:right w:val="single" w:color="auto" w:sz="4" w:space="0"/>
            </w:tcBorders>
            <w:vAlign w:val="center"/>
          </w:tcPr>
          <w:p w14:paraId="62B886B4">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300≤X＜1000</w:t>
            </w:r>
          </w:p>
        </w:tc>
        <w:tc>
          <w:tcPr>
            <w:tcW w:w="1426" w:type="dxa"/>
            <w:tcBorders>
              <w:top w:val="single" w:color="auto" w:sz="4" w:space="0"/>
              <w:left w:val="single" w:color="auto" w:sz="4" w:space="0"/>
              <w:bottom w:val="single" w:color="auto" w:sz="4" w:space="0"/>
              <w:right w:val="single" w:color="auto" w:sz="4" w:space="0"/>
            </w:tcBorders>
            <w:vAlign w:val="center"/>
          </w:tcPr>
          <w:p w14:paraId="675E1626">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20≤X＜300</w:t>
            </w:r>
          </w:p>
        </w:tc>
        <w:tc>
          <w:tcPr>
            <w:tcW w:w="1232" w:type="dxa"/>
            <w:tcBorders>
              <w:top w:val="single" w:color="auto" w:sz="4" w:space="0"/>
              <w:left w:val="single" w:color="auto" w:sz="4" w:space="0"/>
              <w:bottom w:val="single" w:color="auto" w:sz="4" w:space="0"/>
              <w:right w:val="single" w:color="auto" w:sz="4" w:space="0"/>
            </w:tcBorders>
            <w:vAlign w:val="center"/>
          </w:tcPr>
          <w:p w14:paraId="79EA7CEF">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X＜20</w:t>
            </w:r>
          </w:p>
        </w:tc>
      </w:tr>
      <w:tr w14:paraId="7E817D9B">
        <w:tblPrEx>
          <w:tblCellMar>
            <w:top w:w="0" w:type="dxa"/>
            <w:left w:w="108" w:type="dxa"/>
            <w:bottom w:w="0" w:type="dxa"/>
            <w:right w:w="108" w:type="dxa"/>
          </w:tblCellMar>
        </w:tblPrEx>
        <w:trPr>
          <w:trHeight w:val="397" w:hRule="exact"/>
          <w:jc w:val="center"/>
        </w:trPr>
        <w:tc>
          <w:tcPr>
            <w:tcW w:w="2113" w:type="dxa"/>
            <w:vMerge w:val="continue"/>
            <w:tcBorders>
              <w:top w:val="single" w:color="auto" w:sz="4" w:space="0"/>
              <w:left w:val="single" w:color="auto" w:sz="4" w:space="0"/>
              <w:bottom w:val="single" w:color="auto" w:sz="4" w:space="0"/>
              <w:right w:val="single" w:color="auto" w:sz="4" w:space="0"/>
            </w:tcBorders>
            <w:vAlign w:val="center"/>
          </w:tcPr>
          <w:p w14:paraId="4F020532">
            <w:pPr>
              <w:rPr>
                <w:rFonts w:ascii="宋体" w:hAnsi="宋体" w:cs="宋体"/>
                <w:color w:val="000000" w:themeColor="text1"/>
                <w:sz w:val="18"/>
                <w:szCs w:val="18"/>
                <w:highlight w:val="none"/>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753ACB30">
            <w:pPr>
              <w:spacing w:line="240" w:lineRule="exact"/>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709" w:type="dxa"/>
            <w:tcBorders>
              <w:top w:val="single" w:color="auto" w:sz="4" w:space="0"/>
              <w:left w:val="single" w:color="auto" w:sz="4" w:space="0"/>
              <w:bottom w:val="single" w:color="auto" w:sz="4" w:space="0"/>
              <w:right w:val="single" w:color="auto" w:sz="4" w:space="0"/>
            </w:tcBorders>
            <w:vAlign w:val="center"/>
          </w:tcPr>
          <w:p w14:paraId="16A5EA26">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125" w:type="dxa"/>
            <w:tcBorders>
              <w:top w:val="single" w:color="auto" w:sz="4" w:space="0"/>
              <w:left w:val="single" w:color="auto" w:sz="4" w:space="0"/>
              <w:bottom w:val="single" w:color="auto" w:sz="4" w:space="0"/>
              <w:right w:val="single" w:color="auto" w:sz="4" w:space="0"/>
            </w:tcBorders>
            <w:vAlign w:val="center"/>
          </w:tcPr>
          <w:p w14:paraId="2EFA1F36">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Y≥40000</w:t>
            </w:r>
          </w:p>
        </w:tc>
        <w:tc>
          <w:tcPr>
            <w:tcW w:w="1701" w:type="dxa"/>
            <w:tcBorders>
              <w:top w:val="single" w:color="auto" w:sz="4" w:space="0"/>
              <w:left w:val="single" w:color="auto" w:sz="4" w:space="0"/>
              <w:bottom w:val="single" w:color="auto" w:sz="4" w:space="0"/>
              <w:right w:val="single" w:color="auto" w:sz="4" w:space="0"/>
            </w:tcBorders>
            <w:vAlign w:val="center"/>
          </w:tcPr>
          <w:p w14:paraId="265574B9">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2000≤Y＜40000</w:t>
            </w:r>
          </w:p>
        </w:tc>
        <w:tc>
          <w:tcPr>
            <w:tcW w:w="1426" w:type="dxa"/>
            <w:tcBorders>
              <w:top w:val="single" w:color="auto" w:sz="4" w:space="0"/>
              <w:left w:val="single" w:color="auto" w:sz="4" w:space="0"/>
              <w:bottom w:val="single" w:color="auto" w:sz="4" w:space="0"/>
              <w:right w:val="single" w:color="auto" w:sz="4" w:space="0"/>
            </w:tcBorders>
            <w:vAlign w:val="center"/>
          </w:tcPr>
          <w:p w14:paraId="73C54F84">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300≤Y＜2000</w:t>
            </w:r>
          </w:p>
        </w:tc>
        <w:tc>
          <w:tcPr>
            <w:tcW w:w="1232" w:type="dxa"/>
            <w:tcBorders>
              <w:top w:val="single" w:color="auto" w:sz="4" w:space="0"/>
              <w:left w:val="single" w:color="auto" w:sz="4" w:space="0"/>
              <w:bottom w:val="single" w:color="auto" w:sz="4" w:space="0"/>
              <w:right w:val="single" w:color="auto" w:sz="4" w:space="0"/>
            </w:tcBorders>
            <w:vAlign w:val="center"/>
          </w:tcPr>
          <w:p w14:paraId="3412A662">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Y＜300</w:t>
            </w:r>
          </w:p>
        </w:tc>
      </w:tr>
      <w:tr w14:paraId="583461CB">
        <w:tblPrEx>
          <w:tblCellMar>
            <w:top w:w="0" w:type="dxa"/>
            <w:left w:w="108" w:type="dxa"/>
            <w:bottom w:w="0" w:type="dxa"/>
            <w:right w:w="108" w:type="dxa"/>
          </w:tblCellMar>
        </w:tblPrEx>
        <w:trPr>
          <w:trHeight w:val="397" w:hRule="exact"/>
          <w:jc w:val="center"/>
        </w:trPr>
        <w:tc>
          <w:tcPr>
            <w:tcW w:w="2113" w:type="dxa"/>
            <w:vMerge w:val="restart"/>
            <w:tcBorders>
              <w:top w:val="single" w:color="auto" w:sz="4" w:space="0"/>
              <w:left w:val="single" w:color="auto" w:sz="4" w:space="0"/>
              <w:bottom w:val="single" w:color="auto" w:sz="4" w:space="0"/>
              <w:right w:val="single" w:color="auto" w:sz="4" w:space="0"/>
            </w:tcBorders>
            <w:vAlign w:val="center"/>
          </w:tcPr>
          <w:p w14:paraId="553E58E2">
            <w:pPr>
              <w:spacing w:line="240" w:lineRule="exac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建筑业</w:t>
            </w:r>
          </w:p>
        </w:tc>
        <w:tc>
          <w:tcPr>
            <w:tcW w:w="1369" w:type="dxa"/>
            <w:tcBorders>
              <w:top w:val="single" w:color="auto" w:sz="4" w:space="0"/>
              <w:left w:val="single" w:color="auto" w:sz="4" w:space="0"/>
              <w:bottom w:val="single" w:color="auto" w:sz="4" w:space="0"/>
              <w:right w:val="single" w:color="auto" w:sz="4" w:space="0"/>
            </w:tcBorders>
            <w:vAlign w:val="center"/>
          </w:tcPr>
          <w:p w14:paraId="30D2F18C">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709" w:type="dxa"/>
            <w:tcBorders>
              <w:top w:val="single" w:color="auto" w:sz="4" w:space="0"/>
              <w:left w:val="single" w:color="auto" w:sz="4" w:space="0"/>
              <w:bottom w:val="single" w:color="auto" w:sz="4" w:space="0"/>
              <w:right w:val="single" w:color="auto" w:sz="4" w:space="0"/>
            </w:tcBorders>
            <w:vAlign w:val="center"/>
          </w:tcPr>
          <w:p w14:paraId="04919CA8">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125" w:type="dxa"/>
            <w:tcBorders>
              <w:top w:val="single" w:color="auto" w:sz="4" w:space="0"/>
              <w:left w:val="single" w:color="auto" w:sz="4" w:space="0"/>
              <w:bottom w:val="single" w:color="auto" w:sz="4" w:space="0"/>
              <w:right w:val="single" w:color="auto" w:sz="4" w:space="0"/>
            </w:tcBorders>
            <w:vAlign w:val="center"/>
          </w:tcPr>
          <w:p w14:paraId="5A78F001">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Y≥80000</w:t>
            </w:r>
          </w:p>
        </w:tc>
        <w:tc>
          <w:tcPr>
            <w:tcW w:w="1701" w:type="dxa"/>
            <w:tcBorders>
              <w:top w:val="single" w:color="auto" w:sz="4" w:space="0"/>
              <w:left w:val="single" w:color="auto" w:sz="4" w:space="0"/>
              <w:bottom w:val="single" w:color="auto" w:sz="4" w:space="0"/>
              <w:right w:val="single" w:color="auto" w:sz="4" w:space="0"/>
            </w:tcBorders>
            <w:vAlign w:val="center"/>
          </w:tcPr>
          <w:p w14:paraId="4C3B6B9F">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6000≤Y＜80000</w:t>
            </w:r>
          </w:p>
        </w:tc>
        <w:tc>
          <w:tcPr>
            <w:tcW w:w="1426" w:type="dxa"/>
            <w:tcBorders>
              <w:top w:val="single" w:color="auto" w:sz="4" w:space="0"/>
              <w:left w:val="single" w:color="auto" w:sz="4" w:space="0"/>
              <w:bottom w:val="single" w:color="auto" w:sz="4" w:space="0"/>
              <w:right w:val="single" w:color="auto" w:sz="4" w:space="0"/>
            </w:tcBorders>
            <w:vAlign w:val="center"/>
          </w:tcPr>
          <w:p w14:paraId="2365D433">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300≤Y＜6000</w:t>
            </w:r>
          </w:p>
        </w:tc>
        <w:tc>
          <w:tcPr>
            <w:tcW w:w="1232" w:type="dxa"/>
            <w:tcBorders>
              <w:top w:val="single" w:color="auto" w:sz="4" w:space="0"/>
              <w:left w:val="single" w:color="auto" w:sz="4" w:space="0"/>
              <w:bottom w:val="single" w:color="auto" w:sz="4" w:space="0"/>
              <w:right w:val="single" w:color="auto" w:sz="4" w:space="0"/>
            </w:tcBorders>
            <w:vAlign w:val="center"/>
          </w:tcPr>
          <w:p w14:paraId="46188DF5">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Y＜300</w:t>
            </w:r>
          </w:p>
        </w:tc>
      </w:tr>
      <w:tr w14:paraId="7E265114">
        <w:tblPrEx>
          <w:tblCellMar>
            <w:top w:w="0" w:type="dxa"/>
            <w:left w:w="108" w:type="dxa"/>
            <w:bottom w:w="0" w:type="dxa"/>
            <w:right w:w="108" w:type="dxa"/>
          </w:tblCellMar>
        </w:tblPrEx>
        <w:trPr>
          <w:trHeight w:val="397" w:hRule="exact"/>
          <w:jc w:val="center"/>
        </w:trPr>
        <w:tc>
          <w:tcPr>
            <w:tcW w:w="2113" w:type="dxa"/>
            <w:vMerge w:val="continue"/>
            <w:tcBorders>
              <w:top w:val="single" w:color="auto" w:sz="4" w:space="0"/>
              <w:left w:val="single" w:color="auto" w:sz="4" w:space="0"/>
              <w:bottom w:val="single" w:color="auto" w:sz="4" w:space="0"/>
              <w:right w:val="single" w:color="auto" w:sz="4" w:space="0"/>
            </w:tcBorders>
            <w:vAlign w:val="center"/>
          </w:tcPr>
          <w:p w14:paraId="438586CA">
            <w:pPr>
              <w:rPr>
                <w:rFonts w:ascii="宋体" w:hAnsi="宋体" w:cs="宋体"/>
                <w:color w:val="000000" w:themeColor="text1"/>
                <w:sz w:val="18"/>
                <w:szCs w:val="18"/>
                <w:highlight w:val="none"/>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22C5C031">
            <w:pPr>
              <w:spacing w:line="240" w:lineRule="exact"/>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资产总额(Z)</w:t>
            </w:r>
          </w:p>
        </w:tc>
        <w:tc>
          <w:tcPr>
            <w:tcW w:w="709" w:type="dxa"/>
            <w:tcBorders>
              <w:top w:val="single" w:color="auto" w:sz="4" w:space="0"/>
              <w:left w:val="single" w:color="auto" w:sz="4" w:space="0"/>
              <w:bottom w:val="single" w:color="auto" w:sz="4" w:space="0"/>
              <w:right w:val="single" w:color="auto" w:sz="4" w:space="0"/>
            </w:tcBorders>
            <w:vAlign w:val="center"/>
          </w:tcPr>
          <w:p w14:paraId="6AD608C1">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125" w:type="dxa"/>
            <w:tcBorders>
              <w:top w:val="single" w:color="auto" w:sz="4" w:space="0"/>
              <w:left w:val="single" w:color="auto" w:sz="4" w:space="0"/>
              <w:bottom w:val="single" w:color="auto" w:sz="4" w:space="0"/>
              <w:right w:val="single" w:color="auto" w:sz="4" w:space="0"/>
            </w:tcBorders>
            <w:vAlign w:val="center"/>
          </w:tcPr>
          <w:p w14:paraId="0D5B8DF0">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Z≥80000</w:t>
            </w:r>
          </w:p>
        </w:tc>
        <w:tc>
          <w:tcPr>
            <w:tcW w:w="1701" w:type="dxa"/>
            <w:tcBorders>
              <w:top w:val="single" w:color="auto" w:sz="4" w:space="0"/>
              <w:left w:val="single" w:color="auto" w:sz="4" w:space="0"/>
              <w:bottom w:val="single" w:color="auto" w:sz="4" w:space="0"/>
              <w:right w:val="single" w:color="auto" w:sz="4" w:space="0"/>
            </w:tcBorders>
            <w:vAlign w:val="center"/>
          </w:tcPr>
          <w:p w14:paraId="678627FF">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5000≤Z＜80000</w:t>
            </w:r>
          </w:p>
        </w:tc>
        <w:tc>
          <w:tcPr>
            <w:tcW w:w="1426" w:type="dxa"/>
            <w:tcBorders>
              <w:top w:val="single" w:color="auto" w:sz="4" w:space="0"/>
              <w:left w:val="single" w:color="auto" w:sz="4" w:space="0"/>
              <w:bottom w:val="single" w:color="auto" w:sz="4" w:space="0"/>
              <w:right w:val="single" w:color="auto" w:sz="4" w:space="0"/>
            </w:tcBorders>
            <w:vAlign w:val="center"/>
          </w:tcPr>
          <w:p w14:paraId="5B07CE76">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300≤Z＜5000</w:t>
            </w:r>
          </w:p>
        </w:tc>
        <w:tc>
          <w:tcPr>
            <w:tcW w:w="1232" w:type="dxa"/>
            <w:tcBorders>
              <w:top w:val="single" w:color="auto" w:sz="4" w:space="0"/>
              <w:left w:val="single" w:color="auto" w:sz="4" w:space="0"/>
              <w:bottom w:val="single" w:color="auto" w:sz="4" w:space="0"/>
              <w:right w:val="single" w:color="auto" w:sz="4" w:space="0"/>
            </w:tcBorders>
            <w:vAlign w:val="center"/>
          </w:tcPr>
          <w:p w14:paraId="70473EE3">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Z＜300</w:t>
            </w:r>
          </w:p>
        </w:tc>
      </w:tr>
      <w:tr w14:paraId="73361B93">
        <w:tblPrEx>
          <w:tblCellMar>
            <w:top w:w="0" w:type="dxa"/>
            <w:left w:w="108" w:type="dxa"/>
            <w:bottom w:w="0" w:type="dxa"/>
            <w:right w:w="108" w:type="dxa"/>
          </w:tblCellMar>
        </w:tblPrEx>
        <w:trPr>
          <w:trHeight w:val="397" w:hRule="exact"/>
          <w:jc w:val="center"/>
        </w:trPr>
        <w:tc>
          <w:tcPr>
            <w:tcW w:w="2113" w:type="dxa"/>
            <w:vMerge w:val="restart"/>
            <w:tcBorders>
              <w:top w:val="single" w:color="auto" w:sz="4" w:space="0"/>
              <w:left w:val="single" w:color="auto" w:sz="4" w:space="0"/>
              <w:bottom w:val="single" w:color="auto" w:sz="4" w:space="0"/>
              <w:right w:val="single" w:color="auto" w:sz="4" w:space="0"/>
            </w:tcBorders>
            <w:vAlign w:val="center"/>
          </w:tcPr>
          <w:p w14:paraId="4F66E2B3">
            <w:pPr>
              <w:spacing w:line="240" w:lineRule="exac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批发业</w:t>
            </w:r>
          </w:p>
        </w:tc>
        <w:tc>
          <w:tcPr>
            <w:tcW w:w="1369" w:type="dxa"/>
            <w:tcBorders>
              <w:top w:val="single" w:color="auto" w:sz="4" w:space="0"/>
              <w:left w:val="single" w:color="auto" w:sz="4" w:space="0"/>
              <w:bottom w:val="single" w:color="auto" w:sz="4" w:space="0"/>
              <w:right w:val="single" w:color="auto" w:sz="4" w:space="0"/>
            </w:tcBorders>
            <w:vAlign w:val="center"/>
          </w:tcPr>
          <w:p w14:paraId="7AF28857">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709" w:type="dxa"/>
            <w:tcBorders>
              <w:top w:val="single" w:color="auto" w:sz="4" w:space="0"/>
              <w:left w:val="single" w:color="auto" w:sz="4" w:space="0"/>
              <w:bottom w:val="single" w:color="auto" w:sz="4" w:space="0"/>
              <w:right w:val="single" w:color="auto" w:sz="4" w:space="0"/>
            </w:tcBorders>
            <w:vAlign w:val="center"/>
          </w:tcPr>
          <w:p w14:paraId="42FEFD12">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125" w:type="dxa"/>
            <w:tcBorders>
              <w:top w:val="single" w:color="auto" w:sz="4" w:space="0"/>
              <w:left w:val="single" w:color="auto" w:sz="4" w:space="0"/>
              <w:bottom w:val="single" w:color="auto" w:sz="4" w:space="0"/>
              <w:right w:val="single" w:color="auto" w:sz="4" w:space="0"/>
            </w:tcBorders>
            <w:vAlign w:val="center"/>
          </w:tcPr>
          <w:p w14:paraId="478BB216">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X≥200</w:t>
            </w:r>
          </w:p>
        </w:tc>
        <w:tc>
          <w:tcPr>
            <w:tcW w:w="1701" w:type="dxa"/>
            <w:tcBorders>
              <w:top w:val="single" w:color="auto" w:sz="4" w:space="0"/>
              <w:left w:val="single" w:color="auto" w:sz="4" w:space="0"/>
              <w:bottom w:val="single" w:color="auto" w:sz="4" w:space="0"/>
              <w:right w:val="single" w:color="auto" w:sz="4" w:space="0"/>
            </w:tcBorders>
            <w:vAlign w:val="center"/>
          </w:tcPr>
          <w:p w14:paraId="42AB6171">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20≤X＜200</w:t>
            </w:r>
          </w:p>
        </w:tc>
        <w:tc>
          <w:tcPr>
            <w:tcW w:w="1426" w:type="dxa"/>
            <w:tcBorders>
              <w:top w:val="single" w:color="auto" w:sz="4" w:space="0"/>
              <w:left w:val="single" w:color="auto" w:sz="4" w:space="0"/>
              <w:bottom w:val="single" w:color="auto" w:sz="4" w:space="0"/>
              <w:right w:val="single" w:color="auto" w:sz="4" w:space="0"/>
            </w:tcBorders>
            <w:vAlign w:val="center"/>
          </w:tcPr>
          <w:p w14:paraId="30BD24CF">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5≤X＜20</w:t>
            </w:r>
          </w:p>
        </w:tc>
        <w:tc>
          <w:tcPr>
            <w:tcW w:w="1232" w:type="dxa"/>
            <w:tcBorders>
              <w:top w:val="single" w:color="auto" w:sz="4" w:space="0"/>
              <w:left w:val="single" w:color="auto" w:sz="4" w:space="0"/>
              <w:bottom w:val="single" w:color="auto" w:sz="4" w:space="0"/>
              <w:right w:val="single" w:color="auto" w:sz="4" w:space="0"/>
            </w:tcBorders>
            <w:vAlign w:val="center"/>
          </w:tcPr>
          <w:p w14:paraId="6F10816D">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X＜5</w:t>
            </w:r>
          </w:p>
        </w:tc>
      </w:tr>
      <w:tr w14:paraId="58AFE00F">
        <w:tblPrEx>
          <w:tblCellMar>
            <w:top w:w="0" w:type="dxa"/>
            <w:left w:w="108" w:type="dxa"/>
            <w:bottom w:w="0" w:type="dxa"/>
            <w:right w:w="108" w:type="dxa"/>
          </w:tblCellMar>
        </w:tblPrEx>
        <w:trPr>
          <w:trHeight w:val="397" w:hRule="exact"/>
          <w:jc w:val="center"/>
        </w:trPr>
        <w:tc>
          <w:tcPr>
            <w:tcW w:w="2113" w:type="dxa"/>
            <w:vMerge w:val="continue"/>
            <w:tcBorders>
              <w:top w:val="single" w:color="auto" w:sz="4" w:space="0"/>
              <w:left w:val="single" w:color="auto" w:sz="4" w:space="0"/>
              <w:bottom w:val="single" w:color="auto" w:sz="4" w:space="0"/>
              <w:right w:val="single" w:color="auto" w:sz="4" w:space="0"/>
            </w:tcBorders>
            <w:vAlign w:val="center"/>
          </w:tcPr>
          <w:p w14:paraId="1DB75E4A">
            <w:pPr>
              <w:rPr>
                <w:rFonts w:ascii="宋体" w:hAnsi="宋体" w:cs="宋体"/>
                <w:color w:val="000000" w:themeColor="text1"/>
                <w:sz w:val="18"/>
                <w:szCs w:val="18"/>
                <w:highlight w:val="none"/>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50DB6C5B">
            <w:pPr>
              <w:spacing w:line="240" w:lineRule="exact"/>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709" w:type="dxa"/>
            <w:tcBorders>
              <w:top w:val="single" w:color="auto" w:sz="4" w:space="0"/>
              <w:left w:val="single" w:color="auto" w:sz="4" w:space="0"/>
              <w:bottom w:val="single" w:color="auto" w:sz="4" w:space="0"/>
              <w:right w:val="single" w:color="auto" w:sz="4" w:space="0"/>
            </w:tcBorders>
            <w:vAlign w:val="center"/>
          </w:tcPr>
          <w:p w14:paraId="3AD841C4">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125" w:type="dxa"/>
            <w:tcBorders>
              <w:top w:val="single" w:color="auto" w:sz="4" w:space="0"/>
              <w:left w:val="single" w:color="auto" w:sz="4" w:space="0"/>
              <w:bottom w:val="single" w:color="auto" w:sz="4" w:space="0"/>
              <w:right w:val="single" w:color="auto" w:sz="4" w:space="0"/>
            </w:tcBorders>
            <w:vAlign w:val="center"/>
          </w:tcPr>
          <w:p w14:paraId="1E95520E">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Y≥40000</w:t>
            </w:r>
          </w:p>
        </w:tc>
        <w:tc>
          <w:tcPr>
            <w:tcW w:w="1701" w:type="dxa"/>
            <w:tcBorders>
              <w:top w:val="single" w:color="auto" w:sz="4" w:space="0"/>
              <w:left w:val="single" w:color="auto" w:sz="4" w:space="0"/>
              <w:bottom w:val="single" w:color="auto" w:sz="4" w:space="0"/>
              <w:right w:val="single" w:color="auto" w:sz="4" w:space="0"/>
            </w:tcBorders>
            <w:vAlign w:val="center"/>
          </w:tcPr>
          <w:p w14:paraId="2630C97E">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5000≤Y＜40000</w:t>
            </w:r>
          </w:p>
        </w:tc>
        <w:tc>
          <w:tcPr>
            <w:tcW w:w="1426" w:type="dxa"/>
            <w:tcBorders>
              <w:top w:val="single" w:color="auto" w:sz="4" w:space="0"/>
              <w:left w:val="single" w:color="auto" w:sz="4" w:space="0"/>
              <w:bottom w:val="single" w:color="auto" w:sz="4" w:space="0"/>
              <w:right w:val="single" w:color="auto" w:sz="4" w:space="0"/>
            </w:tcBorders>
            <w:vAlign w:val="center"/>
          </w:tcPr>
          <w:p w14:paraId="114006FF">
            <w:pPr>
              <w:ind w:left="-1" w:leftChars="-1" w:hanging="1"/>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1000≤Y＜5000</w:t>
            </w:r>
          </w:p>
        </w:tc>
        <w:tc>
          <w:tcPr>
            <w:tcW w:w="1232" w:type="dxa"/>
            <w:tcBorders>
              <w:top w:val="single" w:color="auto" w:sz="4" w:space="0"/>
              <w:left w:val="single" w:color="auto" w:sz="4" w:space="0"/>
              <w:bottom w:val="single" w:color="auto" w:sz="4" w:space="0"/>
              <w:right w:val="single" w:color="auto" w:sz="4" w:space="0"/>
            </w:tcBorders>
            <w:vAlign w:val="center"/>
          </w:tcPr>
          <w:p w14:paraId="6BBB7ABB">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Y＜1000</w:t>
            </w:r>
          </w:p>
        </w:tc>
      </w:tr>
      <w:tr w14:paraId="1443047F">
        <w:tblPrEx>
          <w:tblCellMar>
            <w:top w:w="0" w:type="dxa"/>
            <w:left w:w="108" w:type="dxa"/>
            <w:bottom w:w="0" w:type="dxa"/>
            <w:right w:w="108" w:type="dxa"/>
          </w:tblCellMar>
        </w:tblPrEx>
        <w:trPr>
          <w:trHeight w:val="397" w:hRule="exact"/>
          <w:jc w:val="center"/>
        </w:trPr>
        <w:tc>
          <w:tcPr>
            <w:tcW w:w="2113" w:type="dxa"/>
            <w:vMerge w:val="restart"/>
            <w:tcBorders>
              <w:top w:val="single" w:color="auto" w:sz="4" w:space="0"/>
              <w:left w:val="single" w:color="auto" w:sz="4" w:space="0"/>
              <w:bottom w:val="single" w:color="auto" w:sz="4" w:space="0"/>
              <w:right w:val="single" w:color="auto" w:sz="4" w:space="0"/>
            </w:tcBorders>
            <w:vAlign w:val="center"/>
          </w:tcPr>
          <w:p w14:paraId="19BBC87D">
            <w:pPr>
              <w:spacing w:line="240" w:lineRule="exac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零售业</w:t>
            </w:r>
          </w:p>
        </w:tc>
        <w:tc>
          <w:tcPr>
            <w:tcW w:w="1369" w:type="dxa"/>
            <w:tcBorders>
              <w:top w:val="single" w:color="auto" w:sz="4" w:space="0"/>
              <w:left w:val="single" w:color="auto" w:sz="4" w:space="0"/>
              <w:bottom w:val="single" w:color="auto" w:sz="4" w:space="0"/>
              <w:right w:val="single" w:color="auto" w:sz="4" w:space="0"/>
            </w:tcBorders>
            <w:vAlign w:val="center"/>
          </w:tcPr>
          <w:p w14:paraId="284D514F">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709" w:type="dxa"/>
            <w:tcBorders>
              <w:top w:val="single" w:color="auto" w:sz="4" w:space="0"/>
              <w:left w:val="single" w:color="auto" w:sz="4" w:space="0"/>
              <w:bottom w:val="single" w:color="auto" w:sz="4" w:space="0"/>
              <w:right w:val="single" w:color="auto" w:sz="4" w:space="0"/>
            </w:tcBorders>
            <w:vAlign w:val="center"/>
          </w:tcPr>
          <w:p w14:paraId="7355CF45">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125" w:type="dxa"/>
            <w:tcBorders>
              <w:top w:val="single" w:color="auto" w:sz="4" w:space="0"/>
              <w:left w:val="single" w:color="auto" w:sz="4" w:space="0"/>
              <w:bottom w:val="single" w:color="auto" w:sz="4" w:space="0"/>
              <w:right w:val="single" w:color="auto" w:sz="4" w:space="0"/>
            </w:tcBorders>
            <w:vAlign w:val="center"/>
          </w:tcPr>
          <w:p w14:paraId="3A16AF8C">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X≥300</w:t>
            </w:r>
          </w:p>
        </w:tc>
        <w:tc>
          <w:tcPr>
            <w:tcW w:w="1701" w:type="dxa"/>
            <w:tcBorders>
              <w:top w:val="single" w:color="auto" w:sz="4" w:space="0"/>
              <w:left w:val="single" w:color="auto" w:sz="4" w:space="0"/>
              <w:bottom w:val="single" w:color="auto" w:sz="4" w:space="0"/>
              <w:right w:val="single" w:color="auto" w:sz="4" w:space="0"/>
            </w:tcBorders>
            <w:vAlign w:val="center"/>
          </w:tcPr>
          <w:p w14:paraId="7AB09426">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50≤X＜300</w:t>
            </w:r>
          </w:p>
        </w:tc>
        <w:tc>
          <w:tcPr>
            <w:tcW w:w="1426" w:type="dxa"/>
            <w:tcBorders>
              <w:top w:val="single" w:color="auto" w:sz="4" w:space="0"/>
              <w:left w:val="single" w:color="auto" w:sz="4" w:space="0"/>
              <w:bottom w:val="single" w:color="auto" w:sz="4" w:space="0"/>
              <w:right w:val="single" w:color="auto" w:sz="4" w:space="0"/>
            </w:tcBorders>
            <w:vAlign w:val="center"/>
          </w:tcPr>
          <w:p w14:paraId="53791A14">
            <w:pPr>
              <w:ind w:left="-1" w:leftChars="-1" w:hanging="1"/>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10≤X＜50 </w:t>
            </w:r>
          </w:p>
        </w:tc>
        <w:tc>
          <w:tcPr>
            <w:tcW w:w="1232" w:type="dxa"/>
            <w:tcBorders>
              <w:top w:val="single" w:color="auto" w:sz="4" w:space="0"/>
              <w:left w:val="single" w:color="auto" w:sz="4" w:space="0"/>
              <w:bottom w:val="single" w:color="auto" w:sz="4" w:space="0"/>
              <w:right w:val="single" w:color="auto" w:sz="4" w:space="0"/>
            </w:tcBorders>
            <w:vAlign w:val="center"/>
          </w:tcPr>
          <w:p w14:paraId="1575442F">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w:t>
            </w:r>
          </w:p>
        </w:tc>
      </w:tr>
      <w:tr w14:paraId="1C618865">
        <w:tblPrEx>
          <w:tblCellMar>
            <w:top w:w="0" w:type="dxa"/>
            <w:left w:w="108" w:type="dxa"/>
            <w:bottom w:w="0" w:type="dxa"/>
            <w:right w:w="108" w:type="dxa"/>
          </w:tblCellMar>
        </w:tblPrEx>
        <w:trPr>
          <w:trHeight w:val="397" w:hRule="exact"/>
          <w:jc w:val="center"/>
        </w:trPr>
        <w:tc>
          <w:tcPr>
            <w:tcW w:w="2113" w:type="dxa"/>
            <w:vMerge w:val="continue"/>
            <w:tcBorders>
              <w:top w:val="single" w:color="auto" w:sz="4" w:space="0"/>
              <w:left w:val="single" w:color="auto" w:sz="4" w:space="0"/>
              <w:bottom w:val="single" w:color="auto" w:sz="4" w:space="0"/>
              <w:right w:val="single" w:color="auto" w:sz="4" w:space="0"/>
            </w:tcBorders>
            <w:vAlign w:val="center"/>
          </w:tcPr>
          <w:p w14:paraId="3E816DB7">
            <w:pPr>
              <w:rPr>
                <w:rFonts w:ascii="宋体" w:hAnsi="宋体" w:cs="宋体"/>
                <w:color w:val="000000" w:themeColor="text1"/>
                <w:sz w:val="18"/>
                <w:szCs w:val="18"/>
                <w:highlight w:val="none"/>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68BD848F">
            <w:pPr>
              <w:spacing w:line="240" w:lineRule="exact"/>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709" w:type="dxa"/>
            <w:tcBorders>
              <w:top w:val="single" w:color="auto" w:sz="4" w:space="0"/>
              <w:left w:val="single" w:color="auto" w:sz="4" w:space="0"/>
              <w:bottom w:val="single" w:color="auto" w:sz="4" w:space="0"/>
              <w:right w:val="single" w:color="auto" w:sz="4" w:space="0"/>
            </w:tcBorders>
            <w:vAlign w:val="center"/>
          </w:tcPr>
          <w:p w14:paraId="64F7CA54">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125" w:type="dxa"/>
            <w:tcBorders>
              <w:top w:val="single" w:color="auto" w:sz="4" w:space="0"/>
              <w:left w:val="single" w:color="auto" w:sz="4" w:space="0"/>
              <w:bottom w:val="single" w:color="auto" w:sz="4" w:space="0"/>
              <w:right w:val="single" w:color="auto" w:sz="4" w:space="0"/>
            </w:tcBorders>
            <w:vAlign w:val="center"/>
          </w:tcPr>
          <w:p w14:paraId="26A46BF7">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Y≥20000</w:t>
            </w:r>
          </w:p>
        </w:tc>
        <w:tc>
          <w:tcPr>
            <w:tcW w:w="1701" w:type="dxa"/>
            <w:tcBorders>
              <w:top w:val="single" w:color="auto" w:sz="4" w:space="0"/>
              <w:left w:val="single" w:color="auto" w:sz="4" w:space="0"/>
              <w:bottom w:val="single" w:color="auto" w:sz="4" w:space="0"/>
              <w:right w:val="single" w:color="auto" w:sz="4" w:space="0"/>
            </w:tcBorders>
            <w:vAlign w:val="center"/>
          </w:tcPr>
          <w:p w14:paraId="32C1F3B8">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500≤Y＜20000</w:t>
            </w:r>
          </w:p>
        </w:tc>
        <w:tc>
          <w:tcPr>
            <w:tcW w:w="1426" w:type="dxa"/>
            <w:tcBorders>
              <w:top w:val="single" w:color="auto" w:sz="4" w:space="0"/>
              <w:left w:val="single" w:color="auto" w:sz="4" w:space="0"/>
              <w:bottom w:val="single" w:color="auto" w:sz="4" w:space="0"/>
              <w:right w:val="single" w:color="auto" w:sz="4" w:space="0"/>
            </w:tcBorders>
            <w:vAlign w:val="center"/>
          </w:tcPr>
          <w:p w14:paraId="0AEADC06">
            <w:pPr>
              <w:ind w:left="-1" w:leftChars="-1" w:hanging="1"/>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100≤Y＜500 </w:t>
            </w:r>
          </w:p>
        </w:tc>
        <w:tc>
          <w:tcPr>
            <w:tcW w:w="1232" w:type="dxa"/>
            <w:tcBorders>
              <w:top w:val="single" w:color="auto" w:sz="4" w:space="0"/>
              <w:left w:val="single" w:color="auto" w:sz="4" w:space="0"/>
              <w:bottom w:val="single" w:color="auto" w:sz="4" w:space="0"/>
              <w:right w:val="single" w:color="auto" w:sz="4" w:space="0"/>
            </w:tcBorders>
            <w:vAlign w:val="center"/>
          </w:tcPr>
          <w:p w14:paraId="25B8C2D2">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w:t>
            </w:r>
          </w:p>
        </w:tc>
      </w:tr>
      <w:tr w14:paraId="0D47B28C">
        <w:tblPrEx>
          <w:tblCellMar>
            <w:top w:w="0" w:type="dxa"/>
            <w:left w:w="108" w:type="dxa"/>
            <w:bottom w:w="0" w:type="dxa"/>
            <w:right w:w="108" w:type="dxa"/>
          </w:tblCellMar>
        </w:tblPrEx>
        <w:trPr>
          <w:trHeight w:val="397" w:hRule="exact"/>
          <w:jc w:val="center"/>
        </w:trPr>
        <w:tc>
          <w:tcPr>
            <w:tcW w:w="2113" w:type="dxa"/>
            <w:vMerge w:val="restart"/>
            <w:tcBorders>
              <w:top w:val="single" w:color="auto" w:sz="4" w:space="0"/>
              <w:left w:val="single" w:color="auto" w:sz="4" w:space="0"/>
              <w:bottom w:val="single" w:color="auto" w:sz="4" w:space="0"/>
              <w:right w:val="single" w:color="auto" w:sz="4" w:space="0"/>
            </w:tcBorders>
            <w:vAlign w:val="center"/>
          </w:tcPr>
          <w:p w14:paraId="32EBBA3E">
            <w:pPr>
              <w:spacing w:line="240" w:lineRule="exac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交通运输业 *</w:t>
            </w:r>
          </w:p>
        </w:tc>
        <w:tc>
          <w:tcPr>
            <w:tcW w:w="1369" w:type="dxa"/>
            <w:tcBorders>
              <w:top w:val="single" w:color="auto" w:sz="4" w:space="0"/>
              <w:left w:val="single" w:color="auto" w:sz="4" w:space="0"/>
              <w:bottom w:val="single" w:color="auto" w:sz="4" w:space="0"/>
              <w:right w:val="single" w:color="auto" w:sz="4" w:space="0"/>
            </w:tcBorders>
            <w:vAlign w:val="center"/>
          </w:tcPr>
          <w:p w14:paraId="2E7DF2FD">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709" w:type="dxa"/>
            <w:tcBorders>
              <w:top w:val="single" w:color="auto" w:sz="4" w:space="0"/>
              <w:left w:val="single" w:color="auto" w:sz="4" w:space="0"/>
              <w:bottom w:val="single" w:color="auto" w:sz="4" w:space="0"/>
              <w:right w:val="single" w:color="auto" w:sz="4" w:space="0"/>
            </w:tcBorders>
            <w:vAlign w:val="center"/>
          </w:tcPr>
          <w:p w14:paraId="2DFD225A">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125" w:type="dxa"/>
            <w:tcBorders>
              <w:top w:val="single" w:color="auto" w:sz="4" w:space="0"/>
              <w:left w:val="single" w:color="auto" w:sz="4" w:space="0"/>
              <w:bottom w:val="single" w:color="auto" w:sz="4" w:space="0"/>
              <w:right w:val="single" w:color="auto" w:sz="4" w:space="0"/>
            </w:tcBorders>
            <w:vAlign w:val="center"/>
          </w:tcPr>
          <w:p w14:paraId="6DB46D1C">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X≥1000</w:t>
            </w:r>
          </w:p>
        </w:tc>
        <w:tc>
          <w:tcPr>
            <w:tcW w:w="1701" w:type="dxa"/>
            <w:tcBorders>
              <w:top w:val="single" w:color="auto" w:sz="4" w:space="0"/>
              <w:left w:val="single" w:color="auto" w:sz="4" w:space="0"/>
              <w:bottom w:val="single" w:color="auto" w:sz="4" w:space="0"/>
              <w:right w:val="single" w:color="auto" w:sz="4" w:space="0"/>
            </w:tcBorders>
            <w:vAlign w:val="center"/>
          </w:tcPr>
          <w:p w14:paraId="39BF0C8F">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300≤X＜1000</w:t>
            </w:r>
          </w:p>
        </w:tc>
        <w:tc>
          <w:tcPr>
            <w:tcW w:w="1426" w:type="dxa"/>
            <w:tcBorders>
              <w:top w:val="single" w:color="auto" w:sz="4" w:space="0"/>
              <w:left w:val="single" w:color="auto" w:sz="4" w:space="0"/>
              <w:bottom w:val="single" w:color="auto" w:sz="4" w:space="0"/>
              <w:right w:val="single" w:color="auto" w:sz="4" w:space="0"/>
            </w:tcBorders>
            <w:vAlign w:val="center"/>
          </w:tcPr>
          <w:p w14:paraId="189F1C89">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20≤X＜300</w:t>
            </w:r>
          </w:p>
        </w:tc>
        <w:tc>
          <w:tcPr>
            <w:tcW w:w="1232" w:type="dxa"/>
            <w:tcBorders>
              <w:top w:val="single" w:color="auto" w:sz="4" w:space="0"/>
              <w:left w:val="single" w:color="auto" w:sz="4" w:space="0"/>
              <w:bottom w:val="single" w:color="auto" w:sz="4" w:space="0"/>
              <w:right w:val="single" w:color="auto" w:sz="4" w:space="0"/>
            </w:tcBorders>
            <w:vAlign w:val="center"/>
          </w:tcPr>
          <w:p w14:paraId="235E04D5">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X＜20</w:t>
            </w:r>
          </w:p>
        </w:tc>
      </w:tr>
      <w:tr w14:paraId="7E9B23E2">
        <w:tblPrEx>
          <w:tblCellMar>
            <w:top w:w="0" w:type="dxa"/>
            <w:left w:w="108" w:type="dxa"/>
            <w:bottom w:w="0" w:type="dxa"/>
            <w:right w:w="108" w:type="dxa"/>
          </w:tblCellMar>
        </w:tblPrEx>
        <w:trPr>
          <w:trHeight w:val="397" w:hRule="exact"/>
          <w:jc w:val="center"/>
        </w:trPr>
        <w:tc>
          <w:tcPr>
            <w:tcW w:w="2113" w:type="dxa"/>
            <w:vMerge w:val="continue"/>
            <w:tcBorders>
              <w:top w:val="single" w:color="auto" w:sz="4" w:space="0"/>
              <w:left w:val="single" w:color="auto" w:sz="4" w:space="0"/>
              <w:bottom w:val="single" w:color="auto" w:sz="4" w:space="0"/>
              <w:right w:val="single" w:color="auto" w:sz="4" w:space="0"/>
            </w:tcBorders>
            <w:vAlign w:val="center"/>
          </w:tcPr>
          <w:p w14:paraId="55737DFF">
            <w:pPr>
              <w:rPr>
                <w:rFonts w:ascii="宋体" w:hAnsi="宋体" w:cs="宋体"/>
                <w:color w:val="000000" w:themeColor="text1"/>
                <w:sz w:val="18"/>
                <w:szCs w:val="18"/>
                <w:highlight w:val="none"/>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1925D082">
            <w:pPr>
              <w:spacing w:line="240" w:lineRule="exact"/>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709" w:type="dxa"/>
            <w:tcBorders>
              <w:top w:val="single" w:color="auto" w:sz="4" w:space="0"/>
              <w:left w:val="single" w:color="auto" w:sz="4" w:space="0"/>
              <w:bottom w:val="single" w:color="auto" w:sz="4" w:space="0"/>
              <w:right w:val="single" w:color="auto" w:sz="4" w:space="0"/>
            </w:tcBorders>
            <w:vAlign w:val="center"/>
          </w:tcPr>
          <w:p w14:paraId="2FBBD01F">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125" w:type="dxa"/>
            <w:tcBorders>
              <w:top w:val="single" w:color="auto" w:sz="4" w:space="0"/>
              <w:left w:val="single" w:color="auto" w:sz="4" w:space="0"/>
              <w:bottom w:val="single" w:color="auto" w:sz="4" w:space="0"/>
              <w:right w:val="single" w:color="auto" w:sz="4" w:space="0"/>
            </w:tcBorders>
            <w:vAlign w:val="center"/>
          </w:tcPr>
          <w:p w14:paraId="605C3205">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Y≥30000</w:t>
            </w:r>
          </w:p>
        </w:tc>
        <w:tc>
          <w:tcPr>
            <w:tcW w:w="1701" w:type="dxa"/>
            <w:tcBorders>
              <w:top w:val="single" w:color="auto" w:sz="4" w:space="0"/>
              <w:left w:val="single" w:color="auto" w:sz="4" w:space="0"/>
              <w:bottom w:val="single" w:color="auto" w:sz="4" w:space="0"/>
              <w:right w:val="single" w:color="auto" w:sz="4" w:space="0"/>
            </w:tcBorders>
            <w:vAlign w:val="center"/>
          </w:tcPr>
          <w:p w14:paraId="14594981">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3000≤Y＜30000</w:t>
            </w:r>
          </w:p>
        </w:tc>
        <w:tc>
          <w:tcPr>
            <w:tcW w:w="1426" w:type="dxa"/>
            <w:tcBorders>
              <w:top w:val="single" w:color="auto" w:sz="4" w:space="0"/>
              <w:left w:val="single" w:color="auto" w:sz="4" w:space="0"/>
              <w:bottom w:val="single" w:color="auto" w:sz="4" w:space="0"/>
              <w:right w:val="single" w:color="auto" w:sz="4" w:space="0"/>
            </w:tcBorders>
            <w:vAlign w:val="center"/>
          </w:tcPr>
          <w:p w14:paraId="58F88A40">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200≤Y＜3000</w:t>
            </w:r>
          </w:p>
        </w:tc>
        <w:tc>
          <w:tcPr>
            <w:tcW w:w="1232" w:type="dxa"/>
            <w:tcBorders>
              <w:top w:val="single" w:color="auto" w:sz="4" w:space="0"/>
              <w:left w:val="single" w:color="auto" w:sz="4" w:space="0"/>
              <w:bottom w:val="single" w:color="auto" w:sz="4" w:space="0"/>
              <w:right w:val="single" w:color="auto" w:sz="4" w:space="0"/>
            </w:tcBorders>
            <w:vAlign w:val="center"/>
          </w:tcPr>
          <w:p w14:paraId="2D4268C0">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Y＜200</w:t>
            </w:r>
          </w:p>
        </w:tc>
      </w:tr>
      <w:tr w14:paraId="60A34791">
        <w:tblPrEx>
          <w:tblCellMar>
            <w:top w:w="0" w:type="dxa"/>
            <w:left w:w="108" w:type="dxa"/>
            <w:bottom w:w="0" w:type="dxa"/>
            <w:right w:w="108" w:type="dxa"/>
          </w:tblCellMar>
        </w:tblPrEx>
        <w:trPr>
          <w:trHeight w:val="397" w:hRule="exact"/>
          <w:jc w:val="center"/>
        </w:trPr>
        <w:tc>
          <w:tcPr>
            <w:tcW w:w="2113" w:type="dxa"/>
            <w:vMerge w:val="restart"/>
            <w:tcBorders>
              <w:top w:val="single" w:color="auto" w:sz="4" w:space="0"/>
              <w:left w:val="single" w:color="auto" w:sz="4" w:space="0"/>
              <w:bottom w:val="single" w:color="auto" w:sz="4" w:space="0"/>
              <w:right w:val="single" w:color="auto" w:sz="4" w:space="0"/>
            </w:tcBorders>
            <w:vAlign w:val="center"/>
          </w:tcPr>
          <w:p w14:paraId="5C89B803">
            <w:pPr>
              <w:spacing w:line="240" w:lineRule="exac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仓储业*</w:t>
            </w:r>
          </w:p>
        </w:tc>
        <w:tc>
          <w:tcPr>
            <w:tcW w:w="1369" w:type="dxa"/>
            <w:tcBorders>
              <w:top w:val="single" w:color="auto" w:sz="4" w:space="0"/>
              <w:left w:val="single" w:color="auto" w:sz="4" w:space="0"/>
              <w:bottom w:val="single" w:color="auto" w:sz="4" w:space="0"/>
              <w:right w:val="single" w:color="auto" w:sz="4" w:space="0"/>
            </w:tcBorders>
            <w:vAlign w:val="center"/>
          </w:tcPr>
          <w:p w14:paraId="40295775">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709" w:type="dxa"/>
            <w:tcBorders>
              <w:top w:val="single" w:color="auto" w:sz="4" w:space="0"/>
              <w:left w:val="single" w:color="auto" w:sz="4" w:space="0"/>
              <w:bottom w:val="single" w:color="auto" w:sz="4" w:space="0"/>
              <w:right w:val="single" w:color="auto" w:sz="4" w:space="0"/>
            </w:tcBorders>
            <w:vAlign w:val="center"/>
          </w:tcPr>
          <w:p w14:paraId="45484AC9">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125" w:type="dxa"/>
            <w:tcBorders>
              <w:top w:val="single" w:color="auto" w:sz="4" w:space="0"/>
              <w:left w:val="single" w:color="auto" w:sz="4" w:space="0"/>
              <w:bottom w:val="single" w:color="auto" w:sz="4" w:space="0"/>
              <w:right w:val="single" w:color="auto" w:sz="4" w:space="0"/>
            </w:tcBorders>
            <w:vAlign w:val="center"/>
          </w:tcPr>
          <w:p w14:paraId="19A8196C">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X≥200</w:t>
            </w:r>
          </w:p>
        </w:tc>
        <w:tc>
          <w:tcPr>
            <w:tcW w:w="1701" w:type="dxa"/>
            <w:tcBorders>
              <w:top w:val="single" w:color="auto" w:sz="4" w:space="0"/>
              <w:left w:val="single" w:color="auto" w:sz="4" w:space="0"/>
              <w:bottom w:val="single" w:color="auto" w:sz="4" w:space="0"/>
              <w:right w:val="single" w:color="auto" w:sz="4" w:space="0"/>
            </w:tcBorders>
            <w:vAlign w:val="center"/>
          </w:tcPr>
          <w:p w14:paraId="14283F27">
            <w:pPr>
              <w:ind w:left="-14" w:leftChars="-51" w:hanging="108" w:hangingChars="60"/>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100≤X＜200</w:t>
            </w:r>
          </w:p>
        </w:tc>
        <w:tc>
          <w:tcPr>
            <w:tcW w:w="1426" w:type="dxa"/>
            <w:tcBorders>
              <w:top w:val="single" w:color="auto" w:sz="4" w:space="0"/>
              <w:left w:val="single" w:color="auto" w:sz="4" w:space="0"/>
              <w:bottom w:val="single" w:color="auto" w:sz="4" w:space="0"/>
              <w:right w:val="single" w:color="auto" w:sz="4" w:space="0"/>
            </w:tcBorders>
            <w:vAlign w:val="center"/>
          </w:tcPr>
          <w:p w14:paraId="322ED186">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20≤X＜100</w:t>
            </w:r>
          </w:p>
        </w:tc>
        <w:tc>
          <w:tcPr>
            <w:tcW w:w="1232" w:type="dxa"/>
            <w:tcBorders>
              <w:top w:val="single" w:color="auto" w:sz="4" w:space="0"/>
              <w:left w:val="single" w:color="auto" w:sz="4" w:space="0"/>
              <w:bottom w:val="single" w:color="auto" w:sz="4" w:space="0"/>
              <w:right w:val="single" w:color="auto" w:sz="4" w:space="0"/>
            </w:tcBorders>
            <w:vAlign w:val="center"/>
          </w:tcPr>
          <w:p w14:paraId="0D918B66">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X＜20</w:t>
            </w:r>
          </w:p>
        </w:tc>
      </w:tr>
      <w:tr w14:paraId="6C3E56C5">
        <w:tblPrEx>
          <w:tblCellMar>
            <w:top w:w="0" w:type="dxa"/>
            <w:left w:w="108" w:type="dxa"/>
            <w:bottom w:w="0" w:type="dxa"/>
            <w:right w:w="108" w:type="dxa"/>
          </w:tblCellMar>
        </w:tblPrEx>
        <w:trPr>
          <w:trHeight w:val="397" w:hRule="exact"/>
          <w:jc w:val="center"/>
        </w:trPr>
        <w:tc>
          <w:tcPr>
            <w:tcW w:w="2113" w:type="dxa"/>
            <w:vMerge w:val="continue"/>
            <w:tcBorders>
              <w:top w:val="single" w:color="auto" w:sz="4" w:space="0"/>
              <w:left w:val="single" w:color="auto" w:sz="4" w:space="0"/>
              <w:bottom w:val="single" w:color="auto" w:sz="4" w:space="0"/>
              <w:right w:val="single" w:color="auto" w:sz="4" w:space="0"/>
            </w:tcBorders>
            <w:vAlign w:val="center"/>
          </w:tcPr>
          <w:p w14:paraId="365761DF">
            <w:pPr>
              <w:rPr>
                <w:rFonts w:ascii="宋体" w:hAnsi="宋体" w:cs="宋体"/>
                <w:color w:val="000000" w:themeColor="text1"/>
                <w:sz w:val="18"/>
                <w:szCs w:val="18"/>
                <w:highlight w:val="none"/>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5DA949C9">
            <w:pPr>
              <w:spacing w:line="240" w:lineRule="exact"/>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709" w:type="dxa"/>
            <w:tcBorders>
              <w:top w:val="single" w:color="auto" w:sz="4" w:space="0"/>
              <w:left w:val="single" w:color="auto" w:sz="4" w:space="0"/>
              <w:bottom w:val="single" w:color="auto" w:sz="4" w:space="0"/>
              <w:right w:val="single" w:color="auto" w:sz="4" w:space="0"/>
            </w:tcBorders>
            <w:vAlign w:val="center"/>
          </w:tcPr>
          <w:p w14:paraId="4324FDF9">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125" w:type="dxa"/>
            <w:tcBorders>
              <w:top w:val="single" w:color="auto" w:sz="4" w:space="0"/>
              <w:left w:val="single" w:color="auto" w:sz="4" w:space="0"/>
              <w:bottom w:val="single" w:color="auto" w:sz="4" w:space="0"/>
              <w:right w:val="single" w:color="auto" w:sz="4" w:space="0"/>
            </w:tcBorders>
            <w:vAlign w:val="center"/>
          </w:tcPr>
          <w:p w14:paraId="009F2054">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Y≥30000</w:t>
            </w:r>
          </w:p>
        </w:tc>
        <w:tc>
          <w:tcPr>
            <w:tcW w:w="1701" w:type="dxa"/>
            <w:tcBorders>
              <w:top w:val="single" w:color="auto" w:sz="4" w:space="0"/>
              <w:left w:val="single" w:color="auto" w:sz="4" w:space="0"/>
              <w:bottom w:val="single" w:color="auto" w:sz="4" w:space="0"/>
              <w:right w:val="single" w:color="auto" w:sz="4" w:space="0"/>
            </w:tcBorders>
            <w:vAlign w:val="center"/>
          </w:tcPr>
          <w:p w14:paraId="70F034CD">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1000≤Y＜30000</w:t>
            </w:r>
          </w:p>
        </w:tc>
        <w:tc>
          <w:tcPr>
            <w:tcW w:w="1426" w:type="dxa"/>
            <w:tcBorders>
              <w:top w:val="single" w:color="auto" w:sz="4" w:space="0"/>
              <w:left w:val="single" w:color="auto" w:sz="4" w:space="0"/>
              <w:bottom w:val="single" w:color="auto" w:sz="4" w:space="0"/>
              <w:right w:val="single" w:color="auto" w:sz="4" w:space="0"/>
            </w:tcBorders>
            <w:vAlign w:val="center"/>
          </w:tcPr>
          <w:p w14:paraId="4779E00D">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100≤Y＜1000</w:t>
            </w:r>
          </w:p>
        </w:tc>
        <w:tc>
          <w:tcPr>
            <w:tcW w:w="1232" w:type="dxa"/>
            <w:tcBorders>
              <w:top w:val="single" w:color="auto" w:sz="4" w:space="0"/>
              <w:left w:val="single" w:color="auto" w:sz="4" w:space="0"/>
              <w:bottom w:val="single" w:color="auto" w:sz="4" w:space="0"/>
              <w:right w:val="single" w:color="auto" w:sz="4" w:space="0"/>
            </w:tcBorders>
            <w:vAlign w:val="center"/>
          </w:tcPr>
          <w:p w14:paraId="0714EF94">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w:t>
            </w:r>
          </w:p>
        </w:tc>
      </w:tr>
      <w:tr w14:paraId="5971FBD0">
        <w:tblPrEx>
          <w:tblCellMar>
            <w:top w:w="0" w:type="dxa"/>
            <w:left w:w="108" w:type="dxa"/>
            <w:bottom w:w="0" w:type="dxa"/>
            <w:right w:w="108" w:type="dxa"/>
          </w:tblCellMar>
        </w:tblPrEx>
        <w:trPr>
          <w:trHeight w:val="397" w:hRule="exact"/>
          <w:jc w:val="center"/>
        </w:trPr>
        <w:tc>
          <w:tcPr>
            <w:tcW w:w="2113" w:type="dxa"/>
            <w:vMerge w:val="restart"/>
            <w:tcBorders>
              <w:top w:val="single" w:color="auto" w:sz="4" w:space="0"/>
              <w:left w:val="single" w:color="auto" w:sz="4" w:space="0"/>
              <w:bottom w:val="single" w:color="auto" w:sz="4" w:space="0"/>
              <w:right w:val="single" w:color="auto" w:sz="4" w:space="0"/>
            </w:tcBorders>
            <w:vAlign w:val="center"/>
          </w:tcPr>
          <w:p w14:paraId="32AB7963">
            <w:pPr>
              <w:spacing w:line="240" w:lineRule="exac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邮政业</w:t>
            </w:r>
          </w:p>
        </w:tc>
        <w:tc>
          <w:tcPr>
            <w:tcW w:w="1369" w:type="dxa"/>
            <w:tcBorders>
              <w:top w:val="single" w:color="auto" w:sz="4" w:space="0"/>
              <w:left w:val="single" w:color="auto" w:sz="4" w:space="0"/>
              <w:bottom w:val="single" w:color="auto" w:sz="4" w:space="0"/>
              <w:right w:val="single" w:color="auto" w:sz="4" w:space="0"/>
            </w:tcBorders>
            <w:vAlign w:val="center"/>
          </w:tcPr>
          <w:p w14:paraId="17BF08BA">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709" w:type="dxa"/>
            <w:tcBorders>
              <w:top w:val="single" w:color="auto" w:sz="4" w:space="0"/>
              <w:left w:val="single" w:color="auto" w:sz="4" w:space="0"/>
              <w:bottom w:val="single" w:color="auto" w:sz="4" w:space="0"/>
              <w:right w:val="single" w:color="auto" w:sz="4" w:space="0"/>
            </w:tcBorders>
            <w:vAlign w:val="center"/>
          </w:tcPr>
          <w:p w14:paraId="24C98CDC">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125" w:type="dxa"/>
            <w:tcBorders>
              <w:top w:val="single" w:color="auto" w:sz="4" w:space="0"/>
              <w:left w:val="single" w:color="auto" w:sz="4" w:space="0"/>
              <w:bottom w:val="single" w:color="auto" w:sz="4" w:space="0"/>
              <w:right w:val="single" w:color="auto" w:sz="4" w:space="0"/>
            </w:tcBorders>
            <w:vAlign w:val="center"/>
          </w:tcPr>
          <w:p w14:paraId="1C9E0A01">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X≥1000</w:t>
            </w:r>
          </w:p>
        </w:tc>
        <w:tc>
          <w:tcPr>
            <w:tcW w:w="1701" w:type="dxa"/>
            <w:tcBorders>
              <w:top w:val="single" w:color="auto" w:sz="4" w:space="0"/>
              <w:left w:val="single" w:color="auto" w:sz="4" w:space="0"/>
              <w:bottom w:val="single" w:color="auto" w:sz="4" w:space="0"/>
              <w:right w:val="single" w:color="auto" w:sz="4" w:space="0"/>
            </w:tcBorders>
            <w:vAlign w:val="center"/>
          </w:tcPr>
          <w:p w14:paraId="51B54D33">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300≤X＜1000</w:t>
            </w:r>
          </w:p>
        </w:tc>
        <w:tc>
          <w:tcPr>
            <w:tcW w:w="1426" w:type="dxa"/>
            <w:tcBorders>
              <w:top w:val="single" w:color="auto" w:sz="4" w:space="0"/>
              <w:left w:val="single" w:color="auto" w:sz="4" w:space="0"/>
              <w:bottom w:val="single" w:color="auto" w:sz="4" w:space="0"/>
              <w:right w:val="single" w:color="auto" w:sz="4" w:space="0"/>
            </w:tcBorders>
            <w:vAlign w:val="center"/>
          </w:tcPr>
          <w:p w14:paraId="4CA184BF">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20≤X＜300</w:t>
            </w:r>
          </w:p>
        </w:tc>
        <w:tc>
          <w:tcPr>
            <w:tcW w:w="1232" w:type="dxa"/>
            <w:tcBorders>
              <w:top w:val="single" w:color="auto" w:sz="4" w:space="0"/>
              <w:left w:val="single" w:color="auto" w:sz="4" w:space="0"/>
              <w:bottom w:val="single" w:color="auto" w:sz="4" w:space="0"/>
              <w:right w:val="single" w:color="auto" w:sz="4" w:space="0"/>
            </w:tcBorders>
            <w:vAlign w:val="center"/>
          </w:tcPr>
          <w:p w14:paraId="35A4F582">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X＜20</w:t>
            </w:r>
          </w:p>
        </w:tc>
      </w:tr>
      <w:tr w14:paraId="050AA46A">
        <w:tblPrEx>
          <w:tblCellMar>
            <w:top w:w="0" w:type="dxa"/>
            <w:left w:w="108" w:type="dxa"/>
            <w:bottom w:w="0" w:type="dxa"/>
            <w:right w:w="108" w:type="dxa"/>
          </w:tblCellMar>
        </w:tblPrEx>
        <w:trPr>
          <w:trHeight w:val="397" w:hRule="exact"/>
          <w:jc w:val="center"/>
        </w:trPr>
        <w:tc>
          <w:tcPr>
            <w:tcW w:w="2113" w:type="dxa"/>
            <w:vMerge w:val="continue"/>
            <w:tcBorders>
              <w:top w:val="single" w:color="auto" w:sz="4" w:space="0"/>
              <w:left w:val="single" w:color="auto" w:sz="4" w:space="0"/>
              <w:bottom w:val="single" w:color="auto" w:sz="4" w:space="0"/>
              <w:right w:val="single" w:color="auto" w:sz="4" w:space="0"/>
            </w:tcBorders>
            <w:vAlign w:val="center"/>
          </w:tcPr>
          <w:p w14:paraId="2E0AD541">
            <w:pPr>
              <w:rPr>
                <w:rFonts w:ascii="宋体" w:hAnsi="宋体" w:cs="宋体"/>
                <w:color w:val="000000" w:themeColor="text1"/>
                <w:sz w:val="18"/>
                <w:szCs w:val="18"/>
                <w:highlight w:val="none"/>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2BF0F7B1">
            <w:pPr>
              <w:spacing w:line="240" w:lineRule="exact"/>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709" w:type="dxa"/>
            <w:tcBorders>
              <w:top w:val="single" w:color="auto" w:sz="4" w:space="0"/>
              <w:left w:val="single" w:color="auto" w:sz="4" w:space="0"/>
              <w:bottom w:val="single" w:color="auto" w:sz="4" w:space="0"/>
              <w:right w:val="single" w:color="auto" w:sz="4" w:space="0"/>
            </w:tcBorders>
            <w:vAlign w:val="center"/>
          </w:tcPr>
          <w:p w14:paraId="58C42D45">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125" w:type="dxa"/>
            <w:tcBorders>
              <w:top w:val="single" w:color="auto" w:sz="4" w:space="0"/>
              <w:left w:val="single" w:color="auto" w:sz="4" w:space="0"/>
              <w:bottom w:val="single" w:color="auto" w:sz="4" w:space="0"/>
              <w:right w:val="single" w:color="auto" w:sz="4" w:space="0"/>
            </w:tcBorders>
            <w:vAlign w:val="center"/>
          </w:tcPr>
          <w:p w14:paraId="3B811EF9">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Y≥30000</w:t>
            </w:r>
          </w:p>
        </w:tc>
        <w:tc>
          <w:tcPr>
            <w:tcW w:w="1701" w:type="dxa"/>
            <w:tcBorders>
              <w:top w:val="single" w:color="auto" w:sz="4" w:space="0"/>
              <w:left w:val="single" w:color="auto" w:sz="4" w:space="0"/>
              <w:bottom w:val="single" w:color="auto" w:sz="4" w:space="0"/>
              <w:right w:val="single" w:color="auto" w:sz="4" w:space="0"/>
            </w:tcBorders>
            <w:vAlign w:val="center"/>
          </w:tcPr>
          <w:p w14:paraId="6C03125A">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2000≤Y＜30000</w:t>
            </w:r>
          </w:p>
        </w:tc>
        <w:tc>
          <w:tcPr>
            <w:tcW w:w="1426" w:type="dxa"/>
            <w:tcBorders>
              <w:top w:val="single" w:color="auto" w:sz="4" w:space="0"/>
              <w:left w:val="single" w:color="auto" w:sz="4" w:space="0"/>
              <w:bottom w:val="single" w:color="auto" w:sz="4" w:space="0"/>
              <w:right w:val="single" w:color="auto" w:sz="4" w:space="0"/>
            </w:tcBorders>
            <w:vAlign w:val="center"/>
          </w:tcPr>
          <w:p w14:paraId="5D51BD28">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100≤Y＜2000</w:t>
            </w:r>
          </w:p>
        </w:tc>
        <w:tc>
          <w:tcPr>
            <w:tcW w:w="1232" w:type="dxa"/>
            <w:tcBorders>
              <w:top w:val="single" w:color="auto" w:sz="4" w:space="0"/>
              <w:left w:val="single" w:color="auto" w:sz="4" w:space="0"/>
              <w:bottom w:val="single" w:color="auto" w:sz="4" w:space="0"/>
              <w:right w:val="single" w:color="auto" w:sz="4" w:space="0"/>
            </w:tcBorders>
            <w:vAlign w:val="center"/>
          </w:tcPr>
          <w:p w14:paraId="432203BF">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w:t>
            </w:r>
          </w:p>
        </w:tc>
      </w:tr>
      <w:tr w14:paraId="054BA1BF">
        <w:tblPrEx>
          <w:tblCellMar>
            <w:top w:w="0" w:type="dxa"/>
            <w:left w:w="108" w:type="dxa"/>
            <w:bottom w:w="0" w:type="dxa"/>
            <w:right w:w="108" w:type="dxa"/>
          </w:tblCellMar>
        </w:tblPrEx>
        <w:trPr>
          <w:trHeight w:val="397" w:hRule="exact"/>
          <w:jc w:val="center"/>
        </w:trPr>
        <w:tc>
          <w:tcPr>
            <w:tcW w:w="2113" w:type="dxa"/>
            <w:vMerge w:val="restart"/>
            <w:tcBorders>
              <w:top w:val="single" w:color="auto" w:sz="4" w:space="0"/>
              <w:left w:val="single" w:color="auto" w:sz="4" w:space="0"/>
              <w:bottom w:val="single" w:color="auto" w:sz="4" w:space="0"/>
              <w:right w:val="single" w:color="auto" w:sz="4" w:space="0"/>
            </w:tcBorders>
            <w:vAlign w:val="center"/>
          </w:tcPr>
          <w:p w14:paraId="687B75B1">
            <w:pPr>
              <w:spacing w:line="240" w:lineRule="exac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住宿业</w:t>
            </w:r>
          </w:p>
        </w:tc>
        <w:tc>
          <w:tcPr>
            <w:tcW w:w="1369" w:type="dxa"/>
            <w:tcBorders>
              <w:top w:val="single" w:color="auto" w:sz="4" w:space="0"/>
              <w:left w:val="single" w:color="auto" w:sz="4" w:space="0"/>
              <w:bottom w:val="single" w:color="auto" w:sz="4" w:space="0"/>
              <w:right w:val="single" w:color="auto" w:sz="4" w:space="0"/>
            </w:tcBorders>
            <w:vAlign w:val="center"/>
          </w:tcPr>
          <w:p w14:paraId="6FC1A255">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709" w:type="dxa"/>
            <w:tcBorders>
              <w:top w:val="single" w:color="auto" w:sz="4" w:space="0"/>
              <w:left w:val="single" w:color="auto" w:sz="4" w:space="0"/>
              <w:bottom w:val="single" w:color="auto" w:sz="4" w:space="0"/>
              <w:right w:val="single" w:color="auto" w:sz="4" w:space="0"/>
            </w:tcBorders>
            <w:vAlign w:val="center"/>
          </w:tcPr>
          <w:p w14:paraId="61880736">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125" w:type="dxa"/>
            <w:tcBorders>
              <w:top w:val="single" w:color="auto" w:sz="4" w:space="0"/>
              <w:left w:val="single" w:color="auto" w:sz="4" w:space="0"/>
              <w:bottom w:val="single" w:color="auto" w:sz="4" w:space="0"/>
              <w:right w:val="single" w:color="auto" w:sz="4" w:space="0"/>
            </w:tcBorders>
            <w:vAlign w:val="center"/>
          </w:tcPr>
          <w:p w14:paraId="27A8E89D">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X≥300</w:t>
            </w:r>
          </w:p>
        </w:tc>
        <w:tc>
          <w:tcPr>
            <w:tcW w:w="1701" w:type="dxa"/>
            <w:tcBorders>
              <w:top w:val="single" w:color="auto" w:sz="4" w:space="0"/>
              <w:left w:val="single" w:color="auto" w:sz="4" w:space="0"/>
              <w:bottom w:val="single" w:color="auto" w:sz="4" w:space="0"/>
              <w:right w:val="single" w:color="auto" w:sz="4" w:space="0"/>
            </w:tcBorders>
            <w:vAlign w:val="center"/>
          </w:tcPr>
          <w:p w14:paraId="26700F98">
            <w:pPr>
              <w:ind w:left="-14" w:leftChars="-51" w:hanging="108" w:hangingChars="60"/>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100≤X＜300 </w:t>
            </w:r>
          </w:p>
        </w:tc>
        <w:tc>
          <w:tcPr>
            <w:tcW w:w="1426" w:type="dxa"/>
            <w:tcBorders>
              <w:top w:val="single" w:color="auto" w:sz="4" w:space="0"/>
              <w:left w:val="single" w:color="auto" w:sz="4" w:space="0"/>
              <w:bottom w:val="single" w:color="auto" w:sz="4" w:space="0"/>
              <w:right w:val="single" w:color="auto" w:sz="4" w:space="0"/>
            </w:tcBorders>
            <w:vAlign w:val="center"/>
          </w:tcPr>
          <w:p w14:paraId="7F3E87B9">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10≤X＜100</w:t>
            </w:r>
          </w:p>
        </w:tc>
        <w:tc>
          <w:tcPr>
            <w:tcW w:w="1232" w:type="dxa"/>
            <w:tcBorders>
              <w:top w:val="single" w:color="auto" w:sz="4" w:space="0"/>
              <w:left w:val="single" w:color="auto" w:sz="4" w:space="0"/>
              <w:bottom w:val="single" w:color="auto" w:sz="4" w:space="0"/>
              <w:right w:val="single" w:color="auto" w:sz="4" w:space="0"/>
            </w:tcBorders>
            <w:vAlign w:val="center"/>
          </w:tcPr>
          <w:p w14:paraId="260DB475">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w:t>
            </w:r>
          </w:p>
        </w:tc>
      </w:tr>
      <w:tr w14:paraId="13BFD9E0">
        <w:tblPrEx>
          <w:tblCellMar>
            <w:top w:w="0" w:type="dxa"/>
            <w:left w:w="108" w:type="dxa"/>
            <w:bottom w:w="0" w:type="dxa"/>
            <w:right w:w="108" w:type="dxa"/>
          </w:tblCellMar>
        </w:tblPrEx>
        <w:trPr>
          <w:trHeight w:val="397" w:hRule="exact"/>
          <w:jc w:val="center"/>
        </w:trPr>
        <w:tc>
          <w:tcPr>
            <w:tcW w:w="2113" w:type="dxa"/>
            <w:vMerge w:val="continue"/>
            <w:tcBorders>
              <w:top w:val="single" w:color="auto" w:sz="4" w:space="0"/>
              <w:left w:val="single" w:color="auto" w:sz="4" w:space="0"/>
              <w:bottom w:val="single" w:color="auto" w:sz="4" w:space="0"/>
              <w:right w:val="single" w:color="auto" w:sz="4" w:space="0"/>
            </w:tcBorders>
            <w:vAlign w:val="center"/>
          </w:tcPr>
          <w:p w14:paraId="78D85739">
            <w:pPr>
              <w:rPr>
                <w:rFonts w:ascii="宋体" w:hAnsi="宋体" w:cs="宋体"/>
                <w:color w:val="000000" w:themeColor="text1"/>
                <w:sz w:val="18"/>
                <w:szCs w:val="18"/>
                <w:highlight w:val="none"/>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782C5A14">
            <w:pPr>
              <w:spacing w:line="240" w:lineRule="exact"/>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709" w:type="dxa"/>
            <w:tcBorders>
              <w:top w:val="single" w:color="auto" w:sz="4" w:space="0"/>
              <w:left w:val="single" w:color="auto" w:sz="4" w:space="0"/>
              <w:bottom w:val="single" w:color="auto" w:sz="4" w:space="0"/>
              <w:right w:val="single" w:color="auto" w:sz="4" w:space="0"/>
            </w:tcBorders>
            <w:vAlign w:val="center"/>
          </w:tcPr>
          <w:p w14:paraId="07276C21">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125" w:type="dxa"/>
            <w:tcBorders>
              <w:top w:val="single" w:color="auto" w:sz="4" w:space="0"/>
              <w:left w:val="single" w:color="auto" w:sz="4" w:space="0"/>
              <w:bottom w:val="single" w:color="auto" w:sz="4" w:space="0"/>
              <w:right w:val="single" w:color="auto" w:sz="4" w:space="0"/>
            </w:tcBorders>
            <w:vAlign w:val="center"/>
          </w:tcPr>
          <w:p w14:paraId="56EA2EC5">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Y≥10000</w:t>
            </w:r>
          </w:p>
        </w:tc>
        <w:tc>
          <w:tcPr>
            <w:tcW w:w="1701" w:type="dxa"/>
            <w:tcBorders>
              <w:top w:val="single" w:color="auto" w:sz="4" w:space="0"/>
              <w:left w:val="single" w:color="auto" w:sz="4" w:space="0"/>
              <w:bottom w:val="single" w:color="auto" w:sz="4" w:space="0"/>
              <w:right w:val="single" w:color="auto" w:sz="4" w:space="0"/>
            </w:tcBorders>
            <w:vAlign w:val="center"/>
          </w:tcPr>
          <w:p w14:paraId="36F2DF8D">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2000≤Y＜10000</w:t>
            </w:r>
          </w:p>
        </w:tc>
        <w:tc>
          <w:tcPr>
            <w:tcW w:w="1426" w:type="dxa"/>
            <w:tcBorders>
              <w:top w:val="single" w:color="auto" w:sz="4" w:space="0"/>
              <w:left w:val="single" w:color="auto" w:sz="4" w:space="0"/>
              <w:bottom w:val="single" w:color="auto" w:sz="4" w:space="0"/>
              <w:right w:val="single" w:color="auto" w:sz="4" w:space="0"/>
            </w:tcBorders>
            <w:vAlign w:val="center"/>
          </w:tcPr>
          <w:p w14:paraId="267854F0">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100≤Y＜2000</w:t>
            </w:r>
          </w:p>
        </w:tc>
        <w:tc>
          <w:tcPr>
            <w:tcW w:w="1232" w:type="dxa"/>
            <w:tcBorders>
              <w:top w:val="single" w:color="auto" w:sz="4" w:space="0"/>
              <w:left w:val="single" w:color="auto" w:sz="4" w:space="0"/>
              <w:bottom w:val="single" w:color="auto" w:sz="4" w:space="0"/>
              <w:right w:val="single" w:color="auto" w:sz="4" w:space="0"/>
            </w:tcBorders>
            <w:vAlign w:val="center"/>
          </w:tcPr>
          <w:p w14:paraId="3D973CB7">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w:t>
            </w:r>
          </w:p>
        </w:tc>
      </w:tr>
      <w:tr w14:paraId="38E30965">
        <w:tblPrEx>
          <w:tblCellMar>
            <w:top w:w="0" w:type="dxa"/>
            <w:left w:w="108" w:type="dxa"/>
            <w:bottom w:w="0" w:type="dxa"/>
            <w:right w:w="108" w:type="dxa"/>
          </w:tblCellMar>
        </w:tblPrEx>
        <w:trPr>
          <w:trHeight w:val="397" w:hRule="exact"/>
          <w:jc w:val="center"/>
        </w:trPr>
        <w:tc>
          <w:tcPr>
            <w:tcW w:w="2113" w:type="dxa"/>
            <w:vMerge w:val="restart"/>
            <w:tcBorders>
              <w:top w:val="single" w:color="auto" w:sz="4" w:space="0"/>
              <w:left w:val="single" w:color="auto" w:sz="4" w:space="0"/>
              <w:bottom w:val="single" w:color="auto" w:sz="4" w:space="0"/>
              <w:right w:val="single" w:color="auto" w:sz="4" w:space="0"/>
            </w:tcBorders>
            <w:vAlign w:val="center"/>
          </w:tcPr>
          <w:p w14:paraId="64878236">
            <w:pPr>
              <w:spacing w:line="240" w:lineRule="exac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餐饮业</w:t>
            </w:r>
          </w:p>
        </w:tc>
        <w:tc>
          <w:tcPr>
            <w:tcW w:w="1369" w:type="dxa"/>
            <w:tcBorders>
              <w:top w:val="single" w:color="auto" w:sz="4" w:space="0"/>
              <w:left w:val="single" w:color="auto" w:sz="4" w:space="0"/>
              <w:bottom w:val="single" w:color="auto" w:sz="4" w:space="0"/>
              <w:right w:val="single" w:color="auto" w:sz="4" w:space="0"/>
            </w:tcBorders>
            <w:vAlign w:val="center"/>
          </w:tcPr>
          <w:p w14:paraId="4FD7B0DF">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709" w:type="dxa"/>
            <w:tcBorders>
              <w:top w:val="single" w:color="auto" w:sz="4" w:space="0"/>
              <w:left w:val="single" w:color="auto" w:sz="4" w:space="0"/>
              <w:bottom w:val="single" w:color="auto" w:sz="4" w:space="0"/>
              <w:right w:val="single" w:color="auto" w:sz="4" w:space="0"/>
            </w:tcBorders>
            <w:vAlign w:val="center"/>
          </w:tcPr>
          <w:p w14:paraId="6767DF0F">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125" w:type="dxa"/>
            <w:tcBorders>
              <w:top w:val="single" w:color="auto" w:sz="4" w:space="0"/>
              <w:left w:val="single" w:color="auto" w:sz="4" w:space="0"/>
              <w:bottom w:val="single" w:color="auto" w:sz="4" w:space="0"/>
              <w:right w:val="single" w:color="auto" w:sz="4" w:space="0"/>
            </w:tcBorders>
            <w:vAlign w:val="center"/>
          </w:tcPr>
          <w:p w14:paraId="4F08AAEA">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X≥300</w:t>
            </w:r>
          </w:p>
        </w:tc>
        <w:tc>
          <w:tcPr>
            <w:tcW w:w="1701" w:type="dxa"/>
            <w:tcBorders>
              <w:top w:val="single" w:color="auto" w:sz="4" w:space="0"/>
              <w:left w:val="single" w:color="auto" w:sz="4" w:space="0"/>
              <w:bottom w:val="single" w:color="auto" w:sz="4" w:space="0"/>
              <w:right w:val="single" w:color="auto" w:sz="4" w:space="0"/>
            </w:tcBorders>
            <w:vAlign w:val="center"/>
          </w:tcPr>
          <w:p w14:paraId="38F578A2">
            <w:pPr>
              <w:ind w:left="-14" w:leftChars="-51" w:hanging="108" w:hangingChars="60"/>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100≤X＜300 </w:t>
            </w:r>
          </w:p>
        </w:tc>
        <w:tc>
          <w:tcPr>
            <w:tcW w:w="1426" w:type="dxa"/>
            <w:tcBorders>
              <w:top w:val="single" w:color="auto" w:sz="4" w:space="0"/>
              <w:left w:val="single" w:color="auto" w:sz="4" w:space="0"/>
              <w:bottom w:val="single" w:color="auto" w:sz="4" w:space="0"/>
              <w:right w:val="single" w:color="auto" w:sz="4" w:space="0"/>
            </w:tcBorders>
            <w:vAlign w:val="center"/>
          </w:tcPr>
          <w:p w14:paraId="20CF3FDC">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10≤X＜100</w:t>
            </w:r>
          </w:p>
        </w:tc>
        <w:tc>
          <w:tcPr>
            <w:tcW w:w="1232" w:type="dxa"/>
            <w:tcBorders>
              <w:top w:val="single" w:color="auto" w:sz="4" w:space="0"/>
              <w:left w:val="single" w:color="auto" w:sz="4" w:space="0"/>
              <w:bottom w:val="single" w:color="auto" w:sz="4" w:space="0"/>
              <w:right w:val="single" w:color="auto" w:sz="4" w:space="0"/>
            </w:tcBorders>
            <w:vAlign w:val="center"/>
          </w:tcPr>
          <w:p w14:paraId="1C865812">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w:t>
            </w:r>
          </w:p>
        </w:tc>
      </w:tr>
      <w:tr w14:paraId="69293B23">
        <w:tblPrEx>
          <w:tblCellMar>
            <w:top w:w="0" w:type="dxa"/>
            <w:left w:w="108" w:type="dxa"/>
            <w:bottom w:w="0" w:type="dxa"/>
            <w:right w:w="108" w:type="dxa"/>
          </w:tblCellMar>
        </w:tblPrEx>
        <w:trPr>
          <w:trHeight w:val="397" w:hRule="exact"/>
          <w:jc w:val="center"/>
        </w:trPr>
        <w:tc>
          <w:tcPr>
            <w:tcW w:w="2113" w:type="dxa"/>
            <w:vMerge w:val="continue"/>
            <w:tcBorders>
              <w:top w:val="single" w:color="auto" w:sz="4" w:space="0"/>
              <w:left w:val="single" w:color="auto" w:sz="4" w:space="0"/>
              <w:bottom w:val="single" w:color="auto" w:sz="4" w:space="0"/>
              <w:right w:val="single" w:color="auto" w:sz="4" w:space="0"/>
            </w:tcBorders>
            <w:vAlign w:val="center"/>
          </w:tcPr>
          <w:p w14:paraId="4EECE357">
            <w:pPr>
              <w:rPr>
                <w:rFonts w:ascii="宋体" w:hAnsi="宋体" w:cs="宋体"/>
                <w:color w:val="000000" w:themeColor="text1"/>
                <w:sz w:val="18"/>
                <w:szCs w:val="18"/>
                <w:highlight w:val="none"/>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550D0E38">
            <w:pPr>
              <w:spacing w:line="240" w:lineRule="exact"/>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709" w:type="dxa"/>
            <w:tcBorders>
              <w:top w:val="single" w:color="auto" w:sz="4" w:space="0"/>
              <w:left w:val="single" w:color="auto" w:sz="4" w:space="0"/>
              <w:bottom w:val="single" w:color="auto" w:sz="4" w:space="0"/>
              <w:right w:val="single" w:color="auto" w:sz="4" w:space="0"/>
            </w:tcBorders>
            <w:vAlign w:val="center"/>
          </w:tcPr>
          <w:p w14:paraId="744F0B3B">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125" w:type="dxa"/>
            <w:tcBorders>
              <w:top w:val="single" w:color="auto" w:sz="4" w:space="0"/>
              <w:left w:val="single" w:color="auto" w:sz="4" w:space="0"/>
              <w:bottom w:val="single" w:color="auto" w:sz="4" w:space="0"/>
              <w:right w:val="single" w:color="auto" w:sz="4" w:space="0"/>
            </w:tcBorders>
            <w:vAlign w:val="center"/>
          </w:tcPr>
          <w:p w14:paraId="7D7EFE2E">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Y≥10000</w:t>
            </w:r>
          </w:p>
        </w:tc>
        <w:tc>
          <w:tcPr>
            <w:tcW w:w="1701" w:type="dxa"/>
            <w:tcBorders>
              <w:top w:val="single" w:color="auto" w:sz="4" w:space="0"/>
              <w:left w:val="single" w:color="auto" w:sz="4" w:space="0"/>
              <w:bottom w:val="single" w:color="auto" w:sz="4" w:space="0"/>
              <w:right w:val="single" w:color="auto" w:sz="4" w:space="0"/>
            </w:tcBorders>
            <w:vAlign w:val="center"/>
          </w:tcPr>
          <w:p w14:paraId="6E034BBE">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2000≤Y＜10000</w:t>
            </w:r>
          </w:p>
        </w:tc>
        <w:tc>
          <w:tcPr>
            <w:tcW w:w="1426" w:type="dxa"/>
            <w:tcBorders>
              <w:top w:val="single" w:color="auto" w:sz="4" w:space="0"/>
              <w:left w:val="single" w:color="auto" w:sz="4" w:space="0"/>
              <w:bottom w:val="single" w:color="auto" w:sz="4" w:space="0"/>
              <w:right w:val="single" w:color="auto" w:sz="4" w:space="0"/>
            </w:tcBorders>
            <w:vAlign w:val="center"/>
          </w:tcPr>
          <w:p w14:paraId="08B2414D">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100≤Y＜2000</w:t>
            </w:r>
          </w:p>
        </w:tc>
        <w:tc>
          <w:tcPr>
            <w:tcW w:w="1232" w:type="dxa"/>
            <w:tcBorders>
              <w:top w:val="single" w:color="auto" w:sz="4" w:space="0"/>
              <w:left w:val="single" w:color="auto" w:sz="4" w:space="0"/>
              <w:bottom w:val="single" w:color="auto" w:sz="4" w:space="0"/>
              <w:right w:val="single" w:color="auto" w:sz="4" w:space="0"/>
            </w:tcBorders>
            <w:vAlign w:val="center"/>
          </w:tcPr>
          <w:p w14:paraId="5A8FCEDE">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w:t>
            </w:r>
          </w:p>
        </w:tc>
      </w:tr>
      <w:tr w14:paraId="6C07C4F3">
        <w:tblPrEx>
          <w:tblCellMar>
            <w:top w:w="0" w:type="dxa"/>
            <w:left w:w="108" w:type="dxa"/>
            <w:bottom w:w="0" w:type="dxa"/>
            <w:right w:w="108" w:type="dxa"/>
          </w:tblCellMar>
        </w:tblPrEx>
        <w:trPr>
          <w:trHeight w:val="397" w:hRule="exact"/>
          <w:jc w:val="center"/>
        </w:trPr>
        <w:tc>
          <w:tcPr>
            <w:tcW w:w="2113" w:type="dxa"/>
            <w:vMerge w:val="restart"/>
            <w:tcBorders>
              <w:top w:val="single" w:color="auto" w:sz="4" w:space="0"/>
              <w:left w:val="single" w:color="auto" w:sz="4" w:space="0"/>
              <w:bottom w:val="single" w:color="auto" w:sz="4" w:space="0"/>
              <w:right w:val="single" w:color="auto" w:sz="4" w:space="0"/>
            </w:tcBorders>
            <w:vAlign w:val="center"/>
          </w:tcPr>
          <w:p w14:paraId="5A3BAF05">
            <w:pPr>
              <w:spacing w:line="240" w:lineRule="exac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信息传输业 *</w:t>
            </w:r>
          </w:p>
        </w:tc>
        <w:tc>
          <w:tcPr>
            <w:tcW w:w="1369" w:type="dxa"/>
            <w:tcBorders>
              <w:top w:val="single" w:color="auto" w:sz="4" w:space="0"/>
              <w:left w:val="single" w:color="auto" w:sz="4" w:space="0"/>
              <w:bottom w:val="single" w:color="auto" w:sz="4" w:space="0"/>
              <w:right w:val="single" w:color="auto" w:sz="4" w:space="0"/>
            </w:tcBorders>
            <w:vAlign w:val="center"/>
          </w:tcPr>
          <w:p w14:paraId="5C789831">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709" w:type="dxa"/>
            <w:tcBorders>
              <w:top w:val="single" w:color="auto" w:sz="4" w:space="0"/>
              <w:left w:val="single" w:color="auto" w:sz="4" w:space="0"/>
              <w:bottom w:val="single" w:color="auto" w:sz="4" w:space="0"/>
              <w:right w:val="single" w:color="auto" w:sz="4" w:space="0"/>
            </w:tcBorders>
            <w:vAlign w:val="center"/>
          </w:tcPr>
          <w:p w14:paraId="251ED4A8">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125" w:type="dxa"/>
            <w:tcBorders>
              <w:top w:val="single" w:color="auto" w:sz="4" w:space="0"/>
              <w:left w:val="single" w:color="auto" w:sz="4" w:space="0"/>
              <w:bottom w:val="single" w:color="auto" w:sz="4" w:space="0"/>
              <w:right w:val="single" w:color="auto" w:sz="4" w:space="0"/>
            </w:tcBorders>
            <w:vAlign w:val="center"/>
          </w:tcPr>
          <w:p w14:paraId="6C3FAD85">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X≥2000</w:t>
            </w:r>
          </w:p>
        </w:tc>
        <w:tc>
          <w:tcPr>
            <w:tcW w:w="1701" w:type="dxa"/>
            <w:tcBorders>
              <w:top w:val="single" w:color="auto" w:sz="4" w:space="0"/>
              <w:left w:val="single" w:color="auto" w:sz="4" w:space="0"/>
              <w:bottom w:val="single" w:color="auto" w:sz="4" w:space="0"/>
              <w:right w:val="single" w:color="auto" w:sz="4" w:space="0"/>
            </w:tcBorders>
            <w:vAlign w:val="center"/>
          </w:tcPr>
          <w:p w14:paraId="1382017A">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100≤X＜2000</w:t>
            </w:r>
          </w:p>
        </w:tc>
        <w:tc>
          <w:tcPr>
            <w:tcW w:w="1426" w:type="dxa"/>
            <w:tcBorders>
              <w:top w:val="single" w:color="auto" w:sz="4" w:space="0"/>
              <w:left w:val="single" w:color="auto" w:sz="4" w:space="0"/>
              <w:bottom w:val="single" w:color="auto" w:sz="4" w:space="0"/>
              <w:right w:val="single" w:color="auto" w:sz="4" w:space="0"/>
            </w:tcBorders>
            <w:vAlign w:val="center"/>
          </w:tcPr>
          <w:p w14:paraId="36EEF007">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10≤X＜100</w:t>
            </w:r>
          </w:p>
        </w:tc>
        <w:tc>
          <w:tcPr>
            <w:tcW w:w="1232" w:type="dxa"/>
            <w:tcBorders>
              <w:top w:val="single" w:color="auto" w:sz="4" w:space="0"/>
              <w:left w:val="single" w:color="auto" w:sz="4" w:space="0"/>
              <w:bottom w:val="single" w:color="auto" w:sz="4" w:space="0"/>
              <w:right w:val="single" w:color="auto" w:sz="4" w:space="0"/>
            </w:tcBorders>
            <w:vAlign w:val="center"/>
          </w:tcPr>
          <w:p w14:paraId="31065A72">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w:t>
            </w:r>
          </w:p>
        </w:tc>
      </w:tr>
      <w:tr w14:paraId="66409CE2">
        <w:tblPrEx>
          <w:tblCellMar>
            <w:top w:w="0" w:type="dxa"/>
            <w:left w:w="108" w:type="dxa"/>
            <w:bottom w:w="0" w:type="dxa"/>
            <w:right w:w="108" w:type="dxa"/>
          </w:tblCellMar>
        </w:tblPrEx>
        <w:trPr>
          <w:trHeight w:val="397" w:hRule="exact"/>
          <w:jc w:val="center"/>
        </w:trPr>
        <w:tc>
          <w:tcPr>
            <w:tcW w:w="2113" w:type="dxa"/>
            <w:vMerge w:val="continue"/>
            <w:tcBorders>
              <w:top w:val="single" w:color="auto" w:sz="4" w:space="0"/>
              <w:left w:val="single" w:color="auto" w:sz="4" w:space="0"/>
              <w:bottom w:val="single" w:color="auto" w:sz="4" w:space="0"/>
              <w:right w:val="single" w:color="auto" w:sz="4" w:space="0"/>
            </w:tcBorders>
            <w:vAlign w:val="center"/>
          </w:tcPr>
          <w:p w14:paraId="46E5BF42">
            <w:pPr>
              <w:rPr>
                <w:rFonts w:ascii="宋体" w:hAnsi="宋体" w:cs="宋体"/>
                <w:color w:val="000000" w:themeColor="text1"/>
                <w:sz w:val="18"/>
                <w:szCs w:val="18"/>
                <w:highlight w:val="none"/>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4A1C35D4">
            <w:pPr>
              <w:spacing w:line="240" w:lineRule="exact"/>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709" w:type="dxa"/>
            <w:tcBorders>
              <w:top w:val="single" w:color="auto" w:sz="4" w:space="0"/>
              <w:left w:val="single" w:color="auto" w:sz="4" w:space="0"/>
              <w:bottom w:val="single" w:color="auto" w:sz="4" w:space="0"/>
              <w:right w:val="single" w:color="auto" w:sz="4" w:space="0"/>
            </w:tcBorders>
            <w:vAlign w:val="center"/>
          </w:tcPr>
          <w:p w14:paraId="42659556">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125" w:type="dxa"/>
            <w:tcBorders>
              <w:top w:val="single" w:color="auto" w:sz="4" w:space="0"/>
              <w:left w:val="single" w:color="auto" w:sz="4" w:space="0"/>
              <w:bottom w:val="single" w:color="auto" w:sz="4" w:space="0"/>
              <w:right w:val="single" w:color="auto" w:sz="4" w:space="0"/>
            </w:tcBorders>
            <w:vAlign w:val="center"/>
          </w:tcPr>
          <w:p w14:paraId="44E54F6A">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Y≥100000</w:t>
            </w:r>
          </w:p>
        </w:tc>
        <w:tc>
          <w:tcPr>
            <w:tcW w:w="1701" w:type="dxa"/>
            <w:tcBorders>
              <w:top w:val="single" w:color="auto" w:sz="4" w:space="0"/>
              <w:left w:val="single" w:color="auto" w:sz="4" w:space="0"/>
              <w:bottom w:val="single" w:color="auto" w:sz="4" w:space="0"/>
              <w:right w:val="single" w:color="auto" w:sz="4" w:space="0"/>
            </w:tcBorders>
            <w:vAlign w:val="center"/>
          </w:tcPr>
          <w:p w14:paraId="530225BF">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1000≤Y＜100000</w:t>
            </w:r>
          </w:p>
        </w:tc>
        <w:tc>
          <w:tcPr>
            <w:tcW w:w="1426" w:type="dxa"/>
            <w:tcBorders>
              <w:top w:val="single" w:color="auto" w:sz="4" w:space="0"/>
              <w:left w:val="single" w:color="auto" w:sz="4" w:space="0"/>
              <w:bottom w:val="single" w:color="auto" w:sz="4" w:space="0"/>
              <w:right w:val="single" w:color="auto" w:sz="4" w:space="0"/>
            </w:tcBorders>
            <w:vAlign w:val="center"/>
          </w:tcPr>
          <w:p w14:paraId="430C75ED">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100≤Y＜1000</w:t>
            </w:r>
          </w:p>
        </w:tc>
        <w:tc>
          <w:tcPr>
            <w:tcW w:w="1232" w:type="dxa"/>
            <w:tcBorders>
              <w:top w:val="single" w:color="auto" w:sz="4" w:space="0"/>
              <w:left w:val="single" w:color="auto" w:sz="4" w:space="0"/>
              <w:bottom w:val="single" w:color="auto" w:sz="4" w:space="0"/>
              <w:right w:val="single" w:color="auto" w:sz="4" w:space="0"/>
            </w:tcBorders>
            <w:vAlign w:val="center"/>
          </w:tcPr>
          <w:p w14:paraId="22D7CBA2">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w:t>
            </w:r>
          </w:p>
        </w:tc>
      </w:tr>
      <w:tr w14:paraId="681C03AB">
        <w:tblPrEx>
          <w:tblCellMar>
            <w:top w:w="0" w:type="dxa"/>
            <w:left w:w="108" w:type="dxa"/>
            <w:bottom w:w="0" w:type="dxa"/>
            <w:right w:w="108" w:type="dxa"/>
          </w:tblCellMar>
        </w:tblPrEx>
        <w:trPr>
          <w:trHeight w:val="340" w:hRule="exact"/>
          <w:jc w:val="center"/>
        </w:trPr>
        <w:tc>
          <w:tcPr>
            <w:tcW w:w="2113" w:type="dxa"/>
            <w:vMerge w:val="restart"/>
            <w:tcBorders>
              <w:top w:val="single" w:color="auto" w:sz="4" w:space="0"/>
              <w:left w:val="single" w:color="auto" w:sz="4" w:space="0"/>
              <w:bottom w:val="single" w:color="auto" w:sz="4" w:space="0"/>
              <w:right w:val="single" w:color="auto" w:sz="4" w:space="0"/>
            </w:tcBorders>
            <w:vAlign w:val="center"/>
          </w:tcPr>
          <w:p w14:paraId="2BFF7181">
            <w:pPr>
              <w:spacing w:line="240" w:lineRule="exact"/>
              <w:rPr>
                <w:rFonts w:ascii="宋体" w:hAnsi="宋体" w:cs="宋体"/>
                <w:color w:val="000000" w:themeColor="text1"/>
                <w:spacing w:val="-12"/>
                <w:sz w:val="18"/>
                <w:szCs w:val="18"/>
                <w:highlight w:val="none"/>
                <w14:textFill>
                  <w14:solidFill>
                    <w14:schemeClr w14:val="tx1"/>
                  </w14:solidFill>
                </w14:textFill>
              </w:rPr>
            </w:pPr>
            <w:r>
              <w:rPr>
                <w:rFonts w:hint="eastAsia" w:ascii="宋体" w:hAnsi="宋体" w:cs="宋体"/>
                <w:color w:val="000000" w:themeColor="text1"/>
                <w:spacing w:val="-12"/>
                <w:sz w:val="18"/>
                <w:szCs w:val="18"/>
                <w:highlight w:val="none"/>
                <w14:textFill>
                  <w14:solidFill>
                    <w14:schemeClr w14:val="tx1"/>
                  </w14:solidFill>
                </w14:textFill>
              </w:rPr>
              <w:t>软件和信息技术服</w:t>
            </w:r>
            <w:r>
              <w:rPr>
                <w:rFonts w:hint="eastAsia" w:ascii="宋体" w:hAnsi="宋体" w:cs="宋体"/>
                <w:color w:val="000000" w:themeColor="text1"/>
                <w:sz w:val="18"/>
                <w:szCs w:val="18"/>
                <w:highlight w:val="none"/>
                <w14:textFill>
                  <w14:solidFill>
                    <w14:schemeClr w14:val="tx1"/>
                  </w14:solidFill>
                </w14:textFill>
              </w:rPr>
              <w:t>务业</w:t>
            </w:r>
          </w:p>
        </w:tc>
        <w:tc>
          <w:tcPr>
            <w:tcW w:w="1369" w:type="dxa"/>
            <w:tcBorders>
              <w:top w:val="single" w:color="auto" w:sz="4" w:space="0"/>
              <w:left w:val="single" w:color="auto" w:sz="4" w:space="0"/>
              <w:bottom w:val="single" w:color="auto" w:sz="4" w:space="0"/>
              <w:right w:val="single" w:color="auto" w:sz="4" w:space="0"/>
            </w:tcBorders>
            <w:vAlign w:val="center"/>
          </w:tcPr>
          <w:p w14:paraId="739E54FF">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709" w:type="dxa"/>
            <w:tcBorders>
              <w:top w:val="single" w:color="auto" w:sz="4" w:space="0"/>
              <w:left w:val="single" w:color="auto" w:sz="4" w:space="0"/>
              <w:bottom w:val="single" w:color="auto" w:sz="4" w:space="0"/>
              <w:right w:val="single" w:color="auto" w:sz="4" w:space="0"/>
            </w:tcBorders>
            <w:vAlign w:val="center"/>
          </w:tcPr>
          <w:p w14:paraId="78F3C5BA">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125" w:type="dxa"/>
            <w:tcBorders>
              <w:top w:val="single" w:color="auto" w:sz="4" w:space="0"/>
              <w:left w:val="single" w:color="auto" w:sz="4" w:space="0"/>
              <w:bottom w:val="single" w:color="auto" w:sz="4" w:space="0"/>
              <w:right w:val="single" w:color="auto" w:sz="4" w:space="0"/>
            </w:tcBorders>
            <w:vAlign w:val="center"/>
          </w:tcPr>
          <w:p w14:paraId="7838EECE">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X≥300</w:t>
            </w:r>
          </w:p>
        </w:tc>
        <w:tc>
          <w:tcPr>
            <w:tcW w:w="1701" w:type="dxa"/>
            <w:tcBorders>
              <w:top w:val="single" w:color="auto" w:sz="4" w:space="0"/>
              <w:left w:val="single" w:color="auto" w:sz="4" w:space="0"/>
              <w:bottom w:val="single" w:color="auto" w:sz="4" w:space="0"/>
              <w:right w:val="single" w:color="auto" w:sz="4" w:space="0"/>
            </w:tcBorders>
            <w:vAlign w:val="center"/>
          </w:tcPr>
          <w:p w14:paraId="18DA840D">
            <w:pPr>
              <w:ind w:left="-14" w:leftChars="-51" w:hanging="108" w:hangingChars="60"/>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100≤X＜300 </w:t>
            </w:r>
          </w:p>
        </w:tc>
        <w:tc>
          <w:tcPr>
            <w:tcW w:w="1426" w:type="dxa"/>
            <w:tcBorders>
              <w:top w:val="single" w:color="auto" w:sz="4" w:space="0"/>
              <w:left w:val="single" w:color="auto" w:sz="4" w:space="0"/>
              <w:bottom w:val="single" w:color="auto" w:sz="4" w:space="0"/>
              <w:right w:val="single" w:color="auto" w:sz="4" w:space="0"/>
            </w:tcBorders>
            <w:vAlign w:val="center"/>
          </w:tcPr>
          <w:p w14:paraId="686E33C5">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10≤X＜100</w:t>
            </w:r>
          </w:p>
        </w:tc>
        <w:tc>
          <w:tcPr>
            <w:tcW w:w="1232" w:type="dxa"/>
            <w:tcBorders>
              <w:top w:val="single" w:color="auto" w:sz="4" w:space="0"/>
              <w:left w:val="single" w:color="auto" w:sz="4" w:space="0"/>
              <w:bottom w:val="single" w:color="auto" w:sz="4" w:space="0"/>
              <w:right w:val="single" w:color="auto" w:sz="4" w:space="0"/>
            </w:tcBorders>
            <w:vAlign w:val="center"/>
          </w:tcPr>
          <w:p w14:paraId="40BCA619">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w:t>
            </w:r>
          </w:p>
        </w:tc>
      </w:tr>
      <w:tr w14:paraId="26D6B426">
        <w:tblPrEx>
          <w:tblCellMar>
            <w:top w:w="0" w:type="dxa"/>
            <w:left w:w="108" w:type="dxa"/>
            <w:bottom w:w="0" w:type="dxa"/>
            <w:right w:w="108" w:type="dxa"/>
          </w:tblCellMar>
        </w:tblPrEx>
        <w:trPr>
          <w:trHeight w:val="340" w:hRule="exact"/>
          <w:jc w:val="center"/>
        </w:trPr>
        <w:tc>
          <w:tcPr>
            <w:tcW w:w="2113" w:type="dxa"/>
            <w:vMerge w:val="continue"/>
            <w:tcBorders>
              <w:top w:val="single" w:color="auto" w:sz="4" w:space="0"/>
              <w:left w:val="single" w:color="auto" w:sz="4" w:space="0"/>
              <w:bottom w:val="single" w:color="auto" w:sz="4" w:space="0"/>
              <w:right w:val="single" w:color="auto" w:sz="4" w:space="0"/>
            </w:tcBorders>
            <w:vAlign w:val="center"/>
          </w:tcPr>
          <w:p w14:paraId="2392743F">
            <w:pPr>
              <w:rPr>
                <w:rFonts w:ascii="宋体" w:hAnsi="宋体" w:cs="宋体"/>
                <w:color w:val="000000" w:themeColor="text1"/>
                <w:spacing w:val="-12"/>
                <w:sz w:val="18"/>
                <w:szCs w:val="18"/>
                <w:highlight w:val="none"/>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14259E07">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709" w:type="dxa"/>
            <w:tcBorders>
              <w:top w:val="single" w:color="auto" w:sz="4" w:space="0"/>
              <w:left w:val="single" w:color="auto" w:sz="4" w:space="0"/>
              <w:bottom w:val="single" w:color="auto" w:sz="4" w:space="0"/>
              <w:right w:val="single" w:color="auto" w:sz="4" w:space="0"/>
            </w:tcBorders>
            <w:vAlign w:val="center"/>
          </w:tcPr>
          <w:p w14:paraId="77B4905B">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125" w:type="dxa"/>
            <w:tcBorders>
              <w:top w:val="single" w:color="auto" w:sz="4" w:space="0"/>
              <w:left w:val="single" w:color="auto" w:sz="4" w:space="0"/>
              <w:bottom w:val="single" w:color="auto" w:sz="4" w:space="0"/>
              <w:right w:val="single" w:color="auto" w:sz="4" w:space="0"/>
            </w:tcBorders>
            <w:vAlign w:val="center"/>
          </w:tcPr>
          <w:p w14:paraId="17E2289B">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Y≥10000</w:t>
            </w:r>
          </w:p>
        </w:tc>
        <w:tc>
          <w:tcPr>
            <w:tcW w:w="1701" w:type="dxa"/>
            <w:tcBorders>
              <w:top w:val="single" w:color="auto" w:sz="4" w:space="0"/>
              <w:left w:val="single" w:color="auto" w:sz="4" w:space="0"/>
              <w:bottom w:val="single" w:color="auto" w:sz="4" w:space="0"/>
              <w:right w:val="single" w:color="auto" w:sz="4" w:space="0"/>
            </w:tcBorders>
            <w:vAlign w:val="center"/>
          </w:tcPr>
          <w:p w14:paraId="1D514345">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1000≤Y＜10000</w:t>
            </w:r>
          </w:p>
        </w:tc>
        <w:tc>
          <w:tcPr>
            <w:tcW w:w="1426" w:type="dxa"/>
            <w:tcBorders>
              <w:top w:val="single" w:color="auto" w:sz="4" w:space="0"/>
              <w:left w:val="single" w:color="auto" w:sz="4" w:space="0"/>
              <w:bottom w:val="single" w:color="auto" w:sz="4" w:space="0"/>
              <w:right w:val="single" w:color="auto" w:sz="4" w:space="0"/>
            </w:tcBorders>
            <w:vAlign w:val="center"/>
          </w:tcPr>
          <w:p w14:paraId="20D6B7E9">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50≤Y＜1000</w:t>
            </w:r>
          </w:p>
        </w:tc>
        <w:tc>
          <w:tcPr>
            <w:tcW w:w="1232" w:type="dxa"/>
            <w:tcBorders>
              <w:top w:val="single" w:color="auto" w:sz="4" w:space="0"/>
              <w:left w:val="single" w:color="auto" w:sz="4" w:space="0"/>
              <w:bottom w:val="single" w:color="auto" w:sz="4" w:space="0"/>
              <w:right w:val="single" w:color="auto" w:sz="4" w:space="0"/>
            </w:tcBorders>
            <w:vAlign w:val="center"/>
          </w:tcPr>
          <w:p w14:paraId="7589616E">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Y＜50</w:t>
            </w:r>
          </w:p>
        </w:tc>
      </w:tr>
      <w:tr w14:paraId="702BE3F1">
        <w:tblPrEx>
          <w:tblCellMar>
            <w:top w:w="0" w:type="dxa"/>
            <w:left w:w="108" w:type="dxa"/>
            <w:bottom w:w="0" w:type="dxa"/>
            <w:right w:w="108" w:type="dxa"/>
          </w:tblCellMar>
        </w:tblPrEx>
        <w:trPr>
          <w:trHeight w:val="340" w:hRule="exact"/>
          <w:jc w:val="center"/>
        </w:trPr>
        <w:tc>
          <w:tcPr>
            <w:tcW w:w="2113" w:type="dxa"/>
            <w:vMerge w:val="restart"/>
            <w:tcBorders>
              <w:top w:val="single" w:color="auto" w:sz="4" w:space="0"/>
              <w:left w:val="single" w:color="auto" w:sz="4" w:space="0"/>
              <w:bottom w:val="single" w:color="auto" w:sz="4" w:space="0"/>
              <w:right w:val="single" w:color="auto" w:sz="4" w:space="0"/>
            </w:tcBorders>
            <w:vAlign w:val="center"/>
          </w:tcPr>
          <w:p w14:paraId="2D8EDC8C">
            <w:pPr>
              <w:spacing w:line="240" w:lineRule="exac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房地产开发经营</w:t>
            </w:r>
          </w:p>
        </w:tc>
        <w:tc>
          <w:tcPr>
            <w:tcW w:w="1369" w:type="dxa"/>
            <w:tcBorders>
              <w:top w:val="single" w:color="auto" w:sz="4" w:space="0"/>
              <w:left w:val="single" w:color="auto" w:sz="4" w:space="0"/>
              <w:bottom w:val="single" w:color="auto" w:sz="4" w:space="0"/>
              <w:right w:val="single" w:color="auto" w:sz="4" w:space="0"/>
            </w:tcBorders>
            <w:vAlign w:val="center"/>
          </w:tcPr>
          <w:p w14:paraId="69FE4557">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709" w:type="dxa"/>
            <w:tcBorders>
              <w:top w:val="single" w:color="auto" w:sz="4" w:space="0"/>
              <w:left w:val="single" w:color="auto" w:sz="4" w:space="0"/>
              <w:bottom w:val="single" w:color="auto" w:sz="4" w:space="0"/>
              <w:right w:val="single" w:color="auto" w:sz="4" w:space="0"/>
            </w:tcBorders>
            <w:vAlign w:val="center"/>
          </w:tcPr>
          <w:p w14:paraId="0369728B">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125" w:type="dxa"/>
            <w:tcBorders>
              <w:top w:val="single" w:color="auto" w:sz="4" w:space="0"/>
              <w:left w:val="single" w:color="auto" w:sz="4" w:space="0"/>
              <w:bottom w:val="single" w:color="auto" w:sz="4" w:space="0"/>
              <w:right w:val="single" w:color="auto" w:sz="4" w:space="0"/>
            </w:tcBorders>
            <w:vAlign w:val="center"/>
          </w:tcPr>
          <w:p w14:paraId="3980F19B">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Y≥200000</w:t>
            </w:r>
          </w:p>
        </w:tc>
        <w:tc>
          <w:tcPr>
            <w:tcW w:w="1701" w:type="dxa"/>
            <w:tcBorders>
              <w:top w:val="single" w:color="auto" w:sz="4" w:space="0"/>
              <w:left w:val="single" w:color="auto" w:sz="4" w:space="0"/>
              <w:bottom w:val="single" w:color="auto" w:sz="4" w:space="0"/>
              <w:right w:val="single" w:color="auto" w:sz="4" w:space="0"/>
            </w:tcBorders>
            <w:vAlign w:val="center"/>
          </w:tcPr>
          <w:p w14:paraId="656E9457">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1000≤Y＜200000</w:t>
            </w:r>
          </w:p>
        </w:tc>
        <w:tc>
          <w:tcPr>
            <w:tcW w:w="1426" w:type="dxa"/>
            <w:tcBorders>
              <w:top w:val="single" w:color="auto" w:sz="4" w:space="0"/>
              <w:left w:val="single" w:color="auto" w:sz="4" w:space="0"/>
              <w:bottom w:val="single" w:color="auto" w:sz="4" w:space="0"/>
              <w:right w:val="single" w:color="auto" w:sz="4" w:space="0"/>
            </w:tcBorders>
            <w:vAlign w:val="center"/>
          </w:tcPr>
          <w:p w14:paraId="2AB9618C">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100≤Y＜1000</w:t>
            </w:r>
          </w:p>
        </w:tc>
        <w:tc>
          <w:tcPr>
            <w:tcW w:w="1232" w:type="dxa"/>
            <w:tcBorders>
              <w:top w:val="single" w:color="auto" w:sz="4" w:space="0"/>
              <w:left w:val="single" w:color="auto" w:sz="4" w:space="0"/>
              <w:bottom w:val="single" w:color="auto" w:sz="4" w:space="0"/>
              <w:right w:val="single" w:color="auto" w:sz="4" w:space="0"/>
            </w:tcBorders>
            <w:vAlign w:val="center"/>
          </w:tcPr>
          <w:p w14:paraId="418011ED">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Y＜100</w:t>
            </w:r>
          </w:p>
        </w:tc>
      </w:tr>
      <w:tr w14:paraId="44DA80A2">
        <w:tblPrEx>
          <w:tblCellMar>
            <w:top w:w="0" w:type="dxa"/>
            <w:left w:w="108" w:type="dxa"/>
            <w:bottom w:w="0" w:type="dxa"/>
            <w:right w:w="108" w:type="dxa"/>
          </w:tblCellMar>
        </w:tblPrEx>
        <w:trPr>
          <w:trHeight w:val="340" w:hRule="exact"/>
          <w:jc w:val="center"/>
        </w:trPr>
        <w:tc>
          <w:tcPr>
            <w:tcW w:w="2113" w:type="dxa"/>
            <w:vMerge w:val="continue"/>
            <w:tcBorders>
              <w:top w:val="single" w:color="auto" w:sz="4" w:space="0"/>
              <w:left w:val="single" w:color="auto" w:sz="4" w:space="0"/>
              <w:bottom w:val="single" w:color="auto" w:sz="4" w:space="0"/>
              <w:right w:val="single" w:color="auto" w:sz="4" w:space="0"/>
            </w:tcBorders>
            <w:vAlign w:val="center"/>
          </w:tcPr>
          <w:p w14:paraId="45D316B9">
            <w:pPr>
              <w:rPr>
                <w:rFonts w:ascii="宋体" w:hAnsi="宋体" w:cs="宋体"/>
                <w:color w:val="000000" w:themeColor="text1"/>
                <w:sz w:val="18"/>
                <w:szCs w:val="18"/>
                <w:highlight w:val="none"/>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3139125C">
            <w:pPr>
              <w:spacing w:line="240" w:lineRule="exact"/>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资产总额(Z)</w:t>
            </w:r>
          </w:p>
        </w:tc>
        <w:tc>
          <w:tcPr>
            <w:tcW w:w="709" w:type="dxa"/>
            <w:tcBorders>
              <w:top w:val="single" w:color="auto" w:sz="4" w:space="0"/>
              <w:left w:val="single" w:color="auto" w:sz="4" w:space="0"/>
              <w:bottom w:val="single" w:color="auto" w:sz="4" w:space="0"/>
              <w:right w:val="single" w:color="auto" w:sz="4" w:space="0"/>
            </w:tcBorders>
            <w:vAlign w:val="center"/>
          </w:tcPr>
          <w:p w14:paraId="027F29F3">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125" w:type="dxa"/>
            <w:tcBorders>
              <w:top w:val="single" w:color="auto" w:sz="4" w:space="0"/>
              <w:left w:val="single" w:color="auto" w:sz="4" w:space="0"/>
              <w:bottom w:val="single" w:color="auto" w:sz="4" w:space="0"/>
              <w:right w:val="single" w:color="auto" w:sz="4" w:space="0"/>
            </w:tcBorders>
            <w:vAlign w:val="center"/>
          </w:tcPr>
          <w:p w14:paraId="0A4AC9FC">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Z≥10000</w:t>
            </w:r>
          </w:p>
        </w:tc>
        <w:tc>
          <w:tcPr>
            <w:tcW w:w="1701" w:type="dxa"/>
            <w:tcBorders>
              <w:top w:val="single" w:color="auto" w:sz="4" w:space="0"/>
              <w:left w:val="single" w:color="auto" w:sz="4" w:space="0"/>
              <w:bottom w:val="single" w:color="auto" w:sz="4" w:space="0"/>
              <w:right w:val="single" w:color="auto" w:sz="4" w:space="0"/>
            </w:tcBorders>
            <w:vAlign w:val="center"/>
          </w:tcPr>
          <w:p w14:paraId="6C8C211D">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5000≤Z＜10000</w:t>
            </w:r>
          </w:p>
        </w:tc>
        <w:tc>
          <w:tcPr>
            <w:tcW w:w="1426" w:type="dxa"/>
            <w:tcBorders>
              <w:top w:val="single" w:color="auto" w:sz="4" w:space="0"/>
              <w:left w:val="single" w:color="auto" w:sz="4" w:space="0"/>
              <w:bottom w:val="single" w:color="auto" w:sz="4" w:space="0"/>
              <w:right w:val="single" w:color="auto" w:sz="4" w:space="0"/>
            </w:tcBorders>
            <w:vAlign w:val="center"/>
          </w:tcPr>
          <w:p w14:paraId="6E43B85D">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2000≤Z＜5000   </w:t>
            </w:r>
          </w:p>
        </w:tc>
        <w:tc>
          <w:tcPr>
            <w:tcW w:w="1232" w:type="dxa"/>
            <w:tcBorders>
              <w:top w:val="single" w:color="auto" w:sz="4" w:space="0"/>
              <w:left w:val="single" w:color="auto" w:sz="4" w:space="0"/>
              <w:bottom w:val="single" w:color="auto" w:sz="4" w:space="0"/>
              <w:right w:val="single" w:color="auto" w:sz="4" w:space="0"/>
            </w:tcBorders>
            <w:vAlign w:val="center"/>
          </w:tcPr>
          <w:p w14:paraId="32218053">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Z＜2000</w:t>
            </w:r>
          </w:p>
        </w:tc>
      </w:tr>
      <w:tr w14:paraId="113BBA0B">
        <w:tblPrEx>
          <w:tblCellMar>
            <w:top w:w="0" w:type="dxa"/>
            <w:left w:w="108" w:type="dxa"/>
            <w:bottom w:w="0" w:type="dxa"/>
            <w:right w:w="108" w:type="dxa"/>
          </w:tblCellMar>
        </w:tblPrEx>
        <w:trPr>
          <w:trHeight w:val="340" w:hRule="exact"/>
          <w:jc w:val="center"/>
        </w:trPr>
        <w:tc>
          <w:tcPr>
            <w:tcW w:w="2113" w:type="dxa"/>
            <w:vMerge w:val="restart"/>
            <w:tcBorders>
              <w:top w:val="single" w:color="auto" w:sz="4" w:space="0"/>
              <w:left w:val="single" w:color="auto" w:sz="4" w:space="0"/>
              <w:bottom w:val="single" w:color="auto" w:sz="4" w:space="0"/>
              <w:right w:val="single" w:color="auto" w:sz="4" w:space="0"/>
            </w:tcBorders>
            <w:vAlign w:val="center"/>
          </w:tcPr>
          <w:p w14:paraId="29ECB878">
            <w:pPr>
              <w:spacing w:line="240" w:lineRule="exac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物业管理</w:t>
            </w:r>
          </w:p>
        </w:tc>
        <w:tc>
          <w:tcPr>
            <w:tcW w:w="1369" w:type="dxa"/>
            <w:tcBorders>
              <w:top w:val="single" w:color="auto" w:sz="4" w:space="0"/>
              <w:left w:val="single" w:color="auto" w:sz="4" w:space="0"/>
              <w:bottom w:val="single" w:color="auto" w:sz="4" w:space="0"/>
              <w:right w:val="single" w:color="auto" w:sz="4" w:space="0"/>
            </w:tcBorders>
            <w:vAlign w:val="center"/>
          </w:tcPr>
          <w:p w14:paraId="23AB9390">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709" w:type="dxa"/>
            <w:tcBorders>
              <w:top w:val="single" w:color="auto" w:sz="4" w:space="0"/>
              <w:left w:val="single" w:color="auto" w:sz="4" w:space="0"/>
              <w:bottom w:val="single" w:color="auto" w:sz="4" w:space="0"/>
              <w:right w:val="single" w:color="auto" w:sz="4" w:space="0"/>
            </w:tcBorders>
            <w:vAlign w:val="center"/>
          </w:tcPr>
          <w:p w14:paraId="56212637">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125" w:type="dxa"/>
            <w:tcBorders>
              <w:top w:val="single" w:color="auto" w:sz="4" w:space="0"/>
              <w:left w:val="single" w:color="auto" w:sz="4" w:space="0"/>
              <w:bottom w:val="single" w:color="auto" w:sz="4" w:space="0"/>
              <w:right w:val="single" w:color="auto" w:sz="4" w:space="0"/>
            </w:tcBorders>
            <w:vAlign w:val="center"/>
          </w:tcPr>
          <w:p w14:paraId="67F2E5E6">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X≥1000</w:t>
            </w:r>
          </w:p>
        </w:tc>
        <w:tc>
          <w:tcPr>
            <w:tcW w:w="1701" w:type="dxa"/>
            <w:tcBorders>
              <w:top w:val="single" w:color="auto" w:sz="4" w:space="0"/>
              <w:left w:val="single" w:color="auto" w:sz="4" w:space="0"/>
              <w:bottom w:val="single" w:color="auto" w:sz="4" w:space="0"/>
              <w:right w:val="single" w:color="auto" w:sz="4" w:space="0"/>
            </w:tcBorders>
            <w:vAlign w:val="center"/>
          </w:tcPr>
          <w:p w14:paraId="7DB274B7">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300≤X＜1000</w:t>
            </w:r>
          </w:p>
        </w:tc>
        <w:tc>
          <w:tcPr>
            <w:tcW w:w="1426" w:type="dxa"/>
            <w:tcBorders>
              <w:top w:val="single" w:color="auto" w:sz="4" w:space="0"/>
              <w:left w:val="single" w:color="auto" w:sz="4" w:space="0"/>
              <w:bottom w:val="single" w:color="auto" w:sz="4" w:space="0"/>
              <w:right w:val="single" w:color="auto" w:sz="4" w:space="0"/>
            </w:tcBorders>
            <w:vAlign w:val="center"/>
          </w:tcPr>
          <w:p w14:paraId="4E97351E">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100≤X＜300 </w:t>
            </w:r>
          </w:p>
        </w:tc>
        <w:tc>
          <w:tcPr>
            <w:tcW w:w="1232" w:type="dxa"/>
            <w:tcBorders>
              <w:top w:val="single" w:color="auto" w:sz="4" w:space="0"/>
              <w:left w:val="single" w:color="auto" w:sz="4" w:space="0"/>
              <w:bottom w:val="single" w:color="auto" w:sz="4" w:space="0"/>
              <w:right w:val="single" w:color="auto" w:sz="4" w:space="0"/>
            </w:tcBorders>
            <w:vAlign w:val="center"/>
          </w:tcPr>
          <w:p w14:paraId="77DD9C3C">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X＜100</w:t>
            </w:r>
          </w:p>
        </w:tc>
      </w:tr>
      <w:tr w14:paraId="30D96D6E">
        <w:tblPrEx>
          <w:tblCellMar>
            <w:top w:w="0" w:type="dxa"/>
            <w:left w:w="108" w:type="dxa"/>
            <w:bottom w:w="0" w:type="dxa"/>
            <w:right w:w="108" w:type="dxa"/>
          </w:tblCellMar>
        </w:tblPrEx>
        <w:trPr>
          <w:trHeight w:val="340" w:hRule="exact"/>
          <w:jc w:val="center"/>
        </w:trPr>
        <w:tc>
          <w:tcPr>
            <w:tcW w:w="2113" w:type="dxa"/>
            <w:vMerge w:val="continue"/>
            <w:tcBorders>
              <w:top w:val="single" w:color="auto" w:sz="4" w:space="0"/>
              <w:left w:val="single" w:color="auto" w:sz="4" w:space="0"/>
              <w:bottom w:val="single" w:color="auto" w:sz="4" w:space="0"/>
              <w:right w:val="single" w:color="auto" w:sz="4" w:space="0"/>
            </w:tcBorders>
            <w:vAlign w:val="center"/>
          </w:tcPr>
          <w:p w14:paraId="721BA460">
            <w:pPr>
              <w:rPr>
                <w:rFonts w:ascii="宋体" w:hAnsi="宋体" w:cs="宋体"/>
                <w:color w:val="000000" w:themeColor="text1"/>
                <w:sz w:val="18"/>
                <w:szCs w:val="18"/>
                <w:highlight w:val="none"/>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29BAAF51">
            <w:pPr>
              <w:spacing w:line="240" w:lineRule="exact"/>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营业收入(Y)</w:t>
            </w:r>
          </w:p>
        </w:tc>
        <w:tc>
          <w:tcPr>
            <w:tcW w:w="709" w:type="dxa"/>
            <w:tcBorders>
              <w:top w:val="single" w:color="auto" w:sz="4" w:space="0"/>
              <w:left w:val="single" w:color="auto" w:sz="4" w:space="0"/>
              <w:bottom w:val="single" w:color="auto" w:sz="4" w:space="0"/>
              <w:right w:val="single" w:color="auto" w:sz="4" w:space="0"/>
            </w:tcBorders>
            <w:vAlign w:val="center"/>
          </w:tcPr>
          <w:p w14:paraId="496EE0DF">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125" w:type="dxa"/>
            <w:tcBorders>
              <w:top w:val="single" w:color="auto" w:sz="4" w:space="0"/>
              <w:left w:val="single" w:color="auto" w:sz="4" w:space="0"/>
              <w:bottom w:val="single" w:color="auto" w:sz="4" w:space="0"/>
              <w:right w:val="single" w:color="auto" w:sz="4" w:space="0"/>
            </w:tcBorders>
            <w:vAlign w:val="center"/>
          </w:tcPr>
          <w:p w14:paraId="20D638BD">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Y≥5000</w:t>
            </w:r>
          </w:p>
        </w:tc>
        <w:tc>
          <w:tcPr>
            <w:tcW w:w="1701" w:type="dxa"/>
            <w:tcBorders>
              <w:top w:val="single" w:color="auto" w:sz="4" w:space="0"/>
              <w:left w:val="single" w:color="auto" w:sz="4" w:space="0"/>
              <w:bottom w:val="single" w:color="auto" w:sz="4" w:space="0"/>
              <w:right w:val="single" w:color="auto" w:sz="4" w:space="0"/>
            </w:tcBorders>
            <w:vAlign w:val="center"/>
          </w:tcPr>
          <w:p w14:paraId="2496629F">
            <w:pPr>
              <w:ind w:left="-14" w:leftChars="-51" w:hanging="108" w:hangingChars="60"/>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1000≤Y＜5000 </w:t>
            </w:r>
          </w:p>
        </w:tc>
        <w:tc>
          <w:tcPr>
            <w:tcW w:w="1426" w:type="dxa"/>
            <w:tcBorders>
              <w:top w:val="single" w:color="auto" w:sz="4" w:space="0"/>
              <w:left w:val="single" w:color="auto" w:sz="4" w:space="0"/>
              <w:bottom w:val="single" w:color="auto" w:sz="4" w:space="0"/>
              <w:right w:val="single" w:color="auto" w:sz="4" w:space="0"/>
            </w:tcBorders>
            <w:vAlign w:val="center"/>
          </w:tcPr>
          <w:p w14:paraId="68FC3FA6">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500≤Y＜1000</w:t>
            </w:r>
          </w:p>
        </w:tc>
        <w:tc>
          <w:tcPr>
            <w:tcW w:w="1232" w:type="dxa"/>
            <w:tcBorders>
              <w:top w:val="single" w:color="auto" w:sz="4" w:space="0"/>
              <w:left w:val="single" w:color="auto" w:sz="4" w:space="0"/>
              <w:bottom w:val="single" w:color="auto" w:sz="4" w:space="0"/>
              <w:right w:val="single" w:color="auto" w:sz="4" w:space="0"/>
            </w:tcBorders>
            <w:vAlign w:val="center"/>
          </w:tcPr>
          <w:p w14:paraId="45491F64">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Y＜500</w:t>
            </w:r>
          </w:p>
        </w:tc>
      </w:tr>
      <w:tr w14:paraId="1A1EB097">
        <w:tblPrEx>
          <w:tblCellMar>
            <w:top w:w="0" w:type="dxa"/>
            <w:left w:w="108" w:type="dxa"/>
            <w:bottom w:w="0" w:type="dxa"/>
            <w:right w:w="108" w:type="dxa"/>
          </w:tblCellMar>
        </w:tblPrEx>
        <w:trPr>
          <w:trHeight w:val="340" w:hRule="exact"/>
          <w:jc w:val="center"/>
        </w:trPr>
        <w:tc>
          <w:tcPr>
            <w:tcW w:w="2113" w:type="dxa"/>
            <w:vMerge w:val="restart"/>
            <w:tcBorders>
              <w:top w:val="single" w:color="auto" w:sz="4" w:space="0"/>
              <w:left w:val="single" w:color="auto" w:sz="4" w:space="0"/>
              <w:bottom w:val="single" w:color="auto" w:sz="4" w:space="0"/>
              <w:right w:val="single" w:color="auto" w:sz="4" w:space="0"/>
            </w:tcBorders>
            <w:vAlign w:val="center"/>
          </w:tcPr>
          <w:p w14:paraId="2B719237">
            <w:pPr>
              <w:spacing w:line="240" w:lineRule="exac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租赁和商务服务业</w:t>
            </w:r>
          </w:p>
        </w:tc>
        <w:tc>
          <w:tcPr>
            <w:tcW w:w="1369" w:type="dxa"/>
            <w:tcBorders>
              <w:top w:val="single" w:color="auto" w:sz="4" w:space="0"/>
              <w:left w:val="single" w:color="auto" w:sz="4" w:space="0"/>
              <w:bottom w:val="single" w:color="auto" w:sz="4" w:space="0"/>
              <w:right w:val="single" w:color="auto" w:sz="4" w:space="0"/>
            </w:tcBorders>
            <w:vAlign w:val="center"/>
          </w:tcPr>
          <w:p w14:paraId="34F95959">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709" w:type="dxa"/>
            <w:tcBorders>
              <w:top w:val="single" w:color="auto" w:sz="4" w:space="0"/>
              <w:left w:val="single" w:color="auto" w:sz="4" w:space="0"/>
              <w:bottom w:val="single" w:color="auto" w:sz="4" w:space="0"/>
              <w:right w:val="single" w:color="auto" w:sz="4" w:space="0"/>
            </w:tcBorders>
            <w:vAlign w:val="center"/>
          </w:tcPr>
          <w:p w14:paraId="27E42AC5">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125" w:type="dxa"/>
            <w:tcBorders>
              <w:top w:val="single" w:color="auto" w:sz="4" w:space="0"/>
              <w:left w:val="single" w:color="auto" w:sz="4" w:space="0"/>
              <w:bottom w:val="single" w:color="auto" w:sz="4" w:space="0"/>
              <w:right w:val="single" w:color="auto" w:sz="4" w:space="0"/>
            </w:tcBorders>
            <w:vAlign w:val="center"/>
          </w:tcPr>
          <w:p w14:paraId="57E1AF3D">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X≥300</w:t>
            </w:r>
          </w:p>
        </w:tc>
        <w:tc>
          <w:tcPr>
            <w:tcW w:w="1701" w:type="dxa"/>
            <w:tcBorders>
              <w:top w:val="single" w:color="auto" w:sz="4" w:space="0"/>
              <w:left w:val="single" w:color="auto" w:sz="4" w:space="0"/>
              <w:bottom w:val="single" w:color="auto" w:sz="4" w:space="0"/>
              <w:right w:val="single" w:color="auto" w:sz="4" w:space="0"/>
            </w:tcBorders>
            <w:vAlign w:val="center"/>
          </w:tcPr>
          <w:p w14:paraId="1ABB7814">
            <w:pPr>
              <w:ind w:left="-14" w:leftChars="-51" w:hanging="108" w:hangingChars="60"/>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100≤X＜300 </w:t>
            </w:r>
          </w:p>
        </w:tc>
        <w:tc>
          <w:tcPr>
            <w:tcW w:w="1426" w:type="dxa"/>
            <w:tcBorders>
              <w:top w:val="single" w:color="auto" w:sz="4" w:space="0"/>
              <w:left w:val="single" w:color="auto" w:sz="4" w:space="0"/>
              <w:bottom w:val="single" w:color="auto" w:sz="4" w:space="0"/>
              <w:right w:val="single" w:color="auto" w:sz="4" w:space="0"/>
            </w:tcBorders>
            <w:vAlign w:val="center"/>
          </w:tcPr>
          <w:p w14:paraId="177EE06F">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10≤X＜100</w:t>
            </w:r>
          </w:p>
        </w:tc>
        <w:tc>
          <w:tcPr>
            <w:tcW w:w="1232" w:type="dxa"/>
            <w:tcBorders>
              <w:top w:val="single" w:color="auto" w:sz="4" w:space="0"/>
              <w:left w:val="single" w:color="auto" w:sz="4" w:space="0"/>
              <w:bottom w:val="single" w:color="auto" w:sz="4" w:space="0"/>
              <w:right w:val="single" w:color="auto" w:sz="4" w:space="0"/>
            </w:tcBorders>
            <w:vAlign w:val="center"/>
          </w:tcPr>
          <w:p w14:paraId="08CA5416">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w:t>
            </w:r>
          </w:p>
        </w:tc>
      </w:tr>
      <w:tr w14:paraId="25560A06">
        <w:tblPrEx>
          <w:tblCellMar>
            <w:top w:w="0" w:type="dxa"/>
            <w:left w:w="108" w:type="dxa"/>
            <w:bottom w:w="0" w:type="dxa"/>
            <w:right w:w="108" w:type="dxa"/>
          </w:tblCellMar>
        </w:tblPrEx>
        <w:trPr>
          <w:trHeight w:val="340" w:hRule="exact"/>
          <w:jc w:val="center"/>
        </w:trPr>
        <w:tc>
          <w:tcPr>
            <w:tcW w:w="2113" w:type="dxa"/>
            <w:vMerge w:val="continue"/>
            <w:tcBorders>
              <w:top w:val="single" w:color="auto" w:sz="4" w:space="0"/>
              <w:left w:val="single" w:color="auto" w:sz="4" w:space="0"/>
              <w:bottom w:val="single" w:color="auto" w:sz="4" w:space="0"/>
              <w:right w:val="single" w:color="auto" w:sz="4" w:space="0"/>
            </w:tcBorders>
            <w:vAlign w:val="center"/>
          </w:tcPr>
          <w:p w14:paraId="5C925742">
            <w:pPr>
              <w:rPr>
                <w:rFonts w:ascii="宋体" w:hAnsi="宋体" w:cs="宋体"/>
                <w:color w:val="000000" w:themeColor="text1"/>
                <w:sz w:val="18"/>
                <w:szCs w:val="18"/>
                <w:highlight w:val="none"/>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14:paraId="09FE0A5E">
            <w:pPr>
              <w:spacing w:line="240" w:lineRule="exact"/>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资产总额(Z)</w:t>
            </w:r>
          </w:p>
        </w:tc>
        <w:tc>
          <w:tcPr>
            <w:tcW w:w="709" w:type="dxa"/>
            <w:tcBorders>
              <w:top w:val="single" w:color="auto" w:sz="4" w:space="0"/>
              <w:left w:val="single" w:color="auto" w:sz="4" w:space="0"/>
              <w:bottom w:val="single" w:color="auto" w:sz="4" w:space="0"/>
              <w:right w:val="single" w:color="auto" w:sz="4" w:space="0"/>
            </w:tcBorders>
            <w:vAlign w:val="center"/>
          </w:tcPr>
          <w:p w14:paraId="000EEB71">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万元</w:t>
            </w:r>
          </w:p>
        </w:tc>
        <w:tc>
          <w:tcPr>
            <w:tcW w:w="1125" w:type="dxa"/>
            <w:tcBorders>
              <w:top w:val="single" w:color="auto" w:sz="4" w:space="0"/>
              <w:left w:val="single" w:color="auto" w:sz="4" w:space="0"/>
              <w:bottom w:val="single" w:color="auto" w:sz="4" w:space="0"/>
              <w:right w:val="single" w:color="auto" w:sz="4" w:space="0"/>
            </w:tcBorders>
            <w:vAlign w:val="center"/>
          </w:tcPr>
          <w:p w14:paraId="402F8D5B">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Z≥120000</w:t>
            </w:r>
          </w:p>
        </w:tc>
        <w:tc>
          <w:tcPr>
            <w:tcW w:w="1701" w:type="dxa"/>
            <w:tcBorders>
              <w:top w:val="single" w:color="auto" w:sz="4" w:space="0"/>
              <w:left w:val="single" w:color="auto" w:sz="4" w:space="0"/>
              <w:bottom w:val="single" w:color="auto" w:sz="4" w:space="0"/>
              <w:right w:val="single" w:color="auto" w:sz="4" w:space="0"/>
            </w:tcBorders>
            <w:vAlign w:val="center"/>
          </w:tcPr>
          <w:p w14:paraId="6061A4C4">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8000≤Z＜120000</w:t>
            </w:r>
          </w:p>
        </w:tc>
        <w:tc>
          <w:tcPr>
            <w:tcW w:w="1426" w:type="dxa"/>
            <w:tcBorders>
              <w:top w:val="single" w:color="auto" w:sz="4" w:space="0"/>
              <w:left w:val="single" w:color="auto" w:sz="4" w:space="0"/>
              <w:bottom w:val="single" w:color="auto" w:sz="4" w:space="0"/>
              <w:right w:val="single" w:color="auto" w:sz="4" w:space="0"/>
            </w:tcBorders>
            <w:vAlign w:val="center"/>
          </w:tcPr>
          <w:p w14:paraId="60708153">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100≤Z＜8000</w:t>
            </w:r>
          </w:p>
        </w:tc>
        <w:tc>
          <w:tcPr>
            <w:tcW w:w="1232" w:type="dxa"/>
            <w:tcBorders>
              <w:top w:val="single" w:color="auto" w:sz="4" w:space="0"/>
              <w:left w:val="single" w:color="auto" w:sz="4" w:space="0"/>
              <w:bottom w:val="single" w:color="auto" w:sz="4" w:space="0"/>
              <w:right w:val="single" w:color="auto" w:sz="4" w:space="0"/>
            </w:tcBorders>
            <w:vAlign w:val="center"/>
          </w:tcPr>
          <w:p w14:paraId="2E250399">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Z＜100</w:t>
            </w:r>
          </w:p>
        </w:tc>
      </w:tr>
      <w:tr w14:paraId="3B30601D">
        <w:tblPrEx>
          <w:tblCellMar>
            <w:top w:w="0" w:type="dxa"/>
            <w:left w:w="108" w:type="dxa"/>
            <w:bottom w:w="0" w:type="dxa"/>
            <w:right w:w="108" w:type="dxa"/>
          </w:tblCellMar>
        </w:tblPrEx>
        <w:trPr>
          <w:trHeight w:val="397" w:hRule="exact"/>
          <w:jc w:val="center"/>
        </w:trPr>
        <w:tc>
          <w:tcPr>
            <w:tcW w:w="2113" w:type="dxa"/>
            <w:tcBorders>
              <w:top w:val="single" w:color="auto" w:sz="4" w:space="0"/>
              <w:left w:val="single" w:color="auto" w:sz="4" w:space="0"/>
              <w:bottom w:val="single" w:color="auto" w:sz="4" w:space="0"/>
              <w:right w:val="single" w:color="auto" w:sz="4" w:space="0"/>
            </w:tcBorders>
            <w:vAlign w:val="center"/>
          </w:tcPr>
          <w:p w14:paraId="3EC9339F">
            <w:pPr>
              <w:spacing w:line="240" w:lineRule="exact"/>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其他未列明行业 *</w:t>
            </w:r>
          </w:p>
        </w:tc>
        <w:tc>
          <w:tcPr>
            <w:tcW w:w="1369" w:type="dxa"/>
            <w:tcBorders>
              <w:top w:val="single" w:color="auto" w:sz="4" w:space="0"/>
              <w:left w:val="single" w:color="auto" w:sz="4" w:space="0"/>
              <w:bottom w:val="single" w:color="auto" w:sz="4" w:space="0"/>
              <w:right w:val="single" w:color="auto" w:sz="4" w:space="0"/>
            </w:tcBorders>
            <w:vAlign w:val="center"/>
          </w:tcPr>
          <w:p w14:paraId="7BD62ABC">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从业人员(X)</w:t>
            </w:r>
          </w:p>
        </w:tc>
        <w:tc>
          <w:tcPr>
            <w:tcW w:w="709" w:type="dxa"/>
            <w:tcBorders>
              <w:top w:val="single" w:color="auto" w:sz="4" w:space="0"/>
              <w:left w:val="single" w:color="auto" w:sz="4" w:space="0"/>
              <w:bottom w:val="single" w:color="auto" w:sz="4" w:space="0"/>
              <w:right w:val="single" w:color="auto" w:sz="4" w:space="0"/>
            </w:tcBorders>
            <w:vAlign w:val="center"/>
          </w:tcPr>
          <w:p w14:paraId="561BA995">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人</w:t>
            </w:r>
          </w:p>
        </w:tc>
        <w:tc>
          <w:tcPr>
            <w:tcW w:w="1125" w:type="dxa"/>
            <w:tcBorders>
              <w:top w:val="single" w:color="auto" w:sz="4" w:space="0"/>
              <w:left w:val="single" w:color="auto" w:sz="4" w:space="0"/>
              <w:bottom w:val="single" w:color="auto" w:sz="4" w:space="0"/>
              <w:right w:val="single" w:color="auto" w:sz="4" w:space="0"/>
            </w:tcBorders>
            <w:vAlign w:val="center"/>
          </w:tcPr>
          <w:p w14:paraId="1A2F2A4C">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X≥300</w:t>
            </w:r>
          </w:p>
        </w:tc>
        <w:tc>
          <w:tcPr>
            <w:tcW w:w="1701" w:type="dxa"/>
            <w:tcBorders>
              <w:top w:val="single" w:color="auto" w:sz="4" w:space="0"/>
              <w:left w:val="single" w:color="auto" w:sz="4" w:space="0"/>
              <w:bottom w:val="single" w:color="auto" w:sz="4" w:space="0"/>
              <w:right w:val="single" w:color="auto" w:sz="4" w:space="0"/>
            </w:tcBorders>
            <w:vAlign w:val="center"/>
          </w:tcPr>
          <w:p w14:paraId="24AB976F">
            <w:pPr>
              <w:ind w:left="-14" w:leftChars="-51" w:hanging="108" w:hangingChars="60"/>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100≤X＜300 </w:t>
            </w:r>
          </w:p>
        </w:tc>
        <w:tc>
          <w:tcPr>
            <w:tcW w:w="1426" w:type="dxa"/>
            <w:tcBorders>
              <w:top w:val="single" w:color="auto" w:sz="4" w:space="0"/>
              <w:left w:val="single" w:color="auto" w:sz="4" w:space="0"/>
              <w:bottom w:val="single" w:color="auto" w:sz="4" w:space="0"/>
              <w:right w:val="single" w:color="auto" w:sz="4" w:space="0"/>
            </w:tcBorders>
            <w:vAlign w:val="center"/>
          </w:tcPr>
          <w:p w14:paraId="6F06DD53">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 xml:space="preserve"> 10≤X＜100</w:t>
            </w:r>
          </w:p>
        </w:tc>
        <w:tc>
          <w:tcPr>
            <w:tcW w:w="1232" w:type="dxa"/>
            <w:tcBorders>
              <w:top w:val="single" w:color="auto" w:sz="4" w:space="0"/>
              <w:left w:val="single" w:color="auto" w:sz="4" w:space="0"/>
              <w:bottom w:val="single" w:color="auto" w:sz="4" w:space="0"/>
              <w:right w:val="single" w:color="auto" w:sz="4" w:space="0"/>
            </w:tcBorders>
            <w:vAlign w:val="center"/>
          </w:tcPr>
          <w:p w14:paraId="6C55FCF1">
            <w:pPr>
              <w:jc w:val="center"/>
              <w:rPr>
                <w:rFonts w:ascii="宋体" w:hAnsi="宋体" w:cs="宋体"/>
                <w:color w:val="000000" w:themeColor="text1"/>
                <w:sz w:val="18"/>
                <w:szCs w:val="18"/>
                <w:highlight w:val="none"/>
                <w14:textFill>
                  <w14:solidFill>
                    <w14:schemeClr w14:val="tx1"/>
                  </w14:solidFill>
                </w14:textFill>
              </w:rPr>
            </w:pPr>
            <w:r>
              <w:rPr>
                <w:rFonts w:hint="eastAsia" w:ascii="宋体" w:hAnsi="宋体" w:cs="宋体"/>
                <w:color w:val="000000" w:themeColor="text1"/>
                <w:sz w:val="18"/>
                <w:szCs w:val="18"/>
                <w:highlight w:val="none"/>
                <w14:textFill>
                  <w14:solidFill>
                    <w14:schemeClr w14:val="tx1"/>
                  </w14:solidFill>
                </w14:textFill>
              </w:rPr>
              <w:t>X＜10</w:t>
            </w:r>
          </w:p>
        </w:tc>
      </w:tr>
    </w:tbl>
    <w:p w14:paraId="76209693">
      <w:pPr>
        <w:pStyle w:val="40"/>
        <w:spacing w:before="0" w:beforeAutospacing="0" w:after="0" w:afterAutospacing="0" w:line="440" w:lineRule="exact"/>
        <w:ind w:right="197" w:rightChars="82"/>
        <w:rPr>
          <w:rFonts w:cs="宋体"/>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说明：</w:t>
      </w:r>
    </w:p>
    <w:p w14:paraId="0D6FB8A7">
      <w:pPr>
        <w:pStyle w:val="40"/>
        <w:spacing w:before="0" w:beforeAutospacing="0" w:after="0" w:afterAutospacing="0" w:line="440" w:lineRule="exact"/>
        <w:ind w:right="197" w:rightChars="82"/>
        <w:rPr>
          <w:rFonts w:cs="宋体"/>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　　1.大型、中型和小型企业须同时满足所列指标的下限，否则下划一档；微型企业只须满足所列指标中的一项即可。</w:t>
      </w:r>
    </w:p>
    <w:p w14:paraId="677F003F">
      <w:pPr>
        <w:pStyle w:val="40"/>
        <w:spacing w:before="0" w:beforeAutospacing="0" w:after="0" w:afterAutospacing="0" w:line="440" w:lineRule="exact"/>
        <w:ind w:right="197" w:rightChars="82"/>
        <w:rPr>
          <w:rFonts w:cs="宋体"/>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6837BB4">
      <w:pPr>
        <w:pStyle w:val="40"/>
        <w:spacing w:before="0" w:beforeAutospacing="0" w:after="0" w:afterAutospacing="0" w:line="440" w:lineRule="exact"/>
        <w:ind w:right="197" w:rightChars="82"/>
        <w:rPr>
          <w:rFonts w:cs="宋体"/>
          <w:color w:val="000000" w:themeColor="text1"/>
          <w:sz w:val="18"/>
          <w:szCs w:val="18"/>
          <w:highlight w:val="none"/>
          <w14:textFill>
            <w14:solidFill>
              <w14:schemeClr w14:val="tx1"/>
            </w14:solidFill>
          </w14:textFill>
        </w:rPr>
      </w:pPr>
      <w:r>
        <w:rPr>
          <w:rFonts w:hint="eastAsia" w:cs="宋体"/>
          <w:color w:val="000000" w:themeColor="text1"/>
          <w:sz w:val="18"/>
          <w:szCs w:val="18"/>
          <w:highlight w:val="none"/>
          <w14:textFill>
            <w14:solidFill>
              <w14:schemeClr w14:val="tx1"/>
            </w14:solidFill>
          </w14:textFill>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22F1AB6">
      <w:pPr>
        <w:tabs>
          <w:tab w:val="left" w:pos="540"/>
        </w:tabs>
        <w:spacing w:after="0" w:line="420" w:lineRule="exact"/>
        <w:jc w:val="center"/>
        <w:outlineLvl w:val="0"/>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36"/>
          <w:szCs w:val="20"/>
          <w:highlight w:val="none"/>
          <w14:textFill>
            <w14:solidFill>
              <w14:schemeClr w14:val="tx1"/>
            </w14:solidFill>
          </w14:textFill>
        </w:rPr>
        <w:br w:type="page"/>
      </w:r>
      <w:r>
        <w:rPr>
          <w:rFonts w:hint="eastAsia" w:ascii="宋体" w:hAnsi="宋体" w:eastAsia="宋体" w:cs="宋体"/>
          <w:b/>
          <w:bCs/>
          <w:color w:val="000000" w:themeColor="text1"/>
          <w:sz w:val="36"/>
          <w:szCs w:val="20"/>
          <w:highlight w:val="none"/>
          <w14:textFill>
            <w14:solidFill>
              <w14:schemeClr w14:val="tx1"/>
            </w14:solidFill>
          </w14:textFill>
        </w:rPr>
        <w:t>第四章 评审方法及评审标准</w:t>
      </w:r>
      <w:bookmarkEnd w:id="151"/>
    </w:p>
    <w:p w14:paraId="1D9F707F">
      <w:pPr>
        <w:pStyle w:val="23"/>
        <w:spacing w:line="400" w:lineRule="exact"/>
        <w:ind w:firstLine="472" w:firstLineChars="196"/>
        <w:rPr>
          <w:rFonts w:hAnsi="宋体" w:cs="宋体"/>
          <w:b/>
          <w:bCs/>
          <w:color w:val="000000" w:themeColor="text1"/>
          <w:sz w:val="24"/>
          <w:szCs w:val="24"/>
          <w:highlight w:val="none"/>
          <w14:textFill>
            <w14:solidFill>
              <w14:schemeClr w14:val="tx1"/>
            </w14:solidFill>
          </w14:textFill>
        </w:rPr>
      </w:pPr>
    </w:p>
    <w:p w14:paraId="21BB97ED">
      <w:pPr>
        <w:pStyle w:val="23"/>
        <w:spacing w:line="400" w:lineRule="exact"/>
        <w:ind w:firstLine="472" w:firstLineChars="196"/>
        <w:rPr>
          <w:rFonts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一、评审原则</w:t>
      </w:r>
    </w:p>
    <w:p w14:paraId="1AB0C1EC">
      <w:pPr>
        <w:pStyle w:val="23"/>
        <w:spacing w:line="440" w:lineRule="exact"/>
        <w:ind w:firstLine="480" w:firstLineChars="200"/>
        <w:rPr>
          <w:rFonts w:hAnsi="宋体" w:cs="宋体"/>
          <w:color w:val="000000" w:themeColor="text1"/>
          <w:sz w:val="24"/>
          <w:szCs w:val="22"/>
          <w:highlight w:val="none"/>
          <w14:textFill>
            <w14:solidFill>
              <w14:schemeClr w14:val="tx1"/>
            </w14:solidFill>
          </w14:textFill>
        </w:rPr>
      </w:pPr>
      <w:r>
        <w:rPr>
          <w:rFonts w:hint="eastAsia" w:hAnsi="宋体" w:cs="宋体"/>
          <w:color w:val="000000" w:themeColor="text1"/>
          <w:sz w:val="24"/>
          <w:szCs w:val="22"/>
          <w:highlight w:val="none"/>
          <w14:textFill>
            <w14:solidFill>
              <w14:schemeClr w14:val="tx1"/>
            </w14:solidFill>
          </w14:textFill>
        </w:rPr>
        <w:t>(一）</w:t>
      </w:r>
      <w:r>
        <w:rPr>
          <w:rFonts w:hint="eastAsia" w:hAnsi="宋体" w:cs="宋体"/>
          <w:bCs/>
          <w:color w:val="000000" w:themeColor="text1"/>
          <w:sz w:val="24"/>
          <w:szCs w:val="24"/>
          <w:highlight w:val="none"/>
          <w14:textFill>
            <w14:solidFill>
              <w14:schemeClr w14:val="tx1"/>
            </w14:solidFill>
          </w14:textFill>
        </w:rPr>
        <w:t>磋商小组成员构成：共3人组成，其中采购人代表1人，政府采购评审专家2人。</w:t>
      </w:r>
    </w:p>
    <w:p w14:paraId="7D99C8CF">
      <w:pPr>
        <w:pStyle w:val="23"/>
        <w:spacing w:line="440" w:lineRule="exact"/>
        <w:ind w:firstLine="480" w:firstLineChars="200"/>
        <w:rPr>
          <w:rFonts w:hAnsi="宋体" w:cs="宋体"/>
          <w:color w:val="000000" w:themeColor="text1"/>
          <w:sz w:val="24"/>
          <w:szCs w:val="22"/>
          <w:highlight w:val="none"/>
          <w14:textFill>
            <w14:solidFill>
              <w14:schemeClr w14:val="tx1"/>
            </w14:solidFill>
          </w14:textFill>
        </w:rPr>
      </w:pPr>
      <w:r>
        <w:rPr>
          <w:rFonts w:hint="eastAsia" w:hAnsi="宋体" w:cs="宋体"/>
          <w:color w:val="000000" w:themeColor="text1"/>
          <w:sz w:val="24"/>
          <w:szCs w:val="22"/>
          <w:highlight w:val="none"/>
          <w14:textFill>
            <w14:solidFill>
              <w14:schemeClr w14:val="tx1"/>
            </w14:solidFill>
          </w14:textFill>
        </w:rPr>
        <w:t>(二）评审依据：磋商小组将以竞争性磋商文件、补充修改文件作为评定依据进行评审，对供应商的响应文件、磋商修正文件等内容按百分制打分。</w:t>
      </w:r>
    </w:p>
    <w:p w14:paraId="56D6F226">
      <w:pPr>
        <w:pStyle w:val="23"/>
        <w:spacing w:line="440" w:lineRule="exact"/>
        <w:ind w:firstLine="480" w:firstLineChars="200"/>
        <w:rPr>
          <w:rFonts w:hAnsi="宋体" w:cs="宋体"/>
          <w:color w:val="000000" w:themeColor="text1"/>
          <w:sz w:val="24"/>
          <w:szCs w:val="22"/>
          <w:highlight w:val="none"/>
          <w14:textFill>
            <w14:solidFill>
              <w14:schemeClr w14:val="tx1"/>
            </w14:solidFill>
          </w14:textFill>
        </w:rPr>
      </w:pPr>
      <w:r>
        <w:rPr>
          <w:rFonts w:hint="eastAsia" w:hAnsi="宋体" w:cs="宋体"/>
          <w:color w:val="000000" w:themeColor="text1"/>
          <w:sz w:val="24"/>
          <w:szCs w:val="22"/>
          <w:highlight w:val="none"/>
          <w14:textFill>
            <w14:solidFill>
              <w14:schemeClr w14:val="tx1"/>
            </w14:solidFill>
          </w14:textFill>
        </w:rPr>
        <w:t>(三）评审方法：本项目采用综合评分法进行评审。综合评分法，是指响应文件满足磋商文件全部实质性要求且按照评审因素的量化指标评审得分最高的供应商为成交候选供应商的评审方法。</w:t>
      </w:r>
    </w:p>
    <w:p w14:paraId="2BA9010A">
      <w:pPr>
        <w:pStyle w:val="23"/>
        <w:spacing w:line="440" w:lineRule="exact"/>
        <w:ind w:firstLine="480" w:firstLineChars="200"/>
        <w:rPr>
          <w:rFonts w:hAnsi="宋体" w:cs="宋体"/>
          <w:color w:val="000000" w:themeColor="text1"/>
          <w:sz w:val="24"/>
          <w:szCs w:val="22"/>
          <w:highlight w:val="none"/>
          <w14:textFill>
            <w14:solidFill>
              <w14:schemeClr w14:val="tx1"/>
            </w14:solidFill>
          </w14:textFill>
        </w:rPr>
      </w:pPr>
      <w:r>
        <w:rPr>
          <w:rFonts w:hint="eastAsia" w:hAnsi="宋体" w:cs="宋体"/>
          <w:color w:val="000000" w:themeColor="text1"/>
          <w:sz w:val="24"/>
          <w:szCs w:val="22"/>
          <w:highlight w:val="none"/>
          <w14:textFill>
            <w14:solidFill>
              <w14:schemeClr w14:val="tx1"/>
            </w14:solidFill>
          </w14:textFill>
        </w:rPr>
        <w:t>（四）评审程序</w:t>
      </w:r>
    </w:p>
    <w:p w14:paraId="23F1D830">
      <w:pPr>
        <w:pStyle w:val="23"/>
        <w:spacing w:line="440" w:lineRule="exact"/>
        <w:ind w:firstLine="480" w:firstLineChars="200"/>
        <w:rPr>
          <w:rFonts w:hAnsi="宋体" w:cs="宋体"/>
          <w:color w:val="000000" w:themeColor="text1"/>
          <w:sz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1、初步评审（包括资格性审查和符合性审查）；</w:t>
      </w:r>
    </w:p>
    <w:p w14:paraId="39F00691">
      <w:pPr>
        <w:pStyle w:val="23"/>
        <w:spacing w:line="440" w:lineRule="exact"/>
        <w:ind w:firstLine="480" w:firstLineChars="200"/>
        <w:rPr>
          <w:rFonts w:hAnsi="宋体" w:cs="宋体"/>
          <w:color w:val="000000" w:themeColor="text1"/>
          <w:sz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2、磋商；</w:t>
      </w:r>
    </w:p>
    <w:p w14:paraId="6A09D6C9">
      <w:pPr>
        <w:pStyle w:val="23"/>
        <w:spacing w:line="440" w:lineRule="exact"/>
        <w:ind w:firstLine="480" w:firstLineChars="200"/>
        <w:rPr>
          <w:rFonts w:hAnsi="宋体" w:cs="宋体"/>
          <w:color w:val="000000" w:themeColor="text1"/>
          <w:sz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3、重新提交响应文件（如磋商文件有实质性变动或磋商后确定最终设计解决方案）；</w:t>
      </w:r>
    </w:p>
    <w:p w14:paraId="03B68E82">
      <w:pPr>
        <w:pStyle w:val="23"/>
        <w:spacing w:line="440" w:lineRule="exact"/>
        <w:ind w:firstLine="480" w:firstLineChars="200"/>
        <w:rPr>
          <w:rFonts w:hAnsi="宋体" w:cs="宋体"/>
          <w:color w:val="000000" w:themeColor="text1"/>
          <w:sz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4、最后报价；</w:t>
      </w:r>
    </w:p>
    <w:p w14:paraId="7FFFDC2E">
      <w:pPr>
        <w:pStyle w:val="23"/>
        <w:spacing w:line="440" w:lineRule="exact"/>
        <w:ind w:firstLine="480" w:firstLineChars="200"/>
        <w:rPr>
          <w:rFonts w:hAnsi="宋体" w:cs="宋体"/>
          <w:color w:val="000000" w:themeColor="text1"/>
          <w:sz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5、详细评审；</w:t>
      </w:r>
    </w:p>
    <w:p w14:paraId="4F3D76F0">
      <w:pPr>
        <w:pStyle w:val="23"/>
        <w:spacing w:line="440" w:lineRule="exact"/>
        <w:ind w:firstLine="480" w:firstLineChars="200"/>
        <w:rPr>
          <w:rFonts w:hAnsi="宋体" w:cs="宋体"/>
          <w:color w:val="000000" w:themeColor="text1"/>
          <w:sz w:val="24"/>
          <w:szCs w:val="22"/>
          <w:highlight w:val="none"/>
          <w14:textFill>
            <w14:solidFill>
              <w14:schemeClr w14:val="tx1"/>
            </w14:solidFill>
          </w14:textFill>
        </w:rPr>
      </w:pPr>
      <w:r>
        <w:rPr>
          <w:rFonts w:hint="eastAsia" w:hAnsi="宋体" w:cs="宋体"/>
          <w:color w:val="000000" w:themeColor="text1"/>
          <w:sz w:val="24"/>
          <w:szCs w:val="22"/>
          <w:highlight w:val="none"/>
          <w14:textFill>
            <w14:solidFill>
              <w14:schemeClr w14:val="tx1"/>
            </w14:solidFill>
          </w14:textFill>
        </w:rPr>
        <w:t>6、推荐成交候选供应商名单。</w:t>
      </w:r>
    </w:p>
    <w:p w14:paraId="2F3B9A2F">
      <w:pPr>
        <w:pStyle w:val="23"/>
        <w:spacing w:line="440" w:lineRule="exact"/>
        <w:ind w:firstLine="472" w:firstLineChars="196"/>
        <w:rPr>
          <w:rFonts w:hAnsi="宋体" w:cs="宋体"/>
          <w:b/>
          <w:color w:val="000000" w:themeColor="text1"/>
          <w:sz w:val="24"/>
          <w:szCs w:val="22"/>
          <w:highlight w:val="none"/>
          <w14:textFill>
            <w14:solidFill>
              <w14:schemeClr w14:val="tx1"/>
            </w14:solidFill>
          </w14:textFill>
        </w:rPr>
      </w:pPr>
      <w:r>
        <w:rPr>
          <w:rFonts w:hint="eastAsia" w:hAnsi="宋体" w:cs="宋体"/>
          <w:b/>
          <w:color w:val="000000" w:themeColor="text1"/>
          <w:sz w:val="24"/>
          <w:szCs w:val="22"/>
          <w:highlight w:val="none"/>
          <w14:textFill>
            <w14:solidFill>
              <w14:schemeClr w14:val="tx1"/>
            </w14:solidFill>
          </w14:textFill>
        </w:rPr>
        <w:t>二、评审方法</w:t>
      </w:r>
    </w:p>
    <w:p w14:paraId="762AD0E1">
      <w:pPr>
        <w:spacing w:after="0" w:line="400" w:lineRule="exact"/>
        <w:ind w:firstLine="482" w:firstLineChars="200"/>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（一）初步评审</w:t>
      </w:r>
    </w:p>
    <w:p w14:paraId="615C127C">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初步评审包括资格性审查及符合性审查。</w:t>
      </w:r>
    </w:p>
    <w:p w14:paraId="1D4A9187">
      <w:pPr>
        <w:spacing w:after="0" w:line="400" w:lineRule="exact"/>
        <w:ind w:firstLine="482" w:firstLineChars="200"/>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1、资格性审查</w:t>
      </w:r>
    </w:p>
    <w:p w14:paraId="0E45B48F">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由磋商小组对所有供应商的响应文件进行资格审查。以确定供应商是否具备磋商资格。资格性检查表如下，缺少任何一项或有任何一项不合格者，其资格性审查视为不合格。</w:t>
      </w:r>
    </w:p>
    <w:tbl>
      <w:tblPr>
        <w:tblStyle w:val="45"/>
        <w:tblW w:w="9721" w:type="dxa"/>
        <w:jc w:val="center"/>
        <w:tblLayout w:type="fixed"/>
        <w:tblCellMar>
          <w:top w:w="0" w:type="dxa"/>
          <w:left w:w="108" w:type="dxa"/>
          <w:bottom w:w="0" w:type="dxa"/>
          <w:right w:w="108" w:type="dxa"/>
        </w:tblCellMar>
      </w:tblPr>
      <w:tblGrid>
        <w:gridCol w:w="742"/>
        <w:gridCol w:w="969"/>
        <w:gridCol w:w="2010"/>
        <w:gridCol w:w="6000"/>
      </w:tblGrid>
      <w:tr w14:paraId="1800F324">
        <w:tblPrEx>
          <w:tblCellMar>
            <w:top w:w="0" w:type="dxa"/>
            <w:left w:w="108" w:type="dxa"/>
            <w:bottom w:w="0" w:type="dxa"/>
            <w:right w:w="108" w:type="dxa"/>
          </w:tblCellMar>
        </w:tblPrEx>
        <w:trPr>
          <w:trHeight w:val="510" w:hRule="atLeast"/>
          <w:tblHeader/>
          <w:jc w:val="center"/>
        </w:trPr>
        <w:tc>
          <w:tcPr>
            <w:tcW w:w="742" w:type="dxa"/>
            <w:tcBorders>
              <w:top w:val="single" w:color="auto" w:sz="4" w:space="0"/>
              <w:left w:val="single" w:color="auto" w:sz="4" w:space="0"/>
              <w:bottom w:val="single" w:color="auto" w:sz="4" w:space="0"/>
              <w:right w:val="single" w:color="auto" w:sz="4" w:space="0"/>
            </w:tcBorders>
            <w:vAlign w:val="center"/>
          </w:tcPr>
          <w:p w14:paraId="7DCF0A4A">
            <w:pPr>
              <w:adjustRightInd/>
              <w:snapToGrid/>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2979" w:type="dxa"/>
            <w:gridSpan w:val="2"/>
            <w:tcBorders>
              <w:top w:val="single" w:color="auto" w:sz="4" w:space="0"/>
              <w:left w:val="nil"/>
              <w:bottom w:val="single" w:color="auto" w:sz="4" w:space="0"/>
              <w:right w:val="single" w:color="auto" w:sz="4" w:space="0"/>
            </w:tcBorders>
            <w:vAlign w:val="center"/>
          </w:tcPr>
          <w:p w14:paraId="1FF1B746">
            <w:pPr>
              <w:adjustRightInd/>
              <w:snapToGrid/>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评审因素</w:t>
            </w:r>
          </w:p>
        </w:tc>
        <w:tc>
          <w:tcPr>
            <w:tcW w:w="6000" w:type="dxa"/>
            <w:tcBorders>
              <w:top w:val="single" w:color="auto" w:sz="4" w:space="0"/>
              <w:left w:val="nil"/>
              <w:bottom w:val="single" w:color="auto" w:sz="4" w:space="0"/>
              <w:right w:val="single" w:color="auto" w:sz="4" w:space="0"/>
            </w:tcBorders>
            <w:vAlign w:val="center"/>
          </w:tcPr>
          <w:p w14:paraId="514C6867">
            <w:pPr>
              <w:adjustRightInd/>
              <w:snapToGrid/>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评审内容及评审标准</w:t>
            </w:r>
          </w:p>
        </w:tc>
      </w:tr>
      <w:tr w14:paraId="0CBFE7C8">
        <w:tblPrEx>
          <w:tblCellMar>
            <w:top w:w="0" w:type="dxa"/>
            <w:left w:w="108" w:type="dxa"/>
            <w:bottom w:w="0" w:type="dxa"/>
            <w:right w:w="108" w:type="dxa"/>
          </w:tblCellMar>
        </w:tblPrEx>
        <w:trPr>
          <w:jc w:val="center"/>
        </w:trPr>
        <w:tc>
          <w:tcPr>
            <w:tcW w:w="742" w:type="dxa"/>
            <w:vMerge w:val="restart"/>
            <w:tcBorders>
              <w:top w:val="nil"/>
              <w:left w:val="single" w:color="auto" w:sz="4" w:space="0"/>
              <w:bottom w:val="single" w:color="auto" w:sz="4" w:space="0"/>
              <w:right w:val="single" w:color="auto" w:sz="4" w:space="0"/>
            </w:tcBorders>
            <w:vAlign w:val="center"/>
          </w:tcPr>
          <w:p w14:paraId="38399689">
            <w:pPr>
              <w:adjustRightInd/>
              <w:snapToGrid/>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969" w:type="dxa"/>
            <w:vMerge w:val="restart"/>
            <w:tcBorders>
              <w:top w:val="nil"/>
              <w:left w:val="single" w:color="auto" w:sz="4" w:space="0"/>
              <w:bottom w:val="single" w:color="auto" w:sz="4" w:space="0"/>
              <w:right w:val="single" w:color="auto" w:sz="4" w:space="0"/>
            </w:tcBorders>
            <w:vAlign w:val="center"/>
          </w:tcPr>
          <w:p w14:paraId="7D062EBD">
            <w:pPr>
              <w:adjustRightInd/>
              <w:snapToGrid/>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供应商应符合的基本资格条件</w:t>
            </w:r>
          </w:p>
        </w:tc>
        <w:tc>
          <w:tcPr>
            <w:tcW w:w="2010" w:type="dxa"/>
            <w:tcBorders>
              <w:top w:val="nil"/>
              <w:left w:val="nil"/>
              <w:bottom w:val="single" w:color="auto" w:sz="4" w:space="0"/>
              <w:right w:val="single" w:color="auto" w:sz="4" w:space="0"/>
            </w:tcBorders>
            <w:vAlign w:val="center"/>
          </w:tcPr>
          <w:p w14:paraId="22CB7DF9">
            <w:pPr>
              <w:adjustRightInd/>
              <w:snapToGrid/>
              <w:spacing w:after="0"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（1）具有独立承担民事责任的能力</w:t>
            </w:r>
          </w:p>
        </w:tc>
        <w:tc>
          <w:tcPr>
            <w:tcW w:w="6000" w:type="dxa"/>
            <w:tcBorders>
              <w:top w:val="nil"/>
              <w:left w:val="nil"/>
              <w:bottom w:val="single" w:color="auto" w:sz="4" w:space="0"/>
              <w:right w:val="single" w:color="auto" w:sz="4" w:space="0"/>
            </w:tcBorders>
            <w:vAlign w:val="center"/>
          </w:tcPr>
          <w:p w14:paraId="3CC67253">
            <w:pPr>
              <w:adjustRightInd/>
              <w:snapToGrid/>
              <w:spacing w:after="0" w:line="400" w:lineRule="exact"/>
              <w:ind w:firstLine="4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审查法人或者其他组织的营业执照等证明文件、自然人的身份证明。须按以下要求提供，材料须有效。</w:t>
            </w:r>
          </w:p>
          <w:p w14:paraId="7CC1849A">
            <w:pPr>
              <w:adjustRightInd/>
              <w:snapToGrid/>
              <w:spacing w:after="0" w:line="400" w:lineRule="exact"/>
              <w:ind w:firstLine="4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供应商是企业则审查营业执照 （副本） 复印件；供应商是事业单位，则审查事业单位法人证书（副本）复印件；供应商是非企业专业服务机构的，则审查执业许可证等证明文件复印件；供应商是个体工商户，则审查个体工商户营业执照复印件；供应商是自然人，则审查自然人身份证明复印件；如供应商不是以上所列的法人、组织、自然人的，则提供国家规定的相关证明材料。</w:t>
            </w:r>
          </w:p>
        </w:tc>
      </w:tr>
      <w:tr w14:paraId="4B427C70">
        <w:tblPrEx>
          <w:tblCellMar>
            <w:top w:w="0" w:type="dxa"/>
            <w:left w:w="108" w:type="dxa"/>
            <w:bottom w:w="0" w:type="dxa"/>
            <w:right w:w="108" w:type="dxa"/>
          </w:tblCellMar>
        </w:tblPrEx>
        <w:trPr>
          <w:trHeight w:val="1834" w:hRule="atLeast"/>
          <w:jc w:val="center"/>
        </w:trPr>
        <w:tc>
          <w:tcPr>
            <w:tcW w:w="742" w:type="dxa"/>
            <w:vMerge w:val="continue"/>
            <w:tcBorders>
              <w:top w:val="nil"/>
              <w:left w:val="single" w:color="auto" w:sz="4" w:space="0"/>
              <w:bottom w:val="single" w:color="auto" w:sz="4" w:space="0"/>
              <w:right w:val="single" w:color="auto" w:sz="4" w:space="0"/>
            </w:tcBorders>
            <w:vAlign w:val="center"/>
          </w:tcPr>
          <w:p w14:paraId="5A1422D2">
            <w:pPr>
              <w:adjustRightInd/>
              <w:snapToGrid/>
              <w:spacing w:after="0" w:line="400" w:lineRule="exact"/>
              <w:rPr>
                <w:rFonts w:ascii="宋体" w:hAnsi="宋体" w:eastAsia="宋体" w:cs="宋体"/>
                <w:color w:val="000000" w:themeColor="text1"/>
                <w:highlight w:val="none"/>
                <w14:textFill>
                  <w14:solidFill>
                    <w14:schemeClr w14:val="tx1"/>
                  </w14:solidFill>
                </w14:textFill>
              </w:rPr>
            </w:pPr>
          </w:p>
        </w:tc>
        <w:tc>
          <w:tcPr>
            <w:tcW w:w="969" w:type="dxa"/>
            <w:vMerge w:val="continue"/>
            <w:tcBorders>
              <w:top w:val="nil"/>
              <w:left w:val="single" w:color="auto" w:sz="4" w:space="0"/>
              <w:bottom w:val="single" w:color="auto" w:sz="4" w:space="0"/>
              <w:right w:val="single" w:color="auto" w:sz="4" w:space="0"/>
            </w:tcBorders>
            <w:vAlign w:val="center"/>
          </w:tcPr>
          <w:p w14:paraId="550DA4E6">
            <w:pPr>
              <w:adjustRightInd/>
              <w:snapToGrid/>
              <w:spacing w:after="0" w:line="400" w:lineRule="exact"/>
              <w:rPr>
                <w:rFonts w:ascii="宋体" w:hAnsi="宋体" w:eastAsia="宋体" w:cs="宋体"/>
                <w:color w:val="000000" w:themeColor="text1"/>
                <w:highlight w:val="none"/>
                <w14:textFill>
                  <w14:solidFill>
                    <w14:schemeClr w14:val="tx1"/>
                  </w14:solidFill>
                </w14:textFill>
              </w:rPr>
            </w:pPr>
          </w:p>
        </w:tc>
        <w:tc>
          <w:tcPr>
            <w:tcW w:w="2010" w:type="dxa"/>
            <w:tcBorders>
              <w:top w:val="nil"/>
              <w:left w:val="nil"/>
              <w:bottom w:val="single" w:color="auto" w:sz="4" w:space="0"/>
              <w:right w:val="single" w:color="auto" w:sz="4" w:space="0"/>
            </w:tcBorders>
            <w:vAlign w:val="center"/>
          </w:tcPr>
          <w:p w14:paraId="7E33D219">
            <w:pPr>
              <w:adjustRightInd/>
              <w:snapToGrid/>
              <w:spacing w:after="0"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（2）具有良好的商业信誉和健全的财务会计制度</w:t>
            </w:r>
          </w:p>
        </w:tc>
        <w:tc>
          <w:tcPr>
            <w:tcW w:w="6000" w:type="dxa"/>
            <w:tcBorders>
              <w:top w:val="nil"/>
              <w:left w:val="nil"/>
              <w:bottom w:val="single" w:color="auto" w:sz="4" w:space="0"/>
              <w:right w:val="single" w:color="auto" w:sz="4" w:space="0"/>
            </w:tcBorders>
            <w:vAlign w:val="center"/>
          </w:tcPr>
          <w:p w14:paraId="075F2FBC">
            <w:pPr>
              <w:adjustRightInd/>
              <w:snapToGrid/>
              <w:spacing w:after="0" w:line="400" w:lineRule="exact"/>
              <w:ind w:firstLine="4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审查供应商2025年经第三方审计的财务报表（财务报表至少包含资产负债表、利润表、现金流量表及其附注、加盖会计师事务所公章页）复印件（新成立的公司提供公司成立日之后次月起到响应文件递交截止前一个月的财务报表复印件）或提交响应文件截止之日前半年内其基本开户银行出具的银行资信证明（仅提供银行出具的存款证明不能作为其银行资信证明）复印件。</w:t>
            </w:r>
          </w:p>
        </w:tc>
      </w:tr>
      <w:tr w14:paraId="6BB05283">
        <w:tblPrEx>
          <w:tblCellMar>
            <w:top w:w="0" w:type="dxa"/>
            <w:left w:w="108" w:type="dxa"/>
            <w:bottom w:w="0" w:type="dxa"/>
            <w:right w:w="108" w:type="dxa"/>
          </w:tblCellMar>
        </w:tblPrEx>
        <w:trPr>
          <w:trHeight w:val="1420" w:hRule="atLeast"/>
          <w:jc w:val="center"/>
        </w:trPr>
        <w:tc>
          <w:tcPr>
            <w:tcW w:w="742" w:type="dxa"/>
            <w:vMerge w:val="continue"/>
            <w:tcBorders>
              <w:top w:val="nil"/>
              <w:left w:val="single" w:color="auto" w:sz="4" w:space="0"/>
              <w:bottom w:val="single" w:color="auto" w:sz="4" w:space="0"/>
              <w:right w:val="single" w:color="auto" w:sz="4" w:space="0"/>
            </w:tcBorders>
            <w:vAlign w:val="center"/>
          </w:tcPr>
          <w:p w14:paraId="6F1A3A84">
            <w:pPr>
              <w:adjustRightInd/>
              <w:snapToGrid/>
              <w:spacing w:after="0" w:line="400" w:lineRule="exact"/>
              <w:rPr>
                <w:rFonts w:ascii="宋体" w:hAnsi="宋体" w:eastAsia="宋体" w:cs="宋体"/>
                <w:color w:val="000000" w:themeColor="text1"/>
                <w:highlight w:val="none"/>
                <w14:textFill>
                  <w14:solidFill>
                    <w14:schemeClr w14:val="tx1"/>
                  </w14:solidFill>
                </w14:textFill>
              </w:rPr>
            </w:pPr>
          </w:p>
        </w:tc>
        <w:tc>
          <w:tcPr>
            <w:tcW w:w="969" w:type="dxa"/>
            <w:vMerge w:val="continue"/>
            <w:tcBorders>
              <w:top w:val="nil"/>
              <w:left w:val="single" w:color="auto" w:sz="4" w:space="0"/>
              <w:bottom w:val="single" w:color="auto" w:sz="4" w:space="0"/>
              <w:right w:val="single" w:color="auto" w:sz="4" w:space="0"/>
            </w:tcBorders>
            <w:vAlign w:val="center"/>
          </w:tcPr>
          <w:p w14:paraId="350B6E3A">
            <w:pPr>
              <w:adjustRightInd/>
              <w:snapToGrid/>
              <w:spacing w:after="0" w:line="400" w:lineRule="exact"/>
              <w:rPr>
                <w:rFonts w:ascii="宋体" w:hAnsi="宋体" w:eastAsia="宋体" w:cs="宋体"/>
                <w:color w:val="000000" w:themeColor="text1"/>
                <w:highlight w:val="none"/>
                <w14:textFill>
                  <w14:solidFill>
                    <w14:schemeClr w14:val="tx1"/>
                  </w14:solidFill>
                </w14:textFill>
              </w:rPr>
            </w:pPr>
          </w:p>
        </w:tc>
        <w:tc>
          <w:tcPr>
            <w:tcW w:w="2010" w:type="dxa"/>
            <w:tcBorders>
              <w:top w:val="nil"/>
              <w:left w:val="nil"/>
              <w:bottom w:val="single" w:color="auto" w:sz="4" w:space="0"/>
              <w:right w:val="single" w:color="auto" w:sz="4" w:space="0"/>
            </w:tcBorders>
            <w:vAlign w:val="center"/>
          </w:tcPr>
          <w:p w14:paraId="3D7E2C8F">
            <w:pPr>
              <w:adjustRightInd/>
              <w:snapToGrid/>
              <w:spacing w:after="0"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（3）具有履行合同所必需的设备和专业技术能力</w:t>
            </w:r>
          </w:p>
        </w:tc>
        <w:tc>
          <w:tcPr>
            <w:tcW w:w="6000" w:type="dxa"/>
            <w:tcBorders>
              <w:top w:val="nil"/>
              <w:left w:val="nil"/>
              <w:bottom w:val="single" w:color="auto" w:sz="4" w:space="0"/>
              <w:right w:val="single" w:color="auto" w:sz="4" w:space="0"/>
            </w:tcBorders>
            <w:vAlign w:val="center"/>
          </w:tcPr>
          <w:p w14:paraId="3EE3468A">
            <w:pPr>
              <w:adjustRightInd/>
              <w:snapToGrid/>
              <w:spacing w:after="0"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审查“具备履行合同所必需的设备和专业技术服务能力的承诺书”。</w:t>
            </w:r>
          </w:p>
        </w:tc>
      </w:tr>
      <w:tr w14:paraId="254AF22B">
        <w:tblPrEx>
          <w:tblCellMar>
            <w:top w:w="0" w:type="dxa"/>
            <w:left w:w="108" w:type="dxa"/>
            <w:bottom w:w="0" w:type="dxa"/>
            <w:right w:w="108" w:type="dxa"/>
          </w:tblCellMar>
        </w:tblPrEx>
        <w:trPr>
          <w:trHeight w:val="402" w:hRule="atLeast"/>
          <w:jc w:val="center"/>
        </w:trPr>
        <w:tc>
          <w:tcPr>
            <w:tcW w:w="742" w:type="dxa"/>
            <w:vMerge w:val="continue"/>
            <w:tcBorders>
              <w:top w:val="nil"/>
              <w:left w:val="single" w:color="auto" w:sz="4" w:space="0"/>
              <w:bottom w:val="single" w:color="auto" w:sz="4" w:space="0"/>
              <w:right w:val="single" w:color="auto" w:sz="4" w:space="0"/>
            </w:tcBorders>
            <w:vAlign w:val="center"/>
          </w:tcPr>
          <w:p w14:paraId="4183FF2D">
            <w:pPr>
              <w:adjustRightInd/>
              <w:snapToGrid/>
              <w:spacing w:after="0" w:line="400" w:lineRule="exact"/>
              <w:rPr>
                <w:rFonts w:ascii="宋体" w:hAnsi="宋体" w:eastAsia="宋体" w:cs="宋体"/>
                <w:color w:val="000000" w:themeColor="text1"/>
                <w:highlight w:val="none"/>
                <w14:textFill>
                  <w14:solidFill>
                    <w14:schemeClr w14:val="tx1"/>
                  </w14:solidFill>
                </w14:textFill>
              </w:rPr>
            </w:pPr>
          </w:p>
        </w:tc>
        <w:tc>
          <w:tcPr>
            <w:tcW w:w="969" w:type="dxa"/>
            <w:vMerge w:val="continue"/>
            <w:tcBorders>
              <w:top w:val="nil"/>
              <w:left w:val="single" w:color="auto" w:sz="4" w:space="0"/>
              <w:bottom w:val="single" w:color="auto" w:sz="4" w:space="0"/>
              <w:right w:val="single" w:color="auto" w:sz="4" w:space="0"/>
            </w:tcBorders>
            <w:vAlign w:val="center"/>
          </w:tcPr>
          <w:p w14:paraId="744968B9">
            <w:pPr>
              <w:adjustRightInd/>
              <w:snapToGrid/>
              <w:spacing w:after="0" w:line="400" w:lineRule="exact"/>
              <w:rPr>
                <w:rFonts w:ascii="宋体" w:hAnsi="宋体" w:eastAsia="宋体" w:cs="宋体"/>
                <w:color w:val="000000" w:themeColor="text1"/>
                <w:highlight w:val="none"/>
                <w14:textFill>
                  <w14:solidFill>
                    <w14:schemeClr w14:val="tx1"/>
                  </w14:solidFill>
                </w14:textFill>
              </w:rPr>
            </w:pPr>
          </w:p>
        </w:tc>
        <w:tc>
          <w:tcPr>
            <w:tcW w:w="2010" w:type="dxa"/>
            <w:tcBorders>
              <w:top w:val="nil"/>
              <w:left w:val="nil"/>
              <w:bottom w:val="single" w:color="auto" w:sz="4" w:space="0"/>
              <w:right w:val="single" w:color="auto" w:sz="4" w:space="0"/>
            </w:tcBorders>
            <w:vAlign w:val="center"/>
          </w:tcPr>
          <w:p w14:paraId="2E57B606">
            <w:pPr>
              <w:adjustRightInd/>
              <w:snapToGrid/>
              <w:spacing w:after="0"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（4）有依法缴纳税收和社会保障资金的良好记录</w:t>
            </w:r>
          </w:p>
        </w:tc>
        <w:tc>
          <w:tcPr>
            <w:tcW w:w="6000" w:type="dxa"/>
            <w:tcBorders>
              <w:top w:val="nil"/>
              <w:left w:val="nil"/>
              <w:bottom w:val="single" w:color="auto" w:sz="4" w:space="0"/>
              <w:right w:val="single" w:color="auto" w:sz="4" w:space="0"/>
            </w:tcBorders>
            <w:vAlign w:val="center"/>
          </w:tcPr>
          <w:p w14:paraId="23D82186">
            <w:pPr>
              <w:adjustRightInd/>
              <w:snapToGrid/>
              <w:spacing w:after="0" w:line="400" w:lineRule="exact"/>
              <w:ind w:firstLine="4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①审查供应商提交响应文件截止之日前</w:t>
            </w:r>
            <w:r>
              <w:rPr>
                <w:rFonts w:hint="eastAsia" w:ascii="宋体" w:hAnsi="宋体" w:cs="宋体"/>
                <w:color w:val="000000" w:themeColor="text1"/>
                <w:szCs w:val="21"/>
                <w:highlight w:val="none"/>
                <w14:textFill>
                  <w14:solidFill>
                    <w14:schemeClr w14:val="tx1"/>
                  </w14:solidFill>
                </w14:textFill>
              </w:rPr>
              <w:t>近半年内</w:t>
            </w:r>
            <w:r>
              <w:rPr>
                <w:rFonts w:hint="eastAsia" w:ascii="宋体" w:hAnsi="宋体" w:eastAsia="宋体" w:cs="宋体"/>
                <w:color w:val="000000" w:themeColor="text1"/>
                <w:szCs w:val="21"/>
                <w:highlight w:val="none"/>
                <w14:textFill>
                  <w14:solidFill>
                    <w14:schemeClr w14:val="tx1"/>
                  </w14:solidFill>
                </w14:textFill>
              </w:rPr>
              <w:t>任意一个月</w:t>
            </w:r>
            <w:r>
              <w:rPr>
                <w:rFonts w:hint="eastAsia" w:ascii="宋体" w:hAnsi="宋体" w:eastAsia="宋体" w:cs="宋体"/>
                <w:color w:val="000000" w:themeColor="text1"/>
                <w:highlight w:val="none"/>
                <w14:textFill>
                  <w14:solidFill>
                    <w14:schemeClr w14:val="tx1"/>
                  </w14:solidFill>
                </w14:textFill>
              </w:rPr>
              <w:t>的依法缴纳税费证明复印件（新成立的且不足三个月的企业按实际提供）。</w:t>
            </w:r>
          </w:p>
          <w:p w14:paraId="22817870">
            <w:pPr>
              <w:adjustRightInd/>
              <w:snapToGrid/>
              <w:spacing w:after="0" w:line="400" w:lineRule="exact"/>
              <w:ind w:firstLine="4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②审查供应商提交响应文件截止之日前</w:t>
            </w:r>
            <w:r>
              <w:rPr>
                <w:rFonts w:hint="eastAsia" w:ascii="宋体" w:hAnsi="宋体" w:cs="宋体"/>
                <w:color w:val="000000" w:themeColor="text1"/>
                <w:szCs w:val="21"/>
                <w:highlight w:val="none"/>
                <w14:textFill>
                  <w14:solidFill>
                    <w14:schemeClr w14:val="tx1"/>
                  </w14:solidFill>
                </w14:textFill>
              </w:rPr>
              <w:t>近半年内</w:t>
            </w:r>
            <w:r>
              <w:rPr>
                <w:rFonts w:hint="eastAsia" w:ascii="宋体" w:hAnsi="宋体" w:eastAsia="宋体" w:cs="宋体"/>
                <w:color w:val="000000" w:themeColor="text1"/>
                <w:szCs w:val="21"/>
                <w:highlight w:val="none"/>
                <w14:textFill>
                  <w14:solidFill>
                    <w14:schemeClr w14:val="tx1"/>
                  </w14:solidFill>
                </w14:textFill>
              </w:rPr>
              <w:t>任意一个月</w:t>
            </w:r>
            <w:r>
              <w:rPr>
                <w:rFonts w:hint="eastAsia" w:ascii="宋体" w:hAnsi="宋体" w:eastAsia="宋体" w:cs="宋体"/>
                <w:color w:val="000000" w:themeColor="text1"/>
                <w:highlight w:val="none"/>
                <w14:textFill>
                  <w14:solidFill>
                    <w14:schemeClr w14:val="tx1"/>
                  </w14:solidFill>
                </w14:textFill>
              </w:rPr>
              <w:t>的依法缴纳社会保险费证明记录复印件（新成立的且不足三个月的企业按实际提供）。</w:t>
            </w:r>
          </w:p>
          <w:p w14:paraId="149D8183">
            <w:pPr>
              <w:adjustRightInd/>
              <w:snapToGrid/>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依法免税或不需要缴纳社会保障资金的供应商，须提供相应文件证明其依法免税或不需要缴纳社会保障资金。</w:t>
            </w:r>
          </w:p>
        </w:tc>
      </w:tr>
      <w:tr w14:paraId="6018D465">
        <w:tblPrEx>
          <w:tblCellMar>
            <w:top w:w="0" w:type="dxa"/>
            <w:left w:w="108" w:type="dxa"/>
            <w:bottom w:w="0" w:type="dxa"/>
            <w:right w:w="108" w:type="dxa"/>
          </w:tblCellMar>
        </w:tblPrEx>
        <w:trPr>
          <w:trHeight w:val="810" w:hRule="atLeast"/>
          <w:jc w:val="center"/>
        </w:trPr>
        <w:tc>
          <w:tcPr>
            <w:tcW w:w="742" w:type="dxa"/>
            <w:vMerge w:val="continue"/>
            <w:tcBorders>
              <w:top w:val="nil"/>
              <w:left w:val="single" w:color="auto" w:sz="4" w:space="0"/>
              <w:bottom w:val="single" w:color="auto" w:sz="4" w:space="0"/>
              <w:right w:val="single" w:color="auto" w:sz="4" w:space="0"/>
            </w:tcBorders>
            <w:vAlign w:val="center"/>
          </w:tcPr>
          <w:p w14:paraId="14C8A61E">
            <w:pPr>
              <w:adjustRightInd/>
              <w:snapToGrid/>
              <w:spacing w:after="0" w:line="400" w:lineRule="exact"/>
              <w:rPr>
                <w:rFonts w:ascii="宋体" w:hAnsi="宋体" w:eastAsia="宋体" w:cs="宋体"/>
                <w:color w:val="000000" w:themeColor="text1"/>
                <w:highlight w:val="none"/>
                <w14:textFill>
                  <w14:solidFill>
                    <w14:schemeClr w14:val="tx1"/>
                  </w14:solidFill>
                </w14:textFill>
              </w:rPr>
            </w:pPr>
          </w:p>
        </w:tc>
        <w:tc>
          <w:tcPr>
            <w:tcW w:w="969" w:type="dxa"/>
            <w:vMerge w:val="continue"/>
            <w:tcBorders>
              <w:top w:val="nil"/>
              <w:left w:val="single" w:color="auto" w:sz="4" w:space="0"/>
              <w:bottom w:val="single" w:color="auto" w:sz="4" w:space="0"/>
              <w:right w:val="single" w:color="auto" w:sz="4" w:space="0"/>
            </w:tcBorders>
            <w:vAlign w:val="center"/>
          </w:tcPr>
          <w:p w14:paraId="5C018A22">
            <w:pPr>
              <w:adjustRightInd/>
              <w:snapToGrid/>
              <w:spacing w:after="0" w:line="400" w:lineRule="exact"/>
              <w:rPr>
                <w:rFonts w:ascii="宋体" w:hAnsi="宋体" w:eastAsia="宋体" w:cs="宋体"/>
                <w:color w:val="000000" w:themeColor="text1"/>
                <w:highlight w:val="none"/>
                <w14:textFill>
                  <w14:solidFill>
                    <w14:schemeClr w14:val="tx1"/>
                  </w14:solidFill>
                </w14:textFill>
              </w:rPr>
            </w:pPr>
          </w:p>
        </w:tc>
        <w:tc>
          <w:tcPr>
            <w:tcW w:w="2010" w:type="dxa"/>
            <w:tcBorders>
              <w:top w:val="nil"/>
              <w:left w:val="nil"/>
              <w:bottom w:val="single" w:color="auto" w:sz="4" w:space="0"/>
              <w:right w:val="single" w:color="auto" w:sz="4" w:space="0"/>
            </w:tcBorders>
            <w:vAlign w:val="center"/>
          </w:tcPr>
          <w:p w14:paraId="743E7EEA">
            <w:pPr>
              <w:adjustRightInd/>
              <w:snapToGrid/>
              <w:spacing w:after="0"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（5）参加政府采购活动前三年内，在经营活动中没有重大违法记录</w:t>
            </w:r>
          </w:p>
        </w:tc>
        <w:tc>
          <w:tcPr>
            <w:tcW w:w="6000" w:type="dxa"/>
            <w:tcBorders>
              <w:top w:val="nil"/>
              <w:left w:val="nil"/>
              <w:bottom w:val="single" w:color="auto" w:sz="4" w:space="0"/>
              <w:right w:val="single" w:color="auto" w:sz="4" w:space="0"/>
            </w:tcBorders>
            <w:vAlign w:val="center"/>
          </w:tcPr>
          <w:p w14:paraId="03CAA8B2">
            <w:pPr>
              <w:adjustRightInd/>
              <w:snapToGrid/>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审查无重大违法记录声明，格式见第六章响应文件格式“参加政府采购活动前三年内在经营活动中没有重大违法记录的书面声明”。</w:t>
            </w:r>
          </w:p>
        </w:tc>
      </w:tr>
      <w:tr w14:paraId="2F715D31">
        <w:tblPrEx>
          <w:tblCellMar>
            <w:top w:w="0" w:type="dxa"/>
            <w:left w:w="108" w:type="dxa"/>
            <w:bottom w:w="0" w:type="dxa"/>
            <w:right w:w="108" w:type="dxa"/>
          </w:tblCellMar>
        </w:tblPrEx>
        <w:trPr>
          <w:jc w:val="center"/>
        </w:trPr>
        <w:tc>
          <w:tcPr>
            <w:tcW w:w="742" w:type="dxa"/>
            <w:vMerge w:val="continue"/>
            <w:tcBorders>
              <w:top w:val="nil"/>
              <w:left w:val="single" w:color="auto" w:sz="4" w:space="0"/>
              <w:bottom w:val="single" w:color="auto" w:sz="4" w:space="0"/>
              <w:right w:val="single" w:color="auto" w:sz="4" w:space="0"/>
            </w:tcBorders>
            <w:vAlign w:val="center"/>
          </w:tcPr>
          <w:p w14:paraId="019ED4D7">
            <w:pPr>
              <w:adjustRightInd/>
              <w:snapToGrid/>
              <w:spacing w:after="0" w:line="400" w:lineRule="exact"/>
              <w:rPr>
                <w:rFonts w:ascii="宋体" w:hAnsi="宋体" w:eastAsia="宋体" w:cs="宋体"/>
                <w:color w:val="000000" w:themeColor="text1"/>
                <w:highlight w:val="none"/>
                <w14:textFill>
                  <w14:solidFill>
                    <w14:schemeClr w14:val="tx1"/>
                  </w14:solidFill>
                </w14:textFill>
              </w:rPr>
            </w:pPr>
          </w:p>
        </w:tc>
        <w:tc>
          <w:tcPr>
            <w:tcW w:w="969" w:type="dxa"/>
            <w:vMerge w:val="continue"/>
            <w:tcBorders>
              <w:top w:val="nil"/>
              <w:left w:val="single" w:color="auto" w:sz="4" w:space="0"/>
              <w:bottom w:val="single" w:color="auto" w:sz="4" w:space="0"/>
              <w:right w:val="single" w:color="auto" w:sz="4" w:space="0"/>
            </w:tcBorders>
            <w:vAlign w:val="center"/>
          </w:tcPr>
          <w:p w14:paraId="5BB5374B">
            <w:pPr>
              <w:adjustRightInd/>
              <w:snapToGrid/>
              <w:spacing w:after="0" w:line="400" w:lineRule="exact"/>
              <w:rPr>
                <w:rFonts w:ascii="宋体" w:hAnsi="宋体" w:eastAsia="宋体" w:cs="宋体"/>
                <w:color w:val="000000" w:themeColor="text1"/>
                <w:highlight w:val="none"/>
                <w14:textFill>
                  <w14:solidFill>
                    <w14:schemeClr w14:val="tx1"/>
                  </w14:solidFill>
                </w14:textFill>
              </w:rPr>
            </w:pPr>
          </w:p>
        </w:tc>
        <w:tc>
          <w:tcPr>
            <w:tcW w:w="2010" w:type="dxa"/>
            <w:tcBorders>
              <w:top w:val="nil"/>
              <w:left w:val="nil"/>
              <w:bottom w:val="single" w:color="auto" w:sz="4" w:space="0"/>
              <w:right w:val="single" w:color="auto" w:sz="4" w:space="0"/>
            </w:tcBorders>
            <w:vAlign w:val="center"/>
          </w:tcPr>
          <w:p w14:paraId="1255D26D">
            <w:pPr>
              <w:adjustRightInd/>
              <w:snapToGrid/>
              <w:spacing w:after="0"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（6）诚信要求</w:t>
            </w:r>
          </w:p>
        </w:tc>
        <w:tc>
          <w:tcPr>
            <w:tcW w:w="6000" w:type="dxa"/>
            <w:tcBorders>
              <w:top w:val="nil"/>
              <w:left w:val="nil"/>
              <w:bottom w:val="single" w:color="auto" w:sz="4" w:space="0"/>
              <w:right w:val="single" w:color="auto" w:sz="4" w:space="0"/>
            </w:tcBorders>
            <w:vAlign w:val="center"/>
          </w:tcPr>
          <w:p w14:paraId="3F05861B">
            <w:pPr>
              <w:adjustRightInd/>
              <w:snapToGrid/>
              <w:spacing w:after="0" w:line="400" w:lineRule="exact"/>
              <w:ind w:firstLine="45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A、审核要求：供应商未被列入失信被执行人、</w:t>
            </w:r>
            <w:r>
              <w:rPr>
                <w:rFonts w:hint="eastAsia" w:eastAsia="宋体"/>
                <w:color w:val="000000" w:themeColor="text1"/>
                <w:highlight w:val="none"/>
                <w14:textFill>
                  <w14:solidFill>
                    <w14:schemeClr w14:val="tx1"/>
                  </w14:solidFill>
                </w14:textFill>
              </w:rPr>
              <w:t>重大税收违法失信主体</w:t>
            </w:r>
            <w:r>
              <w:rPr>
                <w:rFonts w:hint="eastAsia"/>
                <w:color w:val="000000" w:themeColor="text1"/>
                <w:highlight w:val="none"/>
                <w14:textFill>
                  <w14:solidFill>
                    <w14:schemeClr w14:val="tx1"/>
                  </w14:solidFill>
                </w14:textFill>
              </w:rPr>
              <w:t>、政府采购严重违法失信行为记录名单。</w:t>
            </w:r>
          </w:p>
          <w:p w14:paraId="44516C7A">
            <w:pPr>
              <w:adjustRightInd/>
              <w:snapToGrid/>
              <w:spacing w:after="0" w:line="400" w:lineRule="exact"/>
              <w:ind w:firstLine="45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B、审核内容：供应商在“信用中国”网站（www.creditchina.gov.cn）、中国政府采购网（www.ccgp.gov.cn）的主体信用记录查询结果或界面截图（由采购人或采购代理机构对供应商进行信用信息查询，并将查询结果提供给磋商小组）。</w:t>
            </w:r>
          </w:p>
          <w:p w14:paraId="00917EB3">
            <w:pPr>
              <w:adjustRightInd/>
              <w:snapToGrid/>
              <w:spacing w:after="0" w:line="400" w:lineRule="exact"/>
              <w:ind w:firstLine="45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①“信用中国”查询内容：失信被执行人、</w:t>
            </w:r>
            <w:r>
              <w:rPr>
                <w:rFonts w:hint="eastAsia" w:eastAsia="宋体"/>
                <w:color w:val="000000" w:themeColor="text1"/>
                <w:highlight w:val="none"/>
                <w14:textFill>
                  <w14:solidFill>
                    <w14:schemeClr w14:val="tx1"/>
                  </w14:solidFill>
                </w14:textFill>
              </w:rPr>
              <w:t>重大税收违法失信主体</w:t>
            </w:r>
            <w:r>
              <w:rPr>
                <w:rFonts w:hint="eastAsia"/>
                <w:color w:val="000000" w:themeColor="text1"/>
                <w:highlight w:val="none"/>
                <w14:textFill>
                  <w14:solidFill>
                    <w14:schemeClr w14:val="tx1"/>
                  </w14:solidFill>
                </w14:textFill>
              </w:rPr>
              <w:t>、政府采购严重违法失信行为记录名单查询结果或界面截图；查询或打印截止时点：同</w:t>
            </w:r>
            <w:r>
              <w:rPr>
                <w:rFonts w:hint="eastAsia" w:eastAsia="宋体"/>
                <w:color w:val="000000" w:themeColor="text1"/>
                <w:highlight w:val="none"/>
                <w14:textFill>
                  <w14:solidFill>
                    <w14:schemeClr w14:val="tx1"/>
                  </w14:solidFill>
                </w14:textFill>
              </w:rPr>
              <w:t>磋商</w:t>
            </w:r>
            <w:r>
              <w:rPr>
                <w:rFonts w:hint="eastAsia"/>
                <w:color w:val="000000" w:themeColor="text1"/>
                <w:highlight w:val="none"/>
                <w14:textFill>
                  <w14:solidFill>
                    <w14:schemeClr w14:val="tx1"/>
                  </w14:solidFill>
                </w14:textFill>
              </w:rPr>
              <w:t>截止时间。</w:t>
            </w:r>
          </w:p>
          <w:p w14:paraId="670011C9">
            <w:pPr>
              <w:adjustRightInd/>
              <w:snapToGrid/>
              <w:spacing w:after="0" w:line="400" w:lineRule="exact"/>
              <w:ind w:firstLine="45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②“中国政府采购网”的查询内容：政府采购严重违法失信行为信息记录（查询界面截图须显示</w:t>
            </w:r>
            <w:r>
              <w:rPr>
                <w:rFonts w:hint="eastAsia" w:eastAsia="宋体"/>
                <w:color w:val="000000" w:themeColor="text1"/>
                <w:highlight w:val="none"/>
                <w14:textFill>
                  <w14:solidFill>
                    <w14:schemeClr w14:val="tx1"/>
                  </w14:solidFill>
                </w14:textFill>
              </w:rPr>
              <w:t>供应商</w:t>
            </w:r>
            <w:r>
              <w:rPr>
                <w:rFonts w:hint="eastAsia"/>
                <w:color w:val="000000" w:themeColor="text1"/>
                <w:highlight w:val="none"/>
                <w14:textFill>
                  <w14:solidFill>
                    <w14:schemeClr w14:val="tx1"/>
                  </w14:solidFill>
                </w14:textFill>
              </w:rPr>
              <w:t>名称以及查询结果）；查询时间：递交</w:t>
            </w:r>
            <w:r>
              <w:rPr>
                <w:rFonts w:hint="eastAsia" w:eastAsia="宋体"/>
                <w:color w:val="000000" w:themeColor="text1"/>
                <w:highlight w:val="none"/>
                <w14:textFill>
                  <w14:solidFill>
                    <w14:schemeClr w14:val="tx1"/>
                  </w14:solidFill>
                </w14:textFill>
              </w:rPr>
              <w:t>响应文件</w:t>
            </w:r>
            <w:r>
              <w:rPr>
                <w:rFonts w:hint="eastAsia"/>
                <w:color w:val="000000" w:themeColor="text1"/>
                <w:highlight w:val="none"/>
                <w14:textFill>
                  <w14:solidFill>
                    <w14:schemeClr w14:val="tx1"/>
                  </w14:solidFill>
                </w14:textFill>
              </w:rPr>
              <w:t>截止时间前三年内。</w:t>
            </w:r>
          </w:p>
        </w:tc>
      </w:tr>
      <w:tr w14:paraId="30AA8E24">
        <w:tblPrEx>
          <w:tblCellMar>
            <w:top w:w="0" w:type="dxa"/>
            <w:left w:w="108" w:type="dxa"/>
            <w:bottom w:w="0" w:type="dxa"/>
            <w:right w:w="108" w:type="dxa"/>
          </w:tblCellMar>
        </w:tblPrEx>
        <w:trPr>
          <w:jc w:val="center"/>
        </w:trPr>
        <w:tc>
          <w:tcPr>
            <w:tcW w:w="742" w:type="dxa"/>
            <w:vMerge w:val="restart"/>
            <w:tcBorders>
              <w:top w:val="nil"/>
              <w:left w:val="single" w:color="auto" w:sz="4" w:space="0"/>
              <w:right w:val="single" w:color="auto" w:sz="4" w:space="0"/>
            </w:tcBorders>
            <w:vAlign w:val="center"/>
          </w:tcPr>
          <w:p w14:paraId="55DB66D2">
            <w:pPr>
              <w:adjustRightInd/>
              <w:snapToGrid/>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2979" w:type="dxa"/>
            <w:gridSpan w:val="2"/>
            <w:vMerge w:val="restart"/>
            <w:tcBorders>
              <w:top w:val="single" w:color="auto" w:sz="4" w:space="0"/>
              <w:left w:val="single" w:color="auto" w:sz="4" w:space="0"/>
              <w:bottom w:val="single" w:color="auto" w:sz="4" w:space="0"/>
              <w:right w:val="single" w:color="auto" w:sz="4" w:space="0"/>
            </w:tcBorders>
            <w:vAlign w:val="center"/>
          </w:tcPr>
          <w:p w14:paraId="2C559B92">
            <w:pPr>
              <w:adjustRightInd/>
              <w:snapToGrid/>
              <w:spacing w:after="0"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供应商不得参加资格性审查的情形</w:t>
            </w:r>
          </w:p>
        </w:tc>
        <w:tc>
          <w:tcPr>
            <w:tcW w:w="6000" w:type="dxa"/>
            <w:tcBorders>
              <w:top w:val="nil"/>
              <w:left w:val="nil"/>
              <w:bottom w:val="single" w:color="auto" w:sz="4" w:space="0"/>
              <w:right w:val="single" w:color="auto" w:sz="4" w:space="0"/>
            </w:tcBorders>
            <w:vAlign w:val="center"/>
          </w:tcPr>
          <w:p w14:paraId="42C1429D">
            <w:pPr>
              <w:adjustRightInd/>
              <w:snapToGrid/>
              <w:spacing w:after="0" w:line="400" w:lineRule="exact"/>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单位负责人为同一人或者存在直接控股、管理关系的不同供应商，不得参加本项目同一合同项下的政府采购活动。为本项目提供规范编制或者项目管理、监理、检测等服务的供应商，不得再参加本项目的采购活动。</w:t>
            </w:r>
          </w:p>
        </w:tc>
      </w:tr>
      <w:tr w14:paraId="6E3651F0">
        <w:tblPrEx>
          <w:tblCellMar>
            <w:top w:w="0" w:type="dxa"/>
            <w:left w:w="108" w:type="dxa"/>
            <w:bottom w:w="0" w:type="dxa"/>
            <w:right w:w="108" w:type="dxa"/>
          </w:tblCellMar>
        </w:tblPrEx>
        <w:trPr>
          <w:trHeight w:val="728" w:hRule="atLeast"/>
          <w:jc w:val="center"/>
        </w:trPr>
        <w:tc>
          <w:tcPr>
            <w:tcW w:w="742" w:type="dxa"/>
            <w:vMerge w:val="continue"/>
            <w:tcBorders>
              <w:left w:val="single" w:color="auto" w:sz="4" w:space="0"/>
              <w:bottom w:val="single" w:color="auto" w:sz="4" w:space="0"/>
              <w:right w:val="single" w:color="auto" w:sz="4" w:space="0"/>
            </w:tcBorders>
            <w:vAlign w:val="center"/>
          </w:tcPr>
          <w:p w14:paraId="11B1D59D">
            <w:pPr>
              <w:adjustRightInd/>
              <w:snapToGrid/>
              <w:spacing w:after="0" w:line="400" w:lineRule="exact"/>
              <w:rPr>
                <w:rFonts w:ascii="宋体" w:hAnsi="宋体" w:eastAsia="宋体" w:cs="宋体"/>
                <w:color w:val="000000" w:themeColor="text1"/>
                <w:highlight w:val="none"/>
                <w14:textFill>
                  <w14:solidFill>
                    <w14:schemeClr w14:val="tx1"/>
                  </w14:solidFill>
                </w14:textFill>
              </w:rPr>
            </w:pPr>
          </w:p>
        </w:tc>
        <w:tc>
          <w:tcPr>
            <w:tcW w:w="2979" w:type="dxa"/>
            <w:gridSpan w:val="2"/>
            <w:vMerge w:val="continue"/>
            <w:tcBorders>
              <w:top w:val="single" w:color="auto" w:sz="4" w:space="0"/>
              <w:left w:val="single" w:color="auto" w:sz="4" w:space="0"/>
              <w:bottom w:val="single" w:color="auto" w:sz="4" w:space="0"/>
              <w:right w:val="single" w:color="auto" w:sz="4" w:space="0"/>
            </w:tcBorders>
            <w:vAlign w:val="center"/>
          </w:tcPr>
          <w:p w14:paraId="742CAFB1">
            <w:pPr>
              <w:adjustRightInd/>
              <w:snapToGrid/>
              <w:spacing w:after="0" w:line="400" w:lineRule="exact"/>
              <w:rPr>
                <w:rFonts w:ascii="宋体" w:hAnsi="宋体" w:eastAsia="宋体" w:cs="宋体"/>
                <w:color w:val="000000" w:themeColor="text1"/>
                <w:highlight w:val="none"/>
                <w14:textFill>
                  <w14:solidFill>
                    <w14:schemeClr w14:val="tx1"/>
                  </w14:solidFill>
                </w14:textFill>
              </w:rPr>
            </w:pPr>
          </w:p>
        </w:tc>
        <w:tc>
          <w:tcPr>
            <w:tcW w:w="6000" w:type="dxa"/>
            <w:tcBorders>
              <w:top w:val="nil"/>
              <w:left w:val="nil"/>
              <w:bottom w:val="single" w:color="auto" w:sz="4" w:space="0"/>
              <w:right w:val="single" w:color="auto" w:sz="4" w:space="0"/>
            </w:tcBorders>
            <w:vAlign w:val="center"/>
          </w:tcPr>
          <w:p w14:paraId="1D728FDD">
            <w:pPr>
              <w:adjustRightInd/>
              <w:snapToGrid/>
              <w:spacing w:after="0"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（2）在财政部门禁止参加政府采购活动期限以内的。</w:t>
            </w:r>
          </w:p>
        </w:tc>
      </w:tr>
    </w:tbl>
    <w:p w14:paraId="355F77A5">
      <w:pPr>
        <w:pStyle w:val="23"/>
        <w:spacing w:line="440" w:lineRule="exact"/>
        <w:ind w:firstLine="480" w:firstLineChars="200"/>
        <w:rPr>
          <w:rFonts w:hAnsi="宋体" w:cs="宋体"/>
          <w:color w:val="000000" w:themeColor="text1"/>
          <w:sz w:val="24"/>
          <w:szCs w:val="22"/>
          <w:highlight w:val="none"/>
          <w14:textFill>
            <w14:solidFill>
              <w14:schemeClr w14:val="tx1"/>
            </w14:solidFill>
          </w14:textFill>
        </w:rPr>
      </w:pPr>
    </w:p>
    <w:p w14:paraId="49823150">
      <w:pPr>
        <w:spacing w:after="0" w:line="400" w:lineRule="exact"/>
        <w:ind w:firstLine="482" w:firstLineChars="200"/>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 xml:space="preserve">2、符合性检查 </w:t>
      </w:r>
    </w:p>
    <w:p w14:paraId="79A508B6">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资格性审查结束后，由磋商小组对通过资格性审查的供应商的响应文件进行符合性审查，以确定供应商是否满足磋商文件的实质性要求。符合性检查资料表如下，缺少任何一项或有任何一项不合格者，其符合性审查视为不合格。</w:t>
      </w:r>
    </w:p>
    <w:tbl>
      <w:tblPr>
        <w:tblStyle w:val="45"/>
        <w:tblpPr w:leftFromText="180" w:rightFromText="180" w:vertAnchor="text" w:horzAnchor="page" w:tblpX="1580" w:tblpY="288"/>
        <w:tblOverlap w:val="never"/>
        <w:tblW w:w="9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2737"/>
        <w:gridCol w:w="5631"/>
      </w:tblGrid>
      <w:tr w14:paraId="7B74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blHeader/>
        </w:trPr>
        <w:tc>
          <w:tcPr>
            <w:tcW w:w="1131" w:type="dxa"/>
            <w:vAlign w:val="center"/>
          </w:tcPr>
          <w:p w14:paraId="6DACC74D">
            <w:pPr>
              <w:adjustRightInd/>
              <w:snapToGrid/>
              <w:spacing w:after="0" w:line="400" w:lineRule="exact"/>
              <w:jc w:val="center"/>
              <w:rPr>
                <w:rFonts w:ascii="宋体" w:hAnsi="宋体" w:eastAsia="宋体" w:cs="宋体"/>
                <w:b/>
                <w:bCs/>
                <w:color w:val="000000" w:themeColor="text1"/>
                <w:szCs w:val="22"/>
                <w:highlight w:val="none"/>
                <w14:textFill>
                  <w14:solidFill>
                    <w14:schemeClr w14:val="tx1"/>
                  </w14:solidFill>
                </w14:textFill>
              </w:rPr>
            </w:pPr>
            <w:r>
              <w:rPr>
                <w:rFonts w:hint="eastAsia" w:ascii="宋体" w:hAnsi="宋体" w:eastAsia="宋体" w:cs="宋体"/>
                <w:b/>
                <w:bCs/>
                <w:color w:val="000000" w:themeColor="text1"/>
                <w:szCs w:val="22"/>
                <w:highlight w:val="none"/>
                <w14:textFill>
                  <w14:solidFill>
                    <w14:schemeClr w14:val="tx1"/>
                  </w14:solidFill>
                </w14:textFill>
              </w:rPr>
              <w:t>序号</w:t>
            </w:r>
          </w:p>
        </w:tc>
        <w:tc>
          <w:tcPr>
            <w:tcW w:w="2737" w:type="dxa"/>
            <w:vAlign w:val="center"/>
          </w:tcPr>
          <w:p w14:paraId="17944CB3">
            <w:pPr>
              <w:adjustRightInd/>
              <w:snapToGrid/>
              <w:spacing w:after="0" w:line="400" w:lineRule="exact"/>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评审因素</w:t>
            </w:r>
          </w:p>
        </w:tc>
        <w:tc>
          <w:tcPr>
            <w:tcW w:w="5631" w:type="dxa"/>
            <w:vAlign w:val="center"/>
          </w:tcPr>
          <w:p w14:paraId="4E7E24B3">
            <w:pPr>
              <w:adjustRightInd/>
              <w:snapToGrid/>
              <w:spacing w:after="0" w:line="400" w:lineRule="exact"/>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评审内容及评审标准</w:t>
            </w:r>
          </w:p>
        </w:tc>
      </w:tr>
      <w:tr w14:paraId="2D565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31" w:type="dxa"/>
            <w:vAlign w:val="center"/>
          </w:tcPr>
          <w:p w14:paraId="091717A6">
            <w:pPr>
              <w:adjustRightInd/>
              <w:snapToGrid/>
              <w:spacing w:after="0" w:line="400" w:lineRule="exact"/>
              <w:jc w:val="center"/>
              <w:rPr>
                <w:rFonts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1</w:t>
            </w:r>
          </w:p>
        </w:tc>
        <w:tc>
          <w:tcPr>
            <w:tcW w:w="2737" w:type="dxa"/>
            <w:vAlign w:val="center"/>
          </w:tcPr>
          <w:p w14:paraId="279CEEAE">
            <w:pPr>
              <w:adjustRightInd/>
              <w:snapToGrid/>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响应文件签署</w:t>
            </w:r>
          </w:p>
        </w:tc>
        <w:tc>
          <w:tcPr>
            <w:tcW w:w="5631" w:type="dxa"/>
            <w:vAlign w:val="center"/>
          </w:tcPr>
          <w:p w14:paraId="39998C7E">
            <w:pPr>
              <w:adjustRightInd/>
              <w:snapToGrid/>
              <w:spacing w:after="0"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响应文件上法定代表人或其授权代表人已按要求签字盖章。 </w:t>
            </w:r>
          </w:p>
        </w:tc>
      </w:tr>
      <w:tr w14:paraId="38C14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131" w:type="dxa"/>
            <w:vAlign w:val="center"/>
          </w:tcPr>
          <w:p w14:paraId="53422213">
            <w:pPr>
              <w:adjustRightInd/>
              <w:snapToGrid/>
              <w:spacing w:after="0" w:line="400" w:lineRule="exact"/>
              <w:jc w:val="center"/>
              <w:rPr>
                <w:rFonts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2</w:t>
            </w:r>
          </w:p>
        </w:tc>
        <w:tc>
          <w:tcPr>
            <w:tcW w:w="2737" w:type="dxa"/>
            <w:vAlign w:val="center"/>
          </w:tcPr>
          <w:p w14:paraId="66F77C3F">
            <w:pPr>
              <w:adjustRightInd/>
              <w:snapToGrid/>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法定代表人身份证明及授权委托书</w:t>
            </w:r>
          </w:p>
        </w:tc>
        <w:tc>
          <w:tcPr>
            <w:tcW w:w="5631" w:type="dxa"/>
            <w:vAlign w:val="center"/>
          </w:tcPr>
          <w:p w14:paraId="313559D6">
            <w:pPr>
              <w:adjustRightInd/>
              <w:snapToGrid/>
              <w:spacing w:after="0" w:line="400" w:lineRule="exact"/>
              <w:ind w:firstLine="4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法定代表人身份证明及授权委托书须有效，符合采购文件规定的格式，签字或盖章齐全。</w:t>
            </w:r>
          </w:p>
        </w:tc>
      </w:tr>
      <w:tr w14:paraId="0DC8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31" w:type="dxa"/>
            <w:vAlign w:val="center"/>
          </w:tcPr>
          <w:p w14:paraId="3EC1808C">
            <w:pPr>
              <w:adjustRightInd/>
              <w:snapToGrid/>
              <w:spacing w:after="0" w:line="400" w:lineRule="exact"/>
              <w:jc w:val="center"/>
              <w:rPr>
                <w:rFonts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3</w:t>
            </w:r>
          </w:p>
        </w:tc>
        <w:tc>
          <w:tcPr>
            <w:tcW w:w="2737" w:type="dxa"/>
            <w:vAlign w:val="center"/>
          </w:tcPr>
          <w:p w14:paraId="4D7BEDAF">
            <w:pPr>
              <w:adjustRightInd/>
              <w:snapToGrid/>
              <w:spacing w:after="0" w:line="400" w:lineRule="exact"/>
              <w:ind w:firstLine="480" w:firstLineChars="20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响应文件唯一性</w:t>
            </w:r>
          </w:p>
        </w:tc>
        <w:tc>
          <w:tcPr>
            <w:tcW w:w="5631" w:type="dxa"/>
            <w:vAlign w:val="center"/>
          </w:tcPr>
          <w:p w14:paraId="46CF0342">
            <w:pPr>
              <w:adjustRightInd/>
              <w:snapToGrid/>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同一供应商不得提交两个以上不同的响应文件，但磋商文件要求提交备选的除外。</w:t>
            </w:r>
          </w:p>
        </w:tc>
      </w:tr>
      <w:tr w14:paraId="3804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31" w:type="dxa"/>
            <w:vAlign w:val="center"/>
          </w:tcPr>
          <w:p w14:paraId="2CBFC1A9">
            <w:pPr>
              <w:adjustRightInd/>
              <w:snapToGrid/>
              <w:spacing w:after="0" w:line="400" w:lineRule="exact"/>
              <w:jc w:val="center"/>
              <w:rPr>
                <w:rFonts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4</w:t>
            </w:r>
          </w:p>
        </w:tc>
        <w:tc>
          <w:tcPr>
            <w:tcW w:w="2737" w:type="dxa"/>
            <w:vAlign w:val="center"/>
          </w:tcPr>
          <w:p w14:paraId="5EAE3C10">
            <w:pPr>
              <w:adjustRightInd/>
              <w:snapToGrid/>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附加条件</w:t>
            </w:r>
          </w:p>
        </w:tc>
        <w:tc>
          <w:tcPr>
            <w:tcW w:w="5631" w:type="dxa"/>
            <w:vAlign w:val="center"/>
          </w:tcPr>
          <w:p w14:paraId="5146A46E">
            <w:pPr>
              <w:adjustRightInd/>
              <w:snapToGrid/>
              <w:spacing w:after="0"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响应文件不得含有采购不能接受的附加条件。</w:t>
            </w:r>
          </w:p>
        </w:tc>
      </w:tr>
      <w:tr w14:paraId="5DB5E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131" w:type="dxa"/>
            <w:vAlign w:val="center"/>
          </w:tcPr>
          <w:p w14:paraId="62A9213A">
            <w:pPr>
              <w:adjustRightInd/>
              <w:snapToGrid/>
              <w:spacing w:after="0" w:line="400" w:lineRule="exact"/>
              <w:jc w:val="center"/>
              <w:rPr>
                <w:rFonts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5</w:t>
            </w:r>
          </w:p>
        </w:tc>
        <w:tc>
          <w:tcPr>
            <w:tcW w:w="2737" w:type="dxa"/>
            <w:vAlign w:val="center"/>
          </w:tcPr>
          <w:p w14:paraId="0A3FF543">
            <w:pPr>
              <w:adjustRightInd/>
              <w:snapToGrid/>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磋商报价</w:t>
            </w:r>
          </w:p>
        </w:tc>
        <w:tc>
          <w:tcPr>
            <w:tcW w:w="5631" w:type="dxa"/>
            <w:vAlign w:val="center"/>
          </w:tcPr>
          <w:p w14:paraId="04526FC4">
            <w:pPr>
              <w:adjustRightInd/>
              <w:snapToGrid/>
              <w:spacing w:after="0"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报价超出采购预算金额或最高限价（如有）的，响应文件无效。提交有选择的或有条件的报价，响应文件无效。</w:t>
            </w:r>
          </w:p>
        </w:tc>
      </w:tr>
      <w:tr w14:paraId="48A4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131" w:type="dxa"/>
            <w:vAlign w:val="center"/>
          </w:tcPr>
          <w:p w14:paraId="762B2C10">
            <w:pPr>
              <w:adjustRightInd/>
              <w:snapToGrid/>
              <w:spacing w:after="0" w:line="400" w:lineRule="exact"/>
              <w:jc w:val="center"/>
              <w:rPr>
                <w:rFonts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6</w:t>
            </w:r>
          </w:p>
        </w:tc>
        <w:tc>
          <w:tcPr>
            <w:tcW w:w="2737" w:type="dxa"/>
            <w:vAlign w:val="center"/>
          </w:tcPr>
          <w:p w14:paraId="136ED40A">
            <w:pPr>
              <w:adjustRightInd/>
              <w:snapToGrid/>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响应文件内容</w:t>
            </w:r>
          </w:p>
        </w:tc>
        <w:tc>
          <w:tcPr>
            <w:tcW w:w="5631" w:type="dxa"/>
            <w:vAlign w:val="center"/>
          </w:tcPr>
          <w:p w14:paraId="514645BC">
            <w:pPr>
              <w:adjustRightInd/>
              <w:snapToGrid/>
              <w:spacing w:after="0"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响应文件按第二章第3.1.1款内容</w:t>
            </w:r>
            <w:r>
              <w:rPr>
                <w:rFonts w:hint="eastAsia" w:ascii="宋体" w:hAnsi="宋体" w:eastAsia="宋体" w:cs="宋体"/>
                <w:color w:val="000000" w:themeColor="text1"/>
                <w:highlight w:val="none"/>
                <w:lang w:val="en-US" w:eastAsia="zh-CN"/>
                <w14:textFill>
                  <w14:solidFill>
                    <w14:schemeClr w14:val="tx1"/>
                  </w14:solidFill>
                </w14:textFill>
              </w:rPr>
              <w:t>提供</w:t>
            </w:r>
            <w:r>
              <w:rPr>
                <w:rFonts w:hint="eastAsia" w:ascii="宋体" w:hAnsi="宋体" w:eastAsia="宋体" w:cs="宋体"/>
                <w:color w:val="000000" w:themeColor="text1"/>
                <w:highlight w:val="none"/>
                <w14:textFill>
                  <w14:solidFill>
                    <w14:schemeClr w14:val="tx1"/>
                  </w14:solidFill>
                </w14:textFill>
              </w:rPr>
              <w:t>齐全、无遗漏。</w:t>
            </w:r>
          </w:p>
        </w:tc>
      </w:tr>
      <w:tr w14:paraId="4DAD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31" w:type="dxa"/>
            <w:vAlign w:val="center"/>
          </w:tcPr>
          <w:p w14:paraId="107F8FE0">
            <w:pPr>
              <w:adjustRightInd/>
              <w:snapToGrid/>
              <w:spacing w:after="0" w:line="400" w:lineRule="exact"/>
              <w:jc w:val="center"/>
              <w:rPr>
                <w:rFonts w:ascii="宋体" w:hAnsi="宋体" w:eastAsia="宋体" w:cs="宋体"/>
                <w:color w:val="000000" w:themeColor="text1"/>
                <w:szCs w:val="22"/>
                <w:highlight w:val="none"/>
                <w14:textFill>
                  <w14:solidFill>
                    <w14:schemeClr w14:val="tx1"/>
                  </w14:solidFill>
                </w14:textFill>
              </w:rPr>
            </w:pPr>
            <w:r>
              <w:rPr>
                <w:rFonts w:hint="eastAsia" w:ascii="宋体" w:hAnsi="宋体" w:eastAsia="宋体" w:cs="宋体"/>
                <w:color w:val="000000" w:themeColor="text1"/>
                <w:szCs w:val="22"/>
                <w:highlight w:val="none"/>
                <w14:textFill>
                  <w14:solidFill>
                    <w14:schemeClr w14:val="tx1"/>
                  </w14:solidFill>
                </w14:textFill>
              </w:rPr>
              <w:t>7</w:t>
            </w:r>
          </w:p>
        </w:tc>
        <w:tc>
          <w:tcPr>
            <w:tcW w:w="2737" w:type="dxa"/>
            <w:vAlign w:val="center"/>
          </w:tcPr>
          <w:p w14:paraId="3EE1F51D">
            <w:pPr>
              <w:adjustRightInd/>
              <w:snapToGrid/>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实质性条款响应</w:t>
            </w:r>
          </w:p>
        </w:tc>
        <w:tc>
          <w:tcPr>
            <w:tcW w:w="5631" w:type="dxa"/>
            <w:vAlign w:val="center"/>
          </w:tcPr>
          <w:p w14:paraId="71A7FE25">
            <w:pPr>
              <w:adjustRightInd/>
              <w:snapToGrid/>
              <w:spacing w:after="0"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对采购文件中所有标注“▲”号的实质性条款要求响应均无负偏离。</w:t>
            </w:r>
          </w:p>
        </w:tc>
      </w:tr>
      <w:tr w14:paraId="7F5E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131" w:type="dxa"/>
            <w:vAlign w:val="center"/>
          </w:tcPr>
          <w:p w14:paraId="665F8A86">
            <w:pPr>
              <w:adjustRightInd/>
              <w:snapToGrid/>
              <w:spacing w:after="0" w:line="400" w:lineRule="exact"/>
              <w:jc w:val="center"/>
              <w:rPr>
                <w:rFonts w:hint="eastAsia" w:ascii="宋体" w:hAnsi="宋体" w:eastAsia="宋体" w:cs="宋体"/>
                <w:color w:val="000000" w:themeColor="text1"/>
                <w:szCs w:val="22"/>
                <w:highlight w:val="none"/>
                <w:lang w:eastAsia="zh-CN"/>
                <w14:textFill>
                  <w14:solidFill>
                    <w14:schemeClr w14:val="tx1"/>
                  </w14:solidFill>
                </w14:textFill>
              </w:rPr>
            </w:pPr>
            <w:r>
              <w:rPr>
                <w:rFonts w:hint="eastAsia" w:ascii="宋体" w:hAnsi="宋体" w:eastAsia="宋体" w:cs="宋体"/>
                <w:color w:val="000000" w:themeColor="text1"/>
                <w:szCs w:val="22"/>
                <w:highlight w:val="none"/>
                <w:lang w:val="en-US" w:eastAsia="zh-CN"/>
                <w14:textFill>
                  <w14:solidFill>
                    <w14:schemeClr w14:val="tx1"/>
                  </w14:solidFill>
                </w14:textFill>
              </w:rPr>
              <w:t>8</w:t>
            </w:r>
          </w:p>
        </w:tc>
        <w:tc>
          <w:tcPr>
            <w:tcW w:w="2737" w:type="dxa"/>
            <w:vAlign w:val="center"/>
          </w:tcPr>
          <w:p w14:paraId="5F25F8D2">
            <w:pPr>
              <w:adjustRightInd/>
              <w:snapToGrid/>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响应有效期</w:t>
            </w:r>
          </w:p>
        </w:tc>
        <w:tc>
          <w:tcPr>
            <w:tcW w:w="5631" w:type="dxa"/>
            <w:vAlign w:val="center"/>
          </w:tcPr>
          <w:p w14:paraId="3B90162F">
            <w:pPr>
              <w:adjustRightInd/>
              <w:snapToGrid/>
              <w:spacing w:after="0"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满足磋商文件规定并在第六章 响应文件格式“磋商书”做出响应的。</w:t>
            </w:r>
          </w:p>
        </w:tc>
      </w:tr>
    </w:tbl>
    <w:p w14:paraId="51FAE0E4">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p>
    <w:p w14:paraId="55E5F6FC">
      <w:pPr>
        <w:pStyle w:val="23"/>
        <w:numPr>
          <w:ilvl w:val="0"/>
          <w:numId w:val="53"/>
        </w:numPr>
        <w:spacing w:line="440" w:lineRule="exact"/>
        <w:ind w:firstLine="482" w:firstLineChars="200"/>
        <w:rPr>
          <w:rFonts w:hAnsi="宋体" w:cs="宋体"/>
          <w:b/>
          <w:color w:val="000000" w:themeColor="text1"/>
          <w:sz w:val="24"/>
          <w:highlight w:val="none"/>
          <w14:textFill>
            <w14:solidFill>
              <w14:schemeClr w14:val="tx1"/>
            </w14:solidFill>
          </w14:textFill>
        </w:rPr>
      </w:pPr>
      <w:r>
        <w:rPr>
          <w:rFonts w:hint="eastAsia" w:hAnsi="宋体" w:cs="宋体"/>
          <w:b/>
          <w:color w:val="000000" w:themeColor="text1"/>
          <w:sz w:val="24"/>
          <w:highlight w:val="none"/>
          <w14:textFill>
            <w14:solidFill>
              <w14:schemeClr w14:val="tx1"/>
            </w14:solidFill>
          </w14:textFill>
        </w:rPr>
        <w:t>详细评审</w:t>
      </w:r>
    </w:p>
    <w:p w14:paraId="3F2959AF">
      <w:pPr>
        <w:pStyle w:val="23"/>
        <w:spacing w:line="440" w:lineRule="exact"/>
        <w:ind w:firstLine="480" w:firstLineChars="200"/>
        <w:rPr>
          <w:rFonts w:hAnsi="宋体" w:cs="宋体"/>
          <w:color w:val="000000" w:themeColor="text1"/>
          <w:sz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磋商结束后磋商小组按磋商文件中规定的评审方法及评审标准对响应文件及双方磋商的书面结果，进行详细评审。具体评标标准见《评分表》。</w:t>
      </w:r>
    </w:p>
    <w:tbl>
      <w:tblPr>
        <w:tblStyle w:val="45"/>
        <w:tblW w:w="9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198"/>
        <w:gridCol w:w="1480"/>
        <w:gridCol w:w="6600"/>
      </w:tblGrid>
      <w:tr w14:paraId="4588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845" w:type="dxa"/>
            <w:gridSpan w:val="2"/>
            <w:vAlign w:val="center"/>
          </w:tcPr>
          <w:p w14:paraId="22C85AFC">
            <w:pPr>
              <w:spacing w:after="0" w:line="400" w:lineRule="exact"/>
              <w:jc w:val="center"/>
              <w:textAlignment w:val="baseline"/>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序号</w:t>
            </w:r>
          </w:p>
        </w:tc>
        <w:tc>
          <w:tcPr>
            <w:tcW w:w="1480" w:type="dxa"/>
            <w:vAlign w:val="center"/>
          </w:tcPr>
          <w:p w14:paraId="49D6AE86">
            <w:pPr>
              <w:spacing w:after="0" w:line="400" w:lineRule="exact"/>
              <w:jc w:val="center"/>
              <w:textAlignment w:val="baseline"/>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评分因素</w:t>
            </w:r>
          </w:p>
        </w:tc>
        <w:tc>
          <w:tcPr>
            <w:tcW w:w="6600" w:type="dxa"/>
            <w:vAlign w:val="center"/>
          </w:tcPr>
          <w:p w14:paraId="6947A3D0">
            <w:pPr>
              <w:spacing w:after="0" w:line="400" w:lineRule="exact"/>
              <w:jc w:val="center"/>
              <w:textAlignment w:val="baseline"/>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评分标准</w:t>
            </w:r>
          </w:p>
        </w:tc>
      </w:tr>
      <w:tr w14:paraId="6AE74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647" w:type="dxa"/>
            <w:vAlign w:val="center"/>
          </w:tcPr>
          <w:p w14:paraId="73BA1B7D">
            <w:pPr>
              <w:spacing w:after="0" w:line="400" w:lineRule="exact"/>
              <w:jc w:val="center"/>
              <w:textAlignment w:val="baseline"/>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198" w:type="dxa"/>
            <w:vAlign w:val="center"/>
          </w:tcPr>
          <w:p w14:paraId="21CA4662">
            <w:pPr>
              <w:pStyle w:val="23"/>
              <w:spacing w:line="312" w:lineRule="auto"/>
              <w:jc w:val="center"/>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价格分</w:t>
            </w:r>
          </w:p>
          <w:p w14:paraId="6F336D67">
            <w:pPr>
              <w:pStyle w:val="23"/>
              <w:spacing w:line="312" w:lineRule="auto"/>
              <w:jc w:val="center"/>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（满分10分）</w:t>
            </w:r>
          </w:p>
        </w:tc>
        <w:tc>
          <w:tcPr>
            <w:tcW w:w="1480" w:type="dxa"/>
            <w:vAlign w:val="center"/>
          </w:tcPr>
          <w:p w14:paraId="29BFF534">
            <w:pPr>
              <w:pStyle w:val="23"/>
              <w:spacing w:line="312" w:lineRule="auto"/>
              <w:jc w:val="center"/>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磋商报价（满分10分）</w:t>
            </w:r>
          </w:p>
        </w:tc>
        <w:tc>
          <w:tcPr>
            <w:tcW w:w="6600" w:type="dxa"/>
            <w:vAlign w:val="center"/>
          </w:tcPr>
          <w:p w14:paraId="7F2DAE34">
            <w:pPr>
              <w:pStyle w:val="23"/>
              <w:spacing w:line="312" w:lineRule="auto"/>
              <w:ind w:firstLine="480" w:firstLineChars="200"/>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（1）评标报价为供应商的磋商报价进行政策性扣除后的价格，评标报价只是作为评标时使用。最终成交人的成交金额等于磋商报价。</w:t>
            </w:r>
          </w:p>
          <w:p w14:paraId="37B43F4D">
            <w:pPr>
              <w:pStyle w:val="23"/>
              <w:spacing w:line="312" w:lineRule="auto"/>
              <w:ind w:firstLine="480" w:firstLineChars="200"/>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（2）本国产品政策性扣除计算方法</w:t>
            </w:r>
          </w:p>
          <w:p w14:paraId="10AAE478">
            <w:pPr>
              <w:pStyle w:val="23"/>
              <w:spacing w:line="312" w:lineRule="auto"/>
              <w:ind w:firstLine="480" w:firstLineChars="200"/>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51C3A97C">
            <w:pPr>
              <w:pStyle w:val="23"/>
              <w:spacing w:line="312" w:lineRule="auto"/>
              <w:ind w:firstLine="480" w:firstLineChars="200"/>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A9AA441">
            <w:pPr>
              <w:pStyle w:val="23"/>
              <w:spacing w:line="312" w:lineRule="auto"/>
              <w:ind w:firstLine="480" w:firstLineChars="200"/>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供应商在其投标文件中提供《关于符合本国产品标准的声明函》或财政部会同有关部门规定的有关证明文件，出具符合要求的《关于符合本国产品标准的声明函》或有关证明文件的，该产品视为本国产品。</w:t>
            </w:r>
          </w:p>
          <w:p w14:paraId="41297DD5">
            <w:pPr>
              <w:pStyle w:val="23"/>
              <w:spacing w:line="312" w:lineRule="auto"/>
              <w:ind w:firstLine="480" w:firstLineChars="200"/>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如果所有参与竞争的供应商均可享受本国产品价格评审优惠，则统一不进行价格扣除。</w:t>
            </w:r>
          </w:p>
          <w:p w14:paraId="1DD8C5D6">
            <w:pPr>
              <w:pStyle w:val="23"/>
              <w:spacing w:line="312" w:lineRule="auto"/>
              <w:ind w:firstLine="480" w:firstLineChars="200"/>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6）中小企业折扣与本国产品折扣进行叠加计算，用扣除后的价格参加评审。即评标价=竞标报价-中小企业折扣价-本国产品折扣价，即评标价=竞标报价-竞标报价×20%=竞标报价×（1-20%），除上述情况外，评标价=竞标报价。</w:t>
            </w:r>
          </w:p>
          <w:p w14:paraId="702C7EDE">
            <w:pPr>
              <w:pStyle w:val="23"/>
              <w:spacing w:line="312" w:lineRule="auto"/>
              <w:ind w:firstLine="480" w:firstLineChars="200"/>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满足竞争性磋商文件要求且竞标报价最低的评标报价为评标基准价，基准价得分为满分。</w:t>
            </w:r>
          </w:p>
          <w:p w14:paraId="12284E5F">
            <w:pPr>
              <w:pStyle w:val="23"/>
              <w:spacing w:line="312" w:lineRule="auto"/>
              <w:ind w:firstLine="240" w:firstLineChars="100"/>
              <w:rPr>
                <w:rFonts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价格分计算公式：价格分=(评标基准价／评标价)×10分</w:t>
            </w:r>
          </w:p>
        </w:tc>
      </w:tr>
      <w:tr w14:paraId="127D0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647" w:type="dxa"/>
            <w:vMerge w:val="restart"/>
            <w:vAlign w:val="center"/>
          </w:tcPr>
          <w:p w14:paraId="1EAF2727">
            <w:pPr>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198" w:type="dxa"/>
            <w:vMerge w:val="restart"/>
            <w:vAlign w:val="center"/>
          </w:tcPr>
          <w:p w14:paraId="5C727EA9">
            <w:pPr>
              <w:spacing w:line="360" w:lineRule="auto"/>
              <w:ind w:left="-120" w:leftChars="-50" w:right="-120" w:rightChars="-50"/>
              <w:jc w:val="center"/>
              <w:textAlignment w:val="baseline"/>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技术分</w:t>
            </w:r>
          </w:p>
          <w:p w14:paraId="789D057A">
            <w:pPr>
              <w:spacing w:after="0" w:line="400" w:lineRule="exact"/>
              <w:jc w:val="center"/>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满</w:t>
            </w:r>
            <w:r>
              <w:rPr>
                <w:rFonts w:hint="eastAsia" w:ascii="宋体" w:hAnsi="宋体"/>
                <w:bCs/>
                <w:color w:val="000000" w:themeColor="text1"/>
                <w:highlight w:val="none"/>
                <w14:textFill>
                  <w14:solidFill>
                    <w14:schemeClr w14:val="tx1"/>
                  </w14:solidFill>
                </w14:textFill>
              </w:rPr>
              <w:t>分7</w:t>
            </w:r>
            <w:r>
              <w:rPr>
                <w:rFonts w:hint="eastAsia" w:ascii="宋体" w:hAnsi="宋体" w:eastAsia="宋体"/>
                <w:bCs/>
                <w:color w:val="000000" w:themeColor="text1"/>
                <w:highlight w:val="none"/>
                <w14:textFill>
                  <w14:solidFill>
                    <w14:schemeClr w14:val="tx1"/>
                  </w14:solidFill>
                </w14:textFill>
              </w:rPr>
              <w:t>0</w:t>
            </w:r>
            <w:r>
              <w:rPr>
                <w:rFonts w:hint="eastAsia" w:ascii="宋体" w:hAnsi="宋体"/>
                <w:bCs/>
                <w:color w:val="000000" w:themeColor="text1"/>
                <w:highlight w:val="none"/>
                <w14:textFill>
                  <w14:solidFill>
                    <w14:schemeClr w14:val="tx1"/>
                  </w14:solidFill>
                </w14:textFill>
              </w:rPr>
              <w:t xml:space="preserve">分） </w:t>
            </w:r>
          </w:p>
          <w:p w14:paraId="5E2BE73B">
            <w:pPr>
              <w:spacing w:after="0" w:line="400" w:lineRule="exact"/>
              <w:jc w:val="center"/>
              <w:rPr>
                <w:rFonts w:ascii="宋体" w:hAnsi="宋体" w:eastAsia="宋体" w:cs="宋体"/>
                <w:bCs/>
                <w:color w:val="000000" w:themeColor="text1"/>
                <w:highlight w:val="none"/>
                <w14:textFill>
                  <w14:solidFill>
                    <w14:schemeClr w14:val="tx1"/>
                  </w14:solidFill>
                </w14:textFill>
              </w:rPr>
            </w:pPr>
          </w:p>
        </w:tc>
        <w:tc>
          <w:tcPr>
            <w:tcW w:w="1480" w:type="dxa"/>
            <w:vAlign w:val="center"/>
          </w:tcPr>
          <w:p w14:paraId="36885A98">
            <w:pPr>
              <w:pStyle w:val="23"/>
              <w:spacing w:line="312" w:lineRule="auto"/>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采购需求的响应（满分20分）</w:t>
            </w:r>
          </w:p>
        </w:tc>
        <w:tc>
          <w:tcPr>
            <w:tcW w:w="6600" w:type="dxa"/>
          </w:tcPr>
          <w:p w14:paraId="00DD0524">
            <w:pPr>
              <w:pStyle w:val="23"/>
              <w:spacing w:line="312" w:lineRule="auto"/>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1、完全满足采购文件参数要求的得20分。存在有负偏离的每一个扣2分，最多扣完本项分值。</w:t>
            </w:r>
            <w:r>
              <w:rPr>
                <w:rFonts w:hint="eastAsia" w:hAnsi="宋体" w:cs="宋体"/>
                <w:color w:val="000000" w:themeColor="text1"/>
                <w:sz w:val="24"/>
                <w:szCs w:val="24"/>
                <w:highlight w:val="none"/>
                <w14:textFill>
                  <w14:solidFill>
                    <w14:schemeClr w14:val="tx1"/>
                  </w14:solidFill>
                </w14:textFill>
              </w:rPr>
              <w:br w:type="textWrapping"/>
            </w:r>
            <w:r>
              <w:rPr>
                <w:rFonts w:hint="eastAsia" w:hAnsi="宋体" w:cs="宋体"/>
                <w:color w:val="000000" w:themeColor="text1"/>
                <w:sz w:val="24"/>
                <w:szCs w:val="24"/>
                <w:highlight w:val="none"/>
                <w14:textFill>
                  <w14:solidFill>
                    <w14:schemeClr w14:val="tx1"/>
                  </w14:solidFill>
                </w14:textFill>
              </w:rPr>
              <w:t>注：供应商须对本竞争性磋商文件的采购需求“服务内容及技术服务要求”应答。标注“▲”为实质性条款，有一项不满足视为无效竞标。如供应商响应文件对竞争性磋商文件的采购需求“服务内容及技术服务要求”响应为无偏离，但磋商小组认定为负偏离的，磋商小组可给予相应扣分。</w:t>
            </w:r>
          </w:p>
        </w:tc>
      </w:tr>
      <w:tr w14:paraId="271D3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6" w:hRule="atLeast"/>
          <w:jc w:val="center"/>
        </w:trPr>
        <w:tc>
          <w:tcPr>
            <w:tcW w:w="647" w:type="dxa"/>
            <w:vMerge w:val="continue"/>
            <w:tcBorders>
              <w:bottom w:val="nil"/>
            </w:tcBorders>
            <w:vAlign w:val="center"/>
          </w:tcPr>
          <w:p w14:paraId="072E4BA7">
            <w:pPr>
              <w:spacing w:after="0" w:line="400" w:lineRule="exact"/>
              <w:jc w:val="center"/>
              <w:rPr>
                <w:rFonts w:ascii="宋体" w:hAnsi="宋体" w:eastAsia="宋体" w:cs="宋体"/>
                <w:color w:val="000000" w:themeColor="text1"/>
                <w:highlight w:val="none"/>
                <w14:textFill>
                  <w14:solidFill>
                    <w14:schemeClr w14:val="tx1"/>
                  </w14:solidFill>
                </w14:textFill>
              </w:rPr>
            </w:pPr>
          </w:p>
        </w:tc>
        <w:tc>
          <w:tcPr>
            <w:tcW w:w="1198" w:type="dxa"/>
            <w:vMerge w:val="continue"/>
            <w:vAlign w:val="center"/>
          </w:tcPr>
          <w:p w14:paraId="780B3906">
            <w:pPr>
              <w:spacing w:after="0" w:line="400" w:lineRule="exact"/>
              <w:jc w:val="center"/>
              <w:rPr>
                <w:rFonts w:ascii="宋体" w:hAnsi="宋体" w:eastAsia="宋体" w:cs="宋体"/>
                <w:bCs/>
                <w:color w:val="000000" w:themeColor="text1"/>
                <w:highlight w:val="none"/>
                <w14:textFill>
                  <w14:solidFill>
                    <w14:schemeClr w14:val="tx1"/>
                  </w14:solidFill>
                </w14:textFill>
              </w:rPr>
            </w:pPr>
          </w:p>
        </w:tc>
        <w:tc>
          <w:tcPr>
            <w:tcW w:w="1480" w:type="dxa"/>
          </w:tcPr>
          <w:p w14:paraId="0AD1D74D">
            <w:pPr>
              <w:pStyle w:val="23"/>
              <w:spacing w:line="312" w:lineRule="auto"/>
              <w:rPr>
                <w:rFonts w:hAnsi="宋体" w:cs="宋体"/>
                <w:color w:val="000000" w:themeColor="text1"/>
                <w:sz w:val="24"/>
                <w:szCs w:val="24"/>
                <w:highlight w:val="none"/>
                <w14:textFill>
                  <w14:solidFill>
                    <w14:schemeClr w14:val="tx1"/>
                  </w14:solidFill>
                </w14:textFill>
              </w:rPr>
            </w:pPr>
          </w:p>
          <w:p w14:paraId="1E69E59F">
            <w:pPr>
              <w:pStyle w:val="23"/>
              <w:spacing w:line="312" w:lineRule="auto"/>
              <w:rPr>
                <w:rFonts w:hAnsi="宋体" w:cs="宋体"/>
                <w:color w:val="000000" w:themeColor="text1"/>
                <w:sz w:val="24"/>
                <w:szCs w:val="24"/>
                <w:highlight w:val="none"/>
                <w14:textFill>
                  <w14:solidFill>
                    <w14:schemeClr w14:val="tx1"/>
                  </w14:solidFill>
                </w14:textFill>
              </w:rPr>
            </w:pPr>
          </w:p>
          <w:p w14:paraId="032D6A4A">
            <w:pPr>
              <w:pStyle w:val="23"/>
              <w:spacing w:line="312" w:lineRule="auto"/>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关键功能演示分 (满分 10分)</w:t>
            </w:r>
          </w:p>
        </w:tc>
        <w:tc>
          <w:tcPr>
            <w:tcW w:w="6600" w:type="dxa"/>
          </w:tcPr>
          <w:p w14:paraId="31F48EB8">
            <w:pPr>
              <w:pStyle w:val="23"/>
              <w:spacing w:line="312" w:lineRule="auto"/>
              <w:rPr>
                <w:color w:val="000000" w:themeColor="text1"/>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磋商小组根据各供应商对采购需求中“一、服务内容及技术服务要求”附件中“演示内容”进行演示：</w:t>
            </w:r>
          </w:p>
          <w:p w14:paraId="528A16F3">
            <w:pPr>
              <w:pStyle w:val="23"/>
              <w:spacing w:line="312" w:lineRule="auto"/>
              <w:rPr>
                <w:rFonts w:hAnsi="宋体" w:cs="宋体"/>
                <w:color w:val="000000" w:themeColor="text1"/>
                <w:sz w:val="24"/>
                <w:szCs w:val="24"/>
                <w:highlight w:val="none"/>
                <w14:textFill>
                  <w14:solidFill>
                    <w14:schemeClr w14:val="tx1"/>
                  </w14:solidFill>
                </w14:textFill>
              </w:rPr>
            </w:pPr>
            <w:r>
              <w:rPr>
                <w:rFonts w:hAnsi="宋体" w:cs="宋体"/>
                <w:color w:val="000000" w:themeColor="text1"/>
                <w:sz w:val="24"/>
                <w:szCs w:val="24"/>
                <w:highlight w:val="none"/>
                <w14:textFill>
                  <w14:solidFill>
                    <w14:schemeClr w14:val="tx1"/>
                  </w14:solidFill>
                </w14:textFill>
              </w:rPr>
              <w:t>根据软件演示情况进行评分，演示总共10</w:t>
            </w:r>
            <w:r>
              <w:rPr>
                <w:rFonts w:hint="eastAsia" w:hAnsi="宋体" w:cs="宋体"/>
                <w:color w:val="000000" w:themeColor="text1"/>
                <w:sz w:val="24"/>
                <w:szCs w:val="24"/>
                <w:highlight w:val="none"/>
                <w14:textFill>
                  <w14:solidFill>
                    <w14:schemeClr w14:val="tx1"/>
                  </w14:solidFill>
                </w14:textFill>
              </w:rPr>
              <w:t>项</w:t>
            </w:r>
            <w:r>
              <w:rPr>
                <w:rFonts w:hAnsi="宋体" w:cs="宋体"/>
                <w:color w:val="000000" w:themeColor="text1"/>
                <w:sz w:val="24"/>
                <w:szCs w:val="24"/>
                <w:highlight w:val="none"/>
                <w14:textFill>
                  <w14:solidFill>
                    <w14:schemeClr w14:val="tx1"/>
                  </w14:solidFill>
                </w14:textFill>
              </w:rPr>
              <w:t>，每满足演示要求1</w:t>
            </w:r>
            <w:r>
              <w:rPr>
                <w:rFonts w:hint="eastAsia" w:hAnsi="宋体" w:cs="宋体"/>
                <w:color w:val="000000" w:themeColor="text1"/>
                <w:sz w:val="24"/>
                <w:szCs w:val="24"/>
                <w:highlight w:val="none"/>
                <w14:textFill>
                  <w14:solidFill>
                    <w14:schemeClr w14:val="tx1"/>
                  </w14:solidFill>
                </w14:textFill>
              </w:rPr>
              <w:t>项内容的</w:t>
            </w:r>
            <w:r>
              <w:rPr>
                <w:rFonts w:hAnsi="宋体" w:cs="宋体"/>
                <w:color w:val="000000" w:themeColor="text1"/>
                <w:sz w:val="24"/>
                <w:szCs w:val="24"/>
                <w:highlight w:val="none"/>
                <w14:textFill>
                  <w14:solidFill>
                    <w14:schemeClr w14:val="tx1"/>
                  </w14:solidFill>
                </w14:textFill>
              </w:rPr>
              <w:t>得1分，满分10分，不演示或者演示不全，不满足不得分。演示须基于拟提供服务的配套真实产品，不得采用录屏视频或者原型进行演示</w:t>
            </w:r>
            <w:r>
              <w:rPr>
                <w:rFonts w:hint="eastAsia" w:hAnsi="宋体" w:cs="宋体"/>
                <w:color w:val="000000" w:themeColor="text1"/>
                <w:sz w:val="24"/>
                <w:szCs w:val="24"/>
                <w:highlight w:val="none"/>
                <w14:textFill>
                  <w14:solidFill>
                    <w14:schemeClr w14:val="tx1"/>
                  </w14:solidFill>
                </w14:textFill>
              </w:rPr>
              <w:t>。演示不得多系统切换，须同一品牌、统一入口，统一账号密码登录，不满足不得分。</w:t>
            </w:r>
          </w:p>
        </w:tc>
      </w:tr>
      <w:tr w14:paraId="2ED8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647" w:type="dxa"/>
            <w:vMerge w:val="restart"/>
            <w:tcBorders>
              <w:top w:val="nil"/>
              <w:bottom w:val="nil"/>
            </w:tcBorders>
            <w:vAlign w:val="center"/>
          </w:tcPr>
          <w:p w14:paraId="2B3C8E76">
            <w:pPr>
              <w:spacing w:after="0" w:line="400" w:lineRule="exact"/>
              <w:jc w:val="both"/>
              <w:rPr>
                <w:rFonts w:ascii="宋体" w:hAnsi="宋体" w:eastAsia="宋体" w:cs="宋体"/>
                <w:color w:val="000000" w:themeColor="text1"/>
                <w:highlight w:val="none"/>
                <w14:textFill>
                  <w14:solidFill>
                    <w14:schemeClr w14:val="tx1"/>
                  </w14:solidFill>
                </w14:textFill>
              </w:rPr>
            </w:pPr>
          </w:p>
        </w:tc>
        <w:tc>
          <w:tcPr>
            <w:tcW w:w="1198" w:type="dxa"/>
            <w:vMerge w:val="continue"/>
            <w:vAlign w:val="center"/>
          </w:tcPr>
          <w:p w14:paraId="2D865377">
            <w:pPr>
              <w:spacing w:after="0" w:line="400" w:lineRule="exact"/>
              <w:jc w:val="center"/>
              <w:rPr>
                <w:rFonts w:ascii="宋体" w:hAnsi="宋体" w:eastAsia="宋体" w:cs="宋体"/>
                <w:bCs/>
                <w:color w:val="000000" w:themeColor="text1"/>
                <w:highlight w:val="none"/>
                <w14:textFill>
                  <w14:solidFill>
                    <w14:schemeClr w14:val="tx1"/>
                  </w14:solidFill>
                </w14:textFill>
              </w:rPr>
            </w:pPr>
          </w:p>
        </w:tc>
        <w:tc>
          <w:tcPr>
            <w:tcW w:w="1480" w:type="dxa"/>
            <w:vAlign w:val="center"/>
          </w:tcPr>
          <w:p w14:paraId="6518195E">
            <w:pPr>
              <w:pStyle w:val="23"/>
              <w:spacing w:line="312" w:lineRule="auto"/>
              <w:rPr>
                <w:rFonts w:hAnsi="宋体" w:cs="宋体"/>
                <w:bCs/>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服务方案（17分）</w:t>
            </w:r>
          </w:p>
        </w:tc>
        <w:tc>
          <w:tcPr>
            <w:tcW w:w="6600" w:type="dxa"/>
            <w:vAlign w:val="center"/>
          </w:tcPr>
          <w:p w14:paraId="730D17D9">
            <w:pPr>
              <w:pStyle w:val="23"/>
              <w:spacing w:line="312"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根据供应商提供的服务方案进行综合评审，包含以下内容①服务部署与调试服务；②常态化安全巡检服务；③系统升级迭代服务；④周期培训与落地指导服务；⑤响应时效；⑥故障处置。</w:t>
            </w:r>
          </w:p>
          <w:p w14:paraId="6A1C7A04">
            <w:pPr>
              <w:pStyle w:val="23"/>
              <w:spacing w:line="312"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一档（2分）：提供的服务方案内容有 1 项经评审，</w:t>
            </w:r>
            <w:r>
              <w:rPr>
                <w:rFonts w:hint="eastAsia" w:hAnsi="宋体" w:cs="宋体"/>
                <w:color w:val="000000" w:themeColor="text1"/>
                <w:sz w:val="24"/>
                <w:szCs w:val="24"/>
                <w:highlight w:val="none"/>
                <w14:textFill>
                  <w14:solidFill>
                    <w14:schemeClr w14:val="tx1"/>
                  </w14:solidFill>
                </w14:textFill>
              </w:rPr>
              <w:t>方案完善，科学合理，完全针对本项目制定，满足项目需求</w:t>
            </w:r>
            <w:r>
              <w:rPr>
                <w:rFonts w:hint="eastAsia"/>
                <w:color w:val="000000" w:themeColor="text1"/>
                <w:sz w:val="24"/>
                <w:szCs w:val="24"/>
                <w:highlight w:val="none"/>
                <w14:textFill>
                  <w14:solidFill>
                    <w14:schemeClr w14:val="tx1"/>
                  </w14:solidFill>
                </w14:textFill>
              </w:rPr>
              <w:t xml:space="preserve">； </w:t>
            </w:r>
          </w:p>
          <w:p w14:paraId="4FEED203">
            <w:pPr>
              <w:pStyle w:val="23"/>
              <w:spacing w:line="312"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二档（5分）</w:t>
            </w:r>
            <w:r>
              <w:rPr>
                <w:rFonts w:hint="eastAsia"/>
                <w:color w:val="000000" w:themeColor="text1"/>
                <w:kern w:val="2"/>
                <w:sz w:val="24"/>
                <w:szCs w:val="24"/>
                <w:highlight w:val="none"/>
                <w14:textFill>
                  <w14:solidFill>
                    <w14:schemeClr w14:val="tx1"/>
                  </w14:solidFill>
                </w14:textFill>
              </w:rPr>
              <w:t>：</w:t>
            </w:r>
            <w:r>
              <w:rPr>
                <w:rFonts w:hint="eastAsia"/>
                <w:color w:val="000000" w:themeColor="text1"/>
                <w:sz w:val="24"/>
                <w:szCs w:val="24"/>
                <w:highlight w:val="none"/>
                <w14:textFill>
                  <w14:solidFill>
                    <w14:schemeClr w14:val="tx1"/>
                  </w14:solidFill>
                </w14:textFill>
              </w:rPr>
              <w:t>提供的服务方案内容有 2 项经评审，</w:t>
            </w:r>
            <w:r>
              <w:rPr>
                <w:rFonts w:hint="eastAsia" w:hAnsi="宋体" w:cs="宋体"/>
                <w:color w:val="000000" w:themeColor="text1"/>
                <w:sz w:val="24"/>
                <w:szCs w:val="24"/>
                <w:highlight w:val="none"/>
                <w14:textFill>
                  <w14:solidFill>
                    <w14:schemeClr w14:val="tx1"/>
                  </w14:solidFill>
                </w14:textFill>
              </w:rPr>
              <w:t>方案完善，科学合理，完全针对本项目制定，满足项目需求</w:t>
            </w:r>
            <w:r>
              <w:rPr>
                <w:rFonts w:hint="eastAsia"/>
                <w:color w:val="000000" w:themeColor="text1"/>
                <w:sz w:val="24"/>
                <w:szCs w:val="24"/>
                <w:highlight w:val="none"/>
                <w14:textFill>
                  <w14:solidFill>
                    <w14:schemeClr w14:val="tx1"/>
                  </w14:solidFill>
                </w14:textFill>
              </w:rPr>
              <w:t xml:space="preserve">； </w:t>
            </w:r>
          </w:p>
          <w:p w14:paraId="2A515B25">
            <w:pPr>
              <w:pStyle w:val="23"/>
              <w:spacing w:line="312"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三档（8分）：提供的服务方案内容有 3 项经评审，</w:t>
            </w:r>
            <w:r>
              <w:rPr>
                <w:rFonts w:hint="eastAsia" w:hAnsi="宋体" w:cs="宋体"/>
                <w:color w:val="000000" w:themeColor="text1"/>
                <w:sz w:val="24"/>
                <w:szCs w:val="24"/>
                <w:highlight w:val="none"/>
                <w14:textFill>
                  <w14:solidFill>
                    <w14:schemeClr w14:val="tx1"/>
                  </w14:solidFill>
                </w14:textFill>
              </w:rPr>
              <w:t>方案完善，科学合理，完全针对本项目制定，满足项目需求</w:t>
            </w:r>
            <w:r>
              <w:rPr>
                <w:rFonts w:hint="eastAsia"/>
                <w:color w:val="000000" w:themeColor="text1"/>
                <w:sz w:val="24"/>
                <w:szCs w:val="24"/>
                <w:highlight w:val="none"/>
                <w14:textFill>
                  <w14:solidFill>
                    <w14:schemeClr w14:val="tx1"/>
                  </w14:solidFill>
                </w14:textFill>
              </w:rPr>
              <w:t xml:space="preserve">； </w:t>
            </w:r>
          </w:p>
          <w:p w14:paraId="3E1D37EE">
            <w:pPr>
              <w:pStyle w:val="23"/>
              <w:spacing w:line="312"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四档（11分）：提供的服务方案内容有 4项经评审，</w:t>
            </w:r>
            <w:r>
              <w:rPr>
                <w:rFonts w:hint="eastAsia" w:hAnsi="宋体" w:cs="宋体"/>
                <w:color w:val="000000" w:themeColor="text1"/>
                <w:sz w:val="24"/>
                <w:szCs w:val="24"/>
                <w:highlight w:val="none"/>
                <w14:textFill>
                  <w14:solidFill>
                    <w14:schemeClr w14:val="tx1"/>
                  </w14:solidFill>
                </w14:textFill>
              </w:rPr>
              <w:t>方案完善，科学合理，完全针对本项目制定，满足项目需求</w:t>
            </w:r>
            <w:r>
              <w:rPr>
                <w:rFonts w:hint="eastAsia"/>
                <w:color w:val="000000" w:themeColor="text1"/>
                <w:sz w:val="24"/>
                <w:szCs w:val="24"/>
                <w:highlight w:val="none"/>
                <w14:textFill>
                  <w14:solidFill>
                    <w14:schemeClr w14:val="tx1"/>
                  </w14:solidFill>
                </w14:textFill>
              </w:rPr>
              <w:t xml:space="preserve">； </w:t>
            </w:r>
          </w:p>
          <w:p w14:paraId="385E633C">
            <w:pPr>
              <w:pStyle w:val="23"/>
              <w:spacing w:line="312"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五档（14分）：提供的服务方案内容有 5项经评审，</w:t>
            </w:r>
            <w:r>
              <w:rPr>
                <w:rFonts w:hint="eastAsia" w:hAnsi="宋体" w:cs="宋体"/>
                <w:color w:val="000000" w:themeColor="text1"/>
                <w:sz w:val="24"/>
                <w:szCs w:val="24"/>
                <w:highlight w:val="none"/>
                <w14:textFill>
                  <w14:solidFill>
                    <w14:schemeClr w14:val="tx1"/>
                  </w14:solidFill>
                </w14:textFill>
              </w:rPr>
              <w:t>方案完善，科学合理，完全针对本项目制定，满足项目需求</w:t>
            </w:r>
            <w:r>
              <w:rPr>
                <w:rFonts w:hint="eastAsia"/>
                <w:color w:val="000000" w:themeColor="text1"/>
                <w:sz w:val="24"/>
                <w:szCs w:val="24"/>
                <w:highlight w:val="none"/>
                <w14:textFill>
                  <w14:solidFill>
                    <w14:schemeClr w14:val="tx1"/>
                  </w14:solidFill>
                </w14:textFill>
              </w:rPr>
              <w:t>；</w:t>
            </w:r>
          </w:p>
          <w:p w14:paraId="24E73F07">
            <w:pPr>
              <w:pStyle w:val="23"/>
              <w:spacing w:line="312"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六档（17分）：提供的服务方案内容有 6 项经评审，</w:t>
            </w:r>
            <w:r>
              <w:rPr>
                <w:rFonts w:hint="eastAsia" w:hAnsi="宋体" w:cs="宋体"/>
                <w:color w:val="000000" w:themeColor="text1"/>
                <w:sz w:val="24"/>
                <w:szCs w:val="24"/>
                <w:highlight w:val="none"/>
                <w14:textFill>
                  <w14:solidFill>
                    <w14:schemeClr w14:val="tx1"/>
                  </w14:solidFill>
                </w14:textFill>
              </w:rPr>
              <w:t>方案完善，科学合理，完全针对本项目制定，满足项目需求</w:t>
            </w:r>
            <w:r>
              <w:rPr>
                <w:rFonts w:hint="eastAsia"/>
                <w:color w:val="000000" w:themeColor="text1"/>
                <w:sz w:val="24"/>
                <w:szCs w:val="24"/>
                <w:highlight w:val="none"/>
                <w14:textFill>
                  <w14:solidFill>
                    <w14:schemeClr w14:val="tx1"/>
                  </w14:solidFill>
                </w14:textFill>
              </w:rPr>
              <w:t>；</w:t>
            </w:r>
          </w:p>
          <w:p w14:paraId="549A90A1">
            <w:pPr>
              <w:pStyle w:val="23"/>
              <w:spacing w:line="312"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注：未提供或提供的内容不符合本项目需求的不得分。</w:t>
            </w:r>
          </w:p>
        </w:tc>
      </w:tr>
      <w:tr w14:paraId="3E117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647" w:type="dxa"/>
            <w:vMerge w:val="continue"/>
            <w:vAlign w:val="center"/>
          </w:tcPr>
          <w:p w14:paraId="0B4D9D02">
            <w:pPr>
              <w:spacing w:after="0" w:line="400" w:lineRule="exact"/>
              <w:jc w:val="both"/>
              <w:rPr>
                <w:rFonts w:ascii="宋体" w:hAnsi="宋体" w:eastAsia="宋体" w:cs="宋体"/>
                <w:color w:val="000000" w:themeColor="text1"/>
                <w:highlight w:val="none"/>
                <w14:textFill>
                  <w14:solidFill>
                    <w14:schemeClr w14:val="tx1"/>
                  </w14:solidFill>
                </w14:textFill>
              </w:rPr>
            </w:pPr>
          </w:p>
        </w:tc>
        <w:tc>
          <w:tcPr>
            <w:tcW w:w="1198" w:type="dxa"/>
            <w:vMerge w:val="continue"/>
            <w:vAlign w:val="center"/>
          </w:tcPr>
          <w:p w14:paraId="46AD2837">
            <w:pPr>
              <w:spacing w:after="0" w:line="400" w:lineRule="exact"/>
              <w:jc w:val="center"/>
              <w:rPr>
                <w:rFonts w:ascii="宋体" w:hAnsi="宋体" w:eastAsia="宋体" w:cs="宋体"/>
                <w:bCs/>
                <w:color w:val="000000" w:themeColor="text1"/>
                <w:highlight w:val="none"/>
                <w14:textFill>
                  <w14:solidFill>
                    <w14:schemeClr w14:val="tx1"/>
                  </w14:solidFill>
                </w14:textFill>
              </w:rPr>
            </w:pPr>
          </w:p>
        </w:tc>
        <w:tc>
          <w:tcPr>
            <w:tcW w:w="1480" w:type="dxa"/>
            <w:vAlign w:val="center"/>
          </w:tcPr>
          <w:p w14:paraId="4D1BEA34">
            <w:pPr>
              <w:pStyle w:val="23"/>
              <w:spacing w:line="312" w:lineRule="auto"/>
              <w:jc w:val="center"/>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安全与数据保障</w:t>
            </w:r>
          </w:p>
          <w:p w14:paraId="3C47197F">
            <w:pPr>
              <w:pStyle w:val="23"/>
              <w:spacing w:line="312" w:lineRule="auto"/>
              <w:jc w:val="left"/>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（9分）</w:t>
            </w:r>
          </w:p>
        </w:tc>
        <w:tc>
          <w:tcPr>
            <w:tcW w:w="6600" w:type="dxa"/>
            <w:vAlign w:val="center"/>
          </w:tcPr>
          <w:p w14:paraId="41CFF999">
            <w:pPr>
              <w:pStyle w:val="23"/>
              <w:spacing w:line="312"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根据供应商提供的安全与数据保障方案进行综合评审，包含以下方案：①安全运维服务及等保；②数据备份服务；③隐私保障服务。</w:t>
            </w:r>
          </w:p>
          <w:p w14:paraId="1C627BD1">
            <w:pPr>
              <w:pStyle w:val="23"/>
              <w:spacing w:line="312"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一档（3分）：提供的方案内容有1项经评审，</w:t>
            </w:r>
            <w:r>
              <w:rPr>
                <w:rFonts w:hint="eastAsia" w:hAnsi="宋体" w:cs="宋体"/>
                <w:color w:val="000000" w:themeColor="text1"/>
                <w:sz w:val="24"/>
                <w:szCs w:val="24"/>
                <w:highlight w:val="none"/>
                <w14:textFill>
                  <w14:solidFill>
                    <w14:schemeClr w14:val="tx1"/>
                  </w14:solidFill>
                </w14:textFill>
              </w:rPr>
              <w:t>方案完善，科学合理，完全针对本项目制定，满足项目需求</w:t>
            </w:r>
            <w:r>
              <w:rPr>
                <w:rFonts w:hint="eastAsia"/>
                <w:color w:val="000000" w:themeColor="text1"/>
                <w:sz w:val="24"/>
                <w:szCs w:val="24"/>
                <w:highlight w:val="none"/>
                <w14:textFill>
                  <w14:solidFill>
                    <w14:schemeClr w14:val="tx1"/>
                  </w14:solidFill>
                </w14:textFill>
              </w:rPr>
              <w:t xml:space="preserve">； </w:t>
            </w:r>
          </w:p>
          <w:p w14:paraId="051F2FFA">
            <w:pPr>
              <w:pStyle w:val="23"/>
              <w:spacing w:line="312"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二档（6分）</w:t>
            </w:r>
            <w:r>
              <w:rPr>
                <w:rFonts w:hint="eastAsia"/>
                <w:color w:val="000000" w:themeColor="text1"/>
                <w:kern w:val="2"/>
                <w:sz w:val="24"/>
                <w:szCs w:val="24"/>
                <w:highlight w:val="none"/>
                <w14:textFill>
                  <w14:solidFill>
                    <w14:schemeClr w14:val="tx1"/>
                  </w14:solidFill>
                </w14:textFill>
              </w:rPr>
              <w:t>：</w:t>
            </w:r>
            <w:r>
              <w:rPr>
                <w:rFonts w:hint="eastAsia"/>
                <w:color w:val="000000" w:themeColor="text1"/>
                <w:sz w:val="24"/>
                <w:szCs w:val="24"/>
                <w:highlight w:val="none"/>
                <w14:textFill>
                  <w14:solidFill>
                    <w14:schemeClr w14:val="tx1"/>
                  </w14:solidFill>
                </w14:textFill>
              </w:rPr>
              <w:t>提供的方案内容有2项经评审，</w:t>
            </w:r>
            <w:r>
              <w:rPr>
                <w:rFonts w:hint="eastAsia" w:hAnsi="宋体" w:cs="宋体"/>
                <w:color w:val="000000" w:themeColor="text1"/>
                <w:sz w:val="24"/>
                <w:szCs w:val="24"/>
                <w:highlight w:val="none"/>
                <w14:textFill>
                  <w14:solidFill>
                    <w14:schemeClr w14:val="tx1"/>
                  </w14:solidFill>
                </w14:textFill>
              </w:rPr>
              <w:t>方案完善，科学合理，完全针对本项目制定，满足项目需求</w:t>
            </w:r>
            <w:r>
              <w:rPr>
                <w:rFonts w:hint="eastAsia"/>
                <w:color w:val="000000" w:themeColor="text1"/>
                <w:sz w:val="24"/>
                <w:szCs w:val="24"/>
                <w:highlight w:val="none"/>
                <w14:textFill>
                  <w14:solidFill>
                    <w14:schemeClr w14:val="tx1"/>
                  </w14:solidFill>
                </w14:textFill>
              </w:rPr>
              <w:t xml:space="preserve">； </w:t>
            </w:r>
          </w:p>
          <w:p w14:paraId="04E5574D">
            <w:pPr>
              <w:pStyle w:val="23"/>
              <w:spacing w:line="312"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三档（9分）：提供的方案内容有3项经评审，</w:t>
            </w:r>
            <w:r>
              <w:rPr>
                <w:rFonts w:hint="eastAsia" w:hAnsi="宋体" w:cs="宋体"/>
                <w:color w:val="000000" w:themeColor="text1"/>
                <w:sz w:val="24"/>
                <w:szCs w:val="24"/>
                <w:highlight w:val="none"/>
                <w14:textFill>
                  <w14:solidFill>
                    <w14:schemeClr w14:val="tx1"/>
                  </w14:solidFill>
                </w14:textFill>
              </w:rPr>
              <w:t>方案完善，科学合理，完全针对本项目制定，满足项目需求</w:t>
            </w:r>
            <w:r>
              <w:rPr>
                <w:rFonts w:hint="eastAsia"/>
                <w:color w:val="000000" w:themeColor="text1"/>
                <w:sz w:val="24"/>
                <w:szCs w:val="24"/>
                <w:highlight w:val="none"/>
                <w14:textFill>
                  <w14:solidFill>
                    <w14:schemeClr w14:val="tx1"/>
                  </w14:solidFill>
                </w14:textFill>
              </w:rPr>
              <w:t xml:space="preserve">； </w:t>
            </w:r>
          </w:p>
        </w:tc>
      </w:tr>
      <w:tr w14:paraId="30C67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647" w:type="dxa"/>
            <w:vMerge w:val="continue"/>
            <w:vAlign w:val="center"/>
          </w:tcPr>
          <w:p w14:paraId="1B3BD8D5">
            <w:pPr>
              <w:spacing w:after="0" w:line="400" w:lineRule="exact"/>
              <w:jc w:val="both"/>
              <w:rPr>
                <w:rFonts w:ascii="宋体" w:hAnsi="宋体" w:eastAsia="宋体" w:cs="宋体"/>
                <w:color w:val="000000" w:themeColor="text1"/>
                <w:highlight w:val="none"/>
                <w14:textFill>
                  <w14:solidFill>
                    <w14:schemeClr w14:val="tx1"/>
                  </w14:solidFill>
                </w14:textFill>
              </w:rPr>
            </w:pPr>
          </w:p>
        </w:tc>
        <w:tc>
          <w:tcPr>
            <w:tcW w:w="1198" w:type="dxa"/>
            <w:vMerge w:val="continue"/>
            <w:vAlign w:val="center"/>
          </w:tcPr>
          <w:p w14:paraId="0964EFF9">
            <w:pPr>
              <w:spacing w:after="0" w:line="400" w:lineRule="exact"/>
              <w:jc w:val="center"/>
              <w:rPr>
                <w:rFonts w:ascii="宋体" w:hAnsi="宋体" w:eastAsia="宋体" w:cs="宋体"/>
                <w:bCs/>
                <w:color w:val="000000" w:themeColor="text1"/>
                <w:highlight w:val="none"/>
                <w14:textFill>
                  <w14:solidFill>
                    <w14:schemeClr w14:val="tx1"/>
                  </w14:solidFill>
                </w14:textFill>
              </w:rPr>
            </w:pPr>
          </w:p>
        </w:tc>
        <w:tc>
          <w:tcPr>
            <w:tcW w:w="1480" w:type="dxa"/>
            <w:vAlign w:val="center"/>
          </w:tcPr>
          <w:p w14:paraId="1CF60074">
            <w:pPr>
              <w:pStyle w:val="23"/>
              <w:spacing w:line="312" w:lineRule="auto"/>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应急保障</w:t>
            </w:r>
            <w:r>
              <w:rPr>
                <w:rFonts w:hint="eastAsia"/>
                <w:color w:val="000000" w:themeColor="text1"/>
                <w:sz w:val="24"/>
                <w:szCs w:val="24"/>
                <w:highlight w:val="none"/>
                <w14:textFill>
                  <w14:solidFill>
                    <w14:schemeClr w14:val="tx1"/>
                  </w14:solidFill>
                </w14:textFill>
              </w:rPr>
              <w:t>（6分）</w:t>
            </w:r>
          </w:p>
        </w:tc>
        <w:tc>
          <w:tcPr>
            <w:tcW w:w="6600" w:type="dxa"/>
            <w:vAlign w:val="center"/>
          </w:tcPr>
          <w:p w14:paraId="64F9BF69">
            <w:pPr>
              <w:pStyle w:val="23"/>
              <w:spacing w:line="312" w:lineRule="auto"/>
              <w:ind w:firstLine="480" w:firstLineChars="200"/>
              <w:rPr>
                <w:rFonts w:hAnsi="宋体" w:cs="宋体"/>
                <w:color w:val="000000" w:themeColor="text1"/>
                <w:sz w:val="24"/>
                <w:szCs w:val="24"/>
                <w:highlight w:val="none"/>
                <w14:textFill>
                  <w14:solidFill>
                    <w14:schemeClr w14:val="tx1"/>
                  </w14:solidFill>
                </w14:textFill>
              </w:rPr>
            </w:pPr>
            <w:bookmarkStart w:id="152" w:name="OLE_LINK6"/>
            <w:r>
              <w:rPr>
                <w:rFonts w:hint="eastAsia" w:hAnsi="宋体" w:cs="宋体"/>
                <w:color w:val="000000" w:themeColor="text1"/>
                <w:sz w:val="24"/>
                <w:szCs w:val="24"/>
                <w:highlight w:val="none"/>
                <w14:textFill>
                  <w14:solidFill>
                    <w14:schemeClr w14:val="tx1"/>
                  </w14:solidFill>
                </w14:textFill>
              </w:rPr>
              <w:t>根据供应商提供的应急保障方案进行综合评价，包含以下方案：</w:t>
            </w:r>
            <w:bookmarkEnd w:id="152"/>
            <w:bookmarkStart w:id="153" w:name="_Hlk230967027"/>
            <w:r>
              <w:rPr>
                <w:rFonts w:hint="eastAsia" w:hAnsi="宋体" w:cs="宋体"/>
                <w:color w:val="000000" w:themeColor="text1"/>
                <w:sz w:val="24"/>
                <w:szCs w:val="24"/>
                <w:highlight w:val="none"/>
                <w14:textFill>
                  <w14:solidFill>
                    <w14:schemeClr w14:val="tx1"/>
                  </w14:solidFill>
                </w14:textFill>
              </w:rPr>
              <w:t>①故障报修响应；②问题排查与故障修复；③重大故障应急预案</w:t>
            </w:r>
            <w:bookmarkEnd w:id="153"/>
            <w:r>
              <w:rPr>
                <w:rFonts w:hint="eastAsia" w:hAnsi="宋体" w:cs="宋体"/>
                <w:color w:val="000000" w:themeColor="text1"/>
                <w:sz w:val="24"/>
                <w:szCs w:val="24"/>
                <w:highlight w:val="none"/>
                <w14:textFill>
                  <w14:solidFill>
                    <w14:schemeClr w14:val="tx1"/>
                  </w14:solidFill>
                </w14:textFill>
              </w:rPr>
              <w:t>。</w:t>
            </w:r>
          </w:p>
          <w:p w14:paraId="70828F75">
            <w:pPr>
              <w:pStyle w:val="23"/>
              <w:spacing w:line="312"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一档（2分）：提供的方案内容有1项经评审，方案完善，科学合理，完全针对本项目制定，满足项目需求； </w:t>
            </w:r>
          </w:p>
          <w:p w14:paraId="1245DBEC">
            <w:pPr>
              <w:pStyle w:val="23"/>
              <w:spacing w:line="312"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二档（4分）：提供的方案内容有2项经评审，方案完善，科学合理，完全针对本项目制定，满足项目需求； </w:t>
            </w:r>
          </w:p>
          <w:p w14:paraId="7A5C91B5">
            <w:pPr>
              <w:pStyle w:val="23"/>
              <w:spacing w:line="312"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三档（6分）：提供的方案内容有3项经评审，方案完善，科学合理，完全针对本项目制定，满足项目需求。</w:t>
            </w:r>
          </w:p>
        </w:tc>
      </w:tr>
      <w:tr w14:paraId="1EE7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647" w:type="dxa"/>
            <w:vMerge w:val="continue"/>
            <w:vAlign w:val="center"/>
          </w:tcPr>
          <w:p w14:paraId="2FFF8FDF">
            <w:pPr>
              <w:spacing w:after="0" w:line="400" w:lineRule="exact"/>
              <w:jc w:val="center"/>
              <w:rPr>
                <w:rFonts w:ascii="宋体" w:hAnsi="宋体" w:eastAsia="宋体" w:cs="宋体"/>
                <w:color w:val="000000" w:themeColor="text1"/>
                <w:highlight w:val="none"/>
                <w14:textFill>
                  <w14:solidFill>
                    <w14:schemeClr w14:val="tx1"/>
                  </w14:solidFill>
                </w14:textFill>
              </w:rPr>
            </w:pPr>
          </w:p>
        </w:tc>
        <w:tc>
          <w:tcPr>
            <w:tcW w:w="1198" w:type="dxa"/>
            <w:vMerge w:val="continue"/>
            <w:vAlign w:val="center"/>
          </w:tcPr>
          <w:p w14:paraId="64141EB6">
            <w:pPr>
              <w:spacing w:after="0" w:line="400" w:lineRule="exact"/>
              <w:jc w:val="center"/>
              <w:rPr>
                <w:rFonts w:ascii="宋体" w:hAnsi="宋体" w:eastAsia="宋体" w:cs="宋体"/>
                <w:bCs/>
                <w:color w:val="000000" w:themeColor="text1"/>
                <w:highlight w:val="none"/>
                <w14:textFill>
                  <w14:solidFill>
                    <w14:schemeClr w14:val="tx1"/>
                  </w14:solidFill>
                </w14:textFill>
              </w:rPr>
            </w:pPr>
          </w:p>
        </w:tc>
        <w:tc>
          <w:tcPr>
            <w:tcW w:w="1480" w:type="dxa"/>
            <w:vAlign w:val="center"/>
          </w:tcPr>
          <w:p w14:paraId="61B39A29">
            <w:pPr>
              <w:pStyle w:val="23"/>
              <w:spacing w:line="312" w:lineRule="auto"/>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lang w:val="zh-CN"/>
                <w14:textFill>
                  <w14:solidFill>
                    <w14:schemeClr w14:val="tx1"/>
                  </w14:solidFill>
                </w14:textFill>
              </w:rPr>
              <w:t>售后服务能力</w:t>
            </w:r>
            <w:r>
              <w:rPr>
                <w:rFonts w:hint="eastAsia"/>
                <w:color w:val="000000" w:themeColor="text1"/>
                <w:sz w:val="24"/>
                <w:szCs w:val="24"/>
                <w:highlight w:val="none"/>
                <w14:textFill>
                  <w14:solidFill>
                    <w14:schemeClr w14:val="tx1"/>
                  </w14:solidFill>
                </w14:textFill>
              </w:rPr>
              <w:t>（8分）</w:t>
            </w:r>
          </w:p>
        </w:tc>
        <w:tc>
          <w:tcPr>
            <w:tcW w:w="6600" w:type="dxa"/>
          </w:tcPr>
          <w:p w14:paraId="4BAA92A7">
            <w:pPr>
              <w:pStyle w:val="23"/>
              <w:spacing w:line="312"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根据供应商提供的售后服务方案进行综合评价，包含以下方案：①</w:t>
            </w:r>
            <w:r>
              <w:rPr>
                <w:rFonts w:hAnsi="宋体" w:cs="宋体"/>
                <w:color w:val="000000" w:themeColor="text1"/>
                <w:sz w:val="24"/>
                <w:szCs w:val="24"/>
                <w:highlight w:val="none"/>
                <w14:textFill>
                  <w14:solidFill>
                    <w14:schemeClr w14:val="tx1"/>
                  </w14:solidFill>
                </w14:textFill>
              </w:rPr>
              <w:tab/>
            </w:r>
            <w:r>
              <w:rPr>
                <w:rFonts w:hint="eastAsia" w:hAnsi="宋体" w:cs="宋体"/>
                <w:color w:val="000000" w:themeColor="text1"/>
                <w:sz w:val="24"/>
                <w:szCs w:val="24"/>
                <w:highlight w:val="none"/>
                <w14:textFill>
                  <w14:solidFill>
                    <w14:schemeClr w14:val="tx1"/>
                  </w14:solidFill>
                </w14:textFill>
              </w:rPr>
              <w:t>售后服务方式；②</w:t>
            </w:r>
            <w:r>
              <w:rPr>
                <w:rFonts w:hAnsi="宋体" w:cs="宋体"/>
                <w:color w:val="000000" w:themeColor="text1"/>
                <w:sz w:val="24"/>
                <w:szCs w:val="24"/>
                <w:highlight w:val="none"/>
                <w14:textFill>
                  <w14:solidFill>
                    <w14:schemeClr w14:val="tx1"/>
                  </w14:solidFill>
                </w14:textFill>
              </w:rPr>
              <w:tab/>
            </w:r>
            <w:r>
              <w:rPr>
                <w:rFonts w:hint="eastAsia" w:hAnsi="宋体" w:cs="宋体"/>
                <w:color w:val="000000" w:themeColor="text1"/>
                <w:sz w:val="24"/>
                <w:szCs w:val="24"/>
                <w:highlight w:val="none"/>
                <w14:textFill>
                  <w14:solidFill>
                    <w14:schemeClr w14:val="tx1"/>
                  </w14:solidFill>
                </w14:textFill>
              </w:rPr>
              <w:t>售后服务流程；③智慧校园年服务具有在线客服能力，提供计算机软件著作权登记证书；</w:t>
            </w:r>
            <w:r>
              <w:rPr>
                <w:rFonts w:hint="eastAsia" w:hAnsi="宋体" w:cs="宋体"/>
                <w:color w:val="000000" w:themeColor="text1"/>
                <w:sz w:val="24"/>
                <w:szCs w:val="24"/>
                <w:highlight w:val="none"/>
                <w14:textFill>
                  <w14:solidFill>
                    <w14:schemeClr w14:val="tx1"/>
                  </w14:solidFill>
                </w14:textFill>
              </w:rPr>
              <w:sym w:font="Wingdings 2" w:char="F06D"/>
            </w:r>
            <w:r>
              <w:rPr>
                <w:rFonts w:hint="eastAsia" w:hAnsi="宋体" w:cs="宋体"/>
                <w:color w:val="000000" w:themeColor="text1"/>
                <w:sz w:val="24"/>
                <w:szCs w:val="24"/>
                <w:highlight w:val="none"/>
                <w14:textFill>
                  <w14:solidFill>
                    <w14:schemeClr w14:val="tx1"/>
                  </w14:solidFill>
                </w14:textFill>
              </w:rPr>
              <w:t>智慧校园年服务具有自动运维服务能力，提供计算机软件著作权登记证书。</w:t>
            </w:r>
          </w:p>
          <w:p w14:paraId="21FD6B94">
            <w:pPr>
              <w:pStyle w:val="23"/>
              <w:spacing w:line="312" w:lineRule="auto"/>
              <w:ind w:firstLine="480" w:firstLineChars="200"/>
              <w:rPr>
                <w:rFonts w:hAnsi="宋体" w:cs="宋体"/>
                <w:color w:val="000000" w:themeColor="text1"/>
                <w:sz w:val="24"/>
                <w:szCs w:val="24"/>
                <w:highlight w:val="none"/>
                <w14:textFill>
                  <w14:solidFill>
                    <w14:schemeClr w14:val="tx1"/>
                  </w14:solidFill>
                </w14:textFill>
              </w:rPr>
            </w:pPr>
            <w:bookmarkStart w:id="154" w:name="OLE_LINK26"/>
            <w:r>
              <w:rPr>
                <w:rFonts w:hint="eastAsia" w:hAnsi="宋体" w:cs="宋体"/>
                <w:color w:val="000000" w:themeColor="text1"/>
                <w:sz w:val="24"/>
                <w:szCs w:val="24"/>
                <w:highlight w:val="none"/>
                <w14:textFill>
                  <w14:solidFill>
                    <w14:schemeClr w14:val="tx1"/>
                  </w14:solidFill>
                </w14:textFill>
              </w:rPr>
              <w:t>一档（</w:t>
            </w:r>
            <w:r>
              <w:rPr>
                <w:rFonts w:hAnsi="宋体" w:cs="宋体"/>
                <w:color w:val="000000" w:themeColor="text1"/>
                <w:sz w:val="24"/>
                <w:szCs w:val="24"/>
                <w:highlight w:val="none"/>
                <w14:textFill>
                  <w14:solidFill>
                    <w14:schemeClr w14:val="tx1"/>
                  </w14:solidFill>
                </w14:textFill>
              </w:rPr>
              <w:t>2</w:t>
            </w:r>
            <w:r>
              <w:rPr>
                <w:rFonts w:hint="eastAsia" w:hAnsi="宋体" w:cs="宋体"/>
                <w:color w:val="000000" w:themeColor="text1"/>
                <w:sz w:val="24"/>
                <w:szCs w:val="24"/>
                <w:highlight w:val="none"/>
                <w14:textFill>
                  <w14:solidFill>
                    <w14:schemeClr w14:val="tx1"/>
                  </w14:solidFill>
                </w14:textFill>
              </w:rPr>
              <w:t xml:space="preserve">分）：提供的方案内容有1项经评审，方案完善，科学合理，完全针对本项目制定，满足项目需求； </w:t>
            </w:r>
          </w:p>
          <w:p w14:paraId="48C295EE">
            <w:pPr>
              <w:pStyle w:val="23"/>
              <w:spacing w:line="312"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二档（</w:t>
            </w:r>
            <w:r>
              <w:rPr>
                <w:rFonts w:hAnsi="宋体" w:cs="宋体"/>
                <w:color w:val="000000" w:themeColor="text1"/>
                <w:sz w:val="24"/>
                <w:szCs w:val="24"/>
                <w:highlight w:val="none"/>
                <w14:textFill>
                  <w14:solidFill>
                    <w14:schemeClr w14:val="tx1"/>
                  </w14:solidFill>
                </w14:textFill>
              </w:rPr>
              <w:t>4</w:t>
            </w:r>
            <w:r>
              <w:rPr>
                <w:rFonts w:hint="eastAsia" w:hAnsi="宋体" w:cs="宋体"/>
                <w:color w:val="000000" w:themeColor="text1"/>
                <w:sz w:val="24"/>
                <w:szCs w:val="24"/>
                <w:highlight w:val="none"/>
                <w14:textFill>
                  <w14:solidFill>
                    <w14:schemeClr w14:val="tx1"/>
                  </w14:solidFill>
                </w14:textFill>
              </w:rPr>
              <w:t xml:space="preserve">分）：提供的方案内容有2项经评审，方案完善，科学合理，完全针对本项目制定，满足项目需求； </w:t>
            </w:r>
          </w:p>
          <w:p w14:paraId="1CBFD121">
            <w:pPr>
              <w:pStyle w:val="23"/>
              <w:spacing w:line="312"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三档（</w:t>
            </w:r>
            <w:r>
              <w:rPr>
                <w:rFonts w:hAnsi="宋体" w:cs="宋体"/>
                <w:color w:val="000000" w:themeColor="text1"/>
                <w:sz w:val="24"/>
                <w:szCs w:val="24"/>
                <w:highlight w:val="none"/>
                <w14:textFill>
                  <w14:solidFill>
                    <w14:schemeClr w14:val="tx1"/>
                  </w14:solidFill>
                </w14:textFill>
              </w:rPr>
              <w:t>6</w:t>
            </w:r>
            <w:r>
              <w:rPr>
                <w:rFonts w:hint="eastAsia" w:hAnsi="宋体" w:cs="宋体"/>
                <w:color w:val="000000" w:themeColor="text1"/>
                <w:sz w:val="24"/>
                <w:szCs w:val="24"/>
                <w:highlight w:val="none"/>
                <w14:textFill>
                  <w14:solidFill>
                    <w14:schemeClr w14:val="tx1"/>
                  </w14:solidFill>
                </w14:textFill>
              </w:rPr>
              <w:t>分）：提供的方案内容有</w:t>
            </w:r>
            <w:r>
              <w:rPr>
                <w:rFonts w:hAnsi="宋体" w:cs="宋体"/>
                <w:color w:val="000000" w:themeColor="text1"/>
                <w:sz w:val="24"/>
                <w:szCs w:val="24"/>
                <w:highlight w:val="none"/>
                <w14:textFill>
                  <w14:solidFill>
                    <w14:schemeClr w14:val="tx1"/>
                  </w14:solidFill>
                </w14:textFill>
              </w:rPr>
              <w:t>3</w:t>
            </w:r>
            <w:r>
              <w:rPr>
                <w:rFonts w:hint="eastAsia" w:hAnsi="宋体" w:cs="宋体"/>
                <w:color w:val="000000" w:themeColor="text1"/>
                <w:sz w:val="24"/>
                <w:szCs w:val="24"/>
                <w:highlight w:val="none"/>
                <w14:textFill>
                  <w14:solidFill>
                    <w14:schemeClr w14:val="tx1"/>
                  </w14:solidFill>
                </w14:textFill>
              </w:rPr>
              <w:t>项经评审，方案完善，科学合理，完全针对本项目制定，满足项目需求；</w:t>
            </w:r>
          </w:p>
          <w:p w14:paraId="16A549C8">
            <w:pPr>
              <w:pStyle w:val="23"/>
              <w:spacing w:line="312" w:lineRule="auto"/>
              <w:ind w:firstLine="480" w:firstLineChars="200"/>
              <w:rPr>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四档（</w:t>
            </w:r>
            <w:r>
              <w:rPr>
                <w:rFonts w:hAnsi="宋体" w:cs="宋体"/>
                <w:color w:val="000000" w:themeColor="text1"/>
                <w:sz w:val="24"/>
                <w:szCs w:val="24"/>
                <w:highlight w:val="none"/>
                <w14:textFill>
                  <w14:solidFill>
                    <w14:schemeClr w14:val="tx1"/>
                  </w14:solidFill>
                </w14:textFill>
              </w:rPr>
              <w:t>8</w:t>
            </w:r>
            <w:r>
              <w:rPr>
                <w:rFonts w:hint="eastAsia" w:hAnsi="宋体" w:cs="宋体"/>
                <w:color w:val="000000" w:themeColor="text1"/>
                <w:sz w:val="24"/>
                <w:szCs w:val="24"/>
                <w:highlight w:val="none"/>
                <w14:textFill>
                  <w14:solidFill>
                    <w14:schemeClr w14:val="tx1"/>
                  </w14:solidFill>
                </w14:textFill>
              </w:rPr>
              <w:t>分）：提供的方案内容有</w:t>
            </w:r>
            <w:r>
              <w:rPr>
                <w:rFonts w:hAnsi="宋体" w:cs="宋体"/>
                <w:color w:val="000000" w:themeColor="text1"/>
                <w:sz w:val="24"/>
                <w:szCs w:val="24"/>
                <w:highlight w:val="none"/>
                <w14:textFill>
                  <w14:solidFill>
                    <w14:schemeClr w14:val="tx1"/>
                  </w14:solidFill>
                </w14:textFill>
              </w:rPr>
              <w:t>4</w:t>
            </w:r>
            <w:r>
              <w:rPr>
                <w:rFonts w:hint="eastAsia" w:hAnsi="宋体" w:cs="宋体"/>
                <w:color w:val="000000" w:themeColor="text1"/>
                <w:sz w:val="24"/>
                <w:szCs w:val="24"/>
                <w:highlight w:val="none"/>
                <w14:textFill>
                  <w14:solidFill>
                    <w14:schemeClr w14:val="tx1"/>
                  </w14:solidFill>
                </w14:textFill>
              </w:rPr>
              <w:t>项经评审，方案完善，科学合理，完全针对本项目制定，满足项目需求。</w:t>
            </w:r>
            <w:bookmarkEnd w:id="154"/>
          </w:p>
        </w:tc>
      </w:tr>
      <w:tr w14:paraId="54A71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647" w:type="dxa"/>
            <w:vMerge w:val="restart"/>
            <w:vAlign w:val="center"/>
          </w:tcPr>
          <w:p w14:paraId="33940DC0">
            <w:pPr>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p>
        </w:tc>
        <w:tc>
          <w:tcPr>
            <w:tcW w:w="1198" w:type="dxa"/>
            <w:vMerge w:val="restart"/>
            <w:vAlign w:val="center"/>
          </w:tcPr>
          <w:p w14:paraId="3A5FE228">
            <w:pPr>
              <w:spacing w:after="0" w:line="400" w:lineRule="exact"/>
              <w:jc w:val="center"/>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企业实力（满分20分）</w:t>
            </w:r>
          </w:p>
        </w:tc>
        <w:tc>
          <w:tcPr>
            <w:tcW w:w="1480" w:type="dxa"/>
            <w:vAlign w:val="center"/>
          </w:tcPr>
          <w:p w14:paraId="307F0601">
            <w:pPr>
              <w:pStyle w:val="23"/>
              <w:spacing w:line="312" w:lineRule="auto"/>
              <w:jc w:val="center"/>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拟投入项目团队人员（10 分）</w:t>
            </w:r>
          </w:p>
        </w:tc>
        <w:tc>
          <w:tcPr>
            <w:tcW w:w="6600" w:type="dxa"/>
            <w:vAlign w:val="center"/>
          </w:tcPr>
          <w:p w14:paraId="6B165E91">
            <w:pPr>
              <w:pStyle w:val="23"/>
              <w:spacing w:line="312" w:lineRule="auto"/>
              <w:ind w:firstLine="524" w:firstLineChars="200"/>
              <w:rPr>
                <w:color w:val="000000" w:themeColor="text1"/>
                <w:sz w:val="24"/>
                <w:szCs w:val="24"/>
                <w:highlight w:val="none"/>
                <w14:textFill>
                  <w14:solidFill>
                    <w14:schemeClr w14:val="tx1"/>
                  </w14:solidFill>
                </w14:textFill>
              </w:rPr>
            </w:pPr>
            <w:r>
              <w:rPr>
                <w:color w:val="000000" w:themeColor="text1"/>
                <w:spacing w:val="11"/>
                <w:sz w:val="24"/>
                <w:szCs w:val="24"/>
                <w:highlight w:val="none"/>
                <w14:textFill>
                  <w14:solidFill>
                    <w14:schemeClr w14:val="tx1"/>
                  </w14:solidFill>
                </w14:textFill>
              </w:rPr>
              <w:t>对项目实施人员组织结构、</w:t>
            </w:r>
            <w:r>
              <w:rPr>
                <w:color w:val="000000" w:themeColor="text1"/>
                <w:spacing w:val="-59"/>
                <w:sz w:val="24"/>
                <w:szCs w:val="24"/>
                <w:highlight w:val="none"/>
                <w14:textFill>
                  <w14:solidFill>
                    <w14:schemeClr w14:val="tx1"/>
                  </w14:solidFill>
                </w14:textFill>
              </w:rPr>
              <w:t xml:space="preserve"> </w:t>
            </w:r>
            <w:r>
              <w:rPr>
                <w:color w:val="000000" w:themeColor="text1"/>
                <w:spacing w:val="11"/>
                <w:sz w:val="24"/>
                <w:szCs w:val="24"/>
                <w:highlight w:val="none"/>
                <w14:textFill>
                  <w14:solidFill>
                    <w14:schemeClr w14:val="tx1"/>
                  </w14:solidFill>
                </w14:textFill>
              </w:rPr>
              <w:t>岗位职责及人员等配备情况进行打分，不提供的</w:t>
            </w:r>
            <w:r>
              <w:rPr>
                <w:color w:val="000000" w:themeColor="text1"/>
                <w:spacing w:val="4"/>
                <w:sz w:val="24"/>
                <w:szCs w:val="24"/>
                <w:highlight w:val="none"/>
                <w14:textFill>
                  <w14:solidFill>
                    <w14:schemeClr w14:val="tx1"/>
                  </w14:solidFill>
                </w14:textFill>
              </w:rPr>
              <w:t>不得分：</w:t>
            </w:r>
          </w:p>
          <w:p w14:paraId="5BBD97FA">
            <w:pPr>
              <w:pStyle w:val="23"/>
              <w:spacing w:line="312"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（1）服务保障：提供服务机构地址、人员架构图、人员安排合理，有明确的人员岗位职责；得1分。</w:t>
            </w:r>
          </w:p>
          <w:p w14:paraId="1F59E7BE">
            <w:pPr>
              <w:pStyle w:val="23"/>
              <w:spacing w:line="312"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（2）拟投入的服务人员信息：提供服务人员手机号码、邮箱、项目经验（如有）；信息齐全的得1分。</w:t>
            </w:r>
          </w:p>
          <w:p w14:paraId="545D9A78">
            <w:pPr>
              <w:pStyle w:val="23"/>
              <w:numPr>
                <w:ilvl w:val="255"/>
                <w:numId w:val="0"/>
              </w:numPr>
              <w:spacing w:line="312"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（3）本项目配备的项目负责人具有</w:t>
            </w:r>
            <w:r>
              <w:rPr>
                <w:rFonts w:hAnsi="宋体" w:cs="宋体"/>
                <w:color w:val="000000" w:themeColor="text1"/>
                <w:sz w:val="24"/>
                <w:szCs w:val="24"/>
                <w:highlight w:val="none"/>
                <w14:textFill>
                  <w14:solidFill>
                    <w14:schemeClr w14:val="tx1"/>
                  </w14:solidFill>
                </w14:textFill>
              </w:rPr>
              <w:t>PMP</w:t>
            </w:r>
            <w:r>
              <w:rPr>
                <w:rFonts w:hint="eastAsia" w:hAnsi="宋体" w:cs="宋体"/>
                <w:color w:val="000000" w:themeColor="text1"/>
                <w:sz w:val="24"/>
                <w:szCs w:val="24"/>
                <w:highlight w:val="none"/>
                <w14:textFill>
                  <w14:solidFill>
                    <w14:schemeClr w14:val="tx1"/>
                  </w14:solidFill>
                </w14:textFill>
              </w:rPr>
              <w:t>项目管理证书的得2分。（须提供上述相关证书官方查询网址、证书复印件、身份证复印件）</w:t>
            </w:r>
          </w:p>
          <w:p w14:paraId="46864812">
            <w:pPr>
              <w:pStyle w:val="23"/>
              <w:spacing w:line="312"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（4）投标人为本项目配备的项目实施成员中具有信息系统项目管理师证书的得2分。（须提供上述相关证书官方查询网址、证书复印件、身份证复印件）</w:t>
            </w:r>
          </w:p>
          <w:p w14:paraId="57556D8A">
            <w:pPr>
              <w:pStyle w:val="23"/>
              <w:numPr>
                <w:ilvl w:val="255"/>
                <w:numId w:val="0"/>
              </w:numPr>
              <w:spacing w:line="312" w:lineRule="auto"/>
              <w:ind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（5）投标人为本项目配备的项目实施成员中具有数据库系统工程师证书的得2分。（须提供上述相关证书官方查询网址、证书复印件、身份证复印件）</w:t>
            </w:r>
          </w:p>
          <w:p w14:paraId="69C6186E">
            <w:pPr>
              <w:pStyle w:val="23"/>
              <w:spacing w:line="312" w:lineRule="auto"/>
              <w:ind w:firstLine="480" w:firstLineChars="200"/>
              <w:jc w:val="left"/>
              <w:rPr>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（6）投标人为本项目配备的项目实施成员中具有系统集成项目管理工程师证书的得2分。（须提供上述相关证书官方查询网址、证书复印件、身份证复印件）</w:t>
            </w:r>
          </w:p>
        </w:tc>
      </w:tr>
      <w:tr w14:paraId="1F54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647" w:type="dxa"/>
            <w:vMerge w:val="continue"/>
            <w:vAlign w:val="center"/>
          </w:tcPr>
          <w:p w14:paraId="793C72D0">
            <w:pPr>
              <w:spacing w:after="0" w:line="400" w:lineRule="exact"/>
              <w:jc w:val="center"/>
              <w:rPr>
                <w:rFonts w:ascii="宋体" w:hAnsi="宋体" w:eastAsia="宋体" w:cs="宋体"/>
                <w:color w:val="000000" w:themeColor="text1"/>
                <w:highlight w:val="none"/>
                <w14:textFill>
                  <w14:solidFill>
                    <w14:schemeClr w14:val="tx1"/>
                  </w14:solidFill>
                </w14:textFill>
              </w:rPr>
            </w:pPr>
          </w:p>
        </w:tc>
        <w:tc>
          <w:tcPr>
            <w:tcW w:w="1198" w:type="dxa"/>
            <w:vMerge w:val="continue"/>
            <w:vAlign w:val="center"/>
          </w:tcPr>
          <w:p w14:paraId="653A619F">
            <w:pPr>
              <w:spacing w:after="0" w:line="400" w:lineRule="exact"/>
              <w:jc w:val="center"/>
              <w:rPr>
                <w:rFonts w:ascii="宋体" w:hAnsi="宋体" w:eastAsia="宋体" w:cs="宋体"/>
                <w:b/>
                <w:color w:val="000000" w:themeColor="text1"/>
                <w:highlight w:val="none"/>
                <w14:textFill>
                  <w14:solidFill>
                    <w14:schemeClr w14:val="tx1"/>
                  </w14:solidFill>
                </w14:textFill>
              </w:rPr>
            </w:pPr>
          </w:p>
        </w:tc>
        <w:tc>
          <w:tcPr>
            <w:tcW w:w="1480" w:type="dxa"/>
            <w:vAlign w:val="center"/>
          </w:tcPr>
          <w:p w14:paraId="44754777">
            <w:pPr>
              <w:pStyle w:val="23"/>
              <w:spacing w:line="312" w:lineRule="auto"/>
              <w:jc w:val="center"/>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业绩</w:t>
            </w:r>
          </w:p>
          <w:p w14:paraId="246E3865">
            <w:pPr>
              <w:pStyle w:val="23"/>
              <w:spacing w:line="312" w:lineRule="auto"/>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（10分）</w:t>
            </w:r>
          </w:p>
        </w:tc>
        <w:tc>
          <w:tcPr>
            <w:tcW w:w="6600" w:type="dxa"/>
            <w:vAlign w:val="center"/>
          </w:tcPr>
          <w:p w14:paraId="2BD344B9">
            <w:pPr>
              <w:pStyle w:val="23"/>
              <w:spacing w:line="312" w:lineRule="auto"/>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自2023年7月起（以合同签订时间为准），供应商提供同类项目（至少包含于信息化相关建设内容）合同复印件，每提供1份类似业绩证明材料的得2分，最高得10分。</w:t>
            </w:r>
          </w:p>
          <w:p w14:paraId="327AB13C">
            <w:pPr>
              <w:pStyle w:val="23"/>
              <w:spacing w:line="312" w:lineRule="auto"/>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备注：供应商需提供合同，合同关键页需包含合同首页、标的所在页及合同签字盖章页等合同关键页。无业绩证明材料或业绩证明材料不明确无法体现业绩内容的不予认可）。</w:t>
            </w:r>
          </w:p>
        </w:tc>
      </w:tr>
      <w:tr w14:paraId="0F54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9925" w:type="dxa"/>
            <w:gridSpan w:val="4"/>
            <w:vAlign w:val="center"/>
          </w:tcPr>
          <w:p w14:paraId="27B18907">
            <w:pPr>
              <w:pStyle w:val="23"/>
              <w:snapToGrid w:val="0"/>
              <w:spacing w:line="400" w:lineRule="exact"/>
              <w:rPr>
                <w:rFonts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总得分=1+2+3</w:t>
            </w:r>
          </w:p>
        </w:tc>
      </w:tr>
    </w:tbl>
    <w:p w14:paraId="30562036">
      <w:pPr>
        <w:pStyle w:val="23"/>
        <w:spacing w:line="440" w:lineRule="exact"/>
        <w:rPr>
          <w:rFonts w:hAnsi="宋体" w:cs="宋体"/>
          <w:b/>
          <w:color w:val="000000" w:themeColor="text1"/>
          <w:sz w:val="24"/>
          <w:highlight w:val="none"/>
          <w14:textFill>
            <w14:solidFill>
              <w14:schemeClr w14:val="tx1"/>
            </w14:solidFill>
          </w14:textFill>
        </w:rPr>
      </w:pPr>
      <w:bookmarkStart w:id="155" w:name="_Toc246095525"/>
      <w:bookmarkStart w:id="156" w:name="_Toc246095463"/>
      <w:bookmarkStart w:id="157" w:name="_Toc246094919"/>
    </w:p>
    <w:p w14:paraId="5817B95C">
      <w:pPr>
        <w:spacing w:after="0" w:line="360" w:lineRule="exact"/>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三、成交候选人推荐原则</w:t>
      </w:r>
    </w:p>
    <w:p w14:paraId="72AEB8AE">
      <w:pPr>
        <w:adjustRightInd/>
        <w:snapToGrid/>
        <w:spacing w:line="440" w:lineRule="exact"/>
        <w:ind w:firstLine="480" w:firstLineChars="200"/>
        <w:rPr>
          <w:rFonts w:ascii="宋体" w:hAnsi="宋体" w:eastAsia="宋体"/>
          <w:b/>
          <w:color w:val="000000" w:themeColor="text1"/>
          <w:highlight w:val="none"/>
          <w:u w:val="single"/>
          <w14:textFill>
            <w14:solidFill>
              <w14:schemeClr w14:val="tx1"/>
            </w14:solidFill>
          </w14:textFill>
        </w:rPr>
      </w:pPr>
      <w:r>
        <w:rPr>
          <w:rFonts w:hint="eastAsia" w:hAnsi="宋体" w:cs="宋体"/>
          <w:color w:val="000000" w:themeColor="text1"/>
          <w:highlight w:val="none"/>
          <w14:textFill>
            <w14:solidFill>
              <w14:schemeClr w14:val="tx1"/>
            </w14:solidFill>
          </w14:textFill>
        </w:rPr>
        <w:t>磋商小组将根据综合得分情况，按照评审得分由高到低顺序推荐前3名为成交候选供应商，并编写评审报告。根据得分由高到低排列次序（得分相同时，以磋商报价由低到高顺序排列；得分相同且磋商报价相同的，按技术指标优劣顺序排列）并推荐成交候选供应商。采购人应当确定磋商小组推荐排名第一、第二的成交候选人为成交人。排名第一、第二的成交候选人放弃成交、因不可抗力提出不能履行合同，采购人可以确定排名第三的成交候选人为成交人。排名第三的成交候选人因前款规定的同样原因不能签订合同的，采购人可以确定排名第四的为成交人，其余以此类推。采购人也可以决定重新采购。</w:t>
      </w:r>
    </w:p>
    <w:p w14:paraId="24E9706C">
      <w:pPr>
        <w:widowControl w:val="0"/>
        <w:adjustRightInd/>
        <w:snapToGrid/>
        <w:spacing w:after="0" w:line="500" w:lineRule="exact"/>
        <w:ind w:firstLine="482" w:firstLineChars="200"/>
        <w:rPr>
          <w:rFonts w:ascii="宋体" w:hAnsi="宋体" w:eastAsia="宋体" w:cs="宋体"/>
          <w:b/>
          <w:bCs/>
          <w:color w:val="000000" w:themeColor="text1"/>
          <w:highlight w:val="none"/>
          <w14:textFill>
            <w14:solidFill>
              <w14:schemeClr w14:val="tx1"/>
            </w14:solidFill>
          </w14:textFill>
        </w:rPr>
      </w:pPr>
    </w:p>
    <w:p w14:paraId="411C202F">
      <w:pPr>
        <w:spacing w:after="0" w:line="440" w:lineRule="exact"/>
        <w:ind w:firstLine="480"/>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3BA355F4">
      <w:pPr>
        <w:pStyle w:val="2"/>
        <w:ind w:left="720"/>
        <w:rPr>
          <w:rFonts w:ascii="宋体" w:hAnsi="宋体" w:eastAsia="宋体" w:cs="宋体"/>
          <w:b/>
          <w:bCs/>
          <w:color w:val="000000" w:themeColor="text1"/>
          <w:highlight w:val="none"/>
          <w14:textFill>
            <w14:solidFill>
              <w14:schemeClr w14:val="tx1"/>
            </w14:solidFill>
          </w14:textFill>
        </w:rPr>
      </w:pPr>
      <w:bookmarkStart w:id="158" w:name="_Toc213325925"/>
      <w:bookmarkStart w:id="159" w:name="_Toc213206176"/>
      <w:bookmarkStart w:id="160" w:name="_Toc21988"/>
      <w:bookmarkStart w:id="161" w:name="_Toc422316568"/>
      <w:r>
        <w:rPr>
          <w:rFonts w:hint="eastAsia" w:ascii="宋体" w:hAnsi="宋体" w:eastAsia="宋体" w:cs="宋体"/>
          <w:b/>
          <w:bCs/>
          <w:color w:val="000000" w:themeColor="text1"/>
          <w:highlight w:val="none"/>
          <w14:textFill>
            <w14:solidFill>
              <w14:schemeClr w14:val="tx1"/>
            </w14:solidFill>
          </w14:textFill>
        </w:rPr>
        <w:t>第五章  合同文本格式</w:t>
      </w:r>
      <w:bookmarkEnd w:id="158"/>
      <w:bookmarkEnd w:id="159"/>
      <w:bookmarkEnd w:id="160"/>
      <w:bookmarkEnd w:id="161"/>
    </w:p>
    <w:p w14:paraId="40C6B5D6">
      <w:pPr>
        <w:spacing w:line="400" w:lineRule="exact"/>
        <w:jc w:val="center"/>
        <w:rPr>
          <w:rFonts w:ascii="宋体" w:hAnsi="宋体" w:eastAsia="宋体" w:cs="宋体"/>
          <w:b/>
          <w:bCs/>
          <w:color w:val="000000" w:themeColor="text1"/>
          <w:sz w:val="32"/>
          <w:szCs w:val="32"/>
          <w:highlight w:val="none"/>
          <w14:textFill>
            <w14:solidFill>
              <w14:schemeClr w14:val="tx1"/>
            </w14:solidFill>
          </w14:textFill>
        </w:rPr>
      </w:pPr>
    </w:p>
    <w:p w14:paraId="03E7694C">
      <w:pPr>
        <w:pStyle w:val="17"/>
        <w:spacing w:before="98" w:line="219" w:lineRule="auto"/>
        <w:ind w:left="3451"/>
        <w:jc w:val="left"/>
        <w:rPr>
          <w:color w:val="000000" w:themeColor="text1"/>
          <w:sz w:val="30"/>
          <w:szCs w:val="30"/>
          <w:highlight w:val="none"/>
          <w14:textFill>
            <w14:solidFill>
              <w14:schemeClr w14:val="tx1"/>
            </w14:solidFill>
          </w14:textFill>
        </w:rPr>
      </w:pPr>
      <w:bookmarkStart w:id="162" w:name="_Toc18640"/>
      <w:r>
        <w:rPr>
          <w:color w:val="000000" w:themeColor="text1"/>
          <w:spacing w:val="-5"/>
          <w:sz w:val="30"/>
          <w:szCs w:val="30"/>
          <w:highlight w:val="none"/>
          <w14:textFill>
            <w14:solidFill>
              <w14:schemeClr w14:val="tx1"/>
            </w14:solidFill>
          </w14:textFill>
        </w:rPr>
        <w:t>（参考格式）</w:t>
      </w:r>
    </w:p>
    <w:p w14:paraId="654A8C3B">
      <w:pPr>
        <w:pStyle w:val="17"/>
        <w:spacing w:before="266" w:line="219" w:lineRule="auto"/>
        <w:jc w:val="right"/>
        <w:rPr>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（注：本合同格式仅为合同的参考文本，合同签订双方可根据项目</w:t>
      </w:r>
    </w:p>
    <w:p w14:paraId="4D838EEB">
      <w:pPr>
        <w:pStyle w:val="17"/>
        <w:spacing w:before="269" w:line="219" w:lineRule="auto"/>
        <w:ind w:left="2711"/>
        <w:jc w:val="both"/>
        <w:rPr>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的具体要求进行修订。）</w:t>
      </w:r>
    </w:p>
    <w:p w14:paraId="133638E9">
      <w:pPr>
        <w:spacing w:line="259" w:lineRule="auto"/>
        <w:rPr>
          <w:rFonts w:ascii="Arial"/>
          <w:color w:val="000000" w:themeColor="text1"/>
          <w:sz w:val="21"/>
          <w:highlight w:val="none"/>
          <w14:textFill>
            <w14:solidFill>
              <w14:schemeClr w14:val="tx1"/>
            </w14:solidFill>
          </w14:textFill>
        </w:rPr>
      </w:pPr>
    </w:p>
    <w:p w14:paraId="479C55C0">
      <w:pPr>
        <w:spacing w:line="260" w:lineRule="auto"/>
        <w:rPr>
          <w:rFonts w:ascii="Arial"/>
          <w:color w:val="000000" w:themeColor="text1"/>
          <w:sz w:val="21"/>
          <w:highlight w:val="none"/>
          <w14:textFill>
            <w14:solidFill>
              <w14:schemeClr w14:val="tx1"/>
            </w14:solidFill>
          </w14:textFill>
        </w:rPr>
      </w:pPr>
    </w:p>
    <w:p w14:paraId="30B70D87">
      <w:pPr>
        <w:spacing w:line="260" w:lineRule="auto"/>
        <w:rPr>
          <w:rFonts w:ascii="Arial"/>
          <w:color w:val="000000" w:themeColor="text1"/>
          <w:sz w:val="21"/>
          <w:highlight w:val="none"/>
          <w14:textFill>
            <w14:solidFill>
              <w14:schemeClr w14:val="tx1"/>
            </w14:solidFill>
          </w14:textFill>
        </w:rPr>
      </w:pPr>
    </w:p>
    <w:p w14:paraId="273BA823">
      <w:pPr>
        <w:pStyle w:val="17"/>
        <w:spacing w:before="140" w:line="222" w:lineRule="auto"/>
        <w:ind w:left="3016"/>
        <w:jc w:val="both"/>
        <w:rPr>
          <w:color w:val="000000" w:themeColor="text1"/>
          <w:sz w:val="43"/>
          <w:szCs w:val="43"/>
          <w:highlight w:val="none"/>
          <w14:textFill>
            <w14:solidFill>
              <w14:schemeClr w14:val="tx1"/>
            </w14:solidFill>
          </w14:textFill>
        </w:rPr>
      </w:pPr>
      <w:r>
        <w:rPr>
          <w:b/>
          <w:bCs/>
          <w:color w:val="000000" w:themeColor="text1"/>
          <w:spacing w:val="4"/>
          <w:sz w:val="43"/>
          <w:szCs w:val="43"/>
          <w:highlight w:val="none"/>
          <w14:textFill>
            <w14:solidFill>
              <w14:schemeClr w14:val="tx1"/>
            </w14:solidFill>
          </w14:textFill>
        </w:rPr>
        <w:t>政府采购合同</w:t>
      </w:r>
    </w:p>
    <w:p w14:paraId="3FEEB9D6">
      <w:pPr>
        <w:spacing w:line="244" w:lineRule="auto"/>
        <w:rPr>
          <w:rFonts w:ascii="Arial"/>
          <w:color w:val="000000" w:themeColor="text1"/>
          <w:sz w:val="21"/>
          <w:highlight w:val="none"/>
          <w14:textFill>
            <w14:solidFill>
              <w14:schemeClr w14:val="tx1"/>
            </w14:solidFill>
          </w14:textFill>
        </w:rPr>
      </w:pPr>
    </w:p>
    <w:p w14:paraId="0216C091">
      <w:pPr>
        <w:spacing w:line="244" w:lineRule="auto"/>
        <w:rPr>
          <w:rFonts w:ascii="Arial"/>
          <w:color w:val="000000" w:themeColor="text1"/>
          <w:sz w:val="21"/>
          <w:highlight w:val="none"/>
          <w14:textFill>
            <w14:solidFill>
              <w14:schemeClr w14:val="tx1"/>
            </w14:solidFill>
          </w14:textFill>
        </w:rPr>
      </w:pPr>
    </w:p>
    <w:p w14:paraId="53978679">
      <w:pPr>
        <w:spacing w:line="244" w:lineRule="auto"/>
        <w:rPr>
          <w:rFonts w:ascii="Arial"/>
          <w:color w:val="000000" w:themeColor="text1"/>
          <w:sz w:val="21"/>
          <w:highlight w:val="none"/>
          <w14:textFill>
            <w14:solidFill>
              <w14:schemeClr w14:val="tx1"/>
            </w14:solidFill>
          </w14:textFill>
        </w:rPr>
      </w:pPr>
    </w:p>
    <w:p w14:paraId="766B9BC8">
      <w:pPr>
        <w:spacing w:line="245" w:lineRule="auto"/>
        <w:jc w:val="both"/>
        <w:rPr>
          <w:rFonts w:ascii="Arial"/>
          <w:color w:val="000000" w:themeColor="text1"/>
          <w:sz w:val="28"/>
          <w:szCs w:val="28"/>
          <w:highlight w:val="none"/>
          <w14:textFill>
            <w14:solidFill>
              <w14:schemeClr w14:val="tx1"/>
            </w14:solidFill>
          </w14:textFill>
        </w:rPr>
      </w:pPr>
    </w:p>
    <w:p w14:paraId="79C600C4">
      <w:pPr>
        <w:pStyle w:val="17"/>
        <w:spacing w:before="91" w:line="222" w:lineRule="auto"/>
        <w:ind w:left="2224"/>
        <w:jc w:val="both"/>
        <w:rPr>
          <w:color w:val="000000" w:themeColor="text1"/>
          <w:sz w:val="28"/>
          <w:szCs w:val="28"/>
          <w:highlight w:val="none"/>
          <w14:textFill>
            <w14:solidFill>
              <w14:schemeClr w14:val="tx1"/>
            </w14:solidFill>
          </w14:textFill>
        </w:rPr>
      </w:pPr>
      <w:r>
        <w:rPr>
          <w:color w:val="000000" w:themeColor="text1"/>
          <w:spacing w:val="-3"/>
          <w:sz w:val="28"/>
          <w:szCs w:val="28"/>
          <w:highlight w:val="none"/>
          <w14:textFill>
            <w14:solidFill>
              <w14:schemeClr w14:val="tx1"/>
            </w14:solidFill>
          </w14:textFill>
        </w:rPr>
        <w:t>合同名称：</w:t>
      </w:r>
    </w:p>
    <w:p w14:paraId="2D6C1663">
      <w:pPr>
        <w:pStyle w:val="17"/>
        <w:spacing w:before="287" w:line="220" w:lineRule="auto"/>
        <w:ind w:left="2183"/>
        <w:jc w:val="both"/>
        <w:rPr>
          <w:color w:val="000000" w:themeColor="text1"/>
          <w:sz w:val="28"/>
          <w:szCs w:val="28"/>
          <w:highlight w:val="none"/>
          <w14:textFill>
            <w14:solidFill>
              <w14:schemeClr w14:val="tx1"/>
            </w14:solidFill>
          </w14:textFill>
        </w:rPr>
      </w:pPr>
      <w:r>
        <w:rPr>
          <w:color w:val="000000" w:themeColor="text1"/>
          <w:spacing w:val="-3"/>
          <w:sz w:val="28"/>
          <w:szCs w:val="28"/>
          <w:highlight w:val="none"/>
          <w14:textFill>
            <w14:solidFill>
              <w14:schemeClr w14:val="tx1"/>
            </w14:solidFill>
          </w14:textFill>
        </w:rPr>
        <w:t>合同编号：</w:t>
      </w:r>
    </w:p>
    <w:p w14:paraId="18593268">
      <w:pPr>
        <w:spacing w:line="272" w:lineRule="auto"/>
        <w:jc w:val="both"/>
        <w:rPr>
          <w:rFonts w:ascii="Arial"/>
          <w:color w:val="000000" w:themeColor="text1"/>
          <w:sz w:val="28"/>
          <w:szCs w:val="28"/>
          <w:highlight w:val="none"/>
          <w14:textFill>
            <w14:solidFill>
              <w14:schemeClr w14:val="tx1"/>
            </w14:solidFill>
          </w14:textFill>
        </w:rPr>
      </w:pPr>
    </w:p>
    <w:p w14:paraId="40555DFA">
      <w:pPr>
        <w:spacing w:line="273" w:lineRule="auto"/>
        <w:jc w:val="both"/>
        <w:rPr>
          <w:rFonts w:ascii="Arial"/>
          <w:color w:val="000000" w:themeColor="text1"/>
          <w:sz w:val="28"/>
          <w:szCs w:val="28"/>
          <w:highlight w:val="none"/>
          <w14:textFill>
            <w14:solidFill>
              <w14:schemeClr w14:val="tx1"/>
            </w14:solidFill>
          </w14:textFill>
        </w:rPr>
      </w:pPr>
    </w:p>
    <w:p w14:paraId="725C4A08">
      <w:pPr>
        <w:spacing w:line="273" w:lineRule="auto"/>
        <w:jc w:val="both"/>
        <w:rPr>
          <w:rFonts w:ascii="Arial"/>
          <w:color w:val="000000" w:themeColor="text1"/>
          <w:sz w:val="28"/>
          <w:szCs w:val="28"/>
          <w:highlight w:val="none"/>
          <w14:textFill>
            <w14:solidFill>
              <w14:schemeClr w14:val="tx1"/>
            </w14:solidFill>
          </w14:textFill>
        </w:rPr>
      </w:pPr>
    </w:p>
    <w:p w14:paraId="7F399DD1">
      <w:pPr>
        <w:pStyle w:val="17"/>
        <w:spacing w:before="92" w:line="219" w:lineRule="auto"/>
        <w:ind w:left="2181"/>
        <w:jc w:val="both"/>
        <w:rPr>
          <w:color w:val="000000" w:themeColor="text1"/>
          <w:sz w:val="28"/>
          <w:szCs w:val="28"/>
          <w:highlight w:val="none"/>
          <w14:textFill>
            <w14:solidFill>
              <w14:schemeClr w14:val="tx1"/>
            </w14:solidFill>
          </w14:textFill>
        </w:rPr>
      </w:pPr>
      <w:r>
        <w:rPr>
          <w:color w:val="000000" w:themeColor="text1"/>
          <w:spacing w:val="-2"/>
          <w:sz w:val="28"/>
          <w:szCs w:val="28"/>
          <w:highlight w:val="none"/>
          <w14:textFill>
            <w14:solidFill>
              <w14:schemeClr w14:val="tx1"/>
            </w14:solidFill>
          </w14:textFill>
        </w:rPr>
        <w:t>采购人（甲方）</w:t>
      </w:r>
    </w:p>
    <w:p w14:paraId="370DEA95">
      <w:pPr>
        <w:pStyle w:val="17"/>
        <w:spacing w:before="291" w:line="219" w:lineRule="auto"/>
        <w:ind w:left="2182"/>
        <w:jc w:val="both"/>
        <w:rPr>
          <w:color w:val="000000" w:themeColor="text1"/>
          <w:sz w:val="28"/>
          <w:szCs w:val="28"/>
          <w:highlight w:val="none"/>
          <w14:textFill>
            <w14:solidFill>
              <w14:schemeClr w14:val="tx1"/>
            </w14:solidFill>
          </w14:textFill>
        </w:rPr>
      </w:pPr>
      <w:r>
        <w:rPr>
          <w:color w:val="000000" w:themeColor="text1"/>
          <w:spacing w:val="-2"/>
          <w:sz w:val="28"/>
          <w:szCs w:val="28"/>
          <w:highlight w:val="none"/>
          <w14:textFill>
            <w14:solidFill>
              <w14:schemeClr w14:val="tx1"/>
            </w14:solidFill>
          </w14:textFill>
        </w:rPr>
        <w:t>供应商（乙方）</w:t>
      </w:r>
    </w:p>
    <w:p w14:paraId="02FECCAB">
      <w:pPr>
        <w:spacing w:line="273" w:lineRule="auto"/>
        <w:jc w:val="both"/>
        <w:rPr>
          <w:rFonts w:ascii="Arial"/>
          <w:color w:val="000000" w:themeColor="text1"/>
          <w:sz w:val="28"/>
          <w:szCs w:val="28"/>
          <w:highlight w:val="none"/>
          <w14:textFill>
            <w14:solidFill>
              <w14:schemeClr w14:val="tx1"/>
            </w14:solidFill>
          </w14:textFill>
        </w:rPr>
      </w:pPr>
    </w:p>
    <w:p w14:paraId="7105C788">
      <w:pPr>
        <w:spacing w:line="273" w:lineRule="auto"/>
        <w:jc w:val="both"/>
        <w:rPr>
          <w:rFonts w:ascii="Arial"/>
          <w:color w:val="000000" w:themeColor="text1"/>
          <w:sz w:val="28"/>
          <w:szCs w:val="28"/>
          <w:highlight w:val="none"/>
          <w14:textFill>
            <w14:solidFill>
              <w14:schemeClr w14:val="tx1"/>
            </w14:solidFill>
          </w14:textFill>
        </w:rPr>
      </w:pPr>
    </w:p>
    <w:p w14:paraId="3DAAD8CF">
      <w:pPr>
        <w:spacing w:line="273" w:lineRule="auto"/>
        <w:jc w:val="both"/>
        <w:rPr>
          <w:rFonts w:ascii="Arial"/>
          <w:color w:val="000000" w:themeColor="text1"/>
          <w:sz w:val="28"/>
          <w:szCs w:val="28"/>
          <w:highlight w:val="none"/>
          <w14:textFill>
            <w14:solidFill>
              <w14:schemeClr w14:val="tx1"/>
            </w14:solidFill>
          </w14:textFill>
        </w:rPr>
      </w:pPr>
    </w:p>
    <w:p w14:paraId="38A38CA2">
      <w:pPr>
        <w:pStyle w:val="17"/>
        <w:spacing w:before="92" w:line="222" w:lineRule="auto"/>
        <w:ind w:left="2182"/>
        <w:jc w:val="both"/>
        <w:rPr>
          <w:color w:val="000000" w:themeColor="text1"/>
          <w:sz w:val="28"/>
          <w:szCs w:val="28"/>
          <w:highlight w:val="none"/>
          <w14:textFill>
            <w14:solidFill>
              <w14:schemeClr w14:val="tx1"/>
            </w14:solidFill>
          </w14:textFill>
        </w:rPr>
      </w:pPr>
      <w:r>
        <w:rPr>
          <w:color w:val="000000" w:themeColor="text1"/>
          <w:spacing w:val="-2"/>
          <w:sz w:val="28"/>
          <w:szCs w:val="28"/>
          <w:highlight w:val="none"/>
          <w14:textFill>
            <w14:solidFill>
              <w14:schemeClr w14:val="tx1"/>
            </w14:solidFill>
          </w14:textFill>
        </w:rPr>
        <w:t>签订合同地点</w:t>
      </w:r>
    </w:p>
    <w:p w14:paraId="600B4776">
      <w:pPr>
        <w:pStyle w:val="17"/>
        <w:spacing w:before="287" w:line="222" w:lineRule="auto"/>
        <w:ind w:left="2182"/>
        <w:jc w:val="both"/>
        <w:rPr>
          <w:color w:val="000000" w:themeColor="text1"/>
          <w:highlight w:val="none"/>
          <w14:textFill>
            <w14:solidFill>
              <w14:schemeClr w14:val="tx1"/>
            </w14:solidFill>
          </w14:textFill>
        </w:rPr>
      </w:pPr>
      <w:r>
        <w:rPr>
          <w:color w:val="000000" w:themeColor="text1"/>
          <w:spacing w:val="-2"/>
          <w:sz w:val="28"/>
          <w:szCs w:val="28"/>
          <w:highlight w:val="none"/>
          <w14:textFill>
            <w14:solidFill>
              <w14:schemeClr w14:val="tx1"/>
            </w14:solidFill>
          </w14:textFill>
        </w:rPr>
        <w:t>签订合同时间</w:t>
      </w:r>
    </w:p>
    <w:p w14:paraId="14A92287">
      <w:pPr>
        <w:spacing w:line="222" w:lineRule="auto"/>
        <w:rPr>
          <w:color w:val="000000" w:themeColor="text1"/>
          <w:highlight w:val="none"/>
          <w14:textFill>
            <w14:solidFill>
              <w14:schemeClr w14:val="tx1"/>
            </w14:solidFill>
          </w14:textFill>
        </w:rPr>
        <w:sectPr>
          <w:pgSz w:w="11906" w:h="16839"/>
          <w:pgMar w:top="1431" w:right="1518" w:bottom="1449" w:left="1711" w:header="0" w:footer="1287" w:gutter="0"/>
          <w:cols w:space="720" w:num="1"/>
        </w:sectPr>
      </w:pPr>
    </w:p>
    <w:p w14:paraId="1583CAED">
      <w:pPr>
        <w:pStyle w:val="17"/>
        <w:spacing w:before="170" w:line="227" w:lineRule="auto"/>
        <w:ind w:left="3150"/>
        <w:jc w:val="both"/>
        <w:rPr>
          <w:color w:val="000000" w:themeColor="text1"/>
          <w:sz w:val="20"/>
          <w:szCs w:val="20"/>
          <w:highlight w:val="none"/>
          <w14:textFill>
            <w14:solidFill>
              <w14:schemeClr w14:val="tx1"/>
            </w14:solidFill>
          </w14:textFill>
        </w:rPr>
      </w:pPr>
      <w:bookmarkStart w:id="163" w:name="bookmark18"/>
      <w:bookmarkEnd w:id="163"/>
      <w:r>
        <w:rPr>
          <w:b/>
          <w:bCs/>
          <w:color w:val="000000" w:themeColor="text1"/>
          <w:spacing w:val="6"/>
          <w:sz w:val="20"/>
          <w:szCs w:val="20"/>
          <w:highlight w:val="none"/>
          <w14:textFill>
            <w14:solidFill>
              <w14:schemeClr w14:val="tx1"/>
            </w14:solidFill>
          </w14:textFill>
        </w:rPr>
        <w:t>《广壮族自治区政府采购合同》</w:t>
      </w:r>
    </w:p>
    <w:p w14:paraId="02EF0DF8">
      <w:pPr>
        <w:pStyle w:val="17"/>
        <w:spacing w:before="222" w:line="227" w:lineRule="auto"/>
        <w:ind w:left="4514"/>
        <w:jc w:val="both"/>
        <w:rPr>
          <w:color w:val="000000" w:themeColor="text1"/>
          <w:sz w:val="20"/>
          <w:szCs w:val="20"/>
          <w:highlight w:val="none"/>
          <w14:textFill>
            <w14:solidFill>
              <w14:schemeClr w14:val="tx1"/>
            </w14:solidFill>
          </w14:textFill>
        </w:rPr>
      </w:pPr>
      <w:r>
        <w:rPr>
          <w:b/>
          <w:bCs/>
          <w:color w:val="000000" w:themeColor="text1"/>
          <w:spacing w:val="3"/>
          <w:sz w:val="20"/>
          <w:szCs w:val="20"/>
          <w:highlight w:val="none"/>
          <w14:textFill>
            <w14:solidFill>
              <w14:schemeClr w14:val="tx1"/>
            </w14:solidFill>
          </w14:textFill>
        </w:rPr>
        <w:t>文本</w:t>
      </w:r>
    </w:p>
    <w:p w14:paraId="366F18B0">
      <w:pPr>
        <w:spacing w:after="0" w:line="440" w:lineRule="exact"/>
        <w:rPr>
          <w:rFonts w:ascii="Arial"/>
          <w:color w:val="000000" w:themeColor="text1"/>
          <w:sz w:val="21"/>
          <w:highlight w:val="none"/>
          <w14:textFill>
            <w14:solidFill>
              <w14:schemeClr w14:val="tx1"/>
            </w14:solidFill>
          </w14:textFill>
        </w:rPr>
      </w:pPr>
    </w:p>
    <w:p w14:paraId="7AF07F53">
      <w:pPr>
        <w:pStyle w:val="17"/>
        <w:spacing w:line="440" w:lineRule="exact"/>
        <w:ind w:left="540"/>
        <w:jc w:val="left"/>
        <w:rPr>
          <w:color w:val="000000" w:themeColor="text1"/>
          <w:sz w:val="20"/>
          <w:szCs w:val="20"/>
          <w:highlight w:val="none"/>
          <w14:textFill>
            <w14:solidFill>
              <w14:schemeClr w14:val="tx1"/>
            </w14:solidFill>
          </w14:textFill>
        </w:rPr>
      </w:pPr>
      <w:r>
        <w:rPr>
          <w:color w:val="000000" w:themeColor="text1"/>
          <w:spacing w:val="6"/>
          <w:sz w:val="20"/>
          <w:szCs w:val="20"/>
          <w:highlight w:val="none"/>
          <w14:textFill>
            <w14:solidFill>
              <w14:schemeClr w14:val="tx1"/>
            </w14:solidFill>
          </w14:textFill>
        </w:rPr>
        <w:t>采购计划号：</w:t>
      </w:r>
      <w:r>
        <w:rPr>
          <w:color w:val="000000" w:themeColor="text1"/>
          <w:spacing w:val="6"/>
          <w:sz w:val="20"/>
          <w:szCs w:val="20"/>
          <w:highlight w:val="none"/>
          <w:u w:val="single"/>
          <w14:textFill>
            <w14:solidFill>
              <w14:schemeClr w14:val="tx1"/>
            </w14:solidFill>
          </w14:textFill>
        </w:rPr>
        <w:t xml:space="preserve">                    </w:t>
      </w:r>
      <w:r>
        <w:rPr>
          <w:rFonts w:hint="eastAsia"/>
          <w:color w:val="000000" w:themeColor="text1"/>
          <w:spacing w:val="6"/>
          <w:sz w:val="20"/>
          <w:szCs w:val="20"/>
          <w:highlight w:val="none"/>
          <w:u w:val="single"/>
          <w14:textFill>
            <w14:solidFill>
              <w14:schemeClr w14:val="tx1"/>
            </w14:solidFill>
          </w14:textFill>
        </w:rPr>
        <w:t xml:space="preserve">   </w:t>
      </w:r>
      <w:r>
        <w:rPr>
          <w:color w:val="000000" w:themeColor="text1"/>
          <w:spacing w:val="6"/>
          <w:sz w:val="20"/>
          <w:szCs w:val="20"/>
          <w:highlight w:val="none"/>
          <w:u w:val="single"/>
          <w14:textFill>
            <w14:solidFill>
              <w14:schemeClr w14:val="tx1"/>
            </w14:solidFill>
          </w14:textFill>
        </w:rPr>
        <w:t xml:space="preserve">  </w:t>
      </w:r>
      <w:r>
        <w:rPr>
          <w:color w:val="000000" w:themeColor="text1"/>
          <w:spacing w:val="6"/>
          <w:sz w:val="20"/>
          <w:szCs w:val="20"/>
          <w:highlight w:val="none"/>
          <w14:textFill>
            <w14:solidFill>
              <w14:schemeClr w14:val="tx1"/>
            </w14:solidFill>
          </w14:textFill>
        </w:rPr>
        <w:t xml:space="preserve">    </w:t>
      </w:r>
      <w:r>
        <w:rPr>
          <w:rFonts w:hint="eastAsia"/>
          <w:color w:val="000000" w:themeColor="text1"/>
          <w:spacing w:val="6"/>
          <w:sz w:val="20"/>
          <w:szCs w:val="20"/>
          <w:highlight w:val="none"/>
          <w14:textFill>
            <w14:solidFill>
              <w14:schemeClr w14:val="tx1"/>
            </w14:solidFill>
          </w14:textFill>
        </w:rPr>
        <w:t xml:space="preserve">   </w:t>
      </w:r>
      <w:r>
        <w:rPr>
          <w:color w:val="000000" w:themeColor="text1"/>
          <w:spacing w:val="6"/>
          <w:sz w:val="20"/>
          <w:szCs w:val="20"/>
          <w:highlight w:val="none"/>
          <w14:textFill>
            <w14:solidFill>
              <w14:schemeClr w14:val="tx1"/>
            </w14:solidFill>
          </w14:textFill>
        </w:rPr>
        <w:t>合</w:t>
      </w:r>
      <w:r>
        <w:rPr>
          <w:color w:val="000000" w:themeColor="text1"/>
          <w:spacing w:val="5"/>
          <w:sz w:val="20"/>
          <w:szCs w:val="20"/>
          <w:highlight w:val="none"/>
          <w14:textFill>
            <w14:solidFill>
              <w14:schemeClr w14:val="tx1"/>
            </w14:solidFill>
          </w14:textFill>
        </w:rPr>
        <w:t>同编号：</w:t>
      </w:r>
      <w:r>
        <w:rPr>
          <w:color w:val="000000" w:themeColor="text1"/>
          <w:spacing w:val="18"/>
          <w:sz w:val="20"/>
          <w:szCs w:val="20"/>
          <w:highlight w:val="none"/>
          <w14:textFill>
            <w14:solidFill>
              <w14:schemeClr w14:val="tx1"/>
            </w14:solidFill>
          </w14:textFill>
        </w:rPr>
        <w:t xml:space="preserve"> </w:t>
      </w:r>
      <w:r>
        <w:rPr>
          <w:color w:val="000000" w:themeColor="text1"/>
          <w:sz w:val="20"/>
          <w:szCs w:val="20"/>
          <w:highlight w:val="none"/>
          <w:u w:val="single"/>
          <w14:textFill>
            <w14:solidFill>
              <w14:schemeClr w14:val="tx1"/>
            </w14:solidFill>
          </w14:textFill>
        </w:rPr>
        <w:t xml:space="preserve">                            </w:t>
      </w:r>
    </w:p>
    <w:p w14:paraId="2AE51020">
      <w:pPr>
        <w:pStyle w:val="17"/>
        <w:spacing w:line="440" w:lineRule="exact"/>
        <w:ind w:left="540"/>
        <w:jc w:val="left"/>
        <w:rPr>
          <w:color w:val="000000" w:themeColor="text1"/>
          <w:sz w:val="20"/>
          <w:szCs w:val="20"/>
          <w:highlight w:val="none"/>
          <w14:textFill>
            <w14:solidFill>
              <w14:schemeClr w14:val="tx1"/>
            </w14:solidFill>
          </w14:textFill>
        </w:rPr>
      </w:pPr>
      <w:r>
        <w:rPr>
          <w:color w:val="000000" w:themeColor="text1"/>
          <w:spacing w:val="8"/>
          <w:sz w:val="20"/>
          <w:szCs w:val="20"/>
          <w:highlight w:val="none"/>
          <w14:textFill>
            <w14:solidFill>
              <w14:schemeClr w14:val="tx1"/>
            </w14:solidFill>
          </w14:textFill>
        </w:rPr>
        <w:t>采购人（甲方</w:t>
      </w:r>
      <w:r>
        <w:rPr>
          <w:color w:val="000000" w:themeColor="text1"/>
          <w:spacing w:val="9"/>
          <w:sz w:val="20"/>
          <w:szCs w:val="20"/>
          <w:highlight w:val="none"/>
          <w14:textFill>
            <w14:solidFill>
              <w14:schemeClr w14:val="tx1"/>
            </w14:solidFill>
          </w14:textFill>
        </w:rPr>
        <w:t>）：</w:t>
      </w:r>
      <w:r>
        <w:rPr>
          <w:color w:val="000000" w:themeColor="text1"/>
          <w:spacing w:val="5"/>
          <w:sz w:val="20"/>
          <w:szCs w:val="20"/>
          <w:highlight w:val="none"/>
          <w:u w:val="single"/>
          <w14:textFill>
            <w14:solidFill>
              <w14:schemeClr w14:val="tx1"/>
            </w14:solidFill>
          </w14:textFill>
        </w:rPr>
        <w:t xml:space="preserve">                  </w:t>
      </w:r>
      <w:r>
        <w:rPr>
          <w:color w:val="000000" w:themeColor="text1"/>
          <w:spacing w:val="7"/>
          <w:sz w:val="20"/>
          <w:szCs w:val="20"/>
          <w:highlight w:val="none"/>
          <w14:textFill>
            <w14:solidFill>
              <w14:schemeClr w14:val="tx1"/>
            </w14:solidFill>
          </w14:textFill>
        </w:rPr>
        <w:t xml:space="preserve">    </w:t>
      </w:r>
      <w:r>
        <w:rPr>
          <w:rFonts w:hint="eastAsia"/>
          <w:color w:val="000000" w:themeColor="text1"/>
          <w:spacing w:val="7"/>
          <w:sz w:val="20"/>
          <w:szCs w:val="20"/>
          <w:highlight w:val="none"/>
          <w14:textFill>
            <w14:solidFill>
              <w14:schemeClr w14:val="tx1"/>
            </w14:solidFill>
          </w14:textFill>
        </w:rPr>
        <w:t xml:space="preserve">  </w:t>
      </w:r>
      <w:r>
        <w:rPr>
          <w:color w:val="000000" w:themeColor="text1"/>
          <w:spacing w:val="8"/>
          <w:sz w:val="20"/>
          <w:szCs w:val="20"/>
          <w:highlight w:val="none"/>
          <w14:textFill>
            <w14:solidFill>
              <w14:schemeClr w14:val="tx1"/>
            </w14:solidFill>
          </w14:textFill>
        </w:rPr>
        <w:t>供应商（乙方</w:t>
      </w:r>
      <w:r>
        <w:rPr>
          <w:color w:val="000000" w:themeColor="text1"/>
          <w:spacing w:val="9"/>
          <w:sz w:val="20"/>
          <w:szCs w:val="20"/>
          <w:highlight w:val="none"/>
          <w14:textFill>
            <w14:solidFill>
              <w14:schemeClr w14:val="tx1"/>
            </w14:solidFill>
          </w14:textFill>
        </w:rPr>
        <w:t>）：</w:t>
      </w:r>
      <w:r>
        <w:rPr>
          <w:color w:val="000000" w:themeColor="text1"/>
          <w:spacing w:val="15"/>
          <w:sz w:val="20"/>
          <w:szCs w:val="20"/>
          <w:highlight w:val="none"/>
          <w14:textFill>
            <w14:solidFill>
              <w14:schemeClr w14:val="tx1"/>
            </w14:solidFill>
          </w14:textFill>
        </w:rPr>
        <w:t xml:space="preserve"> </w:t>
      </w:r>
      <w:r>
        <w:rPr>
          <w:color w:val="000000" w:themeColor="text1"/>
          <w:sz w:val="20"/>
          <w:szCs w:val="20"/>
          <w:highlight w:val="none"/>
          <w:u w:val="single"/>
          <w14:textFill>
            <w14:solidFill>
              <w14:schemeClr w14:val="tx1"/>
            </w14:solidFill>
          </w14:textFill>
        </w:rPr>
        <w:t xml:space="preserve">                          </w:t>
      </w:r>
    </w:p>
    <w:p w14:paraId="4A4BDBA5">
      <w:pPr>
        <w:pStyle w:val="17"/>
        <w:spacing w:line="440" w:lineRule="exact"/>
        <w:ind w:left="544"/>
        <w:jc w:val="left"/>
        <w:rPr>
          <w:color w:val="000000" w:themeColor="text1"/>
          <w:sz w:val="20"/>
          <w:szCs w:val="20"/>
          <w:highlight w:val="none"/>
          <w14:textFill>
            <w14:solidFill>
              <w14:schemeClr w14:val="tx1"/>
            </w14:solidFill>
          </w14:textFill>
        </w:rPr>
      </w:pPr>
      <w:r>
        <w:rPr>
          <w:color w:val="000000" w:themeColor="text1"/>
          <w:spacing w:val="6"/>
          <w:sz w:val="20"/>
          <w:szCs w:val="20"/>
          <w:highlight w:val="none"/>
          <w14:textFill>
            <w14:solidFill>
              <w14:schemeClr w14:val="tx1"/>
            </w14:solidFill>
          </w14:textFill>
        </w:rPr>
        <w:t>项目名称：</w:t>
      </w:r>
      <w:r>
        <w:rPr>
          <w:color w:val="000000" w:themeColor="text1"/>
          <w:spacing w:val="1"/>
          <w:sz w:val="20"/>
          <w:szCs w:val="20"/>
          <w:highlight w:val="none"/>
          <w:u w:val="single"/>
          <w14:textFill>
            <w14:solidFill>
              <w14:schemeClr w14:val="tx1"/>
            </w14:solidFill>
          </w14:textFill>
        </w:rPr>
        <w:t xml:space="preserve">                 </w:t>
      </w:r>
      <w:r>
        <w:rPr>
          <w:rFonts w:hint="eastAsia"/>
          <w:color w:val="000000" w:themeColor="text1"/>
          <w:spacing w:val="1"/>
          <w:sz w:val="20"/>
          <w:szCs w:val="20"/>
          <w:highlight w:val="none"/>
          <w:u w:val="single"/>
          <w14:textFill>
            <w14:solidFill>
              <w14:schemeClr w14:val="tx1"/>
            </w14:solidFill>
          </w14:textFill>
        </w:rPr>
        <w:t xml:space="preserve"> </w:t>
      </w:r>
      <w:r>
        <w:rPr>
          <w:color w:val="000000" w:themeColor="text1"/>
          <w:spacing w:val="1"/>
          <w:sz w:val="20"/>
          <w:szCs w:val="20"/>
          <w:highlight w:val="none"/>
          <w:u w:val="single"/>
          <w14:textFill>
            <w14:solidFill>
              <w14:schemeClr w14:val="tx1"/>
            </w14:solidFill>
          </w14:textFill>
        </w:rPr>
        <w:t xml:space="preserve">      </w:t>
      </w:r>
      <w:r>
        <w:rPr>
          <w:rFonts w:hint="eastAsia"/>
          <w:color w:val="000000" w:themeColor="text1"/>
          <w:spacing w:val="1"/>
          <w:sz w:val="20"/>
          <w:szCs w:val="20"/>
          <w:highlight w:val="none"/>
          <w:u w:val="single"/>
          <w14:textFill>
            <w14:solidFill>
              <w14:schemeClr w14:val="tx1"/>
            </w14:solidFill>
          </w14:textFill>
        </w:rPr>
        <w:t xml:space="preserve">     </w:t>
      </w:r>
      <w:r>
        <w:rPr>
          <w:color w:val="000000" w:themeColor="text1"/>
          <w:spacing w:val="1"/>
          <w:sz w:val="20"/>
          <w:szCs w:val="20"/>
          <w:highlight w:val="none"/>
          <w:u w:val="single"/>
          <w14:textFill>
            <w14:solidFill>
              <w14:schemeClr w14:val="tx1"/>
            </w14:solidFill>
          </w14:textFill>
        </w:rPr>
        <w:t xml:space="preserve">  </w:t>
      </w:r>
      <w:r>
        <w:rPr>
          <w:color w:val="000000" w:themeColor="text1"/>
          <w:spacing w:val="6"/>
          <w:sz w:val="20"/>
          <w:szCs w:val="20"/>
          <w:highlight w:val="none"/>
          <w14:textFill>
            <w14:solidFill>
              <w14:schemeClr w14:val="tx1"/>
            </w14:solidFill>
          </w14:textFill>
        </w:rPr>
        <w:t xml:space="preserve">    </w:t>
      </w:r>
      <w:r>
        <w:rPr>
          <w:rFonts w:hint="eastAsia"/>
          <w:color w:val="000000" w:themeColor="text1"/>
          <w:spacing w:val="6"/>
          <w:sz w:val="20"/>
          <w:szCs w:val="20"/>
          <w:highlight w:val="none"/>
          <w14:textFill>
            <w14:solidFill>
              <w14:schemeClr w14:val="tx1"/>
            </w14:solidFill>
          </w14:textFill>
        </w:rPr>
        <w:t xml:space="preserve">  </w:t>
      </w:r>
      <w:r>
        <w:rPr>
          <w:color w:val="000000" w:themeColor="text1"/>
          <w:spacing w:val="6"/>
          <w:sz w:val="20"/>
          <w:szCs w:val="20"/>
          <w:highlight w:val="none"/>
          <w14:textFill>
            <w14:solidFill>
              <w14:schemeClr w14:val="tx1"/>
            </w14:solidFill>
          </w14:textFill>
        </w:rPr>
        <w:t>项目编号：</w:t>
      </w:r>
      <w:r>
        <w:rPr>
          <w:color w:val="000000" w:themeColor="text1"/>
          <w:spacing w:val="23"/>
          <w:sz w:val="20"/>
          <w:szCs w:val="20"/>
          <w:highlight w:val="none"/>
          <w14:textFill>
            <w14:solidFill>
              <w14:schemeClr w14:val="tx1"/>
            </w14:solidFill>
          </w14:textFill>
        </w:rPr>
        <w:t xml:space="preserve"> </w:t>
      </w:r>
      <w:r>
        <w:rPr>
          <w:color w:val="000000" w:themeColor="text1"/>
          <w:sz w:val="20"/>
          <w:szCs w:val="20"/>
          <w:highlight w:val="none"/>
          <w:u w:val="single"/>
          <w14:textFill>
            <w14:solidFill>
              <w14:schemeClr w14:val="tx1"/>
            </w14:solidFill>
          </w14:textFill>
        </w:rPr>
        <w:t xml:space="preserve">                            </w:t>
      </w:r>
    </w:p>
    <w:p w14:paraId="29E1E9A6">
      <w:pPr>
        <w:pStyle w:val="17"/>
        <w:spacing w:line="440" w:lineRule="exact"/>
        <w:ind w:left="540"/>
        <w:jc w:val="left"/>
        <w:rPr>
          <w:color w:val="000000" w:themeColor="text1"/>
          <w:sz w:val="20"/>
          <w:szCs w:val="20"/>
          <w:highlight w:val="none"/>
          <w14:textFill>
            <w14:solidFill>
              <w14:schemeClr w14:val="tx1"/>
            </w14:solidFill>
          </w14:textFill>
        </w:rPr>
      </w:pPr>
      <w:r>
        <w:rPr>
          <w:color w:val="000000" w:themeColor="text1"/>
          <w:spacing w:val="6"/>
          <w:sz w:val="20"/>
          <w:szCs w:val="20"/>
          <w:highlight w:val="none"/>
          <w14:textFill>
            <w14:solidFill>
              <w14:schemeClr w14:val="tx1"/>
            </w14:solidFill>
          </w14:textFill>
        </w:rPr>
        <w:t xml:space="preserve">签订地点： </w:t>
      </w:r>
      <w:r>
        <w:rPr>
          <w:color w:val="000000" w:themeColor="text1"/>
          <w:spacing w:val="1"/>
          <w:sz w:val="20"/>
          <w:szCs w:val="20"/>
          <w:highlight w:val="none"/>
          <w:u w:val="single"/>
          <w14:textFill>
            <w14:solidFill>
              <w14:schemeClr w14:val="tx1"/>
            </w14:solidFill>
          </w14:textFill>
        </w:rPr>
        <w:t xml:space="preserve">                    </w:t>
      </w:r>
      <w:r>
        <w:rPr>
          <w:rFonts w:hint="eastAsia"/>
          <w:color w:val="000000" w:themeColor="text1"/>
          <w:spacing w:val="1"/>
          <w:sz w:val="20"/>
          <w:szCs w:val="20"/>
          <w:highlight w:val="none"/>
          <w:u w:val="single"/>
          <w14:textFill>
            <w14:solidFill>
              <w14:schemeClr w14:val="tx1"/>
            </w14:solidFill>
          </w14:textFill>
        </w:rPr>
        <w:t xml:space="preserve">     </w:t>
      </w:r>
      <w:r>
        <w:rPr>
          <w:color w:val="000000" w:themeColor="text1"/>
          <w:spacing w:val="1"/>
          <w:sz w:val="20"/>
          <w:szCs w:val="20"/>
          <w:highlight w:val="none"/>
          <w:u w:val="single"/>
          <w14:textFill>
            <w14:solidFill>
              <w14:schemeClr w14:val="tx1"/>
            </w14:solidFill>
          </w14:textFill>
        </w:rPr>
        <w:t xml:space="preserve"> </w:t>
      </w:r>
      <w:r>
        <w:rPr>
          <w:color w:val="000000" w:themeColor="text1"/>
          <w:sz w:val="20"/>
          <w:szCs w:val="20"/>
          <w:highlight w:val="none"/>
          <w:u w:val="single"/>
          <w14:textFill>
            <w14:solidFill>
              <w14:schemeClr w14:val="tx1"/>
            </w14:solidFill>
          </w14:textFill>
        </w:rPr>
        <w:t xml:space="preserve">   </w:t>
      </w:r>
      <w:r>
        <w:rPr>
          <w:color w:val="000000" w:themeColor="text1"/>
          <w:spacing w:val="7"/>
          <w:sz w:val="20"/>
          <w:szCs w:val="20"/>
          <w:highlight w:val="none"/>
          <w14:textFill>
            <w14:solidFill>
              <w14:schemeClr w14:val="tx1"/>
            </w14:solidFill>
          </w14:textFill>
        </w:rPr>
        <w:t xml:space="preserve">    </w:t>
      </w:r>
      <w:r>
        <w:rPr>
          <w:rFonts w:hint="eastAsia"/>
          <w:color w:val="000000" w:themeColor="text1"/>
          <w:spacing w:val="7"/>
          <w:sz w:val="20"/>
          <w:szCs w:val="20"/>
          <w:highlight w:val="none"/>
          <w14:textFill>
            <w14:solidFill>
              <w14:schemeClr w14:val="tx1"/>
            </w14:solidFill>
          </w14:textFill>
        </w:rPr>
        <w:t xml:space="preserve">   </w:t>
      </w:r>
      <w:r>
        <w:rPr>
          <w:color w:val="000000" w:themeColor="text1"/>
          <w:spacing w:val="6"/>
          <w:sz w:val="20"/>
          <w:szCs w:val="20"/>
          <w:highlight w:val="none"/>
          <w14:textFill>
            <w14:solidFill>
              <w14:schemeClr w14:val="tx1"/>
            </w14:solidFill>
          </w14:textFill>
        </w:rPr>
        <w:t>签订时间：</w:t>
      </w:r>
      <w:r>
        <w:rPr>
          <w:color w:val="000000" w:themeColor="text1"/>
          <w:spacing w:val="20"/>
          <w:sz w:val="20"/>
          <w:szCs w:val="20"/>
          <w:highlight w:val="none"/>
          <w14:textFill>
            <w14:solidFill>
              <w14:schemeClr w14:val="tx1"/>
            </w14:solidFill>
          </w14:textFill>
        </w:rPr>
        <w:t xml:space="preserve"> </w:t>
      </w:r>
      <w:r>
        <w:rPr>
          <w:color w:val="000000" w:themeColor="text1"/>
          <w:sz w:val="20"/>
          <w:szCs w:val="20"/>
          <w:highlight w:val="none"/>
          <w:u w:val="single"/>
          <w14:textFill>
            <w14:solidFill>
              <w14:schemeClr w14:val="tx1"/>
            </w14:solidFill>
          </w14:textFill>
        </w:rPr>
        <w:t xml:space="preserve">                            </w:t>
      </w:r>
    </w:p>
    <w:p w14:paraId="718B1023">
      <w:pPr>
        <w:pStyle w:val="17"/>
        <w:spacing w:line="440" w:lineRule="exact"/>
        <w:ind w:left="541"/>
        <w:jc w:val="left"/>
        <w:rPr>
          <w:color w:val="000000" w:themeColor="text1"/>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本合同为中小企业预留合同</w:t>
      </w:r>
      <w:r>
        <w:rPr>
          <w:color w:val="000000" w:themeColor="text1"/>
          <w:sz w:val="20"/>
          <w:szCs w:val="20"/>
          <w:highlight w:val="none"/>
          <w14:textFill>
            <w14:solidFill>
              <w14:schemeClr w14:val="tx1"/>
            </w14:solidFill>
          </w14:textFill>
        </w:rPr>
        <w:t>：（</w:t>
      </w:r>
      <w:r>
        <w:rPr>
          <w:color w:val="000000" w:themeColor="text1"/>
          <w:spacing w:val="9"/>
          <w:sz w:val="20"/>
          <w:szCs w:val="20"/>
          <w:highlight w:val="none"/>
          <w14:textFill>
            <w14:solidFill>
              <w14:schemeClr w14:val="tx1"/>
            </w14:solidFill>
          </w14:textFill>
        </w:rPr>
        <w:t>是/否）。</w:t>
      </w:r>
    </w:p>
    <w:p w14:paraId="403272FB">
      <w:pPr>
        <w:pStyle w:val="17"/>
        <w:spacing w:line="440" w:lineRule="exact"/>
        <w:ind w:left="120" w:right="114" w:firstLine="420"/>
        <w:jc w:val="left"/>
        <w:rPr>
          <w:color w:val="000000" w:themeColor="text1"/>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根据《中华人民共和国政府采购法》、《中华人民共和国民法典》等法律、法规规定</w:t>
      </w:r>
      <w:r>
        <w:rPr>
          <w:color w:val="000000" w:themeColor="text1"/>
          <w:spacing w:val="8"/>
          <w:sz w:val="20"/>
          <w:szCs w:val="20"/>
          <w:highlight w:val="none"/>
          <w14:textFill>
            <w14:solidFill>
              <w14:schemeClr w14:val="tx1"/>
            </w14:solidFill>
          </w14:textFill>
        </w:rPr>
        <w:t>，按照磋商文件规定条款和乙方响应文件及其承诺，</w:t>
      </w:r>
      <w:r>
        <w:rPr>
          <w:color w:val="000000" w:themeColor="text1"/>
          <w:spacing w:val="-56"/>
          <w:sz w:val="20"/>
          <w:szCs w:val="20"/>
          <w:highlight w:val="none"/>
          <w14:textFill>
            <w14:solidFill>
              <w14:schemeClr w14:val="tx1"/>
            </w14:solidFill>
          </w14:textFill>
        </w:rPr>
        <w:t xml:space="preserve"> </w:t>
      </w:r>
      <w:r>
        <w:rPr>
          <w:color w:val="000000" w:themeColor="text1"/>
          <w:spacing w:val="8"/>
          <w:sz w:val="20"/>
          <w:szCs w:val="20"/>
          <w:highlight w:val="none"/>
          <w14:textFill>
            <w14:solidFill>
              <w14:schemeClr w14:val="tx1"/>
            </w14:solidFill>
          </w14:textFill>
        </w:rPr>
        <w:t>甲乙双方签订</w:t>
      </w:r>
      <w:r>
        <w:rPr>
          <w:color w:val="000000" w:themeColor="text1"/>
          <w:spacing w:val="7"/>
          <w:sz w:val="20"/>
          <w:szCs w:val="20"/>
          <w:highlight w:val="none"/>
          <w14:textFill>
            <w14:solidFill>
              <w14:schemeClr w14:val="tx1"/>
            </w14:solidFill>
          </w14:textFill>
        </w:rPr>
        <w:t>本合同。</w:t>
      </w:r>
    </w:p>
    <w:p w14:paraId="34908AB4">
      <w:pPr>
        <w:pStyle w:val="17"/>
        <w:spacing w:line="440" w:lineRule="exact"/>
        <w:ind w:left="540"/>
        <w:jc w:val="left"/>
        <w:rPr>
          <w:color w:val="000000" w:themeColor="text1"/>
          <w:sz w:val="20"/>
          <w:szCs w:val="20"/>
          <w:highlight w:val="none"/>
          <w14:textFill>
            <w14:solidFill>
              <w14:schemeClr w14:val="tx1"/>
            </w14:solidFill>
          </w14:textFill>
        </w:rPr>
      </w:pPr>
      <w:r>
        <w:rPr>
          <w:b/>
          <w:bCs/>
          <w:color w:val="000000" w:themeColor="text1"/>
          <w:spacing w:val="7"/>
          <w:sz w:val="20"/>
          <w:szCs w:val="20"/>
          <w:highlight w:val="none"/>
          <w14:textFill>
            <w14:solidFill>
              <w14:schemeClr w14:val="tx1"/>
            </w14:solidFill>
          </w14:textFill>
        </w:rPr>
        <w:t>第一条</w:t>
      </w:r>
      <w:r>
        <w:rPr>
          <w:color w:val="000000" w:themeColor="text1"/>
          <w:spacing w:val="7"/>
          <w:sz w:val="20"/>
          <w:szCs w:val="20"/>
          <w:highlight w:val="none"/>
          <w14:textFill>
            <w14:solidFill>
              <w14:schemeClr w14:val="tx1"/>
            </w14:solidFill>
          </w14:textFill>
        </w:rPr>
        <w:t xml:space="preserve"> </w:t>
      </w:r>
      <w:r>
        <w:rPr>
          <w:b/>
          <w:bCs/>
          <w:color w:val="000000" w:themeColor="text1"/>
          <w:spacing w:val="7"/>
          <w:sz w:val="20"/>
          <w:szCs w:val="20"/>
          <w:highlight w:val="none"/>
          <w14:textFill>
            <w14:solidFill>
              <w14:schemeClr w14:val="tx1"/>
            </w14:solidFill>
          </w14:textFill>
        </w:rPr>
        <w:t>合同标的</w:t>
      </w:r>
    </w:p>
    <w:p w14:paraId="58AFAD26">
      <w:pPr>
        <w:pStyle w:val="17"/>
        <w:spacing w:line="440" w:lineRule="exact"/>
        <w:ind w:left="556"/>
        <w:jc w:val="left"/>
        <w:rPr>
          <w:color w:val="000000" w:themeColor="text1"/>
          <w:sz w:val="20"/>
          <w:szCs w:val="20"/>
          <w:highlight w:val="none"/>
          <w14:textFill>
            <w14:solidFill>
              <w14:schemeClr w14:val="tx1"/>
            </w14:solidFill>
          </w14:textFill>
        </w:rPr>
      </w:pPr>
      <w:r>
        <w:rPr>
          <w:color w:val="000000" w:themeColor="text1"/>
          <w:spacing w:val="5"/>
          <w:sz w:val="20"/>
          <w:szCs w:val="20"/>
          <w:highlight w:val="none"/>
          <w14:textFill>
            <w14:solidFill>
              <w14:schemeClr w14:val="tx1"/>
            </w14:solidFill>
          </w14:textFill>
        </w:rPr>
        <w:t>1、项目一览表</w:t>
      </w:r>
    </w:p>
    <w:tbl>
      <w:tblPr>
        <w:tblStyle w:val="175"/>
        <w:tblW w:w="90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1"/>
        <w:gridCol w:w="1562"/>
        <w:gridCol w:w="5131"/>
        <w:gridCol w:w="1344"/>
      </w:tblGrid>
      <w:tr w14:paraId="5614B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971" w:type="dxa"/>
          </w:tcPr>
          <w:p w14:paraId="5435E68B">
            <w:pPr>
              <w:pStyle w:val="176"/>
              <w:spacing w:after="0" w:line="440" w:lineRule="exact"/>
              <w:ind w:left="429"/>
              <w:rPr>
                <w:color w:val="000000" w:themeColor="text1"/>
                <w:sz w:val="20"/>
                <w:szCs w:val="20"/>
                <w:highlight w:val="none"/>
                <w14:textFill>
                  <w14:solidFill>
                    <w14:schemeClr w14:val="tx1"/>
                  </w14:solidFill>
                </w14:textFill>
              </w:rPr>
            </w:pPr>
            <w:r>
              <w:rPr>
                <w:color w:val="000000" w:themeColor="text1"/>
                <w:spacing w:val="5"/>
                <w:sz w:val="20"/>
                <w:szCs w:val="20"/>
                <w:highlight w:val="none"/>
                <w14:textFill>
                  <w14:solidFill>
                    <w14:schemeClr w14:val="tx1"/>
                  </w14:solidFill>
                </w14:textFill>
              </w:rPr>
              <w:t>序号</w:t>
            </w:r>
          </w:p>
        </w:tc>
        <w:tc>
          <w:tcPr>
            <w:tcW w:w="1562" w:type="dxa"/>
          </w:tcPr>
          <w:p w14:paraId="5F055F02">
            <w:pPr>
              <w:pStyle w:val="176"/>
              <w:spacing w:after="0" w:line="440" w:lineRule="exact"/>
              <w:ind w:left="428"/>
              <w:rPr>
                <w:color w:val="000000" w:themeColor="text1"/>
                <w:sz w:val="20"/>
                <w:szCs w:val="20"/>
                <w:highlight w:val="none"/>
                <w14:textFill>
                  <w14:solidFill>
                    <w14:schemeClr w14:val="tx1"/>
                  </w14:solidFill>
                </w14:textFill>
              </w:rPr>
            </w:pPr>
            <w:r>
              <w:rPr>
                <w:color w:val="000000" w:themeColor="text1"/>
                <w:spacing w:val="3"/>
                <w:sz w:val="20"/>
                <w:szCs w:val="20"/>
                <w:highlight w:val="none"/>
                <w14:textFill>
                  <w14:solidFill>
                    <w14:schemeClr w14:val="tx1"/>
                  </w14:solidFill>
                </w14:textFill>
              </w:rPr>
              <w:t>名称</w:t>
            </w:r>
          </w:p>
        </w:tc>
        <w:tc>
          <w:tcPr>
            <w:tcW w:w="5131" w:type="dxa"/>
          </w:tcPr>
          <w:p w14:paraId="218820DB">
            <w:pPr>
              <w:pStyle w:val="176"/>
              <w:spacing w:after="0" w:line="440" w:lineRule="exact"/>
              <w:ind w:left="215"/>
              <w:jc w:val="center"/>
              <w:rPr>
                <w:color w:val="000000" w:themeColor="text1"/>
                <w:sz w:val="20"/>
                <w:szCs w:val="20"/>
                <w:highlight w:val="none"/>
                <w14:textFill>
                  <w14:solidFill>
                    <w14:schemeClr w14:val="tx1"/>
                  </w14:solidFill>
                </w14:textFill>
              </w:rPr>
            </w:pPr>
            <w:r>
              <w:rPr>
                <w:color w:val="000000" w:themeColor="text1"/>
                <w:spacing w:val="7"/>
                <w:sz w:val="20"/>
                <w:szCs w:val="20"/>
                <w:highlight w:val="none"/>
                <w14:textFill>
                  <w14:solidFill>
                    <w14:schemeClr w14:val="tx1"/>
                  </w14:solidFill>
                </w14:textFill>
              </w:rPr>
              <w:t>服务内容</w:t>
            </w:r>
          </w:p>
        </w:tc>
        <w:tc>
          <w:tcPr>
            <w:tcW w:w="1344" w:type="dxa"/>
          </w:tcPr>
          <w:p w14:paraId="03AEF829">
            <w:pPr>
              <w:pStyle w:val="176"/>
              <w:spacing w:after="0" w:line="440" w:lineRule="exact"/>
              <w:ind w:left="159"/>
              <w:rPr>
                <w:color w:val="000000" w:themeColor="text1"/>
                <w:sz w:val="20"/>
                <w:szCs w:val="20"/>
                <w:highlight w:val="none"/>
                <w14:textFill>
                  <w14:solidFill>
                    <w14:schemeClr w14:val="tx1"/>
                  </w14:solidFill>
                </w14:textFill>
              </w:rPr>
            </w:pPr>
            <w:r>
              <w:rPr>
                <w:color w:val="000000" w:themeColor="text1"/>
                <w:spacing w:val="4"/>
                <w:sz w:val="20"/>
                <w:szCs w:val="20"/>
                <w:highlight w:val="none"/>
                <w14:textFill>
                  <w14:solidFill>
                    <w14:schemeClr w14:val="tx1"/>
                  </w14:solidFill>
                </w14:textFill>
              </w:rPr>
              <w:t>总价（元）</w:t>
            </w:r>
          </w:p>
        </w:tc>
      </w:tr>
      <w:tr w14:paraId="26589E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71" w:type="dxa"/>
          </w:tcPr>
          <w:p w14:paraId="338F49BA">
            <w:pPr>
              <w:spacing w:after="0" w:line="440" w:lineRule="exact"/>
              <w:rPr>
                <w:rFonts w:ascii="Arial"/>
                <w:color w:val="000000" w:themeColor="text1"/>
                <w:sz w:val="21"/>
                <w:highlight w:val="none"/>
                <w14:textFill>
                  <w14:solidFill>
                    <w14:schemeClr w14:val="tx1"/>
                  </w14:solidFill>
                </w14:textFill>
              </w:rPr>
            </w:pPr>
          </w:p>
        </w:tc>
        <w:tc>
          <w:tcPr>
            <w:tcW w:w="1562" w:type="dxa"/>
          </w:tcPr>
          <w:p w14:paraId="3C837C21">
            <w:pPr>
              <w:spacing w:after="0" w:line="440" w:lineRule="exact"/>
              <w:rPr>
                <w:rFonts w:ascii="Arial"/>
                <w:color w:val="000000" w:themeColor="text1"/>
                <w:sz w:val="21"/>
                <w:highlight w:val="none"/>
                <w14:textFill>
                  <w14:solidFill>
                    <w14:schemeClr w14:val="tx1"/>
                  </w14:solidFill>
                </w14:textFill>
              </w:rPr>
            </w:pPr>
          </w:p>
        </w:tc>
        <w:tc>
          <w:tcPr>
            <w:tcW w:w="5131" w:type="dxa"/>
          </w:tcPr>
          <w:p w14:paraId="733BD526">
            <w:pPr>
              <w:spacing w:after="0" w:line="440" w:lineRule="exact"/>
              <w:jc w:val="center"/>
              <w:rPr>
                <w:rFonts w:ascii="Arial"/>
                <w:color w:val="000000" w:themeColor="text1"/>
                <w:sz w:val="21"/>
                <w:highlight w:val="none"/>
                <w14:textFill>
                  <w14:solidFill>
                    <w14:schemeClr w14:val="tx1"/>
                  </w14:solidFill>
                </w14:textFill>
              </w:rPr>
            </w:pPr>
          </w:p>
        </w:tc>
        <w:tc>
          <w:tcPr>
            <w:tcW w:w="1344" w:type="dxa"/>
          </w:tcPr>
          <w:p w14:paraId="10CAF055">
            <w:pPr>
              <w:spacing w:after="0" w:line="440" w:lineRule="exact"/>
              <w:rPr>
                <w:rFonts w:ascii="Arial"/>
                <w:color w:val="000000" w:themeColor="text1"/>
                <w:sz w:val="21"/>
                <w:highlight w:val="none"/>
                <w14:textFill>
                  <w14:solidFill>
                    <w14:schemeClr w14:val="tx1"/>
                  </w14:solidFill>
                </w14:textFill>
              </w:rPr>
            </w:pPr>
          </w:p>
        </w:tc>
      </w:tr>
      <w:tr w14:paraId="5B55D0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008" w:type="dxa"/>
            <w:gridSpan w:val="4"/>
          </w:tcPr>
          <w:p w14:paraId="3254D200">
            <w:pPr>
              <w:pStyle w:val="176"/>
              <w:spacing w:after="0" w:line="440" w:lineRule="exact"/>
              <w:ind w:left="3987"/>
              <w:rPr>
                <w:color w:val="000000" w:themeColor="text1"/>
                <w:sz w:val="20"/>
                <w:szCs w:val="20"/>
                <w:highlight w:val="none"/>
                <w14:textFill>
                  <w14:solidFill>
                    <w14:schemeClr w14:val="tx1"/>
                  </w14:solidFill>
                </w14:textFill>
              </w:rPr>
            </w:pPr>
            <w:r>
              <w:rPr>
                <w:color w:val="000000" w:themeColor="text1"/>
                <w:spacing w:val="7"/>
                <w:sz w:val="20"/>
                <w:szCs w:val="20"/>
                <w:highlight w:val="none"/>
                <w14:textFill>
                  <w14:solidFill>
                    <w14:schemeClr w14:val="tx1"/>
                  </w14:solidFill>
                </w14:textFill>
              </w:rPr>
              <w:t>详见报价表</w:t>
            </w:r>
          </w:p>
        </w:tc>
      </w:tr>
      <w:tr w14:paraId="0E7D2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9008" w:type="dxa"/>
            <w:gridSpan w:val="4"/>
          </w:tcPr>
          <w:p w14:paraId="50F632CC">
            <w:pPr>
              <w:pStyle w:val="176"/>
              <w:spacing w:after="0" w:line="440" w:lineRule="exact"/>
              <w:ind w:left="117"/>
              <w:rPr>
                <w:color w:val="000000" w:themeColor="text1"/>
                <w:sz w:val="20"/>
                <w:szCs w:val="20"/>
                <w:highlight w:val="none"/>
                <w:lang w:eastAsia="zh-CN"/>
                <w14:textFill>
                  <w14:solidFill>
                    <w14:schemeClr w14:val="tx1"/>
                  </w14:solidFill>
                </w14:textFill>
              </w:rPr>
            </w:pPr>
            <w:r>
              <w:rPr>
                <w:color w:val="000000" w:themeColor="text1"/>
                <w:spacing w:val="5"/>
                <w:sz w:val="20"/>
                <w:szCs w:val="20"/>
                <w:highlight w:val="none"/>
                <w:lang w:eastAsia="zh-CN"/>
                <w14:textFill>
                  <w14:solidFill>
                    <w14:schemeClr w14:val="tx1"/>
                  </w14:solidFill>
                </w14:textFill>
              </w:rPr>
              <w:t>人民币合计金额（大写</w:t>
            </w:r>
            <w:r>
              <w:rPr>
                <w:color w:val="000000" w:themeColor="text1"/>
                <w:spacing w:val="17"/>
                <w:sz w:val="20"/>
                <w:szCs w:val="20"/>
                <w:highlight w:val="none"/>
                <w:lang w:eastAsia="zh-CN"/>
                <w14:textFill>
                  <w14:solidFill>
                    <w14:schemeClr w14:val="tx1"/>
                  </w14:solidFill>
                </w14:textFill>
              </w:rPr>
              <w:t>）：</w:t>
            </w:r>
            <w:r>
              <w:rPr>
                <w:color w:val="000000" w:themeColor="text1"/>
                <w:spacing w:val="5"/>
                <w:sz w:val="20"/>
                <w:szCs w:val="20"/>
                <w:highlight w:val="none"/>
                <w:u w:val="single"/>
                <w:lang w:eastAsia="zh-CN"/>
                <w14:textFill>
                  <w14:solidFill>
                    <w14:schemeClr w14:val="tx1"/>
                  </w14:solidFill>
                </w14:textFill>
              </w:rPr>
              <w:t xml:space="preserve">                   </w:t>
            </w:r>
            <w:r>
              <w:rPr>
                <w:color w:val="000000" w:themeColor="text1"/>
                <w:spacing w:val="-89"/>
                <w:sz w:val="20"/>
                <w:szCs w:val="20"/>
                <w:highlight w:val="none"/>
                <w:lang w:eastAsia="zh-CN"/>
                <w14:textFill>
                  <w14:solidFill>
                    <w14:schemeClr w14:val="tx1"/>
                  </w14:solidFill>
                </w14:textFill>
              </w:rPr>
              <w:t xml:space="preserve"> </w:t>
            </w:r>
            <w:r>
              <w:rPr>
                <w:color w:val="000000" w:themeColor="text1"/>
                <w:spacing w:val="5"/>
                <w:sz w:val="20"/>
                <w:szCs w:val="20"/>
                <w:highlight w:val="none"/>
                <w:lang w:eastAsia="zh-CN"/>
                <w14:textFill>
                  <w14:solidFill>
                    <w14:schemeClr w14:val="tx1"/>
                  </w14:solidFill>
                </w14:textFill>
              </w:rPr>
              <w:t>元整 (￥</w:t>
            </w:r>
            <w:r>
              <w:rPr>
                <w:color w:val="000000" w:themeColor="text1"/>
                <w:spacing w:val="-77"/>
                <w:sz w:val="20"/>
                <w:szCs w:val="20"/>
                <w:highlight w:val="none"/>
                <w:lang w:eastAsia="zh-CN"/>
                <w14:textFill>
                  <w14:solidFill>
                    <w14:schemeClr w14:val="tx1"/>
                  </w14:solidFill>
                </w14:textFill>
              </w:rPr>
              <w:t xml:space="preserve"> </w:t>
            </w:r>
            <w:r>
              <w:rPr>
                <w:color w:val="000000" w:themeColor="text1"/>
                <w:spacing w:val="1"/>
                <w:sz w:val="20"/>
                <w:szCs w:val="20"/>
                <w:highlight w:val="none"/>
                <w:u w:val="single"/>
                <w:lang w:eastAsia="zh-CN"/>
                <w14:textFill>
                  <w14:solidFill>
                    <w14:schemeClr w14:val="tx1"/>
                  </w14:solidFill>
                </w14:textFill>
              </w:rPr>
              <w:t xml:space="preserve">                          </w:t>
            </w:r>
            <w:r>
              <w:rPr>
                <w:color w:val="000000" w:themeColor="text1"/>
                <w:spacing w:val="-70"/>
                <w:sz w:val="20"/>
                <w:szCs w:val="20"/>
                <w:highlight w:val="none"/>
                <w:lang w:eastAsia="zh-CN"/>
                <w14:textFill>
                  <w14:solidFill>
                    <w14:schemeClr w14:val="tx1"/>
                  </w14:solidFill>
                </w14:textFill>
              </w:rPr>
              <w:t xml:space="preserve"> </w:t>
            </w:r>
            <w:r>
              <w:rPr>
                <w:color w:val="000000" w:themeColor="text1"/>
                <w:spacing w:val="5"/>
                <w:sz w:val="20"/>
                <w:szCs w:val="20"/>
                <w:highlight w:val="none"/>
                <w:lang w:eastAsia="zh-CN"/>
                <w14:textFill>
                  <w14:solidFill>
                    <w14:schemeClr w14:val="tx1"/>
                  </w14:solidFill>
                </w14:textFill>
              </w:rPr>
              <w:t>)</w:t>
            </w:r>
          </w:p>
        </w:tc>
      </w:tr>
    </w:tbl>
    <w:p w14:paraId="41858EDA">
      <w:pPr>
        <w:pStyle w:val="17"/>
        <w:spacing w:line="440" w:lineRule="exact"/>
        <w:ind w:left="120" w:right="43" w:firstLine="422"/>
        <w:jc w:val="left"/>
        <w:rPr>
          <w:color w:val="000000" w:themeColor="text1"/>
          <w:sz w:val="20"/>
          <w:szCs w:val="20"/>
          <w:highlight w:val="none"/>
          <w14:textFill>
            <w14:solidFill>
              <w14:schemeClr w14:val="tx1"/>
            </w14:solidFill>
          </w14:textFill>
        </w:rPr>
      </w:pPr>
      <w:r>
        <w:rPr>
          <w:color w:val="000000" w:themeColor="text1"/>
          <w:spacing w:val="10"/>
          <w:sz w:val="20"/>
          <w:szCs w:val="20"/>
          <w:highlight w:val="none"/>
          <w14:textFill>
            <w14:solidFill>
              <w14:schemeClr w14:val="tx1"/>
            </w14:solidFill>
          </w14:textFill>
        </w:rPr>
        <w:t>2、合同合计金额包括但不限于满足本次竞标全部</w:t>
      </w:r>
      <w:r>
        <w:rPr>
          <w:color w:val="000000" w:themeColor="text1"/>
          <w:spacing w:val="9"/>
          <w:sz w:val="20"/>
          <w:szCs w:val="20"/>
          <w:highlight w:val="none"/>
          <w14:textFill>
            <w14:solidFill>
              <w14:schemeClr w14:val="tx1"/>
            </w14:solidFill>
          </w14:textFill>
        </w:rPr>
        <w:t>采购需求所应提供的服务，以及伴随的货</w:t>
      </w:r>
      <w:r>
        <w:rPr>
          <w:color w:val="000000" w:themeColor="text1"/>
          <w:spacing w:val="6"/>
          <w:sz w:val="20"/>
          <w:szCs w:val="20"/>
          <w:highlight w:val="none"/>
          <w14:textFill>
            <w14:solidFill>
              <w14:schemeClr w14:val="tx1"/>
            </w14:solidFill>
          </w14:textFill>
        </w:rPr>
        <w:t>物的价格；包含竞标服务、货物、工程的成本、运输（含保</w:t>
      </w:r>
      <w:r>
        <w:rPr>
          <w:color w:val="000000" w:themeColor="text1"/>
          <w:spacing w:val="5"/>
          <w:sz w:val="20"/>
          <w:szCs w:val="20"/>
          <w:highlight w:val="none"/>
          <w14:textFill>
            <w14:solidFill>
              <w14:schemeClr w14:val="tx1"/>
            </w14:solidFill>
          </w14:textFill>
        </w:rPr>
        <w:t>险）、安装（如有）、</w:t>
      </w:r>
      <w:r>
        <w:rPr>
          <w:color w:val="000000" w:themeColor="text1"/>
          <w:spacing w:val="9"/>
          <w:sz w:val="20"/>
          <w:szCs w:val="20"/>
          <w:highlight w:val="none"/>
          <w14:textFill>
            <w14:solidFill>
              <w14:schemeClr w14:val="tx1"/>
            </w14:solidFill>
          </w14:textFill>
        </w:rPr>
        <w:t>检验、技术服务、培训、税费等所有费用。如磋商文件对其另有规定的，从其规定。</w:t>
      </w:r>
    </w:p>
    <w:p w14:paraId="4C62AEFC">
      <w:pPr>
        <w:pStyle w:val="17"/>
        <w:spacing w:line="440" w:lineRule="exact"/>
        <w:ind w:left="540"/>
        <w:jc w:val="left"/>
        <w:rPr>
          <w:color w:val="000000" w:themeColor="text1"/>
          <w:sz w:val="20"/>
          <w:szCs w:val="20"/>
          <w:highlight w:val="none"/>
          <w14:textFill>
            <w14:solidFill>
              <w14:schemeClr w14:val="tx1"/>
            </w14:solidFill>
          </w14:textFill>
        </w:rPr>
      </w:pPr>
      <w:r>
        <w:rPr>
          <w:b/>
          <w:bCs/>
          <w:color w:val="000000" w:themeColor="text1"/>
          <w:spacing w:val="7"/>
          <w:sz w:val="20"/>
          <w:szCs w:val="20"/>
          <w:highlight w:val="none"/>
          <w14:textFill>
            <w14:solidFill>
              <w14:schemeClr w14:val="tx1"/>
            </w14:solidFill>
          </w14:textFill>
        </w:rPr>
        <w:t>第二条</w:t>
      </w:r>
      <w:r>
        <w:rPr>
          <w:color w:val="000000" w:themeColor="text1"/>
          <w:spacing w:val="7"/>
          <w:sz w:val="20"/>
          <w:szCs w:val="20"/>
          <w:highlight w:val="none"/>
          <w14:textFill>
            <w14:solidFill>
              <w14:schemeClr w14:val="tx1"/>
            </w14:solidFill>
          </w14:textFill>
        </w:rPr>
        <w:t xml:space="preserve"> </w:t>
      </w:r>
      <w:r>
        <w:rPr>
          <w:b/>
          <w:bCs/>
          <w:color w:val="000000" w:themeColor="text1"/>
          <w:spacing w:val="7"/>
          <w:sz w:val="20"/>
          <w:szCs w:val="20"/>
          <w:highlight w:val="none"/>
          <w14:textFill>
            <w14:solidFill>
              <w14:schemeClr w14:val="tx1"/>
            </w14:solidFill>
          </w14:textFill>
        </w:rPr>
        <w:t>质量保证</w:t>
      </w:r>
    </w:p>
    <w:p w14:paraId="3C0C55DE">
      <w:pPr>
        <w:pStyle w:val="17"/>
        <w:spacing w:line="440" w:lineRule="exact"/>
        <w:ind w:left="121" w:right="114" w:firstLine="439"/>
        <w:jc w:val="left"/>
        <w:rPr>
          <w:color w:val="000000" w:themeColor="text1"/>
          <w:sz w:val="20"/>
          <w:szCs w:val="20"/>
          <w:highlight w:val="none"/>
          <w14:textFill>
            <w14:solidFill>
              <w14:schemeClr w14:val="tx1"/>
            </w14:solidFill>
          </w14:textFill>
        </w:rPr>
      </w:pPr>
      <w:r>
        <w:rPr>
          <w:color w:val="000000" w:themeColor="text1"/>
          <w:spacing w:val="8"/>
          <w:sz w:val="20"/>
          <w:szCs w:val="20"/>
          <w:highlight w:val="none"/>
          <w14:textFill>
            <w14:solidFill>
              <w14:schemeClr w14:val="tx1"/>
            </w14:solidFill>
          </w14:textFill>
        </w:rPr>
        <w:t>乙方所提供的服务及服务内容必须与响应文件承诺相一致，有国家强制性标准的，还必须符</w:t>
      </w:r>
      <w:r>
        <w:rPr>
          <w:color w:val="000000" w:themeColor="text1"/>
          <w:spacing w:val="9"/>
          <w:sz w:val="20"/>
          <w:szCs w:val="20"/>
          <w:highlight w:val="none"/>
          <w14:textFill>
            <w14:solidFill>
              <w14:schemeClr w14:val="tx1"/>
            </w14:solidFill>
          </w14:textFill>
        </w:rPr>
        <w:t>合国家强制性标准的规定，没有国家强制性标准但有其他强制性标准的，必须符合其他强制</w:t>
      </w:r>
      <w:r>
        <w:rPr>
          <w:color w:val="000000" w:themeColor="text1"/>
          <w:spacing w:val="8"/>
          <w:sz w:val="20"/>
          <w:szCs w:val="20"/>
          <w:highlight w:val="none"/>
          <w14:textFill>
            <w14:solidFill>
              <w14:schemeClr w14:val="tx1"/>
            </w14:solidFill>
          </w14:textFill>
        </w:rPr>
        <w:t>性标</w:t>
      </w:r>
      <w:r>
        <w:rPr>
          <w:color w:val="000000" w:themeColor="text1"/>
          <w:spacing w:val="5"/>
          <w:sz w:val="20"/>
          <w:szCs w:val="20"/>
          <w:highlight w:val="none"/>
          <w14:textFill>
            <w14:solidFill>
              <w14:schemeClr w14:val="tx1"/>
            </w14:solidFill>
          </w14:textFill>
        </w:rPr>
        <w:t>准的规定。</w:t>
      </w:r>
    </w:p>
    <w:p w14:paraId="6E81A35D">
      <w:pPr>
        <w:pStyle w:val="17"/>
        <w:spacing w:line="440" w:lineRule="exact"/>
        <w:ind w:left="540"/>
        <w:jc w:val="left"/>
        <w:rPr>
          <w:color w:val="000000" w:themeColor="text1"/>
          <w:sz w:val="20"/>
          <w:szCs w:val="20"/>
          <w:highlight w:val="none"/>
          <w14:textFill>
            <w14:solidFill>
              <w14:schemeClr w14:val="tx1"/>
            </w14:solidFill>
          </w14:textFill>
        </w:rPr>
      </w:pPr>
      <w:r>
        <w:rPr>
          <w:b/>
          <w:bCs/>
          <w:color w:val="000000" w:themeColor="text1"/>
          <w:spacing w:val="7"/>
          <w:sz w:val="20"/>
          <w:szCs w:val="20"/>
          <w:highlight w:val="none"/>
          <w14:textFill>
            <w14:solidFill>
              <w14:schemeClr w14:val="tx1"/>
            </w14:solidFill>
          </w14:textFill>
        </w:rPr>
        <w:t>第三条</w:t>
      </w:r>
      <w:r>
        <w:rPr>
          <w:color w:val="000000" w:themeColor="text1"/>
          <w:spacing w:val="7"/>
          <w:sz w:val="20"/>
          <w:szCs w:val="20"/>
          <w:highlight w:val="none"/>
          <w14:textFill>
            <w14:solidFill>
              <w14:schemeClr w14:val="tx1"/>
            </w14:solidFill>
          </w14:textFill>
        </w:rPr>
        <w:t xml:space="preserve"> </w:t>
      </w:r>
      <w:r>
        <w:rPr>
          <w:b/>
          <w:bCs/>
          <w:color w:val="000000" w:themeColor="text1"/>
          <w:spacing w:val="7"/>
          <w:sz w:val="20"/>
          <w:szCs w:val="20"/>
          <w:highlight w:val="none"/>
          <w14:textFill>
            <w14:solidFill>
              <w14:schemeClr w14:val="tx1"/>
            </w14:solidFill>
          </w14:textFill>
        </w:rPr>
        <w:t>权利保证</w:t>
      </w:r>
    </w:p>
    <w:p w14:paraId="6DC0A5C1">
      <w:pPr>
        <w:pStyle w:val="17"/>
        <w:spacing w:line="440" w:lineRule="exact"/>
        <w:ind w:left="125" w:right="186" w:firstLine="431"/>
        <w:jc w:val="left"/>
        <w:rPr>
          <w:color w:val="000000" w:themeColor="text1"/>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1、乙方应保证所提供服务在使用时不会侵犯任何第三方的专利权、商标权、工业设计权等知识产权及其他合法权利，且所有权、处分权等没有受到任何限制。</w:t>
      </w:r>
    </w:p>
    <w:p w14:paraId="1781EF5D">
      <w:pPr>
        <w:pStyle w:val="17"/>
        <w:spacing w:line="440" w:lineRule="exact"/>
        <w:ind w:left="125" w:right="186" w:firstLine="431"/>
        <w:jc w:val="left"/>
        <w:rPr>
          <w:color w:val="000000" w:themeColor="text1"/>
          <w:spacing w:val="9"/>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4A38AB6B">
      <w:pPr>
        <w:pStyle w:val="17"/>
        <w:spacing w:line="440" w:lineRule="exact"/>
        <w:ind w:left="420"/>
        <w:jc w:val="left"/>
        <w:rPr>
          <w:color w:val="000000" w:themeColor="text1"/>
          <w:sz w:val="20"/>
          <w:szCs w:val="20"/>
          <w:highlight w:val="none"/>
          <w14:textFill>
            <w14:solidFill>
              <w14:schemeClr w14:val="tx1"/>
            </w14:solidFill>
          </w14:textFill>
        </w:rPr>
      </w:pPr>
      <w:r>
        <w:rPr>
          <w:b/>
          <w:bCs/>
          <w:color w:val="000000" w:themeColor="text1"/>
          <w:spacing w:val="7"/>
          <w:sz w:val="20"/>
          <w:szCs w:val="20"/>
          <w:highlight w:val="none"/>
          <w14:textFill>
            <w14:solidFill>
              <w14:schemeClr w14:val="tx1"/>
            </w14:solidFill>
          </w14:textFill>
        </w:rPr>
        <w:t>第四条</w:t>
      </w:r>
      <w:r>
        <w:rPr>
          <w:color w:val="000000" w:themeColor="text1"/>
          <w:spacing w:val="7"/>
          <w:sz w:val="20"/>
          <w:szCs w:val="20"/>
          <w:highlight w:val="none"/>
          <w14:textFill>
            <w14:solidFill>
              <w14:schemeClr w14:val="tx1"/>
            </w14:solidFill>
          </w14:textFill>
        </w:rPr>
        <w:t xml:space="preserve"> </w:t>
      </w:r>
      <w:r>
        <w:rPr>
          <w:b/>
          <w:bCs/>
          <w:color w:val="000000" w:themeColor="text1"/>
          <w:spacing w:val="7"/>
          <w:sz w:val="20"/>
          <w:szCs w:val="20"/>
          <w:highlight w:val="none"/>
          <w14:textFill>
            <w14:solidFill>
              <w14:schemeClr w14:val="tx1"/>
            </w14:solidFill>
          </w14:textFill>
        </w:rPr>
        <w:t>交付和验收</w:t>
      </w:r>
    </w:p>
    <w:p w14:paraId="717E745A">
      <w:pPr>
        <w:pStyle w:val="17"/>
        <w:spacing w:line="440" w:lineRule="exact"/>
        <w:ind w:left="436"/>
        <w:jc w:val="left"/>
        <w:rPr>
          <w:color w:val="000000" w:themeColor="text1"/>
          <w:sz w:val="20"/>
          <w:szCs w:val="20"/>
          <w:highlight w:val="none"/>
          <w14:textFill>
            <w14:solidFill>
              <w14:schemeClr w14:val="tx1"/>
            </w14:solidFill>
          </w14:textFill>
        </w:rPr>
      </w:pPr>
      <w:r>
        <w:rPr>
          <w:color w:val="000000" w:themeColor="text1"/>
          <w:spacing w:val="5"/>
          <w:sz w:val="20"/>
          <w:szCs w:val="20"/>
          <w:highlight w:val="none"/>
          <w14:textFill>
            <w14:solidFill>
              <w14:schemeClr w14:val="tx1"/>
            </w14:solidFill>
          </w14:textFill>
        </w:rPr>
        <w:t>1、服务期限：</w:t>
      </w:r>
      <w:r>
        <w:rPr>
          <w:color w:val="000000" w:themeColor="text1"/>
          <w:spacing w:val="5"/>
          <w:sz w:val="20"/>
          <w:szCs w:val="20"/>
          <w:highlight w:val="none"/>
          <w:u w:val="single"/>
          <w14:textFill>
            <w14:solidFill>
              <w14:schemeClr w14:val="tx1"/>
            </w14:solidFill>
          </w14:textFill>
        </w:rPr>
        <w:t xml:space="preserve">   </w:t>
      </w:r>
      <w:r>
        <w:rPr>
          <w:rFonts w:hint="eastAsia"/>
          <w:color w:val="000000" w:themeColor="text1"/>
          <w:spacing w:val="5"/>
          <w:sz w:val="20"/>
          <w:szCs w:val="20"/>
          <w:highlight w:val="none"/>
          <w:u w:val="single"/>
          <w14:textFill>
            <w14:solidFill>
              <w14:schemeClr w14:val="tx1"/>
            </w14:solidFill>
          </w14:textFill>
        </w:rPr>
        <w:t xml:space="preserve">    </w:t>
      </w:r>
      <w:r>
        <w:rPr>
          <w:color w:val="000000" w:themeColor="text1"/>
          <w:spacing w:val="5"/>
          <w:sz w:val="20"/>
          <w:szCs w:val="20"/>
          <w:highlight w:val="none"/>
          <w:u w:val="single"/>
          <w14:textFill>
            <w14:solidFill>
              <w14:schemeClr w14:val="tx1"/>
            </w14:solidFill>
          </w14:textFill>
        </w:rPr>
        <w:t xml:space="preserve"> </w:t>
      </w:r>
      <w:r>
        <w:rPr>
          <w:rFonts w:hint="eastAsia"/>
          <w:color w:val="000000" w:themeColor="text1"/>
          <w:spacing w:val="5"/>
          <w:sz w:val="20"/>
          <w:szCs w:val="20"/>
          <w:highlight w:val="none"/>
          <w:u w:val="single"/>
          <w14:textFill>
            <w14:solidFill>
              <w14:schemeClr w14:val="tx1"/>
            </w14:solidFill>
          </w14:textFill>
        </w:rPr>
        <w:t xml:space="preserve">         </w:t>
      </w:r>
      <w:r>
        <w:rPr>
          <w:color w:val="000000" w:themeColor="text1"/>
          <w:spacing w:val="5"/>
          <w:sz w:val="20"/>
          <w:szCs w:val="20"/>
          <w:highlight w:val="none"/>
          <w:u w:val="single"/>
          <w14:textFill>
            <w14:solidFill>
              <w14:schemeClr w14:val="tx1"/>
            </w14:solidFill>
          </w14:textFill>
        </w:rPr>
        <w:t xml:space="preserve">   </w:t>
      </w:r>
      <w:r>
        <w:rPr>
          <w:color w:val="000000" w:themeColor="text1"/>
          <w:spacing w:val="32"/>
          <w:sz w:val="20"/>
          <w:szCs w:val="20"/>
          <w:highlight w:val="none"/>
          <w14:textFill>
            <w14:solidFill>
              <w14:schemeClr w14:val="tx1"/>
            </w14:solidFill>
          </w14:textFill>
        </w:rPr>
        <w:t xml:space="preserve"> </w:t>
      </w:r>
      <w:r>
        <w:rPr>
          <w:color w:val="000000" w:themeColor="text1"/>
          <w:spacing w:val="5"/>
          <w:sz w:val="20"/>
          <w:szCs w:val="20"/>
          <w:highlight w:val="none"/>
          <w14:textFill>
            <w14:solidFill>
              <w14:schemeClr w14:val="tx1"/>
            </w14:solidFill>
          </w14:textFill>
        </w:rPr>
        <w:t>，服务地点：</w:t>
      </w:r>
      <w:r>
        <w:rPr>
          <w:color w:val="000000" w:themeColor="text1"/>
          <w:spacing w:val="5"/>
          <w:sz w:val="20"/>
          <w:szCs w:val="20"/>
          <w:highlight w:val="none"/>
          <w:u w:val="single"/>
          <w14:textFill>
            <w14:solidFill>
              <w14:schemeClr w14:val="tx1"/>
            </w14:solidFill>
          </w14:textFill>
        </w:rPr>
        <w:t xml:space="preserve">   </w:t>
      </w:r>
      <w:r>
        <w:rPr>
          <w:rFonts w:hint="eastAsia"/>
          <w:color w:val="000000" w:themeColor="text1"/>
          <w:spacing w:val="5"/>
          <w:sz w:val="20"/>
          <w:szCs w:val="20"/>
          <w:highlight w:val="none"/>
          <w:u w:val="single"/>
          <w14:textFill>
            <w14:solidFill>
              <w14:schemeClr w14:val="tx1"/>
            </w14:solidFill>
          </w14:textFill>
        </w:rPr>
        <w:t xml:space="preserve">    </w:t>
      </w:r>
      <w:r>
        <w:rPr>
          <w:color w:val="000000" w:themeColor="text1"/>
          <w:spacing w:val="5"/>
          <w:sz w:val="20"/>
          <w:szCs w:val="20"/>
          <w:highlight w:val="none"/>
          <w:u w:val="single"/>
          <w14:textFill>
            <w14:solidFill>
              <w14:schemeClr w14:val="tx1"/>
            </w14:solidFill>
          </w14:textFill>
        </w:rPr>
        <w:t xml:space="preserve">  </w:t>
      </w:r>
      <w:r>
        <w:rPr>
          <w:color w:val="000000" w:themeColor="text1"/>
          <w:spacing w:val="5"/>
          <w:sz w:val="20"/>
          <w:szCs w:val="20"/>
          <w:highlight w:val="none"/>
          <w14:textFill>
            <w14:solidFill>
              <w14:schemeClr w14:val="tx1"/>
            </w14:solidFill>
          </w14:textFill>
        </w:rPr>
        <w:t>。</w:t>
      </w:r>
    </w:p>
    <w:p w14:paraId="5F473016">
      <w:pPr>
        <w:pStyle w:val="17"/>
        <w:spacing w:line="440" w:lineRule="exact"/>
        <w:ind w:left="423"/>
        <w:jc w:val="left"/>
        <w:rPr>
          <w:color w:val="000000" w:themeColor="text1"/>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2、乙方应按响应文件的承诺向甲方提供相应的服务，并提供所服务内容的相关技术资料。</w:t>
      </w:r>
    </w:p>
    <w:p w14:paraId="470B54D9">
      <w:pPr>
        <w:pStyle w:val="17"/>
        <w:spacing w:line="440" w:lineRule="exact"/>
        <w:ind w:left="425"/>
        <w:jc w:val="left"/>
        <w:rPr>
          <w:color w:val="000000" w:themeColor="text1"/>
          <w:sz w:val="20"/>
          <w:szCs w:val="20"/>
          <w:highlight w:val="none"/>
          <w14:textFill>
            <w14:solidFill>
              <w14:schemeClr w14:val="tx1"/>
            </w14:solidFill>
          </w14:textFill>
        </w:rPr>
      </w:pPr>
      <w:r>
        <w:rPr>
          <w:color w:val="000000" w:themeColor="text1"/>
          <w:spacing w:val="8"/>
          <w:sz w:val="20"/>
          <w:szCs w:val="20"/>
          <w:highlight w:val="none"/>
          <w14:textFill>
            <w14:solidFill>
              <w14:schemeClr w14:val="tx1"/>
            </w14:solidFill>
          </w14:textFill>
        </w:rPr>
        <w:t>3、乙方提供不符合响应文件和本合同规定的服务成果，</w:t>
      </w:r>
      <w:r>
        <w:rPr>
          <w:color w:val="000000" w:themeColor="text1"/>
          <w:spacing w:val="-56"/>
          <w:sz w:val="20"/>
          <w:szCs w:val="20"/>
          <w:highlight w:val="none"/>
          <w14:textFill>
            <w14:solidFill>
              <w14:schemeClr w14:val="tx1"/>
            </w14:solidFill>
          </w14:textFill>
        </w:rPr>
        <w:t xml:space="preserve"> </w:t>
      </w:r>
      <w:r>
        <w:rPr>
          <w:color w:val="000000" w:themeColor="text1"/>
          <w:spacing w:val="8"/>
          <w:sz w:val="20"/>
          <w:szCs w:val="20"/>
          <w:highlight w:val="none"/>
          <w14:textFill>
            <w14:solidFill>
              <w14:schemeClr w14:val="tx1"/>
            </w14:solidFill>
          </w14:textFill>
        </w:rPr>
        <w:t>甲方</w:t>
      </w:r>
      <w:r>
        <w:rPr>
          <w:color w:val="000000" w:themeColor="text1"/>
          <w:spacing w:val="7"/>
          <w:sz w:val="20"/>
          <w:szCs w:val="20"/>
          <w:highlight w:val="none"/>
          <w14:textFill>
            <w14:solidFill>
              <w14:schemeClr w14:val="tx1"/>
            </w14:solidFill>
          </w14:textFill>
        </w:rPr>
        <w:t>有权拒绝接受。</w:t>
      </w:r>
    </w:p>
    <w:p w14:paraId="46AE20F2">
      <w:pPr>
        <w:pStyle w:val="17"/>
        <w:spacing w:line="440" w:lineRule="exact"/>
        <w:ind w:firstLine="420"/>
        <w:jc w:val="left"/>
        <w:rPr>
          <w:color w:val="000000" w:themeColor="text1"/>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4、乙方完成服务后应及时书面通知甲方进行验收</w:t>
      </w:r>
      <w:r>
        <w:rPr>
          <w:color w:val="000000" w:themeColor="text1"/>
          <w:spacing w:val="8"/>
          <w:sz w:val="20"/>
          <w:szCs w:val="20"/>
          <w:highlight w:val="none"/>
          <w14:textFill>
            <w14:solidFill>
              <w14:schemeClr w14:val="tx1"/>
            </w14:solidFill>
          </w14:textFill>
        </w:rPr>
        <w:t>，</w:t>
      </w:r>
      <w:r>
        <w:rPr>
          <w:color w:val="000000" w:themeColor="text1"/>
          <w:spacing w:val="-57"/>
          <w:sz w:val="20"/>
          <w:szCs w:val="20"/>
          <w:highlight w:val="none"/>
          <w14:textFill>
            <w14:solidFill>
              <w14:schemeClr w14:val="tx1"/>
            </w14:solidFill>
          </w14:textFill>
        </w:rPr>
        <w:t xml:space="preserve"> </w:t>
      </w:r>
      <w:r>
        <w:rPr>
          <w:color w:val="000000" w:themeColor="text1"/>
          <w:spacing w:val="8"/>
          <w:sz w:val="20"/>
          <w:szCs w:val="20"/>
          <w:highlight w:val="none"/>
          <w14:textFill>
            <w14:solidFill>
              <w14:schemeClr w14:val="tx1"/>
            </w14:solidFill>
          </w14:textFill>
        </w:rPr>
        <w:t>甲方应在收到通知后七个工作日内进行</w:t>
      </w:r>
      <w:r>
        <w:rPr>
          <w:color w:val="000000" w:themeColor="text1"/>
          <w:spacing w:val="9"/>
          <w:sz w:val="20"/>
          <w:szCs w:val="20"/>
          <w:highlight w:val="none"/>
          <w14:textFill>
            <w14:solidFill>
              <w14:schemeClr w14:val="tx1"/>
            </w14:solidFill>
          </w14:textFill>
        </w:rPr>
        <w:t>验收，逾期不开始验收的，乙方可视同验收合格。验收合格后由甲乙双方签署验收单并加盖采购</w:t>
      </w:r>
      <w:r>
        <w:rPr>
          <w:color w:val="000000" w:themeColor="text1"/>
          <w:spacing w:val="5"/>
          <w:sz w:val="20"/>
          <w:szCs w:val="20"/>
          <w:highlight w:val="none"/>
          <w14:textFill>
            <w14:solidFill>
              <w14:schemeClr w14:val="tx1"/>
            </w14:solidFill>
          </w14:textFill>
        </w:rPr>
        <w:t>人公章，</w:t>
      </w:r>
      <w:r>
        <w:rPr>
          <w:color w:val="000000" w:themeColor="text1"/>
          <w:spacing w:val="-56"/>
          <w:sz w:val="20"/>
          <w:szCs w:val="20"/>
          <w:highlight w:val="none"/>
          <w14:textFill>
            <w14:solidFill>
              <w14:schemeClr w14:val="tx1"/>
            </w14:solidFill>
          </w14:textFill>
        </w:rPr>
        <w:t xml:space="preserve"> </w:t>
      </w:r>
      <w:r>
        <w:rPr>
          <w:color w:val="000000" w:themeColor="text1"/>
          <w:spacing w:val="5"/>
          <w:sz w:val="20"/>
          <w:szCs w:val="20"/>
          <w:highlight w:val="none"/>
          <w14:textFill>
            <w14:solidFill>
              <w14:schemeClr w14:val="tx1"/>
            </w14:solidFill>
          </w14:textFill>
        </w:rPr>
        <w:t>甲乙双方各执一份。</w:t>
      </w:r>
    </w:p>
    <w:p w14:paraId="050757EF">
      <w:pPr>
        <w:pStyle w:val="17"/>
        <w:spacing w:line="440" w:lineRule="exact"/>
        <w:ind w:left="2" w:right="72" w:firstLine="422"/>
        <w:jc w:val="left"/>
        <w:rPr>
          <w:color w:val="000000" w:themeColor="text1"/>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5、</w:t>
      </w:r>
      <w:r>
        <w:rPr>
          <w:color w:val="000000" w:themeColor="text1"/>
          <w:spacing w:val="-60"/>
          <w:sz w:val="20"/>
          <w:szCs w:val="20"/>
          <w:highlight w:val="none"/>
          <w14:textFill>
            <w14:solidFill>
              <w14:schemeClr w14:val="tx1"/>
            </w14:solidFill>
          </w14:textFill>
        </w:rPr>
        <w:t xml:space="preserve"> </w:t>
      </w:r>
      <w:r>
        <w:rPr>
          <w:color w:val="000000" w:themeColor="text1"/>
          <w:spacing w:val="9"/>
          <w:sz w:val="20"/>
          <w:szCs w:val="20"/>
          <w:highlight w:val="none"/>
          <w14:textFill>
            <w14:solidFill>
              <w14:schemeClr w14:val="tx1"/>
            </w14:solidFill>
          </w14:textFill>
        </w:rPr>
        <w:t>甲乙双方应按照《广西壮族自治区政府采</w:t>
      </w:r>
      <w:r>
        <w:rPr>
          <w:color w:val="000000" w:themeColor="text1"/>
          <w:spacing w:val="8"/>
          <w:sz w:val="20"/>
          <w:szCs w:val="20"/>
          <w:highlight w:val="none"/>
          <w14:textFill>
            <w14:solidFill>
              <w14:schemeClr w14:val="tx1"/>
            </w14:solidFill>
          </w14:textFill>
        </w:rPr>
        <w:t>购项目履约验收管理办法》、双方合同、响应</w:t>
      </w:r>
      <w:r>
        <w:rPr>
          <w:color w:val="000000" w:themeColor="text1"/>
          <w:spacing w:val="5"/>
          <w:sz w:val="20"/>
          <w:szCs w:val="20"/>
          <w:highlight w:val="none"/>
          <w14:textFill>
            <w14:solidFill>
              <w14:schemeClr w14:val="tx1"/>
            </w14:solidFill>
          </w14:textFill>
        </w:rPr>
        <w:t>文件验收。</w:t>
      </w:r>
    </w:p>
    <w:p w14:paraId="63C452FC">
      <w:pPr>
        <w:pStyle w:val="17"/>
        <w:spacing w:line="440" w:lineRule="exact"/>
        <w:ind w:left="1" w:right="19" w:firstLine="420"/>
        <w:jc w:val="left"/>
        <w:rPr>
          <w:color w:val="000000" w:themeColor="text1"/>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6、</w:t>
      </w:r>
      <w:r>
        <w:rPr>
          <w:color w:val="000000" w:themeColor="text1"/>
          <w:spacing w:val="-59"/>
          <w:sz w:val="20"/>
          <w:szCs w:val="20"/>
          <w:highlight w:val="none"/>
          <w14:textFill>
            <w14:solidFill>
              <w14:schemeClr w14:val="tx1"/>
            </w14:solidFill>
          </w14:textFill>
        </w:rPr>
        <w:t xml:space="preserve"> </w:t>
      </w:r>
      <w:r>
        <w:rPr>
          <w:color w:val="000000" w:themeColor="text1"/>
          <w:spacing w:val="9"/>
          <w:sz w:val="20"/>
          <w:szCs w:val="20"/>
          <w:highlight w:val="none"/>
          <w14:textFill>
            <w14:solidFill>
              <w14:schemeClr w14:val="tx1"/>
            </w14:solidFill>
          </w14:textFill>
        </w:rPr>
        <w:t>甲方在初步验收或者最终验收过程中如发现乙</w:t>
      </w:r>
      <w:r>
        <w:rPr>
          <w:color w:val="000000" w:themeColor="text1"/>
          <w:spacing w:val="8"/>
          <w:sz w:val="20"/>
          <w:szCs w:val="20"/>
          <w:highlight w:val="none"/>
          <w14:textFill>
            <w14:solidFill>
              <w14:schemeClr w14:val="tx1"/>
            </w14:solidFill>
          </w14:textFill>
        </w:rPr>
        <w:t>方提供的服务成果不满足响应文件及本合</w:t>
      </w:r>
      <w:r>
        <w:rPr>
          <w:color w:val="000000" w:themeColor="text1"/>
          <w:spacing w:val="9"/>
          <w:sz w:val="20"/>
          <w:szCs w:val="20"/>
          <w:highlight w:val="none"/>
          <w14:textFill>
            <w14:solidFill>
              <w14:schemeClr w14:val="tx1"/>
            </w14:solidFill>
          </w14:textFill>
        </w:rPr>
        <w:t>同规定的，可暂缓向乙方付款，直到乙方及时</w:t>
      </w:r>
      <w:r>
        <w:rPr>
          <w:color w:val="000000" w:themeColor="text1"/>
          <w:spacing w:val="8"/>
          <w:sz w:val="20"/>
          <w:szCs w:val="20"/>
          <w:highlight w:val="none"/>
          <w14:textFill>
            <w14:solidFill>
              <w14:schemeClr w14:val="tx1"/>
            </w14:solidFill>
          </w14:textFill>
        </w:rPr>
        <w:t>完善并提交相应的服务成果且经甲方验收合格后，</w:t>
      </w:r>
      <w:r>
        <w:rPr>
          <w:color w:val="000000" w:themeColor="text1"/>
          <w:spacing w:val="6"/>
          <w:sz w:val="20"/>
          <w:szCs w:val="20"/>
          <w:highlight w:val="none"/>
          <w14:textFill>
            <w14:solidFill>
              <w14:schemeClr w14:val="tx1"/>
            </w14:solidFill>
          </w14:textFill>
        </w:rPr>
        <w:t>方可办理付款。</w:t>
      </w:r>
    </w:p>
    <w:p w14:paraId="7881EFD1">
      <w:pPr>
        <w:pStyle w:val="17"/>
        <w:spacing w:line="440" w:lineRule="exact"/>
        <w:ind w:left="24" w:right="72" w:firstLine="401"/>
        <w:jc w:val="left"/>
        <w:rPr>
          <w:color w:val="000000" w:themeColor="text1"/>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7、</w:t>
      </w:r>
      <w:r>
        <w:rPr>
          <w:color w:val="000000" w:themeColor="text1"/>
          <w:spacing w:val="-59"/>
          <w:sz w:val="20"/>
          <w:szCs w:val="20"/>
          <w:highlight w:val="none"/>
          <w14:textFill>
            <w14:solidFill>
              <w14:schemeClr w14:val="tx1"/>
            </w14:solidFill>
          </w14:textFill>
        </w:rPr>
        <w:t xml:space="preserve"> </w:t>
      </w:r>
      <w:r>
        <w:rPr>
          <w:color w:val="000000" w:themeColor="text1"/>
          <w:spacing w:val="9"/>
          <w:sz w:val="20"/>
          <w:szCs w:val="20"/>
          <w:highlight w:val="none"/>
          <w14:textFill>
            <w14:solidFill>
              <w14:schemeClr w14:val="tx1"/>
            </w14:solidFill>
          </w14:textFill>
        </w:rPr>
        <w:t>甲方验收时以书面形式提出异议的，乙</w:t>
      </w:r>
      <w:r>
        <w:rPr>
          <w:color w:val="000000" w:themeColor="text1"/>
          <w:spacing w:val="8"/>
          <w:sz w:val="20"/>
          <w:szCs w:val="20"/>
          <w:highlight w:val="none"/>
          <w14:textFill>
            <w14:solidFill>
              <w14:schemeClr w14:val="tx1"/>
            </w14:solidFill>
          </w14:textFill>
        </w:rPr>
        <w:t>方应自收到甲方书面异议后五个工作日内及时予</w:t>
      </w:r>
      <w:r>
        <w:rPr>
          <w:color w:val="000000" w:themeColor="text1"/>
          <w:spacing w:val="7"/>
          <w:sz w:val="20"/>
          <w:szCs w:val="20"/>
          <w:highlight w:val="none"/>
          <w14:textFill>
            <w14:solidFill>
              <w14:schemeClr w14:val="tx1"/>
            </w14:solidFill>
          </w14:textFill>
        </w:rPr>
        <w:t>以解决，否则甲方有权不出具服务验收合格单。</w:t>
      </w:r>
    </w:p>
    <w:p w14:paraId="623EE018">
      <w:pPr>
        <w:pStyle w:val="17"/>
        <w:spacing w:line="440" w:lineRule="exact"/>
        <w:ind w:left="420"/>
        <w:jc w:val="left"/>
        <w:rPr>
          <w:color w:val="000000" w:themeColor="text1"/>
          <w:sz w:val="20"/>
          <w:szCs w:val="20"/>
          <w:highlight w:val="none"/>
          <w14:textFill>
            <w14:solidFill>
              <w14:schemeClr w14:val="tx1"/>
            </w14:solidFill>
          </w14:textFill>
        </w:rPr>
      </w:pPr>
      <w:r>
        <w:rPr>
          <w:b/>
          <w:bCs/>
          <w:color w:val="000000" w:themeColor="text1"/>
          <w:spacing w:val="7"/>
          <w:sz w:val="20"/>
          <w:szCs w:val="20"/>
          <w:highlight w:val="none"/>
          <w14:textFill>
            <w14:solidFill>
              <w14:schemeClr w14:val="tx1"/>
            </w14:solidFill>
          </w14:textFill>
        </w:rPr>
        <w:t>第五条</w:t>
      </w:r>
      <w:r>
        <w:rPr>
          <w:color w:val="000000" w:themeColor="text1"/>
          <w:spacing w:val="7"/>
          <w:sz w:val="20"/>
          <w:szCs w:val="20"/>
          <w:highlight w:val="none"/>
          <w14:textFill>
            <w14:solidFill>
              <w14:schemeClr w14:val="tx1"/>
            </w14:solidFill>
          </w14:textFill>
        </w:rPr>
        <w:t xml:space="preserve"> </w:t>
      </w:r>
      <w:r>
        <w:rPr>
          <w:b/>
          <w:bCs/>
          <w:color w:val="000000" w:themeColor="text1"/>
          <w:spacing w:val="7"/>
          <w:sz w:val="20"/>
          <w:szCs w:val="20"/>
          <w:highlight w:val="none"/>
          <w14:textFill>
            <w14:solidFill>
              <w14:schemeClr w14:val="tx1"/>
            </w14:solidFill>
          </w14:textFill>
        </w:rPr>
        <w:t>售后服务及培训</w:t>
      </w:r>
    </w:p>
    <w:p w14:paraId="474578E7">
      <w:pPr>
        <w:pStyle w:val="17"/>
        <w:spacing w:line="440" w:lineRule="exact"/>
        <w:ind w:right="72" w:firstLine="435"/>
        <w:jc w:val="left"/>
        <w:rPr>
          <w:color w:val="000000" w:themeColor="text1"/>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1、乙方应按照国家有关法律法规和本合同所附的《售后服务承诺》要求为甲方提供相应的</w:t>
      </w:r>
      <w:r>
        <w:rPr>
          <w:color w:val="000000" w:themeColor="text1"/>
          <w:spacing w:val="5"/>
          <w:sz w:val="20"/>
          <w:szCs w:val="20"/>
          <w:highlight w:val="none"/>
          <w14:textFill>
            <w14:solidFill>
              <w14:schemeClr w14:val="tx1"/>
            </w14:solidFill>
          </w14:textFill>
        </w:rPr>
        <w:t>售后服务。</w:t>
      </w:r>
    </w:p>
    <w:p w14:paraId="72CCF9C1">
      <w:pPr>
        <w:pStyle w:val="17"/>
        <w:spacing w:line="440" w:lineRule="exact"/>
        <w:ind w:left="423"/>
        <w:jc w:val="left"/>
        <w:rPr>
          <w:color w:val="000000" w:themeColor="text1"/>
          <w:sz w:val="20"/>
          <w:szCs w:val="20"/>
          <w:highlight w:val="none"/>
          <w14:textFill>
            <w14:solidFill>
              <w14:schemeClr w14:val="tx1"/>
            </w14:solidFill>
          </w14:textFill>
        </w:rPr>
      </w:pPr>
      <w:r>
        <w:rPr>
          <w:color w:val="000000" w:themeColor="text1"/>
          <w:spacing w:val="7"/>
          <w:sz w:val="20"/>
          <w:szCs w:val="20"/>
          <w:highlight w:val="none"/>
          <w14:textFill>
            <w14:solidFill>
              <w14:schemeClr w14:val="tx1"/>
            </w14:solidFill>
          </w14:textFill>
        </w:rPr>
        <w:t>2、</w:t>
      </w:r>
      <w:r>
        <w:rPr>
          <w:color w:val="000000" w:themeColor="text1"/>
          <w:spacing w:val="-60"/>
          <w:sz w:val="20"/>
          <w:szCs w:val="20"/>
          <w:highlight w:val="none"/>
          <w14:textFill>
            <w14:solidFill>
              <w14:schemeClr w14:val="tx1"/>
            </w14:solidFill>
          </w14:textFill>
        </w:rPr>
        <w:t xml:space="preserve"> </w:t>
      </w:r>
      <w:r>
        <w:rPr>
          <w:color w:val="000000" w:themeColor="text1"/>
          <w:spacing w:val="7"/>
          <w:sz w:val="20"/>
          <w:szCs w:val="20"/>
          <w:highlight w:val="none"/>
          <w14:textFill>
            <w14:solidFill>
              <w14:schemeClr w14:val="tx1"/>
            </w14:solidFill>
          </w14:textFill>
        </w:rPr>
        <w:t>甲方应提供必要测试条件（如场地、电源、水源等）。</w:t>
      </w:r>
    </w:p>
    <w:p w14:paraId="3ABB5435">
      <w:pPr>
        <w:pStyle w:val="17"/>
        <w:spacing w:line="440" w:lineRule="exact"/>
        <w:ind w:left="425"/>
        <w:jc w:val="left"/>
        <w:rPr>
          <w:color w:val="000000" w:themeColor="text1"/>
          <w:sz w:val="20"/>
          <w:szCs w:val="20"/>
          <w:highlight w:val="none"/>
          <w14:textFill>
            <w14:solidFill>
              <w14:schemeClr w14:val="tx1"/>
            </w14:solidFill>
          </w14:textFill>
        </w:rPr>
      </w:pPr>
      <w:r>
        <w:rPr>
          <w:color w:val="000000" w:themeColor="text1"/>
          <w:spacing w:val="8"/>
          <w:sz w:val="20"/>
          <w:szCs w:val="20"/>
          <w:highlight w:val="none"/>
          <w14:textFill>
            <w14:solidFill>
              <w14:schemeClr w14:val="tx1"/>
            </w14:solidFill>
          </w14:textFill>
        </w:rPr>
        <w:t>3、乙方负责甲方有关人员的培训。培训时间、地点：</w:t>
      </w:r>
      <w:r>
        <w:rPr>
          <w:color w:val="000000" w:themeColor="text1"/>
          <w:spacing w:val="8"/>
          <w:sz w:val="20"/>
          <w:szCs w:val="20"/>
          <w:highlight w:val="none"/>
          <w:u w:val="single"/>
          <w14:textFill>
            <w14:solidFill>
              <w14:schemeClr w14:val="tx1"/>
            </w14:solidFill>
          </w14:textFill>
        </w:rPr>
        <w:t xml:space="preserve">  </w:t>
      </w:r>
      <w:r>
        <w:rPr>
          <w:color w:val="000000" w:themeColor="text1"/>
          <w:spacing w:val="7"/>
          <w:sz w:val="20"/>
          <w:szCs w:val="20"/>
          <w:highlight w:val="none"/>
          <w:u w:val="single"/>
          <w14:textFill>
            <w14:solidFill>
              <w14:schemeClr w14:val="tx1"/>
            </w14:solidFill>
          </w14:textFill>
        </w:rPr>
        <w:t xml:space="preserve">        </w:t>
      </w:r>
      <w:r>
        <w:rPr>
          <w:color w:val="000000" w:themeColor="text1"/>
          <w:spacing w:val="7"/>
          <w:sz w:val="20"/>
          <w:szCs w:val="20"/>
          <w:highlight w:val="none"/>
          <w14:textFill>
            <w14:solidFill>
              <w14:schemeClr w14:val="tx1"/>
            </w14:solidFill>
          </w14:textFill>
        </w:rPr>
        <w:t>。</w:t>
      </w:r>
    </w:p>
    <w:p w14:paraId="22A54290">
      <w:pPr>
        <w:pStyle w:val="17"/>
        <w:spacing w:line="440" w:lineRule="exact"/>
        <w:ind w:left="420"/>
        <w:jc w:val="left"/>
        <w:rPr>
          <w:color w:val="000000" w:themeColor="text1"/>
          <w:sz w:val="20"/>
          <w:szCs w:val="20"/>
          <w:highlight w:val="none"/>
          <w14:textFill>
            <w14:solidFill>
              <w14:schemeClr w14:val="tx1"/>
            </w14:solidFill>
          </w14:textFill>
        </w:rPr>
      </w:pPr>
      <w:r>
        <w:rPr>
          <w:b/>
          <w:bCs/>
          <w:color w:val="000000" w:themeColor="text1"/>
          <w:spacing w:val="7"/>
          <w:sz w:val="20"/>
          <w:szCs w:val="20"/>
          <w:highlight w:val="none"/>
          <w14:textFill>
            <w14:solidFill>
              <w14:schemeClr w14:val="tx1"/>
            </w14:solidFill>
          </w14:textFill>
        </w:rPr>
        <w:t>第六条</w:t>
      </w:r>
      <w:r>
        <w:rPr>
          <w:color w:val="000000" w:themeColor="text1"/>
          <w:spacing w:val="7"/>
          <w:sz w:val="20"/>
          <w:szCs w:val="20"/>
          <w:highlight w:val="none"/>
          <w14:textFill>
            <w14:solidFill>
              <w14:schemeClr w14:val="tx1"/>
            </w14:solidFill>
          </w14:textFill>
        </w:rPr>
        <w:t xml:space="preserve"> </w:t>
      </w:r>
      <w:r>
        <w:rPr>
          <w:b/>
          <w:bCs/>
          <w:color w:val="000000" w:themeColor="text1"/>
          <w:spacing w:val="7"/>
          <w:sz w:val="20"/>
          <w:szCs w:val="20"/>
          <w:highlight w:val="none"/>
          <w14:textFill>
            <w14:solidFill>
              <w14:schemeClr w14:val="tx1"/>
            </w14:solidFill>
          </w14:textFill>
        </w:rPr>
        <w:t>付款方式</w:t>
      </w:r>
    </w:p>
    <w:p w14:paraId="52683692">
      <w:pPr>
        <w:pStyle w:val="17"/>
        <w:spacing w:line="440" w:lineRule="exact"/>
        <w:ind w:right="72" w:firstLine="435"/>
        <w:jc w:val="left"/>
        <w:rPr>
          <w:rFonts w:hint="eastAsia" w:eastAsia="宋体"/>
          <w:b/>
          <w:bCs/>
          <w:color w:val="000000" w:themeColor="text1"/>
          <w:spacing w:val="9"/>
          <w:sz w:val="20"/>
          <w:szCs w:val="20"/>
          <w:highlight w:val="none"/>
          <w:u w:val="single"/>
          <w:lang w:eastAsia="zh-CN"/>
          <w14:textFill>
            <w14:solidFill>
              <w14:schemeClr w14:val="tx1"/>
            </w14:solidFill>
          </w14:textFill>
        </w:rPr>
      </w:pPr>
      <w:r>
        <w:rPr>
          <w:color w:val="000000" w:themeColor="text1"/>
          <w:spacing w:val="9"/>
          <w:sz w:val="20"/>
          <w:szCs w:val="20"/>
          <w:highlight w:val="none"/>
          <w14:textFill>
            <w14:solidFill>
              <w14:schemeClr w14:val="tx1"/>
            </w14:solidFill>
          </w14:textFill>
        </w:rPr>
        <w:t>甲乙双方同意本合同款项的支付应按照招标文件的规定进行，具体如下：</w:t>
      </w:r>
      <w:r>
        <w:rPr>
          <w:b/>
          <w:bCs/>
          <w:color w:val="000000" w:themeColor="text1"/>
          <w:spacing w:val="9"/>
          <w:sz w:val="20"/>
          <w:szCs w:val="20"/>
          <w:highlight w:val="none"/>
          <w14:textFill>
            <w14:solidFill>
              <w14:schemeClr w14:val="tx1"/>
            </w14:solidFill>
          </w14:textFill>
        </w:rPr>
        <w:t>甲乙双方同意本合同款项的支付应按照招标文件的规定进行，具体如下：</w:t>
      </w:r>
      <w:r>
        <w:rPr>
          <w:rFonts w:hint="eastAsia" w:ascii="宋体" w:hAnsi="宋体" w:eastAsia="宋体" w:cs="宋体"/>
          <w:b/>
          <w:bCs/>
          <w:color w:val="000000" w:themeColor="text1"/>
          <w:sz w:val="21"/>
          <w:szCs w:val="21"/>
          <w:highlight w:val="none"/>
          <w14:textFill>
            <w14:solidFill>
              <w14:schemeClr w14:val="tx1"/>
            </w14:solidFill>
          </w14:textFill>
        </w:rPr>
        <w:t>甲乙双方同意本合同款项的支付应按照招标文件的规定进行，具体如下：合同签订生效后，甲方向乙方预付合同总金额的 30%，项目验收后，凭双方认可的验收单，向乙方付至合同总金额的 90%,结算审核通过后支付至结算金额的100%。付款前，成交供应商需向采购人提供请款函和对应的合法发票，各阶段款项的支付均根据财政资金的拨付情况进行支付，甲方不承担延期付款的责任。</w:t>
      </w:r>
    </w:p>
    <w:p w14:paraId="23482314">
      <w:pPr>
        <w:pStyle w:val="17"/>
        <w:spacing w:line="440" w:lineRule="exact"/>
        <w:ind w:right="72" w:firstLine="435"/>
        <w:jc w:val="left"/>
        <w:rPr>
          <w:color w:val="000000" w:themeColor="text1"/>
          <w:spacing w:val="9"/>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付款方式：通过银行转账拨付至乙方指定账号。</w:t>
      </w:r>
    </w:p>
    <w:p w14:paraId="5BFB72FD">
      <w:pPr>
        <w:pStyle w:val="17"/>
        <w:spacing w:line="440" w:lineRule="exact"/>
        <w:ind w:left="420"/>
        <w:jc w:val="left"/>
        <w:rPr>
          <w:color w:val="000000" w:themeColor="text1"/>
          <w:sz w:val="20"/>
          <w:szCs w:val="20"/>
          <w:highlight w:val="none"/>
          <w14:textFill>
            <w14:solidFill>
              <w14:schemeClr w14:val="tx1"/>
            </w14:solidFill>
          </w14:textFill>
        </w:rPr>
      </w:pPr>
      <w:r>
        <w:rPr>
          <w:b/>
          <w:bCs/>
          <w:color w:val="000000" w:themeColor="text1"/>
          <w:spacing w:val="7"/>
          <w:sz w:val="20"/>
          <w:szCs w:val="20"/>
          <w:highlight w:val="none"/>
          <w14:textFill>
            <w14:solidFill>
              <w14:schemeClr w14:val="tx1"/>
            </w14:solidFill>
          </w14:textFill>
        </w:rPr>
        <w:t>第七条</w:t>
      </w:r>
      <w:r>
        <w:rPr>
          <w:color w:val="000000" w:themeColor="text1"/>
          <w:spacing w:val="7"/>
          <w:sz w:val="20"/>
          <w:szCs w:val="20"/>
          <w:highlight w:val="none"/>
          <w14:textFill>
            <w14:solidFill>
              <w14:schemeClr w14:val="tx1"/>
            </w14:solidFill>
          </w14:textFill>
        </w:rPr>
        <w:t xml:space="preserve"> </w:t>
      </w:r>
      <w:r>
        <w:rPr>
          <w:b/>
          <w:bCs/>
          <w:color w:val="000000" w:themeColor="text1"/>
          <w:spacing w:val="7"/>
          <w:sz w:val="20"/>
          <w:szCs w:val="20"/>
          <w:highlight w:val="none"/>
          <w14:textFill>
            <w14:solidFill>
              <w14:schemeClr w14:val="tx1"/>
            </w14:solidFill>
          </w14:textFill>
        </w:rPr>
        <w:t>履约保证金</w:t>
      </w:r>
    </w:p>
    <w:p w14:paraId="7C7E4D1A">
      <w:pPr>
        <w:kinsoku w:val="0"/>
        <w:autoSpaceDE w:val="0"/>
        <w:autoSpaceDN w:val="0"/>
        <w:spacing w:after="0" w:line="480" w:lineRule="exact"/>
        <w:ind w:firstLine="436" w:firstLineChars="200"/>
        <w:textAlignment w:val="bottom"/>
        <w:rPr>
          <w:rFonts w:hint="eastAsia"/>
          <w:color w:val="000000" w:themeColor="text1"/>
          <w:spacing w:val="9"/>
          <w:sz w:val="20"/>
          <w:szCs w:val="20"/>
          <w:highlight w:val="none"/>
          <w14:textFill>
            <w14:solidFill>
              <w14:schemeClr w14:val="tx1"/>
            </w14:solidFill>
          </w14:textFill>
        </w:rPr>
      </w:pPr>
      <w:r>
        <w:rPr>
          <w:rFonts w:hint="eastAsia"/>
          <w:color w:val="000000" w:themeColor="text1"/>
          <w:spacing w:val="9"/>
          <w:sz w:val="20"/>
          <w:szCs w:val="20"/>
          <w:highlight w:val="none"/>
          <w14:textFill>
            <w14:solidFill>
              <w14:schemeClr w14:val="tx1"/>
            </w14:solidFill>
          </w14:textFill>
        </w:rPr>
        <w:t>履约保证金金额：</w:t>
      </w:r>
      <w:r>
        <w:rPr>
          <w:rFonts w:hint="eastAsia"/>
          <w:b/>
          <w:bCs/>
          <w:color w:val="000000" w:themeColor="text1"/>
          <w:spacing w:val="9"/>
          <w:sz w:val="20"/>
          <w:szCs w:val="20"/>
          <w:highlight w:val="none"/>
          <w:u w:val="single"/>
          <w:lang w:val="en-US" w:eastAsia="zh-CN"/>
          <w14:textFill>
            <w14:solidFill>
              <w14:schemeClr w14:val="tx1"/>
            </w14:solidFill>
          </w14:textFill>
        </w:rPr>
        <w:t>合同</w:t>
      </w:r>
      <w:r>
        <w:rPr>
          <w:rFonts w:hint="eastAsia"/>
          <w:b/>
          <w:bCs/>
          <w:color w:val="000000" w:themeColor="text1"/>
          <w:spacing w:val="9"/>
          <w:sz w:val="20"/>
          <w:szCs w:val="20"/>
          <w:highlight w:val="none"/>
          <w:u w:val="single"/>
          <w14:textFill>
            <w14:solidFill>
              <w14:schemeClr w14:val="tx1"/>
            </w14:solidFill>
          </w14:textFill>
        </w:rPr>
        <w:t xml:space="preserve">金额的 </w:t>
      </w:r>
      <w:r>
        <w:rPr>
          <w:rFonts w:hint="eastAsia"/>
          <w:b/>
          <w:bCs/>
          <w:color w:val="000000" w:themeColor="text1"/>
          <w:spacing w:val="9"/>
          <w:sz w:val="20"/>
          <w:szCs w:val="20"/>
          <w:highlight w:val="none"/>
          <w:u w:val="single"/>
          <w:lang w:val="en-US" w:eastAsia="zh-CN"/>
          <w14:textFill>
            <w14:solidFill>
              <w14:schemeClr w14:val="tx1"/>
            </w14:solidFill>
          </w14:textFill>
        </w:rPr>
        <w:t>2</w:t>
      </w:r>
      <w:r>
        <w:rPr>
          <w:rFonts w:hint="eastAsia"/>
          <w:b/>
          <w:bCs/>
          <w:color w:val="000000" w:themeColor="text1"/>
          <w:spacing w:val="9"/>
          <w:sz w:val="20"/>
          <w:szCs w:val="20"/>
          <w:highlight w:val="none"/>
          <w:u w:val="single"/>
          <w14:textFill>
            <w14:solidFill>
              <w14:schemeClr w14:val="tx1"/>
            </w14:solidFill>
          </w14:textFill>
        </w:rPr>
        <w:t xml:space="preserve"> %</w:t>
      </w:r>
      <w:r>
        <w:rPr>
          <w:rFonts w:hint="eastAsia"/>
          <w:b/>
          <w:bCs/>
          <w:color w:val="000000" w:themeColor="text1"/>
          <w:spacing w:val="9"/>
          <w:sz w:val="20"/>
          <w:szCs w:val="20"/>
          <w:highlight w:val="none"/>
          <w:u w:val="single"/>
          <w:lang w:val="en-US" w:eastAsia="zh-CN"/>
          <w14:textFill>
            <w14:solidFill>
              <w14:schemeClr w14:val="tx1"/>
            </w14:solidFill>
          </w14:textFill>
        </w:rPr>
        <w:t>为      元</w:t>
      </w:r>
      <w:r>
        <w:rPr>
          <w:rFonts w:hint="eastAsia"/>
          <w:color w:val="000000" w:themeColor="text1"/>
          <w:spacing w:val="9"/>
          <w:sz w:val="20"/>
          <w:szCs w:val="20"/>
          <w:highlight w:val="none"/>
          <w14:textFill>
            <w14:solidFill>
              <w14:schemeClr w14:val="tx1"/>
            </w14:solidFill>
          </w14:textFill>
        </w:rPr>
        <w:t>。在签订合同前，由乙方在签订合同前转入甲方以下账户。</w:t>
      </w:r>
    </w:p>
    <w:p w14:paraId="52465C2D">
      <w:pPr>
        <w:pStyle w:val="17"/>
        <w:spacing w:line="440" w:lineRule="exact"/>
        <w:ind w:left="420"/>
        <w:jc w:val="left"/>
        <w:rPr>
          <w:rFonts w:hint="eastAsia"/>
          <w:color w:val="000000" w:themeColor="text1"/>
          <w:spacing w:val="9"/>
          <w:sz w:val="20"/>
          <w:szCs w:val="20"/>
          <w:highlight w:val="none"/>
          <w14:textFill>
            <w14:solidFill>
              <w14:schemeClr w14:val="tx1"/>
            </w14:solidFill>
          </w14:textFill>
        </w:rPr>
      </w:pPr>
      <w:r>
        <w:rPr>
          <w:rFonts w:hint="eastAsia"/>
          <w:color w:val="000000" w:themeColor="text1"/>
          <w:spacing w:val="9"/>
          <w:sz w:val="20"/>
          <w:szCs w:val="20"/>
          <w:highlight w:val="none"/>
          <w14:textFill>
            <w14:solidFill>
              <w14:schemeClr w14:val="tx1"/>
            </w14:solidFill>
          </w14:textFill>
        </w:rPr>
        <w:t>履约保证金递交方式：银行转账、支票、汇票、本票或者金融、担保机构出具的保函等非现金方式，交予甲方。</w:t>
      </w:r>
    </w:p>
    <w:p w14:paraId="5EC71A47">
      <w:pPr>
        <w:pStyle w:val="17"/>
        <w:spacing w:line="440" w:lineRule="exact"/>
        <w:ind w:left="420"/>
        <w:jc w:val="left"/>
        <w:rPr>
          <w:rFonts w:hint="eastAsia"/>
          <w:color w:val="000000" w:themeColor="text1"/>
          <w:spacing w:val="9"/>
          <w:sz w:val="20"/>
          <w:szCs w:val="20"/>
          <w:highlight w:val="none"/>
          <w14:textFill>
            <w14:solidFill>
              <w14:schemeClr w14:val="tx1"/>
            </w14:solidFill>
          </w14:textFill>
        </w:rPr>
      </w:pPr>
      <w:r>
        <w:rPr>
          <w:rFonts w:hint="eastAsia"/>
          <w:color w:val="000000" w:themeColor="text1"/>
          <w:spacing w:val="9"/>
          <w:sz w:val="20"/>
          <w:szCs w:val="20"/>
          <w:highlight w:val="none"/>
          <w14:textFill>
            <w14:solidFill>
              <w14:schemeClr w14:val="tx1"/>
            </w14:solidFill>
          </w14:textFill>
        </w:rPr>
        <w:t>履约保证金退付方式、时间及条件：履约期满如无质量服务问题，乙方提出申请，甲方在5个工作日内全额退还履约保证金（不计利息）。</w:t>
      </w:r>
    </w:p>
    <w:p w14:paraId="7FEBB847">
      <w:pPr>
        <w:pStyle w:val="17"/>
        <w:spacing w:line="440" w:lineRule="exact"/>
        <w:ind w:left="420"/>
        <w:jc w:val="left"/>
        <w:rPr>
          <w:rFonts w:hint="eastAsia"/>
          <w:color w:val="000000" w:themeColor="text1"/>
          <w:spacing w:val="9"/>
          <w:sz w:val="20"/>
          <w:szCs w:val="20"/>
          <w:highlight w:val="none"/>
          <w14:textFill>
            <w14:solidFill>
              <w14:schemeClr w14:val="tx1"/>
            </w14:solidFill>
          </w14:textFill>
        </w:rPr>
      </w:pPr>
      <w:r>
        <w:rPr>
          <w:rFonts w:hint="eastAsia"/>
          <w:color w:val="000000" w:themeColor="text1"/>
          <w:spacing w:val="9"/>
          <w:sz w:val="20"/>
          <w:szCs w:val="20"/>
          <w:highlight w:val="none"/>
          <w14:textFill>
            <w14:solidFill>
              <w14:schemeClr w14:val="tx1"/>
            </w14:solidFill>
          </w14:textFill>
        </w:rPr>
        <w:t>履约保证金缴纳账户：</w:t>
      </w:r>
    </w:p>
    <w:p w14:paraId="6AB0FF52">
      <w:pPr>
        <w:pStyle w:val="17"/>
        <w:spacing w:line="440" w:lineRule="exact"/>
        <w:ind w:left="420"/>
        <w:jc w:val="left"/>
        <w:rPr>
          <w:rFonts w:hint="eastAsia"/>
          <w:color w:val="000000" w:themeColor="text1"/>
          <w:spacing w:val="9"/>
          <w:sz w:val="20"/>
          <w:szCs w:val="20"/>
          <w:highlight w:val="none"/>
          <w14:textFill>
            <w14:solidFill>
              <w14:schemeClr w14:val="tx1"/>
            </w14:solidFill>
          </w14:textFill>
        </w:rPr>
      </w:pPr>
      <w:r>
        <w:rPr>
          <w:rFonts w:hint="eastAsia"/>
          <w:color w:val="000000" w:themeColor="text1"/>
          <w:spacing w:val="9"/>
          <w:sz w:val="20"/>
          <w:szCs w:val="20"/>
          <w:highlight w:val="none"/>
          <w14:textFill>
            <w14:solidFill>
              <w14:schemeClr w14:val="tx1"/>
            </w14:solidFill>
          </w14:textFill>
        </w:rPr>
        <w:t xml:space="preserve">开户名称： </w:t>
      </w:r>
    </w:p>
    <w:p w14:paraId="5C219E20">
      <w:pPr>
        <w:pStyle w:val="17"/>
        <w:spacing w:line="440" w:lineRule="exact"/>
        <w:ind w:left="420"/>
        <w:jc w:val="left"/>
        <w:rPr>
          <w:rFonts w:hint="eastAsia"/>
          <w:color w:val="000000" w:themeColor="text1"/>
          <w:spacing w:val="9"/>
          <w:sz w:val="20"/>
          <w:szCs w:val="20"/>
          <w:highlight w:val="none"/>
          <w14:textFill>
            <w14:solidFill>
              <w14:schemeClr w14:val="tx1"/>
            </w14:solidFill>
          </w14:textFill>
        </w:rPr>
      </w:pPr>
      <w:r>
        <w:rPr>
          <w:rFonts w:hint="eastAsia"/>
          <w:color w:val="000000" w:themeColor="text1"/>
          <w:spacing w:val="9"/>
          <w:sz w:val="20"/>
          <w:szCs w:val="20"/>
          <w:highlight w:val="none"/>
          <w14:textFill>
            <w14:solidFill>
              <w14:schemeClr w14:val="tx1"/>
            </w14:solidFill>
          </w14:textFill>
        </w:rPr>
        <w:t xml:space="preserve">开户银行： </w:t>
      </w:r>
    </w:p>
    <w:p w14:paraId="4B42F0D4">
      <w:pPr>
        <w:pStyle w:val="17"/>
        <w:spacing w:line="440" w:lineRule="exact"/>
        <w:ind w:left="420"/>
        <w:jc w:val="left"/>
        <w:rPr>
          <w:rFonts w:hint="eastAsia"/>
          <w:color w:val="000000" w:themeColor="text1"/>
          <w:spacing w:val="9"/>
          <w:sz w:val="20"/>
          <w:szCs w:val="20"/>
          <w:highlight w:val="none"/>
          <w14:textFill>
            <w14:solidFill>
              <w14:schemeClr w14:val="tx1"/>
            </w14:solidFill>
          </w14:textFill>
        </w:rPr>
      </w:pPr>
      <w:r>
        <w:rPr>
          <w:rFonts w:hint="eastAsia"/>
          <w:color w:val="000000" w:themeColor="text1"/>
          <w:spacing w:val="9"/>
          <w:sz w:val="20"/>
          <w:szCs w:val="20"/>
          <w:highlight w:val="none"/>
          <w14:textFill>
            <w14:solidFill>
              <w14:schemeClr w14:val="tx1"/>
            </w14:solidFill>
          </w14:textFill>
        </w:rPr>
        <w:t xml:space="preserve">帐   号： </w:t>
      </w:r>
    </w:p>
    <w:p w14:paraId="2EBCE025">
      <w:pPr>
        <w:pStyle w:val="17"/>
        <w:spacing w:line="440" w:lineRule="exact"/>
        <w:ind w:left="420"/>
        <w:jc w:val="left"/>
        <w:rPr>
          <w:rFonts w:hint="eastAsia"/>
          <w:color w:val="000000" w:themeColor="text1"/>
          <w:spacing w:val="9"/>
          <w:sz w:val="20"/>
          <w:szCs w:val="20"/>
          <w:highlight w:val="none"/>
          <w14:textFill>
            <w14:solidFill>
              <w14:schemeClr w14:val="tx1"/>
            </w14:solidFill>
          </w14:textFill>
        </w:rPr>
      </w:pPr>
      <w:r>
        <w:rPr>
          <w:rFonts w:hint="eastAsia"/>
          <w:color w:val="000000" w:themeColor="text1"/>
          <w:spacing w:val="9"/>
          <w:sz w:val="20"/>
          <w:szCs w:val="20"/>
          <w:highlight w:val="none"/>
          <w14:textFill>
            <w14:solidFill>
              <w14:schemeClr w14:val="tx1"/>
            </w14:solidFill>
          </w14:textFill>
        </w:rPr>
        <w:t>备注：</w:t>
      </w:r>
    </w:p>
    <w:p w14:paraId="1404E678">
      <w:pPr>
        <w:pStyle w:val="17"/>
        <w:spacing w:line="440" w:lineRule="exact"/>
        <w:ind w:left="420"/>
        <w:jc w:val="left"/>
        <w:rPr>
          <w:rFonts w:hint="eastAsia"/>
          <w:color w:val="000000" w:themeColor="text1"/>
          <w:spacing w:val="9"/>
          <w:sz w:val="20"/>
          <w:szCs w:val="20"/>
          <w:highlight w:val="none"/>
          <w14:textFill>
            <w14:solidFill>
              <w14:schemeClr w14:val="tx1"/>
            </w14:solidFill>
          </w14:textFill>
        </w:rPr>
      </w:pPr>
      <w:r>
        <w:rPr>
          <w:rFonts w:hint="eastAsia"/>
          <w:color w:val="000000" w:themeColor="text1"/>
          <w:spacing w:val="9"/>
          <w:sz w:val="20"/>
          <w:szCs w:val="20"/>
          <w:highlight w:val="none"/>
          <w14:textFill>
            <w14:solidFill>
              <w14:schemeClr w14:val="tx1"/>
            </w14:solidFill>
          </w14:textFill>
        </w:rPr>
        <w:t>1. 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5FABAB95">
      <w:pPr>
        <w:pStyle w:val="17"/>
        <w:spacing w:line="440" w:lineRule="exact"/>
        <w:ind w:left="420"/>
        <w:jc w:val="left"/>
        <w:rPr>
          <w:rFonts w:hint="eastAsia"/>
          <w:color w:val="000000" w:themeColor="text1"/>
          <w:spacing w:val="9"/>
          <w:sz w:val="20"/>
          <w:szCs w:val="20"/>
          <w:highlight w:val="none"/>
          <w14:textFill>
            <w14:solidFill>
              <w14:schemeClr w14:val="tx1"/>
            </w14:solidFill>
          </w14:textFill>
        </w:rPr>
      </w:pPr>
      <w:r>
        <w:rPr>
          <w:rFonts w:hint="eastAsia"/>
          <w:color w:val="000000" w:themeColor="text1"/>
          <w:spacing w:val="9"/>
          <w:sz w:val="20"/>
          <w:szCs w:val="20"/>
          <w:highlight w:val="none"/>
          <w14:textFill>
            <w14:solidFill>
              <w14:schemeClr w14:val="tx1"/>
            </w14:solidFill>
          </w14:textFill>
        </w:rPr>
        <w:t>2.采用金融、担保机构出具的保函的，必须为无条件保函，否则不予签订合同。</w:t>
      </w:r>
    </w:p>
    <w:p w14:paraId="4A689571">
      <w:pPr>
        <w:pStyle w:val="17"/>
        <w:spacing w:line="440" w:lineRule="exact"/>
        <w:ind w:left="420"/>
        <w:jc w:val="left"/>
        <w:rPr>
          <w:color w:val="000000" w:themeColor="text1"/>
          <w:sz w:val="20"/>
          <w:szCs w:val="20"/>
          <w:highlight w:val="none"/>
          <w14:textFill>
            <w14:solidFill>
              <w14:schemeClr w14:val="tx1"/>
            </w14:solidFill>
          </w14:textFill>
        </w:rPr>
      </w:pPr>
      <w:r>
        <w:rPr>
          <w:b/>
          <w:bCs/>
          <w:color w:val="000000" w:themeColor="text1"/>
          <w:spacing w:val="6"/>
          <w:sz w:val="20"/>
          <w:szCs w:val="20"/>
          <w:highlight w:val="none"/>
          <w14:textFill>
            <w14:solidFill>
              <w14:schemeClr w14:val="tx1"/>
            </w14:solidFill>
          </w14:textFill>
        </w:rPr>
        <w:t>第八条</w:t>
      </w:r>
      <w:r>
        <w:rPr>
          <w:color w:val="000000" w:themeColor="text1"/>
          <w:spacing w:val="6"/>
          <w:sz w:val="20"/>
          <w:szCs w:val="20"/>
          <w:highlight w:val="none"/>
          <w14:textFill>
            <w14:solidFill>
              <w14:schemeClr w14:val="tx1"/>
            </w14:solidFill>
          </w14:textFill>
        </w:rPr>
        <w:t xml:space="preserve"> </w:t>
      </w:r>
      <w:r>
        <w:rPr>
          <w:b/>
          <w:bCs/>
          <w:color w:val="000000" w:themeColor="text1"/>
          <w:spacing w:val="6"/>
          <w:sz w:val="20"/>
          <w:szCs w:val="20"/>
          <w:highlight w:val="none"/>
          <w14:textFill>
            <w14:solidFill>
              <w14:schemeClr w14:val="tx1"/>
            </w14:solidFill>
          </w14:textFill>
        </w:rPr>
        <w:t>税费</w:t>
      </w:r>
    </w:p>
    <w:p w14:paraId="20625A56">
      <w:pPr>
        <w:pStyle w:val="17"/>
        <w:spacing w:line="440" w:lineRule="exact"/>
        <w:ind w:left="420"/>
        <w:jc w:val="left"/>
        <w:rPr>
          <w:color w:val="000000" w:themeColor="text1"/>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本合同执行中相关的一切税费均由乙方负担，合同另有约定的除外。</w:t>
      </w:r>
    </w:p>
    <w:p w14:paraId="5F4406FB">
      <w:pPr>
        <w:pStyle w:val="17"/>
        <w:spacing w:line="440" w:lineRule="exact"/>
        <w:ind w:left="420"/>
        <w:jc w:val="left"/>
        <w:rPr>
          <w:color w:val="000000" w:themeColor="text1"/>
          <w:sz w:val="20"/>
          <w:szCs w:val="20"/>
          <w:highlight w:val="none"/>
          <w14:textFill>
            <w14:solidFill>
              <w14:schemeClr w14:val="tx1"/>
            </w14:solidFill>
          </w14:textFill>
        </w:rPr>
      </w:pPr>
      <w:r>
        <w:rPr>
          <w:b/>
          <w:bCs/>
          <w:color w:val="000000" w:themeColor="text1"/>
          <w:spacing w:val="7"/>
          <w:sz w:val="20"/>
          <w:szCs w:val="20"/>
          <w:highlight w:val="none"/>
          <w14:textFill>
            <w14:solidFill>
              <w14:schemeClr w14:val="tx1"/>
            </w14:solidFill>
          </w14:textFill>
        </w:rPr>
        <w:t>第九条</w:t>
      </w:r>
      <w:r>
        <w:rPr>
          <w:color w:val="000000" w:themeColor="text1"/>
          <w:spacing w:val="7"/>
          <w:sz w:val="20"/>
          <w:szCs w:val="20"/>
          <w:highlight w:val="none"/>
          <w14:textFill>
            <w14:solidFill>
              <w14:schemeClr w14:val="tx1"/>
            </w14:solidFill>
          </w14:textFill>
        </w:rPr>
        <w:t xml:space="preserve"> </w:t>
      </w:r>
      <w:r>
        <w:rPr>
          <w:b/>
          <w:bCs/>
          <w:color w:val="000000" w:themeColor="text1"/>
          <w:spacing w:val="7"/>
          <w:sz w:val="20"/>
          <w:szCs w:val="20"/>
          <w:highlight w:val="none"/>
          <w14:textFill>
            <w14:solidFill>
              <w14:schemeClr w14:val="tx1"/>
            </w14:solidFill>
          </w14:textFill>
        </w:rPr>
        <w:t>违约责任</w:t>
      </w:r>
    </w:p>
    <w:p w14:paraId="56FC786F">
      <w:pPr>
        <w:pStyle w:val="17"/>
        <w:spacing w:line="440" w:lineRule="exact"/>
        <w:ind w:left="5" w:firstLine="430"/>
        <w:jc w:val="left"/>
        <w:rPr>
          <w:color w:val="000000" w:themeColor="text1"/>
          <w:sz w:val="20"/>
          <w:szCs w:val="20"/>
          <w:highlight w:val="none"/>
          <w14:textFill>
            <w14:solidFill>
              <w14:schemeClr w14:val="tx1"/>
            </w14:solidFill>
          </w14:textFill>
        </w:rPr>
      </w:pPr>
      <w:r>
        <w:rPr>
          <w:color w:val="000000" w:themeColor="text1"/>
          <w:spacing w:val="8"/>
          <w:sz w:val="20"/>
          <w:szCs w:val="20"/>
          <w:highlight w:val="none"/>
          <w14:textFill>
            <w14:solidFill>
              <w14:schemeClr w14:val="tx1"/>
            </w14:solidFill>
          </w14:textFill>
        </w:rPr>
        <w:t>1、除不可抗力原因外，乙方没有按照合同规定的时间提供服务的，</w:t>
      </w:r>
      <w:r>
        <w:rPr>
          <w:color w:val="000000" w:themeColor="text1"/>
          <w:spacing w:val="-51"/>
          <w:sz w:val="20"/>
          <w:szCs w:val="20"/>
          <w:highlight w:val="none"/>
          <w14:textFill>
            <w14:solidFill>
              <w14:schemeClr w14:val="tx1"/>
            </w14:solidFill>
          </w14:textFill>
        </w:rPr>
        <w:t xml:space="preserve"> </w:t>
      </w:r>
      <w:r>
        <w:rPr>
          <w:color w:val="000000" w:themeColor="text1"/>
          <w:spacing w:val="8"/>
          <w:sz w:val="20"/>
          <w:szCs w:val="20"/>
          <w:highlight w:val="none"/>
          <w14:textFill>
            <w14:solidFill>
              <w14:schemeClr w14:val="tx1"/>
            </w14:solidFill>
          </w14:textFill>
        </w:rPr>
        <w:t>甲方可要求乙方支付违约金。每推迟一天按合同金额的 5‰支付违约金，该违约金累计不超过合同金额的</w:t>
      </w:r>
      <w:r>
        <w:rPr>
          <w:color w:val="000000" w:themeColor="text1"/>
          <w:spacing w:val="39"/>
          <w:sz w:val="20"/>
          <w:szCs w:val="20"/>
          <w:highlight w:val="none"/>
          <w14:textFill>
            <w14:solidFill>
              <w14:schemeClr w14:val="tx1"/>
            </w14:solidFill>
          </w14:textFill>
        </w:rPr>
        <w:t xml:space="preserve"> </w:t>
      </w:r>
      <w:r>
        <w:rPr>
          <w:color w:val="000000" w:themeColor="text1"/>
          <w:spacing w:val="8"/>
          <w:sz w:val="20"/>
          <w:szCs w:val="20"/>
          <w:highlight w:val="none"/>
          <w14:textFill>
            <w14:solidFill>
              <w14:schemeClr w14:val="tx1"/>
            </w14:solidFill>
          </w14:textFill>
        </w:rPr>
        <w:t>10%。</w:t>
      </w:r>
    </w:p>
    <w:p w14:paraId="39A044B8">
      <w:pPr>
        <w:pStyle w:val="17"/>
        <w:spacing w:line="440" w:lineRule="exact"/>
        <w:ind w:left="1" w:firstLine="420"/>
        <w:jc w:val="left"/>
        <w:rPr>
          <w:color w:val="000000" w:themeColor="text1"/>
          <w:sz w:val="20"/>
          <w:szCs w:val="20"/>
          <w:highlight w:val="none"/>
          <w14:textFill>
            <w14:solidFill>
              <w14:schemeClr w14:val="tx1"/>
            </w14:solidFill>
          </w14:textFill>
        </w:rPr>
      </w:pPr>
      <w:r>
        <w:rPr>
          <w:color w:val="000000" w:themeColor="text1"/>
          <w:spacing w:val="10"/>
          <w:sz w:val="20"/>
          <w:szCs w:val="20"/>
          <w:highlight w:val="none"/>
          <w14:textFill>
            <w14:solidFill>
              <w14:schemeClr w14:val="tx1"/>
            </w14:solidFill>
          </w14:textFill>
        </w:rPr>
        <w:t>2、乙方提供的服务如侵犯了第三方合法权益而引</w:t>
      </w:r>
      <w:r>
        <w:rPr>
          <w:color w:val="000000" w:themeColor="text1"/>
          <w:spacing w:val="9"/>
          <w:sz w:val="20"/>
          <w:szCs w:val="20"/>
          <w:highlight w:val="none"/>
          <w14:textFill>
            <w14:solidFill>
              <w14:schemeClr w14:val="tx1"/>
            </w14:solidFill>
          </w14:textFill>
        </w:rPr>
        <w:t>发的任何纠纷或者诉讼，均由乙方负责交</w:t>
      </w:r>
      <w:r>
        <w:rPr>
          <w:color w:val="000000" w:themeColor="text1"/>
          <w:spacing w:val="7"/>
          <w:sz w:val="20"/>
          <w:szCs w:val="20"/>
          <w:highlight w:val="none"/>
          <w14:textFill>
            <w14:solidFill>
              <w14:schemeClr w14:val="tx1"/>
            </w14:solidFill>
          </w14:textFill>
        </w:rPr>
        <w:t>涉并承担全部责任。</w:t>
      </w:r>
    </w:p>
    <w:p w14:paraId="56895529">
      <w:pPr>
        <w:pStyle w:val="17"/>
        <w:spacing w:line="440" w:lineRule="exact"/>
        <w:ind w:left="420"/>
        <w:jc w:val="left"/>
        <w:rPr>
          <w:color w:val="000000" w:themeColor="text1"/>
          <w:sz w:val="20"/>
          <w:szCs w:val="20"/>
          <w:highlight w:val="none"/>
          <w14:textFill>
            <w14:solidFill>
              <w14:schemeClr w14:val="tx1"/>
            </w14:solidFill>
          </w14:textFill>
        </w:rPr>
      </w:pPr>
      <w:r>
        <w:rPr>
          <w:b/>
          <w:bCs/>
          <w:color w:val="000000" w:themeColor="text1"/>
          <w:spacing w:val="7"/>
          <w:sz w:val="20"/>
          <w:szCs w:val="20"/>
          <w:highlight w:val="none"/>
          <w14:textFill>
            <w14:solidFill>
              <w14:schemeClr w14:val="tx1"/>
            </w14:solidFill>
          </w14:textFill>
        </w:rPr>
        <w:t>第十条</w:t>
      </w:r>
      <w:r>
        <w:rPr>
          <w:color w:val="000000" w:themeColor="text1"/>
          <w:spacing w:val="7"/>
          <w:sz w:val="20"/>
          <w:szCs w:val="20"/>
          <w:highlight w:val="none"/>
          <w14:textFill>
            <w14:solidFill>
              <w14:schemeClr w14:val="tx1"/>
            </w14:solidFill>
          </w14:textFill>
        </w:rPr>
        <w:t xml:space="preserve"> </w:t>
      </w:r>
      <w:r>
        <w:rPr>
          <w:b/>
          <w:bCs/>
          <w:color w:val="000000" w:themeColor="text1"/>
          <w:spacing w:val="7"/>
          <w:sz w:val="20"/>
          <w:szCs w:val="20"/>
          <w:highlight w:val="none"/>
          <w14:textFill>
            <w14:solidFill>
              <w14:schemeClr w14:val="tx1"/>
            </w14:solidFill>
          </w14:textFill>
        </w:rPr>
        <w:t>不可抗力事件处理</w:t>
      </w:r>
    </w:p>
    <w:p w14:paraId="5934590F">
      <w:pPr>
        <w:pStyle w:val="17"/>
        <w:spacing w:line="440" w:lineRule="exact"/>
        <w:ind w:right="51" w:firstLine="434"/>
        <w:jc w:val="left"/>
        <w:rPr>
          <w:color w:val="000000" w:themeColor="text1"/>
          <w:sz w:val="20"/>
          <w:szCs w:val="20"/>
          <w:highlight w:val="none"/>
          <w14:textFill>
            <w14:solidFill>
              <w14:schemeClr w14:val="tx1"/>
            </w14:solidFill>
          </w14:textFill>
        </w:rPr>
      </w:pPr>
      <w:r>
        <w:rPr>
          <w:color w:val="000000" w:themeColor="text1"/>
          <w:spacing w:val="8"/>
          <w:sz w:val="20"/>
          <w:szCs w:val="20"/>
          <w:highlight w:val="none"/>
          <w14:textFill>
            <w14:solidFill>
              <w14:schemeClr w14:val="tx1"/>
            </w14:solidFill>
          </w14:textFill>
        </w:rPr>
        <w:t>1、在合同有效期内，任何一方因不可抗力事件导致不能履行合同，则合同履行期可延</w:t>
      </w:r>
      <w:r>
        <w:rPr>
          <w:color w:val="000000" w:themeColor="text1"/>
          <w:spacing w:val="7"/>
          <w:sz w:val="20"/>
          <w:szCs w:val="20"/>
          <w:highlight w:val="none"/>
          <w14:textFill>
            <w14:solidFill>
              <w14:schemeClr w14:val="tx1"/>
            </w14:solidFill>
          </w14:textFill>
        </w:rPr>
        <w:t>长，</w:t>
      </w:r>
      <w:r>
        <w:rPr>
          <w:color w:val="000000" w:themeColor="text1"/>
          <w:spacing w:val="8"/>
          <w:sz w:val="20"/>
          <w:szCs w:val="20"/>
          <w:highlight w:val="none"/>
          <w14:textFill>
            <w14:solidFill>
              <w14:schemeClr w14:val="tx1"/>
            </w14:solidFill>
          </w14:textFill>
        </w:rPr>
        <w:t>其延长期与不可抗力影响期相同。</w:t>
      </w:r>
    </w:p>
    <w:p w14:paraId="61E8472F">
      <w:pPr>
        <w:pStyle w:val="17"/>
        <w:spacing w:line="440" w:lineRule="exact"/>
        <w:ind w:left="422"/>
        <w:jc w:val="left"/>
        <w:rPr>
          <w:color w:val="000000" w:themeColor="text1"/>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2、不可抗力事件发生后，应立即通知对方，并寄送有关权威机构出具的证明。</w:t>
      </w:r>
    </w:p>
    <w:p w14:paraId="1848B1CE">
      <w:pPr>
        <w:pStyle w:val="17"/>
        <w:spacing w:line="440" w:lineRule="exact"/>
        <w:ind w:left="424"/>
        <w:jc w:val="left"/>
        <w:rPr>
          <w:color w:val="000000" w:themeColor="text1"/>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3、不可抗力事件延续一百二十天以上，双方应通过友好协商，确定是否继续履行合同。</w:t>
      </w:r>
    </w:p>
    <w:p w14:paraId="0D9D4C31">
      <w:pPr>
        <w:pStyle w:val="17"/>
        <w:spacing w:line="440" w:lineRule="exact"/>
        <w:ind w:left="420"/>
        <w:jc w:val="left"/>
        <w:rPr>
          <w:color w:val="000000" w:themeColor="text1"/>
          <w:sz w:val="20"/>
          <w:szCs w:val="20"/>
          <w:highlight w:val="none"/>
          <w14:textFill>
            <w14:solidFill>
              <w14:schemeClr w14:val="tx1"/>
            </w14:solidFill>
          </w14:textFill>
        </w:rPr>
      </w:pPr>
      <w:r>
        <w:rPr>
          <w:b/>
          <w:bCs/>
          <w:color w:val="000000" w:themeColor="text1"/>
          <w:spacing w:val="7"/>
          <w:sz w:val="20"/>
          <w:szCs w:val="20"/>
          <w:highlight w:val="none"/>
          <w14:textFill>
            <w14:solidFill>
              <w14:schemeClr w14:val="tx1"/>
            </w14:solidFill>
          </w14:textFill>
        </w:rPr>
        <w:t>第十一条</w:t>
      </w:r>
      <w:r>
        <w:rPr>
          <w:color w:val="000000" w:themeColor="text1"/>
          <w:spacing w:val="7"/>
          <w:sz w:val="20"/>
          <w:szCs w:val="20"/>
          <w:highlight w:val="none"/>
          <w14:textFill>
            <w14:solidFill>
              <w14:schemeClr w14:val="tx1"/>
            </w14:solidFill>
          </w14:textFill>
        </w:rPr>
        <w:t xml:space="preserve"> </w:t>
      </w:r>
      <w:r>
        <w:rPr>
          <w:b/>
          <w:bCs/>
          <w:color w:val="000000" w:themeColor="text1"/>
          <w:spacing w:val="7"/>
          <w:sz w:val="20"/>
          <w:szCs w:val="20"/>
          <w:highlight w:val="none"/>
          <w14:textFill>
            <w14:solidFill>
              <w14:schemeClr w14:val="tx1"/>
            </w14:solidFill>
          </w14:textFill>
        </w:rPr>
        <w:t>合同争议解决</w:t>
      </w:r>
    </w:p>
    <w:p w14:paraId="34ED8D93">
      <w:pPr>
        <w:pStyle w:val="17"/>
        <w:spacing w:line="440" w:lineRule="exact"/>
        <w:ind w:left="17" w:firstLine="418"/>
        <w:jc w:val="left"/>
        <w:rPr>
          <w:color w:val="000000" w:themeColor="text1"/>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1、因服务质量问题发生争议的，应邀请国家认可的质量检测机构进行鉴定。服务符合标准的，鉴定费由甲方承担；服务不符合标准的</w:t>
      </w:r>
      <w:r>
        <w:rPr>
          <w:color w:val="000000" w:themeColor="text1"/>
          <w:spacing w:val="8"/>
          <w:sz w:val="20"/>
          <w:szCs w:val="20"/>
          <w:highlight w:val="none"/>
          <w14:textFill>
            <w14:solidFill>
              <w14:schemeClr w14:val="tx1"/>
            </w14:solidFill>
          </w14:textFill>
        </w:rPr>
        <w:t>，鉴定费由乙方承担。</w:t>
      </w:r>
    </w:p>
    <w:p w14:paraId="3C189A05">
      <w:pPr>
        <w:pStyle w:val="17"/>
        <w:spacing w:line="440" w:lineRule="exact"/>
        <w:ind w:left="4" w:firstLine="418"/>
        <w:jc w:val="left"/>
        <w:rPr>
          <w:color w:val="000000" w:themeColor="text1"/>
          <w:sz w:val="20"/>
          <w:szCs w:val="20"/>
          <w:highlight w:val="none"/>
          <w14:textFill>
            <w14:solidFill>
              <w14:schemeClr w14:val="tx1"/>
            </w14:solidFill>
          </w14:textFill>
        </w:rPr>
      </w:pPr>
      <w:r>
        <w:rPr>
          <w:color w:val="000000" w:themeColor="text1"/>
          <w:spacing w:val="8"/>
          <w:sz w:val="20"/>
          <w:szCs w:val="20"/>
          <w:highlight w:val="none"/>
          <w14:textFill>
            <w14:solidFill>
              <w14:schemeClr w14:val="tx1"/>
            </w14:solidFill>
          </w14:textFill>
        </w:rPr>
        <w:t>2、因履行本合同引起的或者与本合同有关的争议，</w:t>
      </w:r>
      <w:r>
        <w:rPr>
          <w:color w:val="000000" w:themeColor="text1"/>
          <w:spacing w:val="-38"/>
          <w:sz w:val="20"/>
          <w:szCs w:val="20"/>
          <w:highlight w:val="none"/>
          <w14:textFill>
            <w14:solidFill>
              <w14:schemeClr w14:val="tx1"/>
            </w14:solidFill>
          </w14:textFill>
        </w:rPr>
        <w:t xml:space="preserve"> </w:t>
      </w:r>
      <w:r>
        <w:rPr>
          <w:color w:val="000000" w:themeColor="text1"/>
          <w:spacing w:val="8"/>
          <w:sz w:val="20"/>
          <w:szCs w:val="20"/>
          <w:highlight w:val="none"/>
          <w14:textFill>
            <w14:solidFill>
              <w14:schemeClr w14:val="tx1"/>
            </w14:solidFill>
          </w14:textFill>
        </w:rPr>
        <w:t>甲乙双方应首先通过友好协商解决，如</w:t>
      </w:r>
      <w:r>
        <w:rPr>
          <w:color w:val="000000" w:themeColor="text1"/>
          <w:spacing w:val="9"/>
          <w:sz w:val="20"/>
          <w:szCs w:val="20"/>
          <w:highlight w:val="none"/>
          <w14:textFill>
            <w14:solidFill>
              <w14:schemeClr w14:val="tx1"/>
            </w14:solidFill>
          </w14:textFill>
        </w:rPr>
        <w:t>果协商不能解决，可向甲方所在地有管辖权的人民法院提起诉讼。</w:t>
      </w:r>
    </w:p>
    <w:p w14:paraId="04B5A5F1">
      <w:pPr>
        <w:pStyle w:val="17"/>
        <w:spacing w:line="440" w:lineRule="exact"/>
        <w:ind w:left="424"/>
        <w:jc w:val="left"/>
        <w:rPr>
          <w:color w:val="000000" w:themeColor="text1"/>
          <w:sz w:val="20"/>
          <w:szCs w:val="20"/>
          <w:highlight w:val="none"/>
          <w14:textFill>
            <w14:solidFill>
              <w14:schemeClr w14:val="tx1"/>
            </w14:solidFill>
          </w14:textFill>
        </w:rPr>
      </w:pPr>
      <w:r>
        <w:rPr>
          <w:color w:val="000000" w:themeColor="text1"/>
          <w:spacing w:val="8"/>
          <w:sz w:val="20"/>
          <w:szCs w:val="20"/>
          <w:highlight w:val="none"/>
          <w14:textFill>
            <w14:solidFill>
              <w14:schemeClr w14:val="tx1"/>
            </w14:solidFill>
          </w14:textFill>
        </w:rPr>
        <w:t>3、诉讼期间，本合同继续履行。</w:t>
      </w:r>
    </w:p>
    <w:p w14:paraId="75AC13ED">
      <w:pPr>
        <w:pStyle w:val="17"/>
        <w:spacing w:line="440" w:lineRule="exact"/>
        <w:ind w:left="420"/>
        <w:jc w:val="left"/>
        <w:rPr>
          <w:color w:val="000000" w:themeColor="text1"/>
          <w:sz w:val="20"/>
          <w:szCs w:val="20"/>
          <w:highlight w:val="none"/>
          <w14:textFill>
            <w14:solidFill>
              <w14:schemeClr w14:val="tx1"/>
            </w14:solidFill>
          </w14:textFill>
        </w:rPr>
      </w:pPr>
      <w:r>
        <w:rPr>
          <w:b/>
          <w:bCs/>
          <w:color w:val="000000" w:themeColor="text1"/>
          <w:spacing w:val="7"/>
          <w:sz w:val="20"/>
          <w:szCs w:val="20"/>
          <w:highlight w:val="none"/>
          <w14:textFill>
            <w14:solidFill>
              <w14:schemeClr w14:val="tx1"/>
            </w14:solidFill>
          </w14:textFill>
        </w:rPr>
        <w:t>第十二条</w:t>
      </w:r>
      <w:r>
        <w:rPr>
          <w:color w:val="000000" w:themeColor="text1"/>
          <w:spacing w:val="7"/>
          <w:sz w:val="20"/>
          <w:szCs w:val="20"/>
          <w:highlight w:val="none"/>
          <w14:textFill>
            <w14:solidFill>
              <w14:schemeClr w14:val="tx1"/>
            </w14:solidFill>
          </w14:textFill>
        </w:rPr>
        <w:t xml:space="preserve"> </w:t>
      </w:r>
      <w:r>
        <w:rPr>
          <w:b/>
          <w:bCs/>
          <w:color w:val="000000" w:themeColor="text1"/>
          <w:spacing w:val="7"/>
          <w:sz w:val="20"/>
          <w:szCs w:val="20"/>
          <w:highlight w:val="none"/>
          <w14:textFill>
            <w14:solidFill>
              <w14:schemeClr w14:val="tx1"/>
            </w14:solidFill>
          </w14:textFill>
        </w:rPr>
        <w:t>合同生效及其它</w:t>
      </w:r>
    </w:p>
    <w:p w14:paraId="5CFAC7F4">
      <w:pPr>
        <w:pStyle w:val="17"/>
        <w:spacing w:line="440" w:lineRule="exact"/>
        <w:ind w:left="1" w:firstLine="433"/>
        <w:jc w:val="left"/>
        <w:rPr>
          <w:color w:val="000000" w:themeColor="text1"/>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1、合同经双方法定代表人或者授权代表签字并加盖单位公章后生效（委托代理人签字的需</w:t>
      </w:r>
      <w:r>
        <w:rPr>
          <w:color w:val="000000" w:themeColor="text1"/>
          <w:spacing w:val="7"/>
          <w:sz w:val="20"/>
          <w:szCs w:val="20"/>
          <w:highlight w:val="none"/>
          <w14:textFill>
            <w14:solidFill>
              <w14:schemeClr w14:val="tx1"/>
            </w14:solidFill>
          </w14:textFill>
        </w:rPr>
        <w:t>后附授权委托书，格式自拟）。</w:t>
      </w:r>
    </w:p>
    <w:p w14:paraId="6D8DB684">
      <w:pPr>
        <w:pStyle w:val="17"/>
        <w:spacing w:line="440" w:lineRule="exact"/>
        <w:ind w:left="2" w:firstLine="420"/>
        <w:jc w:val="left"/>
        <w:rPr>
          <w:color w:val="000000" w:themeColor="text1"/>
          <w:sz w:val="20"/>
          <w:szCs w:val="20"/>
          <w:highlight w:val="none"/>
          <w14:textFill>
            <w14:solidFill>
              <w14:schemeClr w14:val="tx1"/>
            </w14:solidFill>
          </w14:textFill>
        </w:rPr>
      </w:pPr>
      <w:r>
        <w:rPr>
          <w:color w:val="000000" w:themeColor="text1"/>
          <w:spacing w:val="10"/>
          <w:sz w:val="20"/>
          <w:szCs w:val="20"/>
          <w:highlight w:val="none"/>
          <w14:textFill>
            <w14:solidFill>
              <w14:schemeClr w14:val="tx1"/>
            </w14:solidFill>
          </w14:textFill>
        </w:rPr>
        <w:t>2、合同执行中涉及采购资金和采购内容修改或者</w:t>
      </w:r>
      <w:r>
        <w:rPr>
          <w:color w:val="000000" w:themeColor="text1"/>
          <w:spacing w:val="9"/>
          <w:sz w:val="20"/>
          <w:szCs w:val="20"/>
          <w:highlight w:val="none"/>
          <w14:textFill>
            <w14:solidFill>
              <w14:schemeClr w14:val="tx1"/>
            </w14:solidFill>
          </w14:textFill>
        </w:rPr>
        <w:t>补充的，须经财政部门审批，并签书面补充协议报财政部门备案，方可作为主合同不可分割的一部分。</w:t>
      </w:r>
    </w:p>
    <w:p w14:paraId="4B7EBED6">
      <w:pPr>
        <w:pStyle w:val="17"/>
        <w:spacing w:line="440" w:lineRule="exact"/>
        <w:ind w:left="424"/>
        <w:jc w:val="left"/>
        <w:rPr>
          <w:color w:val="000000" w:themeColor="text1"/>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3、本合同未尽事宜，遵照《中华人民共和国民法典》有关条文执行。</w:t>
      </w:r>
    </w:p>
    <w:p w14:paraId="5FBBA2B1">
      <w:pPr>
        <w:pStyle w:val="17"/>
        <w:spacing w:line="440" w:lineRule="exact"/>
        <w:ind w:left="420"/>
        <w:jc w:val="left"/>
        <w:rPr>
          <w:color w:val="000000" w:themeColor="text1"/>
          <w:sz w:val="20"/>
          <w:szCs w:val="20"/>
          <w:highlight w:val="none"/>
          <w14:textFill>
            <w14:solidFill>
              <w14:schemeClr w14:val="tx1"/>
            </w14:solidFill>
          </w14:textFill>
        </w:rPr>
      </w:pPr>
      <w:r>
        <w:rPr>
          <w:b/>
          <w:bCs/>
          <w:color w:val="000000" w:themeColor="text1"/>
          <w:spacing w:val="7"/>
          <w:sz w:val="20"/>
          <w:szCs w:val="20"/>
          <w:highlight w:val="none"/>
          <w14:textFill>
            <w14:solidFill>
              <w14:schemeClr w14:val="tx1"/>
            </w14:solidFill>
          </w14:textFill>
        </w:rPr>
        <w:t>第十三条</w:t>
      </w:r>
      <w:r>
        <w:rPr>
          <w:color w:val="000000" w:themeColor="text1"/>
          <w:spacing w:val="7"/>
          <w:sz w:val="20"/>
          <w:szCs w:val="20"/>
          <w:highlight w:val="none"/>
          <w14:textFill>
            <w14:solidFill>
              <w14:schemeClr w14:val="tx1"/>
            </w14:solidFill>
          </w14:textFill>
        </w:rPr>
        <w:t xml:space="preserve"> </w:t>
      </w:r>
      <w:r>
        <w:rPr>
          <w:b/>
          <w:bCs/>
          <w:color w:val="000000" w:themeColor="text1"/>
          <w:spacing w:val="7"/>
          <w:sz w:val="20"/>
          <w:szCs w:val="20"/>
          <w:highlight w:val="none"/>
          <w14:textFill>
            <w14:solidFill>
              <w14:schemeClr w14:val="tx1"/>
            </w14:solidFill>
          </w14:textFill>
        </w:rPr>
        <w:t>合同的变更、终止与转让</w:t>
      </w:r>
    </w:p>
    <w:p w14:paraId="2A9A9B7F">
      <w:pPr>
        <w:pStyle w:val="17"/>
        <w:spacing w:line="440" w:lineRule="exact"/>
        <w:ind w:left="3" w:firstLine="432"/>
        <w:jc w:val="left"/>
        <w:rPr>
          <w:color w:val="000000" w:themeColor="text1"/>
          <w:sz w:val="20"/>
          <w:szCs w:val="20"/>
          <w:highlight w:val="none"/>
          <w14:textFill>
            <w14:solidFill>
              <w14:schemeClr w14:val="tx1"/>
            </w14:solidFill>
          </w14:textFill>
        </w:rPr>
      </w:pPr>
      <w:r>
        <w:rPr>
          <w:color w:val="000000" w:themeColor="text1"/>
          <w:spacing w:val="8"/>
          <w:sz w:val="20"/>
          <w:szCs w:val="20"/>
          <w:highlight w:val="none"/>
          <w14:textFill>
            <w14:solidFill>
              <w14:schemeClr w14:val="tx1"/>
            </w14:solidFill>
          </w14:textFill>
        </w:rPr>
        <w:t>1、除《中华人民共和国政府采购法》第五十条规定的情形外，本合同一经签订，</w:t>
      </w:r>
      <w:r>
        <w:rPr>
          <w:color w:val="000000" w:themeColor="text1"/>
          <w:spacing w:val="-51"/>
          <w:sz w:val="20"/>
          <w:szCs w:val="20"/>
          <w:highlight w:val="none"/>
          <w14:textFill>
            <w14:solidFill>
              <w14:schemeClr w14:val="tx1"/>
            </w14:solidFill>
          </w14:textFill>
        </w:rPr>
        <w:t xml:space="preserve"> </w:t>
      </w:r>
      <w:r>
        <w:rPr>
          <w:color w:val="000000" w:themeColor="text1"/>
          <w:spacing w:val="8"/>
          <w:sz w:val="20"/>
          <w:szCs w:val="20"/>
          <w:highlight w:val="none"/>
          <w14:textFill>
            <w14:solidFill>
              <w14:schemeClr w14:val="tx1"/>
            </w14:solidFill>
          </w14:textFill>
        </w:rPr>
        <w:t>甲乙双方不得擅自变更、中止或者终止。</w:t>
      </w:r>
    </w:p>
    <w:p w14:paraId="6D960B0C">
      <w:pPr>
        <w:pStyle w:val="17"/>
        <w:spacing w:line="440" w:lineRule="exact"/>
        <w:ind w:left="714"/>
        <w:jc w:val="left"/>
        <w:rPr>
          <w:color w:val="000000" w:themeColor="text1"/>
          <w:sz w:val="20"/>
          <w:szCs w:val="20"/>
          <w:highlight w:val="none"/>
          <w14:textFill>
            <w14:solidFill>
              <w14:schemeClr w14:val="tx1"/>
            </w14:solidFill>
          </w14:textFill>
        </w:rPr>
      </w:pPr>
      <w:r>
        <w:rPr>
          <w:color w:val="000000" w:themeColor="text1"/>
          <w:spacing w:val="8"/>
          <w:sz w:val="20"/>
          <w:szCs w:val="20"/>
          <w:highlight w:val="none"/>
          <w14:textFill>
            <w14:solidFill>
              <w14:schemeClr w14:val="tx1"/>
            </w14:solidFill>
          </w14:textFill>
        </w:rPr>
        <w:t>2、乙方不得擅自转让其应履行的合同义务。</w:t>
      </w:r>
    </w:p>
    <w:p w14:paraId="1AEA2310">
      <w:pPr>
        <w:pStyle w:val="17"/>
        <w:spacing w:line="440" w:lineRule="exact"/>
        <w:ind w:left="711"/>
        <w:jc w:val="left"/>
        <w:rPr>
          <w:color w:val="000000" w:themeColor="text1"/>
          <w:sz w:val="20"/>
          <w:szCs w:val="20"/>
          <w:highlight w:val="none"/>
          <w14:textFill>
            <w14:solidFill>
              <w14:schemeClr w14:val="tx1"/>
            </w14:solidFill>
          </w14:textFill>
        </w:rPr>
      </w:pPr>
      <w:r>
        <w:rPr>
          <w:b/>
          <w:bCs/>
          <w:color w:val="000000" w:themeColor="text1"/>
          <w:spacing w:val="7"/>
          <w:sz w:val="20"/>
          <w:szCs w:val="20"/>
          <w:highlight w:val="none"/>
          <w14:textFill>
            <w14:solidFill>
              <w14:schemeClr w14:val="tx1"/>
            </w14:solidFill>
          </w14:textFill>
        </w:rPr>
        <w:t>第十四条</w:t>
      </w:r>
      <w:r>
        <w:rPr>
          <w:color w:val="000000" w:themeColor="text1"/>
          <w:spacing w:val="7"/>
          <w:sz w:val="20"/>
          <w:szCs w:val="20"/>
          <w:highlight w:val="none"/>
          <w14:textFill>
            <w14:solidFill>
              <w14:schemeClr w14:val="tx1"/>
            </w14:solidFill>
          </w14:textFill>
        </w:rPr>
        <w:t xml:space="preserve"> </w:t>
      </w:r>
      <w:r>
        <w:rPr>
          <w:b/>
          <w:bCs/>
          <w:color w:val="000000" w:themeColor="text1"/>
          <w:spacing w:val="7"/>
          <w:sz w:val="20"/>
          <w:szCs w:val="20"/>
          <w:highlight w:val="none"/>
          <w14:textFill>
            <w14:solidFill>
              <w14:schemeClr w14:val="tx1"/>
            </w14:solidFill>
          </w14:textFill>
        </w:rPr>
        <w:t>签订本合同依据</w:t>
      </w:r>
    </w:p>
    <w:p w14:paraId="345EEC02">
      <w:pPr>
        <w:pStyle w:val="17"/>
        <w:spacing w:line="440" w:lineRule="exact"/>
        <w:ind w:left="727"/>
        <w:jc w:val="left"/>
        <w:rPr>
          <w:color w:val="000000" w:themeColor="text1"/>
          <w:sz w:val="20"/>
          <w:szCs w:val="20"/>
          <w:highlight w:val="none"/>
          <w14:textFill>
            <w14:solidFill>
              <w14:schemeClr w14:val="tx1"/>
            </w14:solidFill>
          </w14:textFill>
        </w:rPr>
      </w:pPr>
      <w:r>
        <w:rPr>
          <w:color w:val="000000" w:themeColor="text1"/>
          <w:spacing w:val="4"/>
          <w:sz w:val="20"/>
          <w:szCs w:val="20"/>
          <w:highlight w:val="none"/>
          <w14:textFill>
            <w14:solidFill>
              <w14:schemeClr w14:val="tx1"/>
            </w14:solidFill>
          </w14:textFill>
        </w:rPr>
        <w:t>1、成交通知书；</w:t>
      </w:r>
    </w:p>
    <w:p w14:paraId="19936D9F">
      <w:pPr>
        <w:pStyle w:val="17"/>
        <w:spacing w:line="440" w:lineRule="exact"/>
        <w:ind w:left="714"/>
        <w:jc w:val="left"/>
        <w:rPr>
          <w:color w:val="000000" w:themeColor="text1"/>
          <w:sz w:val="20"/>
          <w:szCs w:val="20"/>
          <w:highlight w:val="none"/>
          <w14:textFill>
            <w14:solidFill>
              <w14:schemeClr w14:val="tx1"/>
            </w14:solidFill>
          </w14:textFill>
        </w:rPr>
      </w:pPr>
      <w:r>
        <w:rPr>
          <w:color w:val="000000" w:themeColor="text1"/>
          <w:spacing w:val="6"/>
          <w:sz w:val="20"/>
          <w:szCs w:val="20"/>
          <w:highlight w:val="none"/>
          <w14:textFill>
            <w14:solidFill>
              <w14:schemeClr w14:val="tx1"/>
            </w14:solidFill>
          </w14:textFill>
        </w:rPr>
        <w:t>2、竞标报价表；</w:t>
      </w:r>
    </w:p>
    <w:p w14:paraId="3B599869">
      <w:pPr>
        <w:pStyle w:val="17"/>
        <w:spacing w:line="440" w:lineRule="exact"/>
        <w:ind w:left="716"/>
        <w:jc w:val="left"/>
        <w:rPr>
          <w:color w:val="000000" w:themeColor="text1"/>
          <w:sz w:val="20"/>
          <w:szCs w:val="20"/>
          <w:highlight w:val="none"/>
          <w14:textFill>
            <w14:solidFill>
              <w14:schemeClr w14:val="tx1"/>
            </w14:solidFill>
          </w14:textFill>
        </w:rPr>
      </w:pPr>
      <w:r>
        <w:rPr>
          <w:color w:val="000000" w:themeColor="text1"/>
          <w:spacing w:val="8"/>
          <w:sz w:val="20"/>
          <w:szCs w:val="20"/>
          <w:highlight w:val="none"/>
          <w14:textFill>
            <w14:solidFill>
              <w14:schemeClr w14:val="tx1"/>
            </w14:solidFill>
          </w14:textFill>
        </w:rPr>
        <w:t>3、商务要求偏离表和技术要求偏离表；</w:t>
      </w:r>
    </w:p>
    <w:p w14:paraId="028EA9D4">
      <w:pPr>
        <w:pStyle w:val="17"/>
        <w:spacing w:line="440" w:lineRule="exact"/>
        <w:ind w:left="711"/>
        <w:jc w:val="left"/>
        <w:rPr>
          <w:color w:val="000000" w:themeColor="text1"/>
          <w:sz w:val="20"/>
          <w:szCs w:val="20"/>
          <w:highlight w:val="none"/>
          <w14:textFill>
            <w14:solidFill>
              <w14:schemeClr w14:val="tx1"/>
            </w14:solidFill>
          </w14:textFill>
        </w:rPr>
      </w:pPr>
      <w:r>
        <w:rPr>
          <w:color w:val="000000" w:themeColor="text1"/>
          <w:spacing w:val="6"/>
          <w:sz w:val="20"/>
          <w:szCs w:val="20"/>
          <w:highlight w:val="none"/>
          <w14:textFill>
            <w14:solidFill>
              <w14:schemeClr w14:val="tx1"/>
            </w14:solidFill>
          </w14:textFill>
        </w:rPr>
        <w:t>4、服务方案；</w:t>
      </w:r>
    </w:p>
    <w:p w14:paraId="4F10B12C">
      <w:pPr>
        <w:pStyle w:val="17"/>
        <w:spacing w:line="440" w:lineRule="exact"/>
        <w:ind w:left="716"/>
        <w:jc w:val="left"/>
        <w:rPr>
          <w:color w:val="000000" w:themeColor="text1"/>
          <w:sz w:val="20"/>
          <w:szCs w:val="20"/>
          <w:highlight w:val="none"/>
          <w14:textFill>
            <w14:solidFill>
              <w14:schemeClr w14:val="tx1"/>
            </w14:solidFill>
          </w14:textFill>
        </w:rPr>
      </w:pPr>
      <w:r>
        <w:rPr>
          <w:color w:val="000000" w:themeColor="text1"/>
          <w:spacing w:val="8"/>
          <w:sz w:val="20"/>
          <w:szCs w:val="20"/>
          <w:highlight w:val="none"/>
          <w14:textFill>
            <w14:solidFill>
              <w14:schemeClr w14:val="tx1"/>
            </w14:solidFill>
          </w14:textFill>
        </w:rPr>
        <w:t>5、响应文件中的其他相关文件。</w:t>
      </w:r>
    </w:p>
    <w:p w14:paraId="094A85D6">
      <w:pPr>
        <w:pStyle w:val="17"/>
        <w:spacing w:line="440" w:lineRule="exact"/>
        <w:ind w:left="291" w:right="357" w:firstLine="422"/>
        <w:jc w:val="left"/>
        <w:rPr>
          <w:color w:val="000000" w:themeColor="text1"/>
          <w:sz w:val="20"/>
          <w:szCs w:val="20"/>
          <w:highlight w:val="none"/>
          <w14:textFill>
            <w14:solidFill>
              <w14:schemeClr w14:val="tx1"/>
            </w14:solidFill>
          </w14:textFill>
        </w:rPr>
      </w:pPr>
      <w:r>
        <w:rPr>
          <w:color w:val="000000" w:themeColor="text1"/>
          <w:spacing w:val="10"/>
          <w:sz w:val="20"/>
          <w:szCs w:val="20"/>
          <w:highlight w:val="none"/>
          <w14:textFill>
            <w14:solidFill>
              <w14:schemeClr w14:val="tx1"/>
            </w14:solidFill>
          </w14:textFill>
        </w:rPr>
        <w:t>6、上述合同文件互相补充和解释。如果合同文件之</w:t>
      </w:r>
      <w:r>
        <w:rPr>
          <w:color w:val="000000" w:themeColor="text1"/>
          <w:spacing w:val="9"/>
          <w:sz w:val="20"/>
          <w:szCs w:val="20"/>
          <w:highlight w:val="none"/>
          <w14:textFill>
            <w14:solidFill>
              <w14:schemeClr w14:val="tx1"/>
            </w14:solidFill>
          </w14:textFill>
        </w:rPr>
        <w:t>间存在矛盾或者不一致之处，以上述文</w:t>
      </w:r>
      <w:r>
        <w:rPr>
          <w:color w:val="000000" w:themeColor="text1"/>
          <w:spacing w:val="8"/>
          <w:sz w:val="20"/>
          <w:szCs w:val="20"/>
          <w:highlight w:val="none"/>
          <w14:textFill>
            <w14:solidFill>
              <w14:schemeClr w14:val="tx1"/>
            </w14:solidFill>
          </w14:textFill>
        </w:rPr>
        <w:t>件的排列顺序在先者为准。</w:t>
      </w:r>
    </w:p>
    <w:p w14:paraId="2433D0B6">
      <w:pPr>
        <w:pStyle w:val="17"/>
        <w:spacing w:line="440" w:lineRule="exact"/>
        <w:ind w:left="294" w:right="355" w:firstLine="417"/>
        <w:jc w:val="left"/>
        <w:rPr>
          <w:color w:val="000000" w:themeColor="text1"/>
          <w:sz w:val="20"/>
          <w:szCs w:val="20"/>
          <w:highlight w:val="none"/>
          <w14:textFill>
            <w14:solidFill>
              <w14:schemeClr w14:val="tx1"/>
            </w14:solidFill>
          </w14:textFill>
        </w:rPr>
      </w:pPr>
      <w:r>
        <w:rPr>
          <w:b/>
          <w:bCs/>
          <w:color w:val="000000" w:themeColor="text1"/>
          <w:spacing w:val="10"/>
          <w:sz w:val="20"/>
          <w:szCs w:val="20"/>
          <w:highlight w:val="none"/>
          <w14:textFill>
            <w14:solidFill>
              <w14:schemeClr w14:val="tx1"/>
            </w14:solidFill>
          </w14:textFill>
        </w:rPr>
        <w:t>第十五条</w:t>
      </w:r>
      <w:r>
        <w:rPr>
          <w:color w:val="000000" w:themeColor="text1"/>
          <w:spacing w:val="10"/>
          <w:sz w:val="20"/>
          <w:szCs w:val="20"/>
          <w:highlight w:val="none"/>
          <w14:textFill>
            <w14:solidFill>
              <w14:schemeClr w14:val="tx1"/>
            </w14:solidFill>
          </w14:textFill>
        </w:rPr>
        <w:t xml:space="preserve"> 本合同一式四份，具有同等法律</w:t>
      </w:r>
      <w:r>
        <w:rPr>
          <w:color w:val="000000" w:themeColor="text1"/>
          <w:spacing w:val="9"/>
          <w:sz w:val="20"/>
          <w:szCs w:val="20"/>
          <w:highlight w:val="none"/>
          <w14:textFill>
            <w14:solidFill>
              <w14:schemeClr w14:val="tx1"/>
            </w14:solidFill>
          </w14:textFill>
        </w:rPr>
        <w:t>效力，财政部门（政府采购监管部门）、采购代</w:t>
      </w:r>
      <w:r>
        <w:rPr>
          <w:color w:val="000000" w:themeColor="text1"/>
          <w:spacing w:val="6"/>
          <w:sz w:val="20"/>
          <w:szCs w:val="20"/>
          <w:highlight w:val="none"/>
          <w14:textFill>
            <w14:solidFill>
              <w14:schemeClr w14:val="tx1"/>
            </w14:solidFill>
          </w14:textFill>
        </w:rPr>
        <w:t>理机构各一份，甲乙双方各一份（可根据需要另增加）。</w:t>
      </w:r>
    </w:p>
    <w:p w14:paraId="3E713838">
      <w:pPr>
        <w:pStyle w:val="17"/>
        <w:spacing w:line="440" w:lineRule="exact"/>
        <w:ind w:left="292" w:right="285" w:firstLine="420"/>
        <w:jc w:val="left"/>
        <w:rPr>
          <w:color w:val="000000" w:themeColor="text1"/>
          <w:sz w:val="20"/>
          <w:szCs w:val="20"/>
          <w:highlight w:val="none"/>
          <w14:textFill>
            <w14:solidFill>
              <w14:schemeClr w14:val="tx1"/>
            </w14:solidFill>
          </w14:textFill>
        </w:rPr>
      </w:pPr>
      <w:r>
        <w:rPr>
          <w:color w:val="000000" w:themeColor="text1"/>
          <w:spacing w:val="9"/>
          <w:sz w:val="20"/>
          <w:szCs w:val="20"/>
          <w:highlight w:val="none"/>
          <w14:textFill>
            <w14:solidFill>
              <w14:schemeClr w14:val="tx1"/>
            </w14:solidFill>
          </w14:textFill>
        </w:rPr>
        <w:t>本合同甲乙双方签字盖章后生效，自签订之日起七个工作日内，甲方应当将合同副</w:t>
      </w:r>
      <w:r>
        <w:rPr>
          <w:color w:val="000000" w:themeColor="text1"/>
          <w:spacing w:val="8"/>
          <w:sz w:val="20"/>
          <w:szCs w:val="20"/>
          <w:highlight w:val="none"/>
          <w14:textFill>
            <w14:solidFill>
              <w14:schemeClr w14:val="tx1"/>
            </w14:solidFill>
          </w14:textFill>
        </w:rPr>
        <w:t>本报同级</w:t>
      </w:r>
      <w:r>
        <w:rPr>
          <w:color w:val="000000" w:themeColor="text1"/>
          <w:spacing w:val="6"/>
          <w:sz w:val="20"/>
          <w:szCs w:val="20"/>
          <w:highlight w:val="none"/>
          <w14:textFill>
            <w14:solidFill>
              <w14:schemeClr w14:val="tx1"/>
            </w14:solidFill>
          </w14:textFill>
        </w:rPr>
        <w:t>财政部门备案。</w:t>
      </w:r>
    </w:p>
    <w:p w14:paraId="6FDC1F11">
      <w:pPr>
        <w:pStyle w:val="17"/>
        <w:spacing w:line="440" w:lineRule="exact"/>
        <w:ind w:left="291" w:right="357" w:firstLine="420"/>
        <w:jc w:val="left"/>
        <w:rPr>
          <w:color w:val="000000" w:themeColor="text1"/>
          <w:sz w:val="20"/>
          <w:szCs w:val="20"/>
          <w:highlight w:val="none"/>
          <w14:textFill>
            <w14:solidFill>
              <w14:schemeClr w14:val="tx1"/>
            </w14:solidFill>
          </w14:textFill>
        </w:rPr>
      </w:pPr>
      <w:r>
        <w:rPr>
          <w:color w:val="000000" w:themeColor="text1"/>
          <w:spacing w:val="8"/>
          <w:sz w:val="20"/>
          <w:szCs w:val="20"/>
          <w:highlight w:val="none"/>
          <w14:textFill>
            <w14:solidFill>
              <w14:schemeClr w14:val="tx1"/>
            </w14:solidFill>
          </w14:textFill>
        </w:rPr>
        <w:t>本合同自签订之日起 2 个工作日内，</w:t>
      </w:r>
      <w:r>
        <w:rPr>
          <w:color w:val="000000" w:themeColor="text1"/>
          <w:spacing w:val="-44"/>
          <w:sz w:val="20"/>
          <w:szCs w:val="20"/>
          <w:highlight w:val="none"/>
          <w14:textFill>
            <w14:solidFill>
              <w14:schemeClr w14:val="tx1"/>
            </w14:solidFill>
          </w14:textFill>
        </w:rPr>
        <w:t xml:space="preserve"> </w:t>
      </w:r>
      <w:r>
        <w:rPr>
          <w:color w:val="000000" w:themeColor="text1"/>
          <w:spacing w:val="8"/>
          <w:sz w:val="20"/>
          <w:szCs w:val="20"/>
          <w:highlight w:val="none"/>
          <w14:textFill>
            <w14:solidFill>
              <w14:schemeClr w14:val="tx1"/>
            </w14:solidFill>
          </w14:textFill>
        </w:rPr>
        <w:t>甲方应当将采购合同在广西壮族自治区财政厅指定的</w:t>
      </w:r>
      <w:r>
        <w:rPr>
          <w:color w:val="000000" w:themeColor="text1"/>
          <w:spacing w:val="6"/>
          <w:sz w:val="20"/>
          <w:szCs w:val="20"/>
          <w:highlight w:val="none"/>
          <w14:textFill>
            <w14:solidFill>
              <w14:schemeClr w14:val="tx1"/>
            </w14:solidFill>
          </w14:textFill>
        </w:rPr>
        <w:t>媒体上公告。</w:t>
      </w:r>
    </w:p>
    <w:tbl>
      <w:tblPr>
        <w:tblStyle w:val="175"/>
        <w:tblW w:w="93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72"/>
        <w:gridCol w:w="4678"/>
      </w:tblGrid>
      <w:tr w14:paraId="705212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0" w:hRule="atLeast"/>
        </w:trPr>
        <w:tc>
          <w:tcPr>
            <w:tcW w:w="4672" w:type="dxa"/>
          </w:tcPr>
          <w:p w14:paraId="207CFFEA">
            <w:pPr>
              <w:spacing w:line="267" w:lineRule="auto"/>
              <w:rPr>
                <w:rFonts w:ascii="Arial"/>
                <w:color w:val="000000" w:themeColor="text1"/>
                <w:sz w:val="21"/>
                <w:highlight w:val="none"/>
                <w14:textFill>
                  <w14:solidFill>
                    <w14:schemeClr w14:val="tx1"/>
                  </w14:solidFill>
                </w14:textFill>
              </w:rPr>
            </w:pPr>
          </w:p>
          <w:p w14:paraId="45CE4C33">
            <w:pPr>
              <w:spacing w:line="267" w:lineRule="auto"/>
              <w:rPr>
                <w:rFonts w:ascii="Arial"/>
                <w:color w:val="000000" w:themeColor="text1"/>
                <w:sz w:val="21"/>
                <w:highlight w:val="none"/>
                <w14:textFill>
                  <w14:solidFill>
                    <w14:schemeClr w14:val="tx1"/>
                  </w14:solidFill>
                </w14:textFill>
              </w:rPr>
            </w:pPr>
          </w:p>
          <w:p w14:paraId="259E0C50">
            <w:pPr>
              <w:pStyle w:val="176"/>
              <w:spacing w:before="65" w:line="227" w:lineRule="auto"/>
              <w:ind w:left="563"/>
              <w:rPr>
                <w:color w:val="000000" w:themeColor="text1"/>
                <w:sz w:val="20"/>
                <w:szCs w:val="20"/>
                <w:highlight w:val="none"/>
                <w14:textFill>
                  <w14:solidFill>
                    <w14:schemeClr w14:val="tx1"/>
                  </w14:solidFill>
                </w14:textFill>
              </w:rPr>
            </w:pPr>
            <w:r>
              <w:rPr>
                <w:color w:val="000000" w:themeColor="text1"/>
                <w:sz w:val="20"/>
                <w:szCs w:val="20"/>
                <w:highlight w:val="none"/>
                <w14:textFill>
                  <w14:solidFill>
                    <w14:schemeClr w14:val="tx1"/>
                  </w14:solidFill>
                </w14:textFill>
              </w:rPr>
              <w:t>甲方（章）</w:t>
            </w:r>
          </w:p>
          <w:p w14:paraId="1DB08D10">
            <w:pPr>
              <w:pStyle w:val="176"/>
              <w:spacing w:before="221" w:line="228" w:lineRule="auto"/>
              <w:ind w:left="851"/>
              <w:rPr>
                <w:color w:val="000000" w:themeColor="text1"/>
                <w:sz w:val="20"/>
                <w:szCs w:val="20"/>
                <w:highlight w:val="none"/>
                <w14:textFill>
                  <w14:solidFill>
                    <w14:schemeClr w14:val="tx1"/>
                  </w14:solidFill>
                </w14:textFill>
              </w:rPr>
            </w:pPr>
            <w:r>
              <w:rPr>
                <w:color w:val="000000" w:themeColor="text1"/>
                <w:spacing w:val="-2"/>
                <w:sz w:val="20"/>
                <w:szCs w:val="20"/>
                <w:highlight w:val="none"/>
                <w14:textFill>
                  <w14:solidFill>
                    <w14:schemeClr w14:val="tx1"/>
                  </w14:solidFill>
                </w14:textFill>
              </w:rPr>
              <w:t>年</w:t>
            </w:r>
            <w:r>
              <w:rPr>
                <w:color w:val="000000" w:themeColor="text1"/>
                <w:spacing w:val="10"/>
                <w:sz w:val="20"/>
                <w:szCs w:val="20"/>
                <w:highlight w:val="none"/>
                <w14:textFill>
                  <w14:solidFill>
                    <w14:schemeClr w14:val="tx1"/>
                  </w14:solidFill>
                </w14:textFill>
              </w:rPr>
              <w:t xml:space="preserve">   </w:t>
            </w:r>
            <w:r>
              <w:rPr>
                <w:color w:val="000000" w:themeColor="text1"/>
                <w:spacing w:val="-2"/>
                <w:sz w:val="20"/>
                <w:szCs w:val="20"/>
                <w:highlight w:val="none"/>
                <w14:textFill>
                  <w14:solidFill>
                    <w14:schemeClr w14:val="tx1"/>
                  </w14:solidFill>
                </w14:textFill>
              </w:rPr>
              <w:t>月</w:t>
            </w:r>
            <w:r>
              <w:rPr>
                <w:color w:val="000000" w:themeColor="text1"/>
                <w:spacing w:val="19"/>
                <w:sz w:val="20"/>
                <w:szCs w:val="20"/>
                <w:highlight w:val="none"/>
                <w14:textFill>
                  <w14:solidFill>
                    <w14:schemeClr w14:val="tx1"/>
                  </w14:solidFill>
                </w14:textFill>
              </w:rPr>
              <w:t xml:space="preserve">   </w:t>
            </w:r>
            <w:r>
              <w:rPr>
                <w:color w:val="000000" w:themeColor="text1"/>
                <w:spacing w:val="-2"/>
                <w:sz w:val="20"/>
                <w:szCs w:val="20"/>
                <w:highlight w:val="none"/>
                <w14:textFill>
                  <w14:solidFill>
                    <w14:schemeClr w14:val="tx1"/>
                  </w14:solidFill>
                </w14:textFill>
              </w:rPr>
              <w:t>日</w:t>
            </w:r>
          </w:p>
        </w:tc>
        <w:tc>
          <w:tcPr>
            <w:tcW w:w="4678" w:type="dxa"/>
          </w:tcPr>
          <w:p w14:paraId="7B445BAC">
            <w:pPr>
              <w:spacing w:line="267" w:lineRule="auto"/>
              <w:rPr>
                <w:rFonts w:ascii="Arial"/>
                <w:color w:val="000000" w:themeColor="text1"/>
                <w:sz w:val="21"/>
                <w:highlight w:val="none"/>
                <w14:textFill>
                  <w14:solidFill>
                    <w14:schemeClr w14:val="tx1"/>
                  </w14:solidFill>
                </w14:textFill>
              </w:rPr>
            </w:pPr>
          </w:p>
          <w:p w14:paraId="3F0EA4E4">
            <w:pPr>
              <w:spacing w:line="267" w:lineRule="auto"/>
              <w:rPr>
                <w:rFonts w:ascii="Arial"/>
                <w:color w:val="000000" w:themeColor="text1"/>
                <w:sz w:val="21"/>
                <w:highlight w:val="none"/>
                <w14:textFill>
                  <w14:solidFill>
                    <w14:schemeClr w14:val="tx1"/>
                  </w14:solidFill>
                </w14:textFill>
              </w:rPr>
            </w:pPr>
          </w:p>
          <w:p w14:paraId="2E0239D8">
            <w:pPr>
              <w:pStyle w:val="176"/>
              <w:spacing w:before="65" w:line="227" w:lineRule="auto"/>
              <w:ind w:left="555"/>
              <w:rPr>
                <w:color w:val="000000" w:themeColor="text1"/>
                <w:sz w:val="20"/>
                <w:szCs w:val="20"/>
                <w:highlight w:val="none"/>
                <w14:textFill>
                  <w14:solidFill>
                    <w14:schemeClr w14:val="tx1"/>
                  </w14:solidFill>
                </w14:textFill>
              </w:rPr>
            </w:pPr>
            <w:r>
              <w:rPr>
                <w:color w:val="000000" w:themeColor="text1"/>
                <w:spacing w:val="1"/>
                <w:sz w:val="20"/>
                <w:szCs w:val="20"/>
                <w:highlight w:val="none"/>
                <w14:textFill>
                  <w14:solidFill>
                    <w14:schemeClr w14:val="tx1"/>
                  </w14:solidFill>
                </w14:textFill>
              </w:rPr>
              <w:t>乙方（章）</w:t>
            </w:r>
          </w:p>
          <w:p w14:paraId="39F20370">
            <w:pPr>
              <w:pStyle w:val="176"/>
              <w:spacing w:before="221" w:line="228" w:lineRule="auto"/>
              <w:ind w:left="955"/>
              <w:rPr>
                <w:color w:val="000000" w:themeColor="text1"/>
                <w:sz w:val="20"/>
                <w:szCs w:val="20"/>
                <w:highlight w:val="none"/>
                <w14:textFill>
                  <w14:solidFill>
                    <w14:schemeClr w14:val="tx1"/>
                  </w14:solidFill>
                </w14:textFill>
              </w:rPr>
            </w:pPr>
            <w:r>
              <w:rPr>
                <w:color w:val="000000" w:themeColor="text1"/>
                <w:spacing w:val="-2"/>
                <w:sz w:val="20"/>
                <w:szCs w:val="20"/>
                <w:highlight w:val="none"/>
                <w14:textFill>
                  <w14:solidFill>
                    <w14:schemeClr w14:val="tx1"/>
                  </w14:solidFill>
                </w14:textFill>
              </w:rPr>
              <w:t>年</w:t>
            </w:r>
            <w:r>
              <w:rPr>
                <w:color w:val="000000" w:themeColor="text1"/>
                <w:spacing w:val="9"/>
                <w:sz w:val="20"/>
                <w:szCs w:val="20"/>
                <w:highlight w:val="none"/>
                <w14:textFill>
                  <w14:solidFill>
                    <w14:schemeClr w14:val="tx1"/>
                  </w14:solidFill>
                </w14:textFill>
              </w:rPr>
              <w:t xml:space="preserve">   </w:t>
            </w:r>
            <w:r>
              <w:rPr>
                <w:color w:val="000000" w:themeColor="text1"/>
                <w:spacing w:val="-2"/>
                <w:sz w:val="20"/>
                <w:szCs w:val="20"/>
                <w:highlight w:val="none"/>
                <w14:textFill>
                  <w14:solidFill>
                    <w14:schemeClr w14:val="tx1"/>
                  </w14:solidFill>
                </w14:textFill>
              </w:rPr>
              <w:t>月</w:t>
            </w:r>
            <w:r>
              <w:rPr>
                <w:color w:val="000000" w:themeColor="text1"/>
                <w:spacing w:val="20"/>
                <w:sz w:val="20"/>
                <w:szCs w:val="20"/>
                <w:highlight w:val="none"/>
                <w14:textFill>
                  <w14:solidFill>
                    <w14:schemeClr w14:val="tx1"/>
                  </w14:solidFill>
                </w14:textFill>
              </w:rPr>
              <w:t xml:space="preserve">   </w:t>
            </w:r>
            <w:r>
              <w:rPr>
                <w:color w:val="000000" w:themeColor="text1"/>
                <w:spacing w:val="-2"/>
                <w:sz w:val="20"/>
                <w:szCs w:val="20"/>
                <w:highlight w:val="none"/>
                <w14:textFill>
                  <w14:solidFill>
                    <w14:schemeClr w14:val="tx1"/>
                  </w14:solidFill>
                </w14:textFill>
              </w:rPr>
              <w:t>日</w:t>
            </w:r>
          </w:p>
        </w:tc>
      </w:tr>
      <w:tr w14:paraId="55110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672" w:type="dxa"/>
          </w:tcPr>
          <w:p w14:paraId="2698ECB4">
            <w:pPr>
              <w:pStyle w:val="176"/>
              <w:spacing w:before="132" w:line="228" w:lineRule="auto"/>
              <w:ind w:left="538"/>
              <w:rPr>
                <w:color w:val="000000" w:themeColor="text1"/>
                <w:sz w:val="20"/>
                <w:szCs w:val="20"/>
                <w:highlight w:val="none"/>
                <w14:textFill>
                  <w14:solidFill>
                    <w14:schemeClr w14:val="tx1"/>
                  </w14:solidFill>
                </w14:textFill>
              </w:rPr>
            </w:pPr>
            <w:r>
              <w:rPr>
                <w:color w:val="000000" w:themeColor="text1"/>
                <w:spacing w:val="5"/>
                <w:sz w:val="20"/>
                <w:szCs w:val="20"/>
                <w:highlight w:val="none"/>
                <w14:textFill>
                  <w14:solidFill>
                    <w14:schemeClr w14:val="tx1"/>
                  </w14:solidFill>
                </w14:textFill>
              </w:rPr>
              <w:t>单位地址：</w:t>
            </w:r>
          </w:p>
        </w:tc>
        <w:tc>
          <w:tcPr>
            <w:tcW w:w="4678" w:type="dxa"/>
          </w:tcPr>
          <w:p w14:paraId="46529EEC">
            <w:pPr>
              <w:pStyle w:val="176"/>
              <w:spacing w:before="132" w:line="228" w:lineRule="auto"/>
              <w:ind w:left="536"/>
              <w:rPr>
                <w:color w:val="000000" w:themeColor="text1"/>
                <w:sz w:val="20"/>
                <w:szCs w:val="20"/>
                <w:highlight w:val="none"/>
                <w14:textFill>
                  <w14:solidFill>
                    <w14:schemeClr w14:val="tx1"/>
                  </w14:solidFill>
                </w14:textFill>
              </w:rPr>
            </w:pPr>
            <w:r>
              <w:rPr>
                <w:color w:val="000000" w:themeColor="text1"/>
                <w:spacing w:val="5"/>
                <w:sz w:val="20"/>
                <w:szCs w:val="20"/>
                <w:highlight w:val="none"/>
                <w14:textFill>
                  <w14:solidFill>
                    <w14:schemeClr w14:val="tx1"/>
                  </w14:solidFill>
                </w14:textFill>
              </w:rPr>
              <w:t>单位地址：</w:t>
            </w:r>
          </w:p>
        </w:tc>
      </w:tr>
      <w:tr w14:paraId="11B30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672" w:type="dxa"/>
          </w:tcPr>
          <w:p w14:paraId="130EFFF2">
            <w:pPr>
              <w:pStyle w:val="176"/>
              <w:spacing w:before="132" w:line="228" w:lineRule="auto"/>
              <w:ind w:left="537"/>
              <w:rPr>
                <w:color w:val="000000" w:themeColor="text1"/>
                <w:sz w:val="20"/>
                <w:szCs w:val="20"/>
                <w:highlight w:val="none"/>
                <w:lang w:eastAsia="zh-CN"/>
                <w14:textFill>
                  <w14:solidFill>
                    <w14:schemeClr w14:val="tx1"/>
                  </w14:solidFill>
                </w14:textFill>
              </w:rPr>
            </w:pPr>
            <w:r>
              <w:rPr>
                <w:color w:val="000000" w:themeColor="text1"/>
                <w:spacing w:val="8"/>
                <w:sz w:val="20"/>
                <w:szCs w:val="20"/>
                <w:highlight w:val="none"/>
                <w:lang w:eastAsia="zh-CN"/>
                <w14:textFill>
                  <w14:solidFill>
                    <w14:schemeClr w14:val="tx1"/>
                  </w14:solidFill>
                </w14:textFill>
              </w:rPr>
              <w:t>法人代表（负责人</w:t>
            </w:r>
            <w:r>
              <w:rPr>
                <w:color w:val="000000" w:themeColor="text1"/>
                <w:spacing w:val="1"/>
                <w:sz w:val="20"/>
                <w:szCs w:val="20"/>
                <w:highlight w:val="none"/>
                <w:lang w:eastAsia="zh-CN"/>
                <w14:textFill>
                  <w14:solidFill>
                    <w14:schemeClr w14:val="tx1"/>
                  </w14:solidFill>
                </w14:textFill>
              </w:rPr>
              <w:t>）：</w:t>
            </w:r>
          </w:p>
        </w:tc>
        <w:tc>
          <w:tcPr>
            <w:tcW w:w="4678" w:type="dxa"/>
          </w:tcPr>
          <w:p w14:paraId="5ACEA664">
            <w:pPr>
              <w:pStyle w:val="176"/>
              <w:spacing w:before="132" w:line="228" w:lineRule="auto"/>
              <w:ind w:left="535"/>
              <w:rPr>
                <w:color w:val="000000" w:themeColor="text1"/>
                <w:sz w:val="20"/>
                <w:szCs w:val="20"/>
                <w:highlight w:val="none"/>
                <w:lang w:eastAsia="zh-CN"/>
                <w14:textFill>
                  <w14:solidFill>
                    <w14:schemeClr w14:val="tx1"/>
                  </w14:solidFill>
                </w14:textFill>
              </w:rPr>
            </w:pPr>
            <w:r>
              <w:rPr>
                <w:color w:val="000000" w:themeColor="text1"/>
                <w:spacing w:val="8"/>
                <w:sz w:val="20"/>
                <w:szCs w:val="20"/>
                <w:highlight w:val="none"/>
                <w:lang w:eastAsia="zh-CN"/>
                <w14:textFill>
                  <w14:solidFill>
                    <w14:schemeClr w14:val="tx1"/>
                  </w14:solidFill>
                </w14:textFill>
              </w:rPr>
              <w:t>法定代表人（负责人</w:t>
            </w:r>
            <w:r>
              <w:rPr>
                <w:color w:val="000000" w:themeColor="text1"/>
                <w:spacing w:val="3"/>
                <w:sz w:val="20"/>
                <w:szCs w:val="20"/>
                <w:highlight w:val="none"/>
                <w:lang w:eastAsia="zh-CN"/>
                <w14:textFill>
                  <w14:solidFill>
                    <w14:schemeClr w14:val="tx1"/>
                  </w14:solidFill>
                </w14:textFill>
              </w:rPr>
              <w:t>）：</w:t>
            </w:r>
          </w:p>
        </w:tc>
      </w:tr>
      <w:tr w14:paraId="38D6A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672" w:type="dxa"/>
          </w:tcPr>
          <w:p w14:paraId="78D78B6B">
            <w:pPr>
              <w:pStyle w:val="176"/>
              <w:spacing w:before="131" w:line="228" w:lineRule="auto"/>
              <w:ind w:left="536"/>
              <w:rPr>
                <w:color w:val="000000" w:themeColor="text1"/>
                <w:sz w:val="20"/>
                <w:szCs w:val="20"/>
                <w:highlight w:val="none"/>
                <w14:textFill>
                  <w14:solidFill>
                    <w14:schemeClr w14:val="tx1"/>
                  </w14:solidFill>
                </w14:textFill>
              </w:rPr>
            </w:pPr>
            <w:r>
              <w:rPr>
                <w:color w:val="000000" w:themeColor="text1"/>
                <w:spacing w:val="7"/>
                <w:sz w:val="20"/>
                <w:szCs w:val="20"/>
                <w:highlight w:val="none"/>
                <w14:textFill>
                  <w14:solidFill>
                    <w14:schemeClr w14:val="tx1"/>
                  </w14:solidFill>
                </w14:textFill>
              </w:rPr>
              <w:t>被授权委托人：</w:t>
            </w:r>
          </w:p>
        </w:tc>
        <w:tc>
          <w:tcPr>
            <w:tcW w:w="4678" w:type="dxa"/>
          </w:tcPr>
          <w:p w14:paraId="4DA7D21E">
            <w:pPr>
              <w:pStyle w:val="176"/>
              <w:spacing w:before="131" w:line="228" w:lineRule="auto"/>
              <w:ind w:left="534"/>
              <w:rPr>
                <w:color w:val="000000" w:themeColor="text1"/>
                <w:sz w:val="20"/>
                <w:szCs w:val="20"/>
                <w:highlight w:val="none"/>
                <w14:textFill>
                  <w14:solidFill>
                    <w14:schemeClr w14:val="tx1"/>
                  </w14:solidFill>
                </w14:textFill>
              </w:rPr>
            </w:pPr>
            <w:r>
              <w:rPr>
                <w:color w:val="000000" w:themeColor="text1"/>
                <w:spacing w:val="7"/>
                <w:sz w:val="20"/>
                <w:szCs w:val="20"/>
                <w:highlight w:val="none"/>
                <w14:textFill>
                  <w14:solidFill>
                    <w14:schemeClr w14:val="tx1"/>
                  </w14:solidFill>
                </w14:textFill>
              </w:rPr>
              <w:t>被授权委托人：</w:t>
            </w:r>
          </w:p>
        </w:tc>
      </w:tr>
      <w:tr w14:paraId="39C40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672" w:type="dxa"/>
          </w:tcPr>
          <w:p w14:paraId="12C3C2C8">
            <w:pPr>
              <w:pStyle w:val="176"/>
              <w:spacing w:before="132" w:line="230" w:lineRule="auto"/>
              <w:ind w:left="561"/>
              <w:rPr>
                <w:color w:val="000000" w:themeColor="text1"/>
                <w:sz w:val="20"/>
                <w:szCs w:val="20"/>
                <w:highlight w:val="none"/>
                <w14:textFill>
                  <w14:solidFill>
                    <w14:schemeClr w14:val="tx1"/>
                  </w14:solidFill>
                </w14:textFill>
              </w:rPr>
            </w:pPr>
            <w:r>
              <w:rPr>
                <w:color w:val="000000" w:themeColor="text1"/>
                <w:spacing w:val="-5"/>
                <w:sz w:val="20"/>
                <w:szCs w:val="20"/>
                <w:highlight w:val="none"/>
                <w14:textFill>
                  <w14:solidFill>
                    <w14:schemeClr w14:val="tx1"/>
                  </w14:solidFill>
                </w14:textFill>
              </w:rPr>
              <w:t>电话：</w:t>
            </w:r>
          </w:p>
        </w:tc>
        <w:tc>
          <w:tcPr>
            <w:tcW w:w="4678" w:type="dxa"/>
          </w:tcPr>
          <w:p w14:paraId="360DF22D">
            <w:pPr>
              <w:pStyle w:val="176"/>
              <w:spacing w:before="132" w:line="230" w:lineRule="auto"/>
              <w:ind w:left="559"/>
              <w:rPr>
                <w:color w:val="000000" w:themeColor="text1"/>
                <w:sz w:val="20"/>
                <w:szCs w:val="20"/>
                <w:highlight w:val="none"/>
                <w14:textFill>
                  <w14:solidFill>
                    <w14:schemeClr w14:val="tx1"/>
                  </w14:solidFill>
                </w14:textFill>
              </w:rPr>
            </w:pPr>
            <w:r>
              <w:rPr>
                <w:color w:val="000000" w:themeColor="text1"/>
                <w:spacing w:val="-5"/>
                <w:sz w:val="20"/>
                <w:szCs w:val="20"/>
                <w:highlight w:val="none"/>
                <w14:textFill>
                  <w14:solidFill>
                    <w14:schemeClr w14:val="tx1"/>
                  </w14:solidFill>
                </w14:textFill>
              </w:rPr>
              <w:t>电话：</w:t>
            </w:r>
          </w:p>
        </w:tc>
      </w:tr>
      <w:tr w14:paraId="7105C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4672" w:type="dxa"/>
          </w:tcPr>
          <w:p w14:paraId="34C121E1">
            <w:pPr>
              <w:pStyle w:val="176"/>
              <w:spacing w:before="132" w:line="228" w:lineRule="auto"/>
              <w:ind w:left="561"/>
              <w:rPr>
                <w:color w:val="000000" w:themeColor="text1"/>
                <w:sz w:val="20"/>
                <w:szCs w:val="20"/>
                <w:highlight w:val="none"/>
                <w14:textFill>
                  <w14:solidFill>
                    <w14:schemeClr w14:val="tx1"/>
                  </w14:solidFill>
                </w14:textFill>
              </w:rPr>
            </w:pPr>
            <w:r>
              <w:rPr>
                <w:color w:val="000000" w:themeColor="text1"/>
                <w:spacing w:val="1"/>
                <w:sz w:val="20"/>
                <w:szCs w:val="20"/>
                <w:highlight w:val="none"/>
                <w14:textFill>
                  <w14:solidFill>
                    <w14:schemeClr w14:val="tx1"/>
                  </w14:solidFill>
                </w14:textFill>
              </w:rPr>
              <w:t>电子邮箱：</w:t>
            </w:r>
          </w:p>
        </w:tc>
        <w:tc>
          <w:tcPr>
            <w:tcW w:w="4678" w:type="dxa"/>
          </w:tcPr>
          <w:p w14:paraId="1B07A982">
            <w:pPr>
              <w:pStyle w:val="176"/>
              <w:spacing w:before="132" w:line="228" w:lineRule="auto"/>
              <w:ind w:left="559"/>
              <w:rPr>
                <w:color w:val="000000" w:themeColor="text1"/>
                <w:sz w:val="20"/>
                <w:szCs w:val="20"/>
                <w:highlight w:val="none"/>
                <w14:textFill>
                  <w14:solidFill>
                    <w14:schemeClr w14:val="tx1"/>
                  </w14:solidFill>
                </w14:textFill>
              </w:rPr>
            </w:pPr>
            <w:r>
              <w:rPr>
                <w:color w:val="000000" w:themeColor="text1"/>
                <w:spacing w:val="1"/>
                <w:sz w:val="20"/>
                <w:szCs w:val="20"/>
                <w:highlight w:val="none"/>
                <w14:textFill>
                  <w14:solidFill>
                    <w14:schemeClr w14:val="tx1"/>
                  </w14:solidFill>
                </w14:textFill>
              </w:rPr>
              <w:t>电子邮箱：</w:t>
            </w:r>
          </w:p>
        </w:tc>
      </w:tr>
      <w:tr w14:paraId="59AC9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4672" w:type="dxa"/>
          </w:tcPr>
          <w:p w14:paraId="7A5FEAB2">
            <w:pPr>
              <w:pStyle w:val="176"/>
              <w:spacing w:before="135" w:line="228" w:lineRule="auto"/>
              <w:ind w:left="537"/>
              <w:rPr>
                <w:color w:val="000000" w:themeColor="text1"/>
                <w:sz w:val="20"/>
                <w:szCs w:val="20"/>
                <w:highlight w:val="none"/>
                <w14:textFill>
                  <w14:solidFill>
                    <w14:schemeClr w14:val="tx1"/>
                  </w14:solidFill>
                </w14:textFill>
              </w:rPr>
            </w:pPr>
            <w:r>
              <w:rPr>
                <w:color w:val="000000" w:themeColor="text1"/>
                <w:spacing w:val="5"/>
                <w:sz w:val="20"/>
                <w:szCs w:val="20"/>
                <w:highlight w:val="none"/>
                <w14:textFill>
                  <w14:solidFill>
                    <w14:schemeClr w14:val="tx1"/>
                  </w14:solidFill>
                </w14:textFill>
              </w:rPr>
              <w:t>开户名称：</w:t>
            </w:r>
          </w:p>
        </w:tc>
        <w:tc>
          <w:tcPr>
            <w:tcW w:w="4678" w:type="dxa"/>
          </w:tcPr>
          <w:p w14:paraId="137D754A">
            <w:pPr>
              <w:pStyle w:val="176"/>
              <w:spacing w:before="135" w:line="228" w:lineRule="auto"/>
              <w:ind w:left="535"/>
              <w:rPr>
                <w:color w:val="000000" w:themeColor="text1"/>
                <w:sz w:val="20"/>
                <w:szCs w:val="20"/>
                <w:highlight w:val="none"/>
                <w14:textFill>
                  <w14:solidFill>
                    <w14:schemeClr w14:val="tx1"/>
                  </w14:solidFill>
                </w14:textFill>
              </w:rPr>
            </w:pPr>
            <w:r>
              <w:rPr>
                <w:color w:val="000000" w:themeColor="text1"/>
                <w:spacing w:val="5"/>
                <w:sz w:val="20"/>
                <w:szCs w:val="20"/>
                <w:highlight w:val="none"/>
                <w14:textFill>
                  <w14:solidFill>
                    <w14:schemeClr w14:val="tx1"/>
                  </w14:solidFill>
                </w14:textFill>
              </w:rPr>
              <w:t>开户名称：</w:t>
            </w:r>
          </w:p>
        </w:tc>
      </w:tr>
      <w:tr w14:paraId="1193B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6" w:hRule="atLeast"/>
        </w:trPr>
        <w:tc>
          <w:tcPr>
            <w:tcW w:w="4672" w:type="dxa"/>
          </w:tcPr>
          <w:p w14:paraId="5D5535D1">
            <w:pPr>
              <w:pStyle w:val="176"/>
              <w:spacing w:before="135" w:line="228" w:lineRule="auto"/>
              <w:ind w:left="537"/>
              <w:rPr>
                <w:color w:val="000000" w:themeColor="text1"/>
                <w:sz w:val="20"/>
                <w:szCs w:val="20"/>
                <w:highlight w:val="none"/>
                <w14:textFill>
                  <w14:solidFill>
                    <w14:schemeClr w14:val="tx1"/>
                  </w14:solidFill>
                </w14:textFill>
              </w:rPr>
            </w:pPr>
            <w:r>
              <w:rPr>
                <w:color w:val="000000" w:themeColor="text1"/>
                <w:spacing w:val="5"/>
                <w:sz w:val="20"/>
                <w:szCs w:val="20"/>
                <w:highlight w:val="none"/>
                <w14:textFill>
                  <w14:solidFill>
                    <w14:schemeClr w14:val="tx1"/>
                  </w14:solidFill>
                </w14:textFill>
              </w:rPr>
              <w:t>开户银行：</w:t>
            </w:r>
          </w:p>
        </w:tc>
        <w:tc>
          <w:tcPr>
            <w:tcW w:w="4678" w:type="dxa"/>
          </w:tcPr>
          <w:p w14:paraId="5C816032">
            <w:pPr>
              <w:pStyle w:val="176"/>
              <w:spacing w:before="135" w:line="228" w:lineRule="auto"/>
              <w:ind w:left="535"/>
              <w:rPr>
                <w:color w:val="000000" w:themeColor="text1"/>
                <w:sz w:val="20"/>
                <w:szCs w:val="20"/>
                <w:highlight w:val="none"/>
                <w14:textFill>
                  <w14:solidFill>
                    <w14:schemeClr w14:val="tx1"/>
                  </w14:solidFill>
                </w14:textFill>
              </w:rPr>
            </w:pPr>
            <w:r>
              <w:rPr>
                <w:color w:val="000000" w:themeColor="text1"/>
                <w:spacing w:val="5"/>
                <w:sz w:val="20"/>
                <w:szCs w:val="20"/>
                <w:highlight w:val="none"/>
                <w14:textFill>
                  <w14:solidFill>
                    <w14:schemeClr w14:val="tx1"/>
                  </w14:solidFill>
                </w14:textFill>
              </w:rPr>
              <w:t>开户银行：</w:t>
            </w:r>
          </w:p>
        </w:tc>
      </w:tr>
      <w:tr w14:paraId="755C8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4672" w:type="dxa"/>
          </w:tcPr>
          <w:p w14:paraId="6BCF912F">
            <w:pPr>
              <w:pStyle w:val="176"/>
              <w:spacing w:before="131" w:line="229" w:lineRule="auto"/>
              <w:ind w:left="539"/>
              <w:rPr>
                <w:color w:val="000000" w:themeColor="text1"/>
                <w:sz w:val="20"/>
                <w:szCs w:val="20"/>
                <w:highlight w:val="none"/>
                <w14:textFill>
                  <w14:solidFill>
                    <w14:schemeClr w14:val="tx1"/>
                  </w14:solidFill>
                </w14:textFill>
              </w:rPr>
            </w:pPr>
            <w:r>
              <w:rPr>
                <w:color w:val="000000" w:themeColor="text1"/>
                <w:spacing w:val="2"/>
                <w:sz w:val="20"/>
                <w:szCs w:val="20"/>
                <w:highlight w:val="none"/>
                <w14:textFill>
                  <w14:solidFill>
                    <w14:schemeClr w14:val="tx1"/>
                  </w14:solidFill>
                </w14:textFill>
              </w:rPr>
              <w:t>账号：</w:t>
            </w:r>
          </w:p>
        </w:tc>
        <w:tc>
          <w:tcPr>
            <w:tcW w:w="4678" w:type="dxa"/>
          </w:tcPr>
          <w:p w14:paraId="64C41A83">
            <w:pPr>
              <w:pStyle w:val="176"/>
              <w:spacing w:before="131" w:line="229" w:lineRule="auto"/>
              <w:ind w:left="538"/>
              <w:rPr>
                <w:color w:val="000000" w:themeColor="text1"/>
                <w:sz w:val="20"/>
                <w:szCs w:val="20"/>
                <w:highlight w:val="none"/>
                <w14:textFill>
                  <w14:solidFill>
                    <w14:schemeClr w14:val="tx1"/>
                  </w14:solidFill>
                </w14:textFill>
              </w:rPr>
            </w:pPr>
            <w:r>
              <w:rPr>
                <w:color w:val="000000" w:themeColor="text1"/>
                <w:spacing w:val="2"/>
                <w:sz w:val="20"/>
                <w:szCs w:val="20"/>
                <w:highlight w:val="none"/>
                <w14:textFill>
                  <w14:solidFill>
                    <w14:schemeClr w14:val="tx1"/>
                  </w14:solidFill>
                </w14:textFill>
              </w:rPr>
              <w:t>账号：</w:t>
            </w:r>
          </w:p>
        </w:tc>
      </w:tr>
      <w:tr w14:paraId="24F27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4672" w:type="dxa"/>
          </w:tcPr>
          <w:p w14:paraId="748BAF40">
            <w:pPr>
              <w:pStyle w:val="176"/>
              <w:spacing w:before="133" w:line="228" w:lineRule="auto"/>
              <w:ind w:left="552"/>
              <w:rPr>
                <w:color w:val="000000" w:themeColor="text1"/>
                <w:sz w:val="20"/>
                <w:szCs w:val="20"/>
                <w:highlight w:val="none"/>
                <w14:textFill>
                  <w14:solidFill>
                    <w14:schemeClr w14:val="tx1"/>
                  </w14:solidFill>
                </w14:textFill>
              </w:rPr>
            </w:pPr>
            <w:r>
              <w:rPr>
                <w:color w:val="000000" w:themeColor="text1"/>
                <w:spacing w:val="2"/>
                <w:sz w:val="20"/>
                <w:szCs w:val="20"/>
                <w:highlight w:val="none"/>
                <w14:textFill>
                  <w14:solidFill>
                    <w14:schemeClr w14:val="tx1"/>
                  </w14:solidFill>
                </w14:textFill>
              </w:rPr>
              <w:t>邮政编码：</w:t>
            </w:r>
          </w:p>
        </w:tc>
        <w:tc>
          <w:tcPr>
            <w:tcW w:w="4678" w:type="dxa"/>
          </w:tcPr>
          <w:p w14:paraId="69163E18">
            <w:pPr>
              <w:pStyle w:val="176"/>
              <w:spacing w:before="133" w:line="228" w:lineRule="auto"/>
              <w:ind w:left="550"/>
              <w:rPr>
                <w:color w:val="000000" w:themeColor="text1"/>
                <w:sz w:val="20"/>
                <w:szCs w:val="20"/>
                <w:highlight w:val="none"/>
                <w14:textFill>
                  <w14:solidFill>
                    <w14:schemeClr w14:val="tx1"/>
                  </w14:solidFill>
                </w14:textFill>
              </w:rPr>
            </w:pPr>
            <w:r>
              <w:rPr>
                <w:color w:val="000000" w:themeColor="text1"/>
                <w:spacing w:val="2"/>
                <w:sz w:val="20"/>
                <w:szCs w:val="20"/>
                <w:highlight w:val="none"/>
                <w14:textFill>
                  <w14:solidFill>
                    <w14:schemeClr w14:val="tx1"/>
                  </w14:solidFill>
                </w14:textFill>
              </w:rPr>
              <w:t>邮政编码：</w:t>
            </w:r>
          </w:p>
        </w:tc>
      </w:tr>
    </w:tbl>
    <w:p w14:paraId="52660CE4">
      <w:pPr>
        <w:rPr>
          <w:rFonts w:ascii="Arial"/>
          <w:color w:val="000000" w:themeColor="text1"/>
          <w:sz w:val="21"/>
          <w:highlight w:val="none"/>
          <w14:textFill>
            <w14:solidFill>
              <w14:schemeClr w14:val="tx1"/>
            </w14:solidFill>
          </w14:textFill>
        </w:rPr>
      </w:pPr>
    </w:p>
    <w:p w14:paraId="7ABEA95E">
      <w:pPr>
        <w:rPr>
          <w:rFonts w:ascii="Arial" w:hAnsi="Arial" w:eastAsia="Arial" w:cs="Arial"/>
          <w:color w:val="000000" w:themeColor="text1"/>
          <w:sz w:val="21"/>
          <w:szCs w:val="21"/>
          <w:highlight w:val="none"/>
          <w14:textFill>
            <w14:solidFill>
              <w14:schemeClr w14:val="tx1"/>
            </w14:solidFill>
          </w14:textFill>
        </w:rPr>
        <w:sectPr>
          <w:footerReference r:id="rId8" w:type="default"/>
          <w:pgSz w:w="11906" w:h="16839"/>
          <w:pgMar w:top="1431" w:right="1190" w:bottom="1449" w:left="1360" w:header="0" w:footer="1287" w:gutter="0"/>
          <w:cols w:space="720" w:num="1"/>
        </w:sectPr>
      </w:pPr>
    </w:p>
    <w:p w14:paraId="491DF45C">
      <w:pPr>
        <w:pStyle w:val="2"/>
        <w:rPr>
          <w:rFonts w:ascii="宋体" w:hAnsi="宋体" w:eastAsia="宋体" w:cs="宋体"/>
          <w:color w:val="000000" w:themeColor="text1"/>
          <w:highlight w:val="none"/>
          <w14:textFill>
            <w14:solidFill>
              <w14:schemeClr w14:val="tx1"/>
            </w14:solidFill>
          </w14:textFill>
        </w:rPr>
      </w:pPr>
    </w:p>
    <w:p w14:paraId="2348BDA2">
      <w:pPr>
        <w:pStyle w:val="2"/>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第六章  </w:t>
      </w:r>
      <w:bookmarkEnd w:id="155"/>
      <w:bookmarkEnd w:id="156"/>
      <w:bookmarkEnd w:id="157"/>
      <w:r>
        <w:rPr>
          <w:rFonts w:hint="eastAsia" w:ascii="宋体" w:hAnsi="宋体" w:eastAsia="宋体" w:cs="宋体"/>
          <w:color w:val="000000" w:themeColor="text1"/>
          <w:highlight w:val="none"/>
          <w14:textFill>
            <w14:solidFill>
              <w14:schemeClr w14:val="tx1"/>
            </w14:solidFill>
          </w14:textFill>
        </w:rPr>
        <w:t>响应文件格式</w:t>
      </w:r>
      <w:bookmarkEnd w:id="162"/>
    </w:p>
    <w:p w14:paraId="4A5A36A1">
      <w:pPr>
        <w:jc w:val="center"/>
        <w:rPr>
          <w:rFonts w:ascii="宋体" w:hAnsi="宋体" w:eastAsia="宋体" w:cs="宋体"/>
          <w:color w:val="000000" w:themeColor="text1"/>
          <w:highlight w:val="none"/>
          <w14:textFill>
            <w14:solidFill>
              <w14:schemeClr w14:val="tx1"/>
            </w14:solidFill>
          </w14:textFill>
        </w:rPr>
      </w:pPr>
    </w:p>
    <w:p w14:paraId="2E2290EA">
      <w:pPr>
        <w:rPr>
          <w:rFonts w:ascii="宋体" w:hAnsi="宋体" w:eastAsia="宋体" w:cs="宋体"/>
          <w:color w:val="000000" w:themeColor="text1"/>
          <w:highlight w:val="none"/>
          <w14:textFill>
            <w14:solidFill>
              <w14:schemeClr w14:val="tx1"/>
            </w14:solidFill>
          </w14:textFill>
        </w:rPr>
      </w:pPr>
    </w:p>
    <w:p w14:paraId="47A091F4">
      <w:pP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14:paraId="02C215A4">
      <w:pPr>
        <w:jc w:val="center"/>
        <w:rPr>
          <w:rFonts w:ascii="宋体" w:hAnsi="宋体" w:eastAsia="宋体" w:cs="宋体"/>
          <w:color w:val="000000" w:themeColor="text1"/>
          <w:sz w:val="84"/>
          <w:szCs w:val="84"/>
          <w:highlight w:val="none"/>
          <w14:textFill>
            <w14:solidFill>
              <w14:schemeClr w14:val="tx1"/>
            </w14:solidFill>
          </w14:textFill>
        </w:rPr>
      </w:pPr>
      <w:r>
        <w:rPr>
          <w:rFonts w:hint="eastAsia" w:ascii="宋体" w:hAnsi="宋体" w:eastAsia="宋体" w:cs="宋体"/>
          <w:color w:val="000000" w:themeColor="text1"/>
          <w:sz w:val="84"/>
          <w:szCs w:val="84"/>
          <w:highlight w:val="none"/>
          <w14:textFill>
            <w14:solidFill>
              <w14:schemeClr w14:val="tx1"/>
            </w14:solidFill>
          </w14:textFill>
        </w:rPr>
        <w:t>响应文件</w:t>
      </w:r>
    </w:p>
    <w:p w14:paraId="0E8AE464">
      <w:pPr>
        <w:rPr>
          <w:rFonts w:ascii="宋体" w:hAnsi="宋体" w:eastAsia="宋体" w:cs="宋体"/>
          <w:color w:val="000000" w:themeColor="text1"/>
          <w:highlight w:val="none"/>
          <w14:textFill>
            <w14:solidFill>
              <w14:schemeClr w14:val="tx1"/>
            </w14:solidFill>
          </w14:textFill>
        </w:rPr>
      </w:pPr>
    </w:p>
    <w:p w14:paraId="69A3816F">
      <w:pPr>
        <w:rPr>
          <w:rFonts w:ascii="宋体" w:hAnsi="宋体" w:eastAsia="宋体" w:cs="宋体"/>
          <w:color w:val="000000" w:themeColor="text1"/>
          <w:highlight w:val="none"/>
          <w14:textFill>
            <w14:solidFill>
              <w14:schemeClr w14:val="tx1"/>
            </w14:solidFill>
          </w14:textFill>
        </w:rPr>
      </w:pPr>
    </w:p>
    <w:p w14:paraId="06974ADE">
      <w:pPr>
        <w:rPr>
          <w:rFonts w:ascii="宋体" w:hAnsi="宋体" w:eastAsia="宋体" w:cs="宋体"/>
          <w:color w:val="000000" w:themeColor="text1"/>
          <w:sz w:val="28"/>
          <w:szCs w:val="28"/>
          <w:highlight w:val="none"/>
          <w14:textFill>
            <w14:solidFill>
              <w14:schemeClr w14:val="tx1"/>
            </w14:solidFill>
          </w14:textFill>
        </w:rPr>
      </w:pPr>
    </w:p>
    <w:p w14:paraId="05132B82">
      <w:pPr>
        <w:spacing w:line="360" w:lineRule="auto"/>
        <w:ind w:firstLine="1400" w:firstLineChars="500"/>
        <w:rPr>
          <w:rFonts w:ascii="宋体" w:hAnsi="宋体" w:eastAsia="宋体" w:cs="宋体"/>
          <w:color w:val="000000" w:themeColor="text1"/>
          <w:sz w:val="28"/>
          <w:szCs w:val="28"/>
          <w:highlight w:val="none"/>
          <w:u w:val="singl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项目名称：</w:t>
      </w:r>
      <w:r>
        <w:rPr>
          <w:rFonts w:hint="eastAsia" w:ascii="宋体" w:hAnsi="宋体" w:eastAsia="宋体" w:cs="宋体"/>
          <w:color w:val="000000" w:themeColor="text1"/>
          <w:sz w:val="28"/>
          <w:szCs w:val="28"/>
          <w:highlight w:val="none"/>
          <w:u w:val="single"/>
          <w14:textFill>
            <w14:solidFill>
              <w14:schemeClr w14:val="tx1"/>
            </w14:solidFill>
          </w14:textFill>
        </w:rPr>
        <w:t xml:space="preserve">    （项目名称）                </w:t>
      </w:r>
    </w:p>
    <w:p w14:paraId="76A98355">
      <w:pPr>
        <w:spacing w:line="360" w:lineRule="auto"/>
        <w:ind w:left="1392" w:leftChars="580"/>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项目编号：</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u w:val="single"/>
          <w14:textFill>
            <w14:solidFill>
              <w14:schemeClr w14:val="tx1"/>
            </w14:solidFill>
          </w14:textFill>
        </w:rPr>
        <w:br w:type="textWrapping"/>
      </w:r>
      <w:r>
        <w:rPr>
          <w:rFonts w:hint="eastAsia" w:ascii="宋体" w:hAnsi="宋体" w:eastAsia="宋体" w:cs="宋体"/>
          <w:color w:val="000000" w:themeColor="text1"/>
          <w:sz w:val="28"/>
          <w:szCs w:val="28"/>
          <w:highlight w:val="none"/>
          <w14:textFill>
            <w14:solidFill>
              <w14:schemeClr w14:val="tx1"/>
            </w14:solidFill>
          </w14:textFill>
        </w:rPr>
        <w:t xml:space="preserve">分    标：                                 </w:t>
      </w:r>
    </w:p>
    <w:p w14:paraId="1BD9B59E">
      <w:pPr>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 xml:space="preserve"> </w:t>
      </w:r>
    </w:p>
    <w:p w14:paraId="0C82A04E">
      <w:pPr>
        <w:rPr>
          <w:rFonts w:ascii="宋体" w:hAnsi="宋体" w:eastAsia="宋体" w:cs="宋体"/>
          <w:color w:val="000000" w:themeColor="text1"/>
          <w:sz w:val="28"/>
          <w:szCs w:val="28"/>
          <w:highlight w:val="none"/>
          <w14:textFill>
            <w14:solidFill>
              <w14:schemeClr w14:val="tx1"/>
            </w14:solidFill>
          </w14:textFill>
        </w:rPr>
      </w:pPr>
    </w:p>
    <w:p w14:paraId="2721A16F">
      <w:pPr>
        <w:rPr>
          <w:rFonts w:ascii="宋体" w:hAnsi="宋体" w:eastAsia="宋体" w:cs="宋体"/>
          <w:color w:val="000000" w:themeColor="text1"/>
          <w:sz w:val="28"/>
          <w:szCs w:val="28"/>
          <w:highlight w:val="none"/>
          <w14:textFill>
            <w14:solidFill>
              <w14:schemeClr w14:val="tx1"/>
            </w14:solidFill>
          </w14:textFill>
        </w:rPr>
      </w:pPr>
    </w:p>
    <w:p w14:paraId="6110E504">
      <w:pPr>
        <w:spacing w:line="600" w:lineRule="exact"/>
        <w:ind w:firstLine="1260" w:firstLineChars="450"/>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供应商名称：</w:t>
      </w:r>
      <w:r>
        <w:rPr>
          <w:rFonts w:hint="eastAsia" w:ascii="宋体" w:hAnsi="宋体" w:eastAsia="宋体" w:cs="宋体"/>
          <w:color w:val="000000" w:themeColor="text1"/>
          <w:sz w:val="28"/>
          <w:szCs w:val="28"/>
          <w:highlight w:val="none"/>
          <w:u w:val="single"/>
          <w14:textFill>
            <w14:solidFill>
              <w14:schemeClr w14:val="tx1"/>
            </w14:solidFill>
          </w14:textFill>
        </w:rPr>
        <w:t xml:space="preserve">        （盖单位公章）           </w:t>
      </w:r>
    </w:p>
    <w:p w14:paraId="676C9595">
      <w:pPr>
        <w:spacing w:line="600" w:lineRule="exact"/>
        <w:ind w:firstLine="1260" w:firstLineChars="450"/>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法定代表人或其委托代理人：</w:t>
      </w:r>
      <w:r>
        <w:rPr>
          <w:rFonts w:hint="eastAsia" w:ascii="宋体" w:hAnsi="宋体" w:eastAsia="宋体" w:cs="宋体"/>
          <w:color w:val="000000" w:themeColor="text1"/>
          <w:sz w:val="28"/>
          <w:szCs w:val="28"/>
          <w:highlight w:val="none"/>
          <w:u w:val="single"/>
          <w14:textFill>
            <w14:solidFill>
              <w14:schemeClr w14:val="tx1"/>
            </w14:solidFill>
          </w14:textFill>
        </w:rPr>
        <w:t xml:space="preserve">（签字）   </w:t>
      </w:r>
    </w:p>
    <w:p w14:paraId="0B9976CF">
      <w:pPr>
        <w:spacing w:line="600" w:lineRule="exact"/>
        <w:ind w:firstLine="1260" w:firstLineChars="450"/>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日期：</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年</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月</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color w:val="000000" w:themeColor="text1"/>
          <w:sz w:val="28"/>
          <w:szCs w:val="28"/>
          <w:highlight w:val="none"/>
          <w14:textFill>
            <w14:solidFill>
              <w14:schemeClr w14:val="tx1"/>
            </w14:solidFill>
          </w14:textFill>
        </w:rPr>
        <w:t>日</w:t>
      </w:r>
    </w:p>
    <w:p w14:paraId="25D7C86C">
      <w:pPr>
        <w:spacing w:after="12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r>
        <w:rPr>
          <w:rFonts w:hint="eastAsia" w:ascii="宋体" w:hAnsi="宋体" w:eastAsia="宋体" w:cs="宋体"/>
          <w:color w:val="000000" w:themeColor="text1"/>
          <w:highlight w:val="none"/>
          <w14:textFill>
            <w14:solidFill>
              <w14:schemeClr w14:val="tx1"/>
            </w14:solidFill>
          </w14:textFill>
        </w:rPr>
        <w:t xml:space="preserve">    </w:t>
      </w:r>
    </w:p>
    <w:p w14:paraId="57BB7F23">
      <w:pPr>
        <w:spacing w:after="12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36"/>
          <w:szCs w:val="36"/>
          <w:highlight w:val="none"/>
          <w14:textFill>
            <w14:solidFill>
              <w14:schemeClr w14:val="tx1"/>
            </w14:solidFill>
          </w14:textFill>
        </w:rPr>
        <w:t>价格文件格式</w:t>
      </w:r>
    </w:p>
    <w:p w14:paraId="4D168583">
      <w:pPr>
        <w:spacing w:after="120"/>
        <w:jc w:val="both"/>
        <w:rPr>
          <w:rFonts w:ascii="宋体" w:hAnsi="宋体" w:eastAsia="宋体" w:cs="宋体"/>
          <w:b/>
          <w:bCs/>
          <w:color w:val="000000" w:themeColor="text1"/>
          <w:sz w:val="36"/>
          <w:szCs w:val="36"/>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14:paraId="4F64C05E">
      <w:pPr>
        <w:spacing w:after="120"/>
        <w:jc w:val="both"/>
        <w:rPr>
          <w:rFonts w:ascii="宋体" w:hAnsi="宋体" w:eastAsia="宋体" w:cs="宋体"/>
          <w:color w:val="000000" w:themeColor="text1"/>
          <w:sz w:val="44"/>
          <w:szCs w:val="44"/>
          <w:highlight w:val="none"/>
          <w14:textFill>
            <w14:solidFill>
              <w14:schemeClr w14:val="tx1"/>
            </w14:solidFill>
          </w14:textFill>
        </w:rPr>
      </w:pPr>
    </w:p>
    <w:p w14:paraId="1F57758B">
      <w:pPr>
        <w:spacing w:after="120"/>
        <w:jc w:val="both"/>
        <w:rPr>
          <w:rFonts w:ascii="宋体" w:hAnsi="宋体" w:eastAsia="宋体" w:cs="宋体"/>
          <w:color w:val="000000" w:themeColor="text1"/>
          <w:sz w:val="44"/>
          <w:szCs w:val="44"/>
          <w:highlight w:val="none"/>
          <w14:textFill>
            <w14:solidFill>
              <w14:schemeClr w14:val="tx1"/>
            </w14:solidFill>
          </w14:textFill>
        </w:rPr>
      </w:pPr>
    </w:p>
    <w:p w14:paraId="3B16DCE2">
      <w:pPr>
        <w:spacing w:after="120"/>
        <w:jc w:val="center"/>
        <w:rPr>
          <w:rFonts w:ascii="宋体" w:hAnsi="宋体" w:eastAsia="宋体" w:cs="宋体"/>
          <w:color w:val="000000" w:themeColor="text1"/>
          <w:sz w:val="44"/>
          <w:szCs w:val="44"/>
          <w:highlight w:val="none"/>
          <w14:textFill>
            <w14:solidFill>
              <w14:schemeClr w14:val="tx1"/>
            </w14:solidFill>
          </w14:textFill>
        </w:rPr>
      </w:pPr>
      <w:r>
        <w:rPr>
          <w:rFonts w:hint="eastAsia" w:ascii="宋体" w:hAnsi="宋体" w:eastAsia="宋体" w:cs="宋体"/>
          <w:color w:val="000000" w:themeColor="text1"/>
          <w:sz w:val="44"/>
          <w:szCs w:val="44"/>
          <w:highlight w:val="none"/>
          <w14:textFill>
            <w14:solidFill>
              <w14:schemeClr w14:val="tx1"/>
            </w14:solidFill>
          </w14:textFill>
        </w:rPr>
        <w:t>目  录</w:t>
      </w:r>
      <w:r>
        <w:rPr>
          <w:rFonts w:hint="eastAsia" w:ascii="宋体" w:hAnsi="宋体" w:eastAsia="宋体" w:cs="宋体"/>
          <w:color w:val="000000" w:themeColor="text1"/>
          <w:highlight w:val="none"/>
          <w14:textFill>
            <w14:solidFill>
              <w14:schemeClr w14:val="tx1"/>
            </w14:solidFill>
          </w14:textFill>
        </w:rPr>
        <w:t>（自选采用）</w:t>
      </w:r>
    </w:p>
    <w:p w14:paraId="75BA0F7B">
      <w:pPr>
        <w:pStyle w:val="17"/>
        <w:rPr>
          <w:rFonts w:ascii="宋体" w:hAnsi="宋体" w:cs="宋体"/>
          <w:color w:val="000000" w:themeColor="text1"/>
          <w:highlight w:val="none"/>
          <w14:textFill>
            <w14:solidFill>
              <w14:schemeClr w14:val="tx1"/>
            </w14:solidFill>
          </w14:textFill>
        </w:rPr>
      </w:pPr>
    </w:p>
    <w:p w14:paraId="2C374620">
      <w:pPr>
        <w:spacing w:line="440" w:lineRule="exact"/>
        <w:ind w:firstLine="480" w:firstLineChars="200"/>
        <w:jc w:val="distribute"/>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一、磋商报价表</w:t>
      </w:r>
      <w:r>
        <w:rPr>
          <w:rFonts w:hint="eastAsia" w:ascii="宋体" w:hAnsi="宋体" w:eastAsia="宋体" w:cs="宋体"/>
          <w:bCs/>
          <w:color w:val="000000" w:themeColor="text1"/>
          <w:highlight w:val="none"/>
          <w14:textFill>
            <w14:solidFill>
              <w14:schemeClr w14:val="tx1"/>
            </w14:solidFill>
          </w14:textFill>
        </w:rPr>
        <w:t>……………………………………………………………………页码</w:t>
      </w:r>
    </w:p>
    <w:p w14:paraId="46AE8B9D">
      <w:pPr>
        <w:spacing w:line="440" w:lineRule="exact"/>
        <w:ind w:firstLine="480" w:firstLineChars="200"/>
        <w:jc w:val="distribute"/>
        <w:rPr>
          <w:rFonts w:ascii="宋体" w:hAnsi="宋体" w:eastAsia="宋体" w:cs="宋体"/>
          <w:color w:val="000000" w:themeColor="text1"/>
          <w:highlight w:val="none"/>
          <w14:textFill>
            <w14:solidFill>
              <w14:schemeClr w14:val="tx1"/>
            </w14:solidFill>
          </w14:textFill>
        </w:rPr>
      </w:pPr>
    </w:p>
    <w:p w14:paraId="0C0A5719">
      <w:pPr>
        <w:spacing w:line="440" w:lineRule="exact"/>
        <w:ind w:firstLine="480" w:firstLineChars="200"/>
        <w:jc w:val="distribute"/>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二、供应商针对报价需要说明的其他文件和说明</w:t>
      </w:r>
      <w:r>
        <w:rPr>
          <w:rFonts w:hint="eastAsia" w:ascii="宋体" w:hAnsi="宋体" w:eastAsia="宋体" w:cs="宋体"/>
          <w:bCs/>
          <w:color w:val="000000" w:themeColor="text1"/>
          <w:highlight w:val="none"/>
          <w14:textFill>
            <w14:solidFill>
              <w14:schemeClr w14:val="tx1"/>
            </w14:solidFill>
          </w14:textFill>
        </w:rPr>
        <w:t>………………………………页码</w:t>
      </w:r>
    </w:p>
    <w:p w14:paraId="3258518A">
      <w:pPr>
        <w:spacing w:after="0" w:line="480" w:lineRule="exact"/>
        <w:jc w:val="both"/>
        <w:rPr>
          <w:rFonts w:ascii="宋体" w:hAnsi="宋体" w:eastAsia="宋体" w:cs="宋体"/>
          <w:b/>
          <w:color w:val="000000" w:themeColor="text1"/>
          <w:sz w:val="32"/>
          <w:szCs w:val="32"/>
          <w:highlight w:val="none"/>
          <w14:textFill>
            <w14:solidFill>
              <w14:schemeClr w14:val="tx1"/>
            </w14:solidFill>
          </w14:textFill>
        </w:rPr>
      </w:pPr>
    </w:p>
    <w:p w14:paraId="3ACC0946">
      <w:pPr>
        <w:pStyle w:val="44"/>
        <w:ind w:firstLine="647"/>
        <w:rPr>
          <w:rFonts w:cs="宋体"/>
          <w:b/>
          <w:color w:val="000000" w:themeColor="text1"/>
          <w:sz w:val="32"/>
          <w:szCs w:val="32"/>
          <w:highlight w:val="none"/>
          <w14:textFill>
            <w14:solidFill>
              <w14:schemeClr w14:val="tx1"/>
            </w14:solidFill>
          </w14:textFill>
        </w:rPr>
      </w:pPr>
    </w:p>
    <w:p w14:paraId="29983F32">
      <w:pPr>
        <w:pStyle w:val="44"/>
        <w:ind w:firstLine="647"/>
        <w:rPr>
          <w:rFonts w:cs="宋体"/>
          <w:b/>
          <w:color w:val="000000" w:themeColor="text1"/>
          <w:sz w:val="32"/>
          <w:szCs w:val="32"/>
          <w:highlight w:val="none"/>
          <w14:textFill>
            <w14:solidFill>
              <w14:schemeClr w14:val="tx1"/>
            </w14:solidFill>
          </w14:textFill>
        </w:rPr>
      </w:pPr>
    </w:p>
    <w:p w14:paraId="763732E5">
      <w:pPr>
        <w:pStyle w:val="44"/>
        <w:ind w:firstLine="647"/>
        <w:rPr>
          <w:rFonts w:cs="宋体"/>
          <w:b/>
          <w:color w:val="000000" w:themeColor="text1"/>
          <w:sz w:val="32"/>
          <w:szCs w:val="32"/>
          <w:highlight w:val="none"/>
          <w14:textFill>
            <w14:solidFill>
              <w14:schemeClr w14:val="tx1"/>
            </w14:solidFill>
          </w14:textFill>
        </w:rPr>
      </w:pPr>
    </w:p>
    <w:p w14:paraId="48AEF021">
      <w:pPr>
        <w:pStyle w:val="44"/>
        <w:ind w:firstLine="647"/>
        <w:rPr>
          <w:rFonts w:cs="宋体"/>
          <w:b/>
          <w:color w:val="000000" w:themeColor="text1"/>
          <w:sz w:val="32"/>
          <w:szCs w:val="32"/>
          <w:highlight w:val="none"/>
          <w14:textFill>
            <w14:solidFill>
              <w14:schemeClr w14:val="tx1"/>
            </w14:solidFill>
          </w14:textFill>
        </w:rPr>
      </w:pPr>
    </w:p>
    <w:p w14:paraId="0F1E0F99">
      <w:pPr>
        <w:pStyle w:val="44"/>
        <w:ind w:firstLine="647"/>
        <w:rPr>
          <w:rFonts w:cs="宋体"/>
          <w:b/>
          <w:color w:val="000000" w:themeColor="text1"/>
          <w:sz w:val="32"/>
          <w:szCs w:val="32"/>
          <w:highlight w:val="none"/>
          <w14:textFill>
            <w14:solidFill>
              <w14:schemeClr w14:val="tx1"/>
            </w14:solidFill>
          </w14:textFill>
        </w:rPr>
      </w:pPr>
    </w:p>
    <w:p w14:paraId="1C38000A">
      <w:pPr>
        <w:pStyle w:val="44"/>
        <w:ind w:firstLine="647"/>
        <w:rPr>
          <w:rFonts w:cs="宋体"/>
          <w:b/>
          <w:color w:val="000000" w:themeColor="text1"/>
          <w:sz w:val="32"/>
          <w:szCs w:val="32"/>
          <w:highlight w:val="none"/>
          <w14:textFill>
            <w14:solidFill>
              <w14:schemeClr w14:val="tx1"/>
            </w14:solidFill>
          </w14:textFill>
        </w:rPr>
      </w:pPr>
    </w:p>
    <w:p w14:paraId="7F6B76A3">
      <w:pPr>
        <w:pStyle w:val="44"/>
        <w:ind w:firstLine="647"/>
        <w:rPr>
          <w:rFonts w:cs="宋体"/>
          <w:b/>
          <w:color w:val="000000" w:themeColor="text1"/>
          <w:sz w:val="32"/>
          <w:szCs w:val="32"/>
          <w:highlight w:val="none"/>
          <w14:textFill>
            <w14:solidFill>
              <w14:schemeClr w14:val="tx1"/>
            </w14:solidFill>
          </w14:textFill>
        </w:rPr>
      </w:pPr>
    </w:p>
    <w:p w14:paraId="7753F815">
      <w:pPr>
        <w:pStyle w:val="44"/>
        <w:ind w:firstLine="647"/>
        <w:rPr>
          <w:rFonts w:cs="宋体"/>
          <w:b/>
          <w:color w:val="000000" w:themeColor="text1"/>
          <w:sz w:val="32"/>
          <w:szCs w:val="32"/>
          <w:highlight w:val="none"/>
          <w14:textFill>
            <w14:solidFill>
              <w14:schemeClr w14:val="tx1"/>
            </w14:solidFill>
          </w14:textFill>
        </w:rPr>
      </w:pPr>
    </w:p>
    <w:p w14:paraId="315336ED">
      <w:pPr>
        <w:pStyle w:val="44"/>
        <w:ind w:firstLine="647"/>
        <w:rPr>
          <w:rFonts w:cs="宋体"/>
          <w:b/>
          <w:color w:val="000000" w:themeColor="text1"/>
          <w:sz w:val="32"/>
          <w:szCs w:val="32"/>
          <w:highlight w:val="none"/>
          <w14:textFill>
            <w14:solidFill>
              <w14:schemeClr w14:val="tx1"/>
            </w14:solidFill>
          </w14:textFill>
        </w:rPr>
      </w:pPr>
    </w:p>
    <w:p w14:paraId="0C4548CF">
      <w:pPr>
        <w:pStyle w:val="44"/>
        <w:ind w:firstLine="647"/>
        <w:rPr>
          <w:rFonts w:cs="宋体"/>
          <w:b/>
          <w:color w:val="000000" w:themeColor="text1"/>
          <w:sz w:val="32"/>
          <w:szCs w:val="32"/>
          <w:highlight w:val="none"/>
          <w14:textFill>
            <w14:solidFill>
              <w14:schemeClr w14:val="tx1"/>
            </w14:solidFill>
          </w14:textFill>
        </w:rPr>
      </w:pPr>
    </w:p>
    <w:p w14:paraId="196F64AC">
      <w:pPr>
        <w:pStyle w:val="44"/>
        <w:ind w:firstLine="647"/>
        <w:rPr>
          <w:rFonts w:cs="宋体"/>
          <w:b/>
          <w:color w:val="000000" w:themeColor="text1"/>
          <w:sz w:val="32"/>
          <w:szCs w:val="32"/>
          <w:highlight w:val="none"/>
          <w14:textFill>
            <w14:solidFill>
              <w14:schemeClr w14:val="tx1"/>
            </w14:solidFill>
          </w14:textFill>
        </w:rPr>
      </w:pPr>
    </w:p>
    <w:p w14:paraId="39B50836">
      <w:pPr>
        <w:pStyle w:val="44"/>
        <w:ind w:firstLine="647"/>
        <w:rPr>
          <w:rFonts w:cs="宋体"/>
          <w:b/>
          <w:color w:val="000000" w:themeColor="text1"/>
          <w:sz w:val="32"/>
          <w:szCs w:val="32"/>
          <w:highlight w:val="none"/>
          <w14:textFill>
            <w14:solidFill>
              <w14:schemeClr w14:val="tx1"/>
            </w14:solidFill>
          </w14:textFill>
        </w:rPr>
      </w:pPr>
    </w:p>
    <w:p w14:paraId="68955F47">
      <w:pPr>
        <w:pStyle w:val="44"/>
        <w:ind w:firstLine="647"/>
        <w:rPr>
          <w:rFonts w:cs="宋体"/>
          <w:b/>
          <w:color w:val="000000" w:themeColor="text1"/>
          <w:sz w:val="32"/>
          <w:szCs w:val="32"/>
          <w:highlight w:val="none"/>
          <w14:textFill>
            <w14:solidFill>
              <w14:schemeClr w14:val="tx1"/>
            </w14:solidFill>
          </w14:textFill>
        </w:rPr>
      </w:pPr>
    </w:p>
    <w:p w14:paraId="202E7067">
      <w:pPr>
        <w:pStyle w:val="44"/>
        <w:ind w:firstLine="647"/>
        <w:rPr>
          <w:rFonts w:cs="宋体"/>
          <w:b/>
          <w:color w:val="000000" w:themeColor="text1"/>
          <w:sz w:val="32"/>
          <w:szCs w:val="32"/>
          <w:highlight w:val="none"/>
          <w14:textFill>
            <w14:solidFill>
              <w14:schemeClr w14:val="tx1"/>
            </w14:solidFill>
          </w14:textFill>
        </w:rPr>
      </w:pPr>
    </w:p>
    <w:p w14:paraId="602A4517">
      <w:pPr>
        <w:pStyle w:val="44"/>
        <w:ind w:firstLine="647"/>
        <w:rPr>
          <w:rFonts w:cs="宋体"/>
          <w:b/>
          <w:color w:val="000000" w:themeColor="text1"/>
          <w:sz w:val="32"/>
          <w:szCs w:val="32"/>
          <w:highlight w:val="none"/>
          <w14:textFill>
            <w14:solidFill>
              <w14:schemeClr w14:val="tx1"/>
            </w14:solidFill>
          </w14:textFill>
        </w:rPr>
      </w:pPr>
    </w:p>
    <w:p w14:paraId="520DC7CF">
      <w:pPr>
        <w:pStyle w:val="44"/>
        <w:ind w:firstLine="647"/>
        <w:rPr>
          <w:rFonts w:cs="宋体"/>
          <w:b/>
          <w:color w:val="000000" w:themeColor="text1"/>
          <w:sz w:val="32"/>
          <w:szCs w:val="32"/>
          <w:highlight w:val="none"/>
          <w14:textFill>
            <w14:solidFill>
              <w14:schemeClr w14:val="tx1"/>
            </w14:solidFill>
          </w14:textFill>
        </w:rPr>
      </w:pPr>
    </w:p>
    <w:p w14:paraId="715B14A7">
      <w:pPr>
        <w:spacing w:after="0" w:line="480" w:lineRule="exact"/>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附件一：</w:t>
      </w:r>
    </w:p>
    <w:p w14:paraId="7D6BB78F">
      <w:pPr>
        <w:spacing w:after="0" w:line="480" w:lineRule="exact"/>
        <w:jc w:val="both"/>
        <w:rPr>
          <w:rFonts w:ascii="宋体" w:hAnsi="宋体" w:eastAsia="宋体" w:cs="宋体"/>
          <w:color w:val="000000" w:themeColor="text1"/>
          <w:highlight w:val="none"/>
          <w14:textFill>
            <w14:solidFill>
              <w14:schemeClr w14:val="tx1"/>
            </w14:solidFill>
          </w14:textFill>
        </w:rPr>
      </w:pPr>
    </w:p>
    <w:p w14:paraId="4CE820AA">
      <w:pPr>
        <w:spacing w:line="300" w:lineRule="auto"/>
        <w:jc w:val="center"/>
        <w:rPr>
          <w:rFonts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一、磋商报价表</w:t>
      </w:r>
    </w:p>
    <w:p w14:paraId="224F6ADB">
      <w:pPr>
        <w:spacing w:after="0" w:line="440" w:lineRule="exact"/>
        <w:rPr>
          <w:rFonts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项目名称:</w:t>
      </w:r>
      <w:r>
        <w:rPr>
          <w:rFonts w:hint="eastAsia" w:ascii="宋体" w:hAnsi="宋体" w:eastAsia="宋体" w:cs="宋体"/>
          <w:color w:val="000000" w:themeColor="text1"/>
          <w:highlight w:val="none"/>
          <w:u w:val="single"/>
          <w14:textFill>
            <w14:solidFill>
              <w14:schemeClr w14:val="tx1"/>
            </w14:solidFill>
          </w14:textFill>
        </w:rPr>
        <w:t xml:space="preserve">          </w:t>
      </w:r>
    </w:p>
    <w:p w14:paraId="295C13C0">
      <w:pPr>
        <w:spacing w:after="0" w:line="440" w:lineRule="exact"/>
        <w:rPr>
          <w:rFonts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采购项目编号:</w:t>
      </w:r>
      <w:r>
        <w:rPr>
          <w:rFonts w:hint="eastAsia" w:ascii="宋体" w:hAnsi="宋体" w:eastAsia="宋体" w:cs="宋体"/>
          <w:color w:val="000000" w:themeColor="text1"/>
          <w:highlight w:val="none"/>
          <w:u w:val="single"/>
          <w14:textFill>
            <w14:solidFill>
              <w14:schemeClr w14:val="tx1"/>
            </w14:solidFill>
          </w14:textFill>
        </w:rPr>
        <w:t xml:space="preserve">          </w:t>
      </w:r>
    </w:p>
    <w:tbl>
      <w:tblPr>
        <w:tblStyle w:val="45"/>
        <w:tblW w:w="9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443"/>
        <w:gridCol w:w="4525"/>
        <w:gridCol w:w="1890"/>
        <w:gridCol w:w="950"/>
      </w:tblGrid>
      <w:tr w14:paraId="02110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14:paraId="0C68B6F8">
            <w:pPr>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1443" w:type="dxa"/>
            <w:tcBorders>
              <w:top w:val="single" w:color="auto" w:sz="4" w:space="0"/>
              <w:left w:val="single" w:color="auto" w:sz="4" w:space="0"/>
              <w:bottom w:val="single" w:color="auto" w:sz="4" w:space="0"/>
              <w:right w:val="single" w:color="auto" w:sz="4" w:space="0"/>
            </w:tcBorders>
            <w:vAlign w:val="center"/>
          </w:tcPr>
          <w:p w14:paraId="4D1CD1E2">
            <w:pPr>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项目名称</w:t>
            </w:r>
          </w:p>
        </w:tc>
        <w:tc>
          <w:tcPr>
            <w:tcW w:w="4525" w:type="dxa"/>
            <w:tcBorders>
              <w:top w:val="single" w:color="auto" w:sz="4" w:space="0"/>
              <w:left w:val="single" w:color="auto" w:sz="4" w:space="0"/>
              <w:bottom w:val="single" w:color="auto" w:sz="4" w:space="0"/>
              <w:right w:val="single" w:color="auto" w:sz="4" w:space="0"/>
            </w:tcBorders>
            <w:vAlign w:val="center"/>
          </w:tcPr>
          <w:p w14:paraId="1A1E54BF">
            <w:pPr>
              <w:spacing w:after="0" w:line="400" w:lineRule="exact"/>
              <w:jc w:val="center"/>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服务内容及技术服务要求</w:t>
            </w:r>
          </w:p>
        </w:tc>
        <w:tc>
          <w:tcPr>
            <w:tcW w:w="1890" w:type="dxa"/>
            <w:tcBorders>
              <w:top w:val="single" w:color="auto" w:sz="4" w:space="0"/>
              <w:left w:val="single" w:color="auto" w:sz="4" w:space="0"/>
              <w:bottom w:val="single" w:color="auto" w:sz="4" w:space="0"/>
              <w:right w:val="single" w:color="auto" w:sz="4" w:space="0"/>
            </w:tcBorders>
            <w:vAlign w:val="center"/>
          </w:tcPr>
          <w:p w14:paraId="25C9E24F">
            <w:pPr>
              <w:spacing w:after="0" w:line="400" w:lineRule="exact"/>
              <w:jc w:val="center"/>
              <w:rPr>
                <w:rFonts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报价金额（元）</w:t>
            </w:r>
          </w:p>
        </w:tc>
        <w:tc>
          <w:tcPr>
            <w:tcW w:w="950" w:type="dxa"/>
            <w:tcBorders>
              <w:top w:val="single" w:color="auto" w:sz="4" w:space="0"/>
              <w:left w:val="single" w:color="auto" w:sz="4" w:space="0"/>
              <w:bottom w:val="single" w:color="auto" w:sz="4" w:space="0"/>
              <w:right w:val="single" w:color="auto" w:sz="4" w:space="0"/>
            </w:tcBorders>
            <w:vAlign w:val="center"/>
          </w:tcPr>
          <w:p w14:paraId="1461644B">
            <w:pPr>
              <w:spacing w:after="0" w:line="40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r>
      <w:tr w14:paraId="3B19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14:paraId="6FB2BEEC">
            <w:pPr>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443" w:type="dxa"/>
            <w:tcBorders>
              <w:top w:val="single" w:color="auto" w:sz="4" w:space="0"/>
              <w:left w:val="single" w:color="auto" w:sz="4" w:space="0"/>
              <w:bottom w:val="single" w:color="auto" w:sz="4" w:space="0"/>
              <w:right w:val="single" w:color="auto" w:sz="4" w:space="0"/>
            </w:tcBorders>
            <w:vAlign w:val="center"/>
          </w:tcPr>
          <w:p w14:paraId="57BF958A">
            <w:pPr>
              <w:rPr>
                <w:rFonts w:ascii="宋体" w:hAnsi="宋体" w:eastAsia="宋体" w:cs="宋体"/>
                <w:color w:val="000000" w:themeColor="text1"/>
                <w:highlight w:val="none"/>
                <w14:textFill>
                  <w14:solidFill>
                    <w14:schemeClr w14:val="tx1"/>
                  </w14:solidFill>
                </w14:textFill>
              </w:rPr>
            </w:pPr>
          </w:p>
        </w:tc>
        <w:tc>
          <w:tcPr>
            <w:tcW w:w="4525" w:type="dxa"/>
            <w:tcBorders>
              <w:top w:val="single" w:color="auto" w:sz="4" w:space="0"/>
              <w:left w:val="single" w:color="auto" w:sz="4" w:space="0"/>
              <w:bottom w:val="single" w:color="auto" w:sz="4" w:space="0"/>
              <w:right w:val="single" w:color="auto" w:sz="4" w:space="0"/>
            </w:tcBorders>
            <w:vAlign w:val="center"/>
          </w:tcPr>
          <w:p w14:paraId="22A12812">
            <w:pPr>
              <w:rPr>
                <w:rFonts w:ascii="宋体" w:hAnsi="宋体" w:eastAsia="宋体" w:cs="宋体"/>
                <w:color w:val="000000" w:themeColor="text1"/>
                <w:highlight w:val="none"/>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vAlign w:val="center"/>
          </w:tcPr>
          <w:p w14:paraId="4E795EBF">
            <w:pPr>
              <w:rPr>
                <w:rFonts w:ascii="宋体" w:hAnsi="宋体" w:eastAsia="宋体" w:cs="宋体"/>
                <w:color w:val="000000" w:themeColor="text1"/>
                <w:highlight w:val="none"/>
                <w14:textFill>
                  <w14:solidFill>
                    <w14:schemeClr w14:val="tx1"/>
                  </w14:solidFill>
                </w14:textFill>
              </w:rPr>
            </w:pPr>
          </w:p>
        </w:tc>
        <w:tc>
          <w:tcPr>
            <w:tcW w:w="950" w:type="dxa"/>
            <w:tcBorders>
              <w:top w:val="single" w:color="auto" w:sz="4" w:space="0"/>
              <w:left w:val="single" w:color="auto" w:sz="4" w:space="0"/>
              <w:bottom w:val="single" w:color="auto" w:sz="4" w:space="0"/>
              <w:right w:val="single" w:color="auto" w:sz="4" w:space="0"/>
            </w:tcBorders>
            <w:vAlign w:val="center"/>
          </w:tcPr>
          <w:p w14:paraId="2CBDD20B">
            <w:pPr>
              <w:rPr>
                <w:rFonts w:ascii="宋体" w:hAnsi="宋体" w:eastAsia="宋体" w:cs="宋体"/>
                <w:color w:val="000000" w:themeColor="text1"/>
                <w:highlight w:val="none"/>
                <w14:textFill>
                  <w14:solidFill>
                    <w14:schemeClr w14:val="tx1"/>
                  </w14:solidFill>
                </w14:textFill>
              </w:rPr>
            </w:pPr>
          </w:p>
        </w:tc>
      </w:tr>
      <w:tr w14:paraId="65F3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14:paraId="2FC568B3">
            <w:pPr>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443" w:type="dxa"/>
            <w:tcBorders>
              <w:top w:val="single" w:color="auto" w:sz="4" w:space="0"/>
              <w:left w:val="single" w:color="auto" w:sz="4" w:space="0"/>
              <w:bottom w:val="single" w:color="auto" w:sz="4" w:space="0"/>
              <w:right w:val="single" w:color="auto" w:sz="4" w:space="0"/>
            </w:tcBorders>
            <w:vAlign w:val="center"/>
          </w:tcPr>
          <w:p w14:paraId="1E594D8D">
            <w:pPr>
              <w:rPr>
                <w:rFonts w:ascii="宋体" w:hAnsi="宋体" w:eastAsia="宋体" w:cs="宋体"/>
                <w:color w:val="000000" w:themeColor="text1"/>
                <w:highlight w:val="none"/>
                <w14:textFill>
                  <w14:solidFill>
                    <w14:schemeClr w14:val="tx1"/>
                  </w14:solidFill>
                </w14:textFill>
              </w:rPr>
            </w:pPr>
          </w:p>
        </w:tc>
        <w:tc>
          <w:tcPr>
            <w:tcW w:w="4525" w:type="dxa"/>
            <w:tcBorders>
              <w:top w:val="single" w:color="auto" w:sz="4" w:space="0"/>
              <w:left w:val="single" w:color="auto" w:sz="4" w:space="0"/>
              <w:bottom w:val="single" w:color="auto" w:sz="4" w:space="0"/>
              <w:right w:val="single" w:color="auto" w:sz="4" w:space="0"/>
            </w:tcBorders>
            <w:vAlign w:val="center"/>
          </w:tcPr>
          <w:p w14:paraId="77B35C12">
            <w:pPr>
              <w:rPr>
                <w:rFonts w:ascii="宋体" w:hAnsi="宋体" w:eastAsia="宋体" w:cs="宋体"/>
                <w:color w:val="000000" w:themeColor="text1"/>
                <w:highlight w:val="none"/>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vAlign w:val="center"/>
          </w:tcPr>
          <w:p w14:paraId="4D605158">
            <w:pPr>
              <w:rPr>
                <w:rFonts w:ascii="宋体" w:hAnsi="宋体" w:eastAsia="宋体" w:cs="宋体"/>
                <w:color w:val="000000" w:themeColor="text1"/>
                <w:highlight w:val="none"/>
                <w14:textFill>
                  <w14:solidFill>
                    <w14:schemeClr w14:val="tx1"/>
                  </w14:solidFill>
                </w14:textFill>
              </w:rPr>
            </w:pPr>
          </w:p>
        </w:tc>
        <w:tc>
          <w:tcPr>
            <w:tcW w:w="950" w:type="dxa"/>
            <w:tcBorders>
              <w:top w:val="single" w:color="auto" w:sz="4" w:space="0"/>
              <w:left w:val="single" w:color="auto" w:sz="4" w:space="0"/>
              <w:bottom w:val="single" w:color="auto" w:sz="4" w:space="0"/>
              <w:right w:val="single" w:color="auto" w:sz="4" w:space="0"/>
            </w:tcBorders>
            <w:vAlign w:val="center"/>
          </w:tcPr>
          <w:p w14:paraId="14A9FC3D">
            <w:pPr>
              <w:rPr>
                <w:rFonts w:ascii="宋体" w:hAnsi="宋体" w:eastAsia="宋体" w:cs="宋体"/>
                <w:color w:val="000000" w:themeColor="text1"/>
                <w:highlight w:val="none"/>
                <w14:textFill>
                  <w14:solidFill>
                    <w14:schemeClr w14:val="tx1"/>
                  </w14:solidFill>
                </w14:textFill>
              </w:rPr>
            </w:pPr>
          </w:p>
        </w:tc>
      </w:tr>
      <w:tr w14:paraId="2E63C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38" w:type="dxa"/>
            <w:tcBorders>
              <w:top w:val="single" w:color="auto" w:sz="4" w:space="0"/>
              <w:left w:val="single" w:color="auto" w:sz="4" w:space="0"/>
              <w:bottom w:val="single" w:color="auto" w:sz="4" w:space="0"/>
              <w:right w:val="single" w:color="auto" w:sz="4" w:space="0"/>
            </w:tcBorders>
            <w:vAlign w:val="center"/>
          </w:tcPr>
          <w:p w14:paraId="33618FC4">
            <w:pPr>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443" w:type="dxa"/>
            <w:tcBorders>
              <w:top w:val="single" w:color="auto" w:sz="4" w:space="0"/>
              <w:left w:val="single" w:color="auto" w:sz="4" w:space="0"/>
              <w:bottom w:val="single" w:color="auto" w:sz="4" w:space="0"/>
              <w:right w:val="single" w:color="auto" w:sz="4" w:space="0"/>
            </w:tcBorders>
            <w:vAlign w:val="center"/>
          </w:tcPr>
          <w:p w14:paraId="58344953">
            <w:pPr>
              <w:rPr>
                <w:rFonts w:ascii="宋体" w:hAnsi="宋体" w:eastAsia="宋体" w:cs="宋体"/>
                <w:color w:val="000000" w:themeColor="text1"/>
                <w:highlight w:val="none"/>
                <w14:textFill>
                  <w14:solidFill>
                    <w14:schemeClr w14:val="tx1"/>
                  </w14:solidFill>
                </w14:textFill>
              </w:rPr>
            </w:pPr>
          </w:p>
        </w:tc>
        <w:tc>
          <w:tcPr>
            <w:tcW w:w="4525" w:type="dxa"/>
            <w:tcBorders>
              <w:top w:val="single" w:color="auto" w:sz="4" w:space="0"/>
              <w:left w:val="single" w:color="auto" w:sz="4" w:space="0"/>
              <w:bottom w:val="single" w:color="auto" w:sz="4" w:space="0"/>
              <w:right w:val="single" w:color="auto" w:sz="4" w:space="0"/>
            </w:tcBorders>
            <w:vAlign w:val="center"/>
          </w:tcPr>
          <w:p w14:paraId="44083145">
            <w:pPr>
              <w:rPr>
                <w:rFonts w:ascii="宋体" w:hAnsi="宋体" w:eastAsia="宋体" w:cs="宋体"/>
                <w:color w:val="000000" w:themeColor="text1"/>
                <w:highlight w:val="none"/>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vAlign w:val="center"/>
          </w:tcPr>
          <w:p w14:paraId="7317D210">
            <w:pPr>
              <w:rPr>
                <w:rFonts w:ascii="宋体" w:hAnsi="宋体" w:eastAsia="宋体" w:cs="宋体"/>
                <w:color w:val="000000" w:themeColor="text1"/>
                <w:highlight w:val="none"/>
                <w14:textFill>
                  <w14:solidFill>
                    <w14:schemeClr w14:val="tx1"/>
                  </w14:solidFill>
                </w14:textFill>
              </w:rPr>
            </w:pPr>
          </w:p>
        </w:tc>
        <w:tc>
          <w:tcPr>
            <w:tcW w:w="950" w:type="dxa"/>
            <w:tcBorders>
              <w:top w:val="single" w:color="auto" w:sz="4" w:space="0"/>
              <w:left w:val="single" w:color="auto" w:sz="4" w:space="0"/>
              <w:bottom w:val="single" w:color="auto" w:sz="4" w:space="0"/>
              <w:right w:val="single" w:color="auto" w:sz="4" w:space="0"/>
            </w:tcBorders>
            <w:vAlign w:val="center"/>
          </w:tcPr>
          <w:p w14:paraId="7DC0E3E1">
            <w:pPr>
              <w:rPr>
                <w:rFonts w:ascii="宋体" w:hAnsi="宋体" w:eastAsia="宋体" w:cs="宋体"/>
                <w:color w:val="000000" w:themeColor="text1"/>
                <w:highlight w:val="none"/>
                <w14:textFill>
                  <w14:solidFill>
                    <w14:schemeClr w14:val="tx1"/>
                  </w14:solidFill>
                </w14:textFill>
              </w:rPr>
            </w:pPr>
          </w:p>
        </w:tc>
      </w:tr>
      <w:tr w14:paraId="61D9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6" w:hRule="atLeast"/>
          <w:jc w:val="center"/>
        </w:trPr>
        <w:tc>
          <w:tcPr>
            <w:tcW w:w="9646" w:type="dxa"/>
            <w:gridSpan w:val="5"/>
            <w:tcBorders>
              <w:top w:val="single" w:color="auto" w:sz="4" w:space="0"/>
              <w:left w:val="single" w:color="auto" w:sz="4" w:space="0"/>
              <w:bottom w:val="single" w:color="auto" w:sz="4" w:space="0"/>
              <w:right w:val="single" w:color="auto" w:sz="4" w:space="0"/>
            </w:tcBorders>
            <w:vAlign w:val="center"/>
          </w:tcPr>
          <w:p w14:paraId="70277B61">
            <w:pPr>
              <w:spacing w:after="0"/>
              <w:rPr>
                <w:rFonts w:ascii="宋体" w:hAnsi="宋体" w:eastAsia="宋体" w:cs="宋体"/>
                <w:color w:val="000000" w:themeColor="text1"/>
                <w:highlight w:val="none"/>
                <w14:textFill>
                  <w14:solidFill>
                    <w14:schemeClr w14:val="tx1"/>
                  </w14:solidFill>
                </w14:textFill>
              </w:rPr>
            </w:pPr>
          </w:p>
          <w:p w14:paraId="4471DB78">
            <w:pPr>
              <w:spacing w:after="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服务期限：</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w:t>
            </w:r>
          </w:p>
          <w:p w14:paraId="6420BCD2">
            <w:pPr>
              <w:spacing w:after="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14:paraId="1BA4C5A7">
            <w:pPr>
              <w:spacing w:after="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服务地点：</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w:t>
            </w:r>
          </w:p>
          <w:p w14:paraId="25A0756F">
            <w:pPr>
              <w:spacing w:after="0"/>
              <w:rPr>
                <w:rFonts w:ascii="宋体" w:hAnsi="宋体" w:eastAsia="宋体" w:cs="宋体"/>
                <w:color w:val="000000" w:themeColor="text1"/>
                <w:highlight w:val="none"/>
                <w14:textFill>
                  <w14:solidFill>
                    <w14:schemeClr w14:val="tx1"/>
                  </w14:solidFill>
                </w14:textFill>
              </w:rPr>
            </w:pPr>
          </w:p>
        </w:tc>
      </w:tr>
    </w:tbl>
    <w:p w14:paraId="06F7C896">
      <w:pPr>
        <w:spacing w:after="0"/>
        <w:rPr>
          <w:rFonts w:ascii="宋体" w:hAnsi="宋体" w:eastAsia="宋体" w:cs="宋体"/>
          <w:color w:val="000000" w:themeColor="text1"/>
          <w:highlight w:val="none"/>
          <w14:textFill>
            <w14:solidFill>
              <w14:schemeClr w14:val="tx1"/>
            </w14:solidFill>
          </w14:textFill>
        </w:rPr>
      </w:pPr>
    </w:p>
    <w:p w14:paraId="6ED60E72">
      <w:pPr>
        <w:spacing w:after="0" w:line="360" w:lineRule="auto"/>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注：1.报价一经涂改，应在涂改处加盖供应商单位章或由供应商的法定代表人或其委托代理人签字确认，否则其竞标作无效标处理。</w:t>
      </w:r>
    </w:p>
    <w:p w14:paraId="446FCA59">
      <w:pPr>
        <w:spacing w:after="0" w:line="360" w:lineRule="auto"/>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2.各供应商</w:t>
      </w:r>
      <w:r>
        <w:rPr>
          <w:rFonts w:hint="eastAsia" w:ascii="宋体" w:hAnsi="宋体" w:eastAsia="宋体" w:cs="宋体"/>
          <w:color w:val="000000" w:themeColor="text1"/>
          <w:highlight w:val="none"/>
          <w14:textFill>
            <w14:solidFill>
              <w14:schemeClr w14:val="tx1"/>
            </w14:solidFill>
          </w14:textFill>
        </w:rPr>
        <w:t>必须就“项目采购需求”中所有内容作完整唯一报价，否则，其响应文件无效。此表的总报价包含完成采购人需求及要求所有内容的全部价格。</w:t>
      </w:r>
    </w:p>
    <w:p w14:paraId="472BE673">
      <w:pPr>
        <w:spacing w:after="0" w:line="360" w:lineRule="auto"/>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3、磋商报价不得超过采购预算价，否则响应文件无效。</w:t>
      </w:r>
    </w:p>
    <w:p w14:paraId="6EB6B3F8">
      <w:pPr>
        <w:spacing w:after="0" w:line="360" w:lineRule="auto"/>
        <w:rPr>
          <w:rFonts w:ascii="宋体" w:hAnsi="宋体" w:eastAsia="宋体" w:cs="宋体"/>
          <w:color w:val="000000" w:themeColor="text1"/>
          <w:highlight w:val="none"/>
          <w14:textFill>
            <w14:solidFill>
              <w14:schemeClr w14:val="tx1"/>
            </w14:solidFill>
          </w14:textFill>
        </w:rPr>
      </w:pPr>
    </w:p>
    <w:p w14:paraId="79FD5B04">
      <w:pPr>
        <w:spacing w:after="0" w:line="360" w:lineRule="auto"/>
        <w:ind w:firstLine="480" w:firstLineChars="200"/>
        <w:rPr>
          <w:rFonts w:ascii="宋体" w:hAnsi="宋体" w:eastAsia="宋体" w:cs="宋体"/>
          <w:color w:val="000000" w:themeColor="text1"/>
          <w:highlight w:val="none"/>
          <w14:textFill>
            <w14:solidFill>
              <w14:schemeClr w14:val="tx1"/>
            </w14:solidFill>
          </w14:textFill>
        </w:rPr>
      </w:pPr>
    </w:p>
    <w:p w14:paraId="494F0781">
      <w:pPr>
        <w:spacing w:after="0" w:line="360" w:lineRule="auto"/>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w:t>
      </w:r>
      <w:r>
        <w:rPr>
          <w:rFonts w:hint="eastAsia" w:ascii="宋体" w:hAnsi="宋体" w:eastAsia="宋体" w:cs="宋体"/>
          <w:color w:val="000000" w:themeColor="text1"/>
          <w:highlight w:val="none"/>
          <w:u w:val="single"/>
          <w14:textFill>
            <w14:solidFill>
              <w14:schemeClr w14:val="tx1"/>
            </w14:solidFill>
          </w14:textFill>
        </w:rPr>
        <w:t xml:space="preserve">           （单位名称并盖公章）               </w:t>
      </w:r>
    </w:p>
    <w:p w14:paraId="0D12B325">
      <w:pPr>
        <w:spacing w:after="0" w:line="360" w:lineRule="auto"/>
        <w:ind w:firstLine="480" w:firstLineChars="200"/>
        <w:rPr>
          <w:rFonts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地址：</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邮编：</w:t>
      </w:r>
      <w:r>
        <w:rPr>
          <w:rFonts w:hint="eastAsia" w:ascii="宋体" w:hAnsi="宋体" w:eastAsia="宋体" w:cs="宋体"/>
          <w:color w:val="000000" w:themeColor="text1"/>
          <w:highlight w:val="none"/>
          <w:u w:val="single"/>
          <w14:textFill>
            <w14:solidFill>
              <w14:schemeClr w14:val="tx1"/>
            </w14:solidFill>
          </w14:textFill>
        </w:rPr>
        <w:t xml:space="preserve">           </w:t>
      </w:r>
    </w:p>
    <w:p w14:paraId="0C5B38BF">
      <w:pPr>
        <w:spacing w:after="0" w:line="360" w:lineRule="auto"/>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电话：</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传真：</w:t>
      </w:r>
      <w:r>
        <w:rPr>
          <w:rFonts w:hint="eastAsia" w:ascii="宋体" w:hAnsi="宋体" w:eastAsia="宋体" w:cs="宋体"/>
          <w:color w:val="000000" w:themeColor="text1"/>
          <w:highlight w:val="none"/>
          <w:u w:val="single"/>
          <w14:textFill>
            <w14:solidFill>
              <w14:schemeClr w14:val="tx1"/>
            </w14:solidFill>
          </w14:textFill>
        </w:rPr>
        <w:t xml:space="preserve">           </w:t>
      </w:r>
    </w:p>
    <w:p w14:paraId="140AB601">
      <w:pPr>
        <w:spacing w:after="0" w:line="360" w:lineRule="auto"/>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法定代表人或委托代理人：</w:t>
      </w:r>
      <w:r>
        <w:rPr>
          <w:rFonts w:hint="eastAsia" w:ascii="宋体" w:hAnsi="宋体" w:eastAsia="宋体" w:cs="宋体"/>
          <w:color w:val="000000" w:themeColor="text1"/>
          <w:highlight w:val="none"/>
          <w:u w:val="single"/>
          <w14:textFill>
            <w14:solidFill>
              <w14:schemeClr w14:val="tx1"/>
            </w14:solidFill>
          </w14:textFill>
        </w:rPr>
        <w:t xml:space="preserve">              （签字）        </w:t>
      </w:r>
    </w:p>
    <w:p w14:paraId="45F1C72E">
      <w:pPr>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日</w:t>
      </w:r>
    </w:p>
    <w:p w14:paraId="4DD2D295">
      <w:pPr>
        <w:spacing w:after="0" w:line="500" w:lineRule="exact"/>
        <w:ind w:firstLine="480" w:firstLineChars="200"/>
        <w:rPr>
          <w:rFonts w:ascii="宋体" w:hAnsi="宋体" w:cs="宋体"/>
          <w:color w:val="000000" w:themeColor="text1"/>
          <w:highlight w:val="none"/>
          <w14:textFill>
            <w14:solidFill>
              <w14:schemeClr w14:val="tx1"/>
            </w14:solidFill>
          </w14:textFill>
        </w:rPr>
      </w:pPr>
    </w:p>
    <w:p w14:paraId="7B64E751">
      <w:pPr>
        <w:pStyle w:val="82"/>
        <w:rPr>
          <w:rFonts w:hAnsi="宋体"/>
          <w:b/>
          <w:color w:val="000000" w:themeColor="text1"/>
          <w:sz w:val="32"/>
          <w:szCs w:val="32"/>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br w:type="page"/>
      </w:r>
      <w:r>
        <w:rPr>
          <w:rFonts w:hint="eastAsia" w:hAnsi="宋体"/>
          <w:b/>
          <w:color w:val="000000" w:themeColor="text1"/>
          <w:sz w:val="32"/>
          <w:szCs w:val="32"/>
          <w:highlight w:val="none"/>
          <w14:textFill>
            <w14:solidFill>
              <w14:schemeClr w14:val="tx1"/>
            </w14:solidFill>
          </w14:textFill>
        </w:rPr>
        <w:t>二、供应商针对报价需要说明的其他文件和说明</w:t>
      </w:r>
    </w:p>
    <w:p w14:paraId="3A06E793">
      <w:pPr>
        <w:pStyle w:val="82"/>
        <w:rPr>
          <w:rFonts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（格式自拟，没有请填“无”）</w:t>
      </w:r>
    </w:p>
    <w:p w14:paraId="7BC543E1">
      <w:pPr>
        <w:pStyle w:val="82"/>
        <w:rPr>
          <w:rFonts w:hAnsi="宋体"/>
          <w:color w:val="000000" w:themeColor="text1"/>
          <w:highlight w:val="none"/>
          <w14:textFill>
            <w14:solidFill>
              <w14:schemeClr w14:val="tx1"/>
            </w14:solidFill>
          </w14:textFill>
        </w:rPr>
      </w:pPr>
    </w:p>
    <w:p w14:paraId="7DD7BAE5">
      <w:pPr>
        <w:rPr>
          <w:rFonts w:ascii="宋体" w:hAnsi="宋体" w:cs="宋体"/>
          <w:color w:val="000000" w:themeColor="text1"/>
          <w:highlight w:val="none"/>
          <w14:textFill>
            <w14:solidFill>
              <w14:schemeClr w14:val="tx1"/>
            </w14:solidFill>
          </w14:textFill>
        </w:rPr>
      </w:pPr>
    </w:p>
    <w:p w14:paraId="674CBF72">
      <w:pPr>
        <w:pStyle w:val="28"/>
        <w:rPr>
          <w:rFonts w:ascii="宋体" w:hAnsi="宋体" w:cs="宋体"/>
          <w:color w:val="000000" w:themeColor="text1"/>
          <w:sz w:val="24"/>
          <w:highlight w:val="none"/>
          <w14:textFill>
            <w14:solidFill>
              <w14:schemeClr w14:val="tx1"/>
            </w14:solidFill>
          </w14:textFill>
        </w:rPr>
      </w:pPr>
    </w:p>
    <w:p w14:paraId="76D271CC">
      <w:pPr>
        <w:rPr>
          <w:rFonts w:ascii="宋体" w:hAnsi="宋体" w:cs="宋体"/>
          <w:color w:val="000000" w:themeColor="text1"/>
          <w:highlight w:val="none"/>
          <w14:textFill>
            <w14:solidFill>
              <w14:schemeClr w14:val="tx1"/>
            </w14:solidFill>
          </w14:textFill>
        </w:rPr>
      </w:pPr>
    </w:p>
    <w:p w14:paraId="5E1F4C57">
      <w:pPr>
        <w:pStyle w:val="28"/>
        <w:rPr>
          <w:rFonts w:ascii="宋体" w:hAnsi="宋体" w:cs="宋体"/>
          <w:color w:val="000000" w:themeColor="text1"/>
          <w:sz w:val="24"/>
          <w:highlight w:val="none"/>
          <w14:textFill>
            <w14:solidFill>
              <w14:schemeClr w14:val="tx1"/>
            </w14:solidFill>
          </w14:textFill>
        </w:rPr>
      </w:pPr>
    </w:p>
    <w:p w14:paraId="10ACC805">
      <w:pPr>
        <w:rPr>
          <w:rFonts w:ascii="宋体" w:hAnsi="宋体" w:cs="宋体"/>
          <w:color w:val="000000" w:themeColor="text1"/>
          <w:highlight w:val="none"/>
          <w14:textFill>
            <w14:solidFill>
              <w14:schemeClr w14:val="tx1"/>
            </w14:solidFill>
          </w14:textFill>
        </w:rPr>
      </w:pPr>
    </w:p>
    <w:p w14:paraId="19255765">
      <w:pPr>
        <w:pStyle w:val="28"/>
        <w:rPr>
          <w:rFonts w:ascii="宋体" w:hAnsi="宋体" w:cs="宋体"/>
          <w:color w:val="000000" w:themeColor="text1"/>
          <w:sz w:val="24"/>
          <w:highlight w:val="none"/>
          <w14:textFill>
            <w14:solidFill>
              <w14:schemeClr w14:val="tx1"/>
            </w14:solidFill>
          </w14:textFill>
        </w:rPr>
      </w:pPr>
    </w:p>
    <w:p w14:paraId="75BF849F">
      <w:pPr>
        <w:rPr>
          <w:rFonts w:ascii="宋体" w:hAnsi="宋体" w:cs="宋体"/>
          <w:color w:val="000000" w:themeColor="text1"/>
          <w:highlight w:val="none"/>
          <w14:textFill>
            <w14:solidFill>
              <w14:schemeClr w14:val="tx1"/>
            </w14:solidFill>
          </w14:textFill>
        </w:rPr>
      </w:pPr>
    </w:p>
    <w:p w14:paraId="476C95DF">
      <w:pPr>
        <w:pStyle w:val="28"/>
        <w:rPr>
          <w:rFonts w:ascii="宋体" w:hAnsi="宋体" w:cs="宋体"/>
          <w:color w:val="000000" w:themeColor="text1"/>
          <w:sz w:val="24"/>
          <w:highlight w:val="none"/>
          <w14:textFill>
            <w14:solidFill>
              <w14:schemeClr w14:val="tx1"/>
            </w14:solidFill>
          </w14:textFill>
        </w:rPr>
      </w:pPr>
    </w:p>
    <w:p w14:paraId="55BEF6E8">
      <w:pPr>
        <w:rPr>
          <w:rFonts w:ascii="宋体" w:hAnsi="宋体" w:cs="宋体"/>
          <w:color w:val="000000" w:themeColor="text1"/>
          <w:highlight w:val="none"/>
          <w14:textFill>
            <w14:solidFill>
              <w14:schemeClr w14:val="tx1"/>
            </w14:solidFill>
          </w14:textFill>
        </w:rPr>
      </w:pPr>
    </w:p>
    <w:p w14:paraId="2CFB1924">
      <w:pPr>
        <w:pStyle w:val="28"/>
        <w:rPr>
          <w:rFonts w:ascii="宋体" w:hAnsi="宋体" w:cs="宋体"/>
          <w:color w:val="000000" w:themeColor="text1"/>
          <w:sz w:val="24"/>
          <w:highlight w:val="none"/>
          <w14:textFill>
            <w14:solidFill>
              <w14:schemeClr w14:val="tx1"/>
            </w14:solidFill>
          </w14:textFill>
        </w:rPr>
      </w:pPr>
    </w:p>
    <w:p w14:paraId="1195ACD2">
      <w:pPr>
        <w:rPr>
          <w:rFonts w:ascii="宋体" w:hAnsi="宋体" w:cs="宋体"/>
          <w:color w:val="000000" w:themeColor="text1"/>
          <w:highlight w:val="none"/>
          <w14:textFill>
            <w14:solidFill>
              <w14:schemeClr w14:val="tx1"/>
            </w14:solidFill>
          </w14:textFill>
        </w:rPr>
      </w:pPr>
    </w:p>
    <w:p w14:paraId="6D914195">
      <w:pPr>
        <w:pStyle w:val="28"/>
        <w:rPr>
          <w:rFonts w:ascii="宋体" w:hAnsi="宋体" w:cs="宋体"/>
          <w:color w:val="000000" w:themeColor="text1"/>
          <w:sz w:val="24"/>
          <w:highlight w:val="none"/>
          <w14:textFill>
            <w14:solidFill>
              <w14:schemeClr w14:val="tx1"/>
            </w14:solidFill>
          </w14:textFill>
        </w:rPr>
      </w:pPr>
    </w:p>
    <w:p w14:paraId="3B716B1F">
      <w:pPr>
        <w:rPr>
          <w:rFonts w:ascii="宋体" w:hAnsi="宋体" w:cs="宋体"/>
          <w:color w:val="000000" w:themeColor="text1"/>
          <w:highlight w:val="none"/>
          <w14:textFill>
            <w14:solidFill>
              <w14:schemeClr w14:val="tx1"/>
            </w14:solidFill>
          </w14:textFill>
        </w:rPr>
      </w:pPr>
    </w:p>
    <w:p w14:paraId="5F065171">
      <w:pPr>
        <w:pStyle w:val="28"/>
        <w:rPr>
          <w:rFonts w:ascii="宋体" w:hAnsi="宋体" w:cs="宋体"/>
          <w:color w:val="000000" w:themeColor="text1"/>
          <w:sz w:val="24"/>
          <w:highlight w:val="none"/>
          <w14:textFill>
            <w14:solidFill>
              <w14:schemeClr w14:val="tx1"/>
            </w14:solidFill>
          </w14:textFill>
        </w:rPr>
      </w:pPr>
    </w:p>
    <w:p w14:paraId="1A6FF8D2">
      <w:pPr>
        <w:rPr>
          <w:rFonts w:ascii="宋体" w:hAnsi="宋体" w:cs="宋体"/>
          <w:color w:val="000000" w:themeColor="text1"/>
          <w:highlight w:val="none"/>
          <w14:textFill>
            <w14:solidFill>
              <w14:schemeClr w14:val="tx1"/>
            </w14:solidFill>
          </w14:textFill>
        </w:rPr>
      </w:pPr>
    </w:p>
    <w:p w14:paraId="07C7A5FB">
      <w:pPr>
        <w:pStyle w:val="28"/>
        <w:rPr>
          <w:rFonts w:ascii="宋体" w:hAnsi="宋体" w:cs="宋体"/>
          <w:color w:val="000000" w:themeColor="text1"/>
          <w:sz w:val="24"/>
          <w:highlight w:val="none"/>
          <w14:textFill>
            <w14:solidFill>
              <w14:schemeClr w14:val="tx1"/>
            </w14:solidFill>
          </w14:textFill>
        </w:rPr>
      </w:pPr>
    </w:p>
    <w:p w14:paraId="2A67B59C">
      <w:pPr>
        <w:rPr>
          <w:rFonts w:ascii="宋体" w:hAnsi="宋体" w:cs="宋体"/>
          <w:color w:val="000000" w:themeColor="text1"/>
          <w:highlight w:val="none"/>
          <w14:textFill>
            <w14:solidFill>
              <w14:schemeClr w14:val="tx1"/>
            </w14:solidFill>
          </w14:textFill>
        </w:rPr>
      </w:pPr>
    </w:p>
    <w:p w14:paraId="2035A0CE">
      <w:pPr>
        <w:pStyle w:val="28"/>
        <w:rPr>
          <w:rFonts w:ascii="宋体" w:hAnsi="宋体" w:cs="宋体"/>
          <w:color w:val="000000" w:themeColor="text1"/>
          <w:sz w:val="24"/>
          <w:highlight w:val="none"/>
          <w14:textFill>
            <w14:solidFill>
              <w14:schemeClr w14:val="tx1"/>
            </w14:solidFill>
          </w14:textFill>
        </w:rPr>
      </w:pPr>
    </w:p>
    <w:p w14:paraId="3BD16018">
      <w:pPr>
        <w:rPr>
          <w:rFonts w:ascii="宋体" w:hAnsi="宋体" w:cs="宋体"/>
          <w:color w:val="000000" w:themeColor="text1"/>
          <w:highlight w:val="none"/>
          <w14:textFill>
            <w14:solidFill>
              <w14:schemeClr w14:val="tx1"/>
            </w14:solidFill>
          </w14:textFill>
        </w:rPr>
      </w:pPr>
    </w:p>
    <w:p w14:paraId="27F2A881">
      <w:pPr>
        <w:pStyle w:val="28"/>
        <w:rPr>
          <w:rFonts w:ascii="宋体" w:hAnsi="宋体" w:cs="宋体"/>
          <w:color w:val="000000" w:themeColor="text1"/>
          <w:sz w:val="24"/>
          <w:highlight w:val="none"/>
          <w14:textFill>
            <w14:solidFill>
              <w14:schemeClr w14:val="tx1"/>
            </w14:solidFill>
          </w14:textFill>
        </w:rPr>
      </w:pPr>
    </w:p>
    <w:p w14:paraId="0BBD8D30">
      <w:pPr>
        <w:rPr>
          <w:rFonts w:ascii="宋体" w:hAnsi="宋体" w:cs="宋体"/>
          <w:color w:val="000000" w:themeColor="text1"/>
          <w:highlight w:val="none"/>
          <w14:textFill>
            <w14:solidFill>
              <w14:schemeClr w14:val="tx1"/>
            </w14:solidFill>
          </w14:textFill>
        </w:rPr>
      </w:pPr>
    </w:p>
    <w:p w14:paraId="181F51C7">
      <w:pPr>
        <w:pStyle w:val="28"/>
        <w:rPr>
          <w:rFonts w:ascii="宋体" w:hAnsi="宋体" w:cs="宋体"/>
          <w:color w:val="000000" w:themeColor="text1"/>
          <w:sz w:val="24"/>
          <w:highlight w:val="none"/>
          <w14:textFill>
            <w14:solidFill>
              <w14:schemeClr w14:val="tx1"/>
            </w14:solidFill>
          </w14:textFill>
        </w:rPr>
      </w:pPr>
    </w:p>
    <w:p w14:paraId="61E96D13">
      <w:pPr>
        <w:rPr>
          <w:rFonts w:ascii="宋体" w:hAnsi="宋体" w:cs="宋体"/>
          <w:color w:val="000000" w:themeColor="text1"/>
          <w:highlight w:val="none"/>
          <w14:textFill>
            <w14:solidFill>
              <w14:schemeClr w14:val="tx1"/>
            </w14:solidFill>
          </w14:textFill>
        </w:rPr>
      </w:pPr>
    </w:p>
    <w:p w14:paraId="15E3B3FD">
      <w:pPr>
        <w:pStyle w:val="28"/>
        <w:rPr>
          <w:color w:val="000000" w:themeColor="text1"/>
          <w:highlight w:val="none"/>
          <w14:textFill>
            <w14:solidFill>
              <w14:schemeClr w14:val="tx1"/>
            </w14:solidFill>
          </w14:textFill>
        </w:rPr>
      </w:pPr>
    </w:p>
    <w:p w14:paraId="53BDDDC3">
      <w:pPr>
        <w:pStyle w:val="82"/>
        <w:rPr>
          <w:rFonts w:hAnsi="宋体"/>
          <w:b/>
          <w:color w:val="000000" w:themeColor="text1"/>
          <w:sz w:val="28"/>
          <w:szCs w:val="28"/>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三、符合政府采购政策价格扣除证明材料</w:t>
      </w:r>
    </w:p>
    <w:p w14:paraId="7F5763F9">
      <w:pPr>
        <w:spacing w:beforeLines="50" w:after="50"/>
        <w:jc w:val="center"/>
        <w:rPr>
          <w:rFonts w:ascii="宋体" w:hAnsi="宋体" w:cs="宋体"/>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关于符合本国产品标准的声明函</w:t>
      </w:r>
    </w:p>
    <w:p w14:paraId="1C452412">
      <w:pPr>
        <w:shd w:val="clear" w:color="auto" w:fill="FFFFFF"/>
        <w:spacing w:line="480" w:lineRule="exact"/>
        <w:textAlignment w:val="baseline"/>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本公司(单位)郑重声明，根据《国务院办公厅关于在政府采购中实施本国产品标准及相关政策的通知》(国办发〔2025〕34号)的规定，本公司(单位)提供的以下产品属于本国产品。具体情况如下：</w:t>
      </w:r>
    </w:p>
    <w:p w14:paraId="1D7FA04A">
      <w:pPr>
        <w:shd w:val="clear" w:color="auto" w:fill="FFFFFF"/>
        <w:spacing w:line="480" w:lineRule="exact"/>
        <w:textAlignment w:val="baseline"/>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1.(产品名称1)1，生产厂为(厂名)2，厂址为(生产厂址)。(产品名称1)的中国境内生产的组件成本占比≥(规定比例)3。(产品名称1)的(关键组件)4在中国境内生产。(产品名称1)的(关键工序)5在中国境内完成。</w:t>
      </w:r>
    </w:p>
    <w:p w14:paraId="6AC1A8BF">
      <w:pPr>
        <w:shd w:val="clear" w:color="auto" w:fill="FFFFFF"/>
        <w:spacing w:line="480" w:lineRule="exact"/>
        <w:textAlignment w:val="baseline"/>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2.(产品名称2)，生产厂为(厂名)，厂址为(生产厂址)。(产品名称2)的中国境内生产的组件成本占比≥(规定比例)。(产品名称2)的(关键组件)在中国境内生产。(产品名称2)的(关键工序)在中国境内完成。</w:t>
      </w:r>
    </w:p>
    <w:p w14:paraId="7D06CD97">
      <w:pPr>
        <w:shd w:val="clear" w:color="auto" w:fill="FFFFFF"/>
        <w:spacing w:line="480" w:lineRule="exact"/>
        <w:ind w:firstLine="600" w:firstLineChars="200"/>
        <w:textAlignment w:val="baseline"/>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sz w:val="30"/>
          <w:szCs w:val="30"/>
          <w:highlight w:val="none"/>
          <w14:textFill>
            <w14:solidFill>
              <w14:schemeClr w14:val="tx1"/>
            </w14:solidFill>
          </w14:textFill>
        </w:rPr>
        <w:t>……</w:t>
      </w:r>
    </w:p>
    <w:p w14:paraId="68884FE5">
      <w:pPr>
        <w:shd w:val="clear" w:color="auto" w:fill="FFFFFF"/>
        <w:spacing w:line="480" w:lineRule="exact"/>
        <w:textAlignment w:val="baseline"/>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本公司(单位)对上述声明内容的真实性负责。如有虚假，愿承担相应法律责任。</w:t>
      </w:r>
    </w:p>
    <w:p w14:paraId="1E5F363A">
      <w:pPr>
        <w:shd w:val="clear" w:color="auto" w:fill="FFFFFF"/>
        <w:spacing w:line="480" w:lineRule="exact"/>
        <w:jc w:val="right"/>
        <w:textAlignment w:val="baseline"/>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公司(单位)名称(盖章)：</w:t>
      </w:r>
    </w:p>
    <w:p w14:paraId="3E51CF88">
      <w:pPr>
        <w:shd w:val="clear" w:color="auto" w:fill="FFFFFF"/>
        <w:wordWrap w:val="0"/>
        <w:spacing w:line="480" w:lineRule="exact"/>
        <w:jc w:val="right"/>
        <w:textAlignment w:val="baseline"/>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日期：  年   月   日 </w:t>
      </w:r>
    </w:p>
    <w:p w14:paraId="71E4760E">
      <w:pPr>
        <w:shd w:val="clear" w:color="auto" w:fill="FFFFFF"/>
        <w:spacing w:line="480" w:lineRule="exact"/>
        <w:textAlignment w:val="baseline"/>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__________________</w:t>
      </w:r>
    </w:p>
    <w:p w14:paraId="15A24E58">
      <w:pPr>
        <w:shd w:val="clear" w:color="auto" w:fill="FFFFFF"/>
        <w:spacing w:after="0" w:line="360" w:lineRule="exact"/>
        <w:textAlignment w:val="baseline"/>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1.产品如有型号，请在“产品名称”栏一并填写。</w:t>
      </w:r>
    </w:p>
    <w:p w14:paraId="787BDC41">
      <w:pPr>
        <w:shd w:val="clear" w:color="auto" w:fill="FFFFFF"/>
        <w:spacing w:after="0" w:line="360" w:lineRule="exact"/>
        <w:textAlignment w:val="baseline"/>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2.生产厂名与厂址应与生产厂营业执照载明的相关信息保持一致。</w:t>
      </w:r>
    </w:p>
    <w:p w14:paraId="47F343A4">
      <w:pPr>
        <w:shd w:val="clear" w:color="auto" w:fill="FFFFFF"/>
        <w:spacing w:after="0" w:line="360" w:lineRule="exact"/>
        <w:textAlignment w:val="baseline"/>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3.该产品的中国境内生产的组件成本占比相关要求实施前，“规定比例”栏可不填，下同。</w:t>
      </w:r>
    </w:p>
    <w:p w14:paraId="3F1DAB87">
      <w:pPr>
        <w:shd w:val="clear" w:color="auto" w:fill="FFFFFF"/>
        <w:spacing w:after="0" w:line="360" w:lineRule="exact"/>
        <w:textAlignment w:val="baseline"/>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4.该产品的关键组件要求实施前，“关键组件”栏可不填，下同。</w:t>
      </w:r>
    </w:p>
    <w:p w14:paraId="77EA2AEF">
      <w:pPr>
        <w:shd w:val="clear" w:color="auto" w:fill="FFFFFF"/>
        <w:spacing w:after="0" w:line="360" w:lineRule="exact"/>
        <w:textAlignment w:val="baseline"/>
        <w:rPr>
          <w:rFonts w:ascii="宋体" w:hAnsi="宋体" w:cs="宋体"/>
          <w:color w:val="000000" w:themeColor="text1"/>
          <w:sz w:val="30"/>
          <w:szCs w:val="30"/>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5.该产品的关键工序要求实施前，“关键工序”栏可不填，下同。</w:t>
      </w:r>
    </w:p>
    <w:p w14:paraId="5C9FF495">
      <w:pPr>
        <w:spacing w:line="400" w:lineRule="exact"/>
        <w:contextualSpacing/>
        <w:rPr>
          <w:rFonts w:ascii="宋体" w:hAnsi="宋体"/>
          <w:color w:val="000000" w:themeColor="text1"/>
          <w:highlight w:val="none"/>
          <w14:textFill>
            <w14:solidFill>
              <w14:schemeClr w14:val="tx1"/>
            </w14:solidFill>
          </w14:textFill>
        </w:rPr>
      </w:pPr>
    </w:p>
    <w:p w14:paraId="6CAD751A">
      <w:pPr>
        <w:shd w:val="clear" w:color="auto" w:fill="FFFFFF"/>
        <w:spacing w:line="480" w:lineRule="exact"/>
        <w:textAlignment w:val="baseline"/>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注：请根据自己的真实情况出具《关于符合本国产品标准的声明函》或有关证明文件。依法享受本国产品优惠政策的，采购人、采购代理机构应当随中标、成交结果同时公告中标、成交供应商提供的《关于符合本国产品标准的声明函》或有关证明文件。</w:t>
      </w:r>
    </w:p>
    <w:p w14:paraId="3B676D01">
      <w:pPr>
        <w:rPr>
          <w:rFonts w:ascii="宋体" w:hAnsi="宋体"/>
          <w:b/>
          <w:color w:val="000000" w:themeColor="text1"/>
          <w:highlight w:val="none"/>
          <w14:textFill>
            <w14:solidFill>
              <w14:schemeClr w14:val="tx1"/>
            </w14:solidFill>
          </w14:textFill>
        </w:rPr>
      </w:pPr>
    </w:p>
    <w:p w14:paraId="382E2741">
      <w:pPr>
        <w:jc w:val="center"/>
        <w:rPr>
          <w:rFonts w:ascii="宋体" w:hAnsi="宋体" w:eastAsia="宋体" w:cs="宋体"/>
          <w:snapToGrid w:val="0"/>
          <w:color w:val="000000" w:themeColor="text1"/>
          <w:sz w:val="32"/>
          <w:szCs w:val="32"/>
          <w:highlight w:val="none"/>
          <w14:textFill>
            <w14:solidFill>
              <w14:schemeClr w14:val="tx1"/>
            </w14:solidFill>
          </w14:textFill>
        </w:rPr>
      </w:pPr>
      <w:r>
        <w:rPr>
          <w:rFonts w:hint="eastAsia" w:ascii="宋体" w:hAnsi="宋体" w:eastAsia="宋体" w:cs="宋体"/>
          <w:b/>
          <w:bCs/>
          <w:snapToGrid w:val="0"/>
          <w:color w:val="000000" w:themeColor="text1"/>
          <w:highlight w:val="none"/>
          <w14:textFill>
            <w14:solidFill>
              <w14:schemeClr w14:val="tx1"/>
            </w14:solidFill>
          </w14:textFill>
        </w:rPr>
        <w:t>关于符合本国产品标准的成本占比承诺函</w:t>
      </w:r>
    </w:p>
    <w:p w14:paraId="0965CD53">
      <w:pPr>
        <w:jc w:val="center"/>
        <w:rPr>
          <w:rFonts w:ascii="宋体" w:hAnsi="宋体" w:eastAsia="宋体" w:cs="宋体"/>
          <w:snapToGrid w:val="0"/>
          <w:color w:val="000000" w:themeColor="text1"/>
          <w:sz w:val="32"/>
          <w:szCs w:val="32"/>
          <w:highlight w:val="none"/>
          <w14:textFill>
            <w14:solidFill>
              <w14:schemeClr w14:val="tx1"/>
            </w14:solidFill>
          </w14:textFill>
        </w:rPr>
      </w:pPr>
    </w:p>
    <w:tbl>
      <w:tblPr>
        <w:tblStyle w:val="45"/>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8"/>
        <w:gridCol w:w="2092"/>
      </w:tblGrid>
      <w:tr w14:paraId="00222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208" w:type="dxa"/>
            <w:vAlign w:val="center"/>
          </w:tcPr>
          <w:p w14:paraId="2C3C3F5C">
            <w:pPr>
              <w:kinsoku w:val="0"/>
              <w:autoSpaceDE w:val="0"/>
              <w:autoSpaceDN w:val="0"/>
              <w:jc w:val="center"/>
              <w:textAlignment w:val="baseline"/>
              <w:rPr>
                <w:rFonts w:ascii="宋体" w:hAnsi="宋体" w:eastAsia="宋体" w:cs="宋体"/>
                <w:b/>
                <w:bCs/>
                <w:snapToGrid w:val="0"/>
                <w:color w:val="000000" w:themeColor="text1"/>
                <w:highlight w:val="none"/>
                <w:shd w:val="clear" w:color="auto" w:fill="FFFFFF"/>
                <w14:textFill>
                  <w14:solidFill>
                    <w14:schemeClr w14:val="tx1"/>
                  </w14:solidFill>
                </w14:textFill>
              </w:rPr>
            </w:pPr>
            <w:r>
              <w:rPr>
                <w:rFonts w:hint="eastAsia" w:ascii="宋体" w:hAnsi="宋体" w:eastAsia="宋体" w:cs="宋体"/>
                <w:b/>
                <w:bCs/>
                <w:snapToGrid w:val="0"/>
                <w:color w:val="000000" w:themeColor="text1"/>
                <w:highlight w:val="none"/>
                <w:shd w:val="clear" w:color="auto" w:fill="FFFFFF"/>
                <w14:textFill>
                  <w14:solidFill>
                    <w14:schemeClr w14:val="tx1"/>
                  </w14:solidFill>
                </w14:textFill>
              </w:rPr>
              <w:t>项目</w:t>
            </w:r>
          </w:p>
        </w:tc>
        <w:tc>
          <w:tcPr>
            <w:tcW w:w="2092" w:type="dxa"/>
            <w:vAlign w:val="center"/>
          </w:tcPr>
          <w:p w14:paraId="5AA15C7C">
            <w:pPr>
              <w:kinsoku w:val="0"/>
              <w:autoSpaceDE w:val="0"/>
              <w:autoSpaceDN w:val="0"/>
              <w:jc w:val="center"/>
              <w:textAlignment w:val="baseline"/>
              <w:rPr>
                <w:rFonts w:ascii="宋体" w:hAnsi="宋体" w:eastAsia="宋体" w:cs="宋体"/>
                <w:b/>
                <w:bCs/>
                <w:snapToGrid w:val="0"/>
                <w:color w:val="000000" w:themeColor="text1"/>
                <w:highlight w:val="none"/>
                <w:shd w:val="clear" w:color="auto" w:fill="FFFFFF"/>
                <w14:textFill>
                  <w14:solidFill>
                    <w14:schemeClr w14:val="tx1"/>
                  </w14:solidFill>
                </w14:textFill>
              </w:rPr>
            </w:pPr>
            <w:r>
              <w:rPr>
                <w:rFonts w:hint="eastAsia" w:ascii="宋体" w:hAnsi="宋体" w:eastAsia="宋体" w:cs="宋体"/>
                <w:b/>
                <w:bCs/>
                <w:snapToGrid w:val="0"/>
                <w:color w:val="000000" w:themeColor="text1"/>
                <w:highlight w:val="none"/>
                <w:shd w:val="clear" w:color="auto" w:fill="FFFFFF"/>
                <w14:textFill>
                  <w14:solidFill>
                    <w14:schemeClr w14:val="tx1"/>
                  </w14:solidFill>
                </w14:textFill>
              </w:rPr>
              <w:t>填写内容</w:t>
            </w:r>
          </w:p>
        </w:tc>
      </w:tr>
      <w:tr w14:paraId="2D40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8" w:type="dxa"/>
            <w:vAlign w:val="center"/>
          </w:tcPr>
          <w:p w14:paraId="7F64E908">
            <w:pPr>
              <w:kinsoku w:val="0"/>
              <w:autoSpaceDE w:val="0"/>
              <w:autoSpaceDN w:val="0"/>
              <w:jc w:val="center"/>
              <w:textAlignment w:val="baseline"/>
              <w:rPr>
                <w:rFonts w:ascii="宋体" w:hAnsi="宋体" w:eastAsia="宋体" w:cs="宋体"/>
                <w:snapToGrid w:val="0"/>
                <w:color w:val="000000" w:themeColor="text1"/>
                <w:highlight w:val="none"/>
                <w:shd w:val="clear" w:color="auto" w:fill="FFFFFF"/>
                <w14:textFill>
                  <w14:solidFill>
                    <w14:schemeClr w14:val="tx1"/>
                  </w14:solidFill>
                </w14:textFill>
              </w:rPr>
            </w:pPr>
          </w:p>
          <w:p w14:paraId="4A330A9F">
            <w:pPr>
              <w:kinsoku w:val="0"/>
              <w:autoSpaceDE w:val="0"/>
              <w:autoSpaceDN w:val="0"/>
              <w:jc w:val="center"/>
              <w:textAlignment w:val="baseline"/>
              <w:rPr>
                <w:rFonts w:ascii="宋体" w:hAnsi="宋体" w:eastAsia="宋体" w:cs="宋体"/>
                <w:snapToGrid w:val="0"/>
                <w:color w:val="000000" w:themeColor="text1"/>
                <w:spacing w:val="4"/>
                <w:highlight w:val="none"/>
                <w:bdr w:val="single" w:color="auto" w:sz="2" w:space="0"/>
                <w:shd w:val="clear" w:color="auto" w:fill="FFFFFF"/>
                <w:lang w:eastAsia="en-US"/>
                <w14:textFill>
                  <w14:solidFill>
                    <w14:schemeClr w14:val="tx1"/>
                  </w14:solidFill>
                </w14:textFill>
              </w:rPr>
            </w:pPr>
            <m:oMathPara>
              <m:oMath>
                <m:r>
                  <m:rPr>
                    <m:sty m:val="p"/>
                  </m:rPr>
                  <w:rPr>
                    <w:rFonts w:hint="eastAsia" w:ascii="Cambria Math" w:hAnsi="Cambria Math" w:cs="宋体"/>
                    <w:snapToGrid w:val="0"/>
                    <w:color w:val="000000" w:themeColor="text1"/>
                    <w:highlight w:val="none"/>
                    <w:lang w:eastAsia="en-US"/>
                    <w14:textFill>
                      <w14:solidFill>
                        <w14:schemeClr w14:val="tx1"/>
                      </w14:solidFill>
                    </w14:textFill>
                  </w:rPr>
                  <m:t>比例</m:t>
                </m:r>
                <m:r>
                  <m:rPr/>
                  <w:rPr>
                    <w:rFonts w:hint="eastAsia" w:ascii="Cambria Math" w:hAnsi="Cambria Math" w:cs="宋体"/>
                    <w:snapToGrid w:val="0"/>
                    <w:color w:val="000000" w:themeColor="text1"/>
                    <w:highlight w:val="none"/>
                    <w:lang w:eastAsia="en-US"/>
                    <w14:textFill>
                      <w14:solidFill>
                        <w14:schemeClr w14:val="tx1"/>
                      </w14:solidFill>
                    </w14:textFill>
                  </w:rPr>
                  <m:t>=</m:t>
                </m:r>
                <m:f>
                  <m:fPr>
                    <m:ctrlPr>
                      <w:rPr>
                        <w:rFonts w:ascii="Cambria Math" w:hAnsi="Cambria Math" w:eastAsia="宋体" w:cs="宋体"/>
                        <w:i/>
                        <w:snapToGrid w:val="0"/>
                        <w:color w:val="000000" w:themeColor="text1"/>
                        <w:highlight w:val="none"/>
                        <w:lang w:eastAsia="en-US"/>
                        <w14:textFill>
                          <w14:solidFill>
                            <w14:schemeClr w14:val="tx1"/>
                          </w14:solidFill>
                        </w14:textFill>
                      </w:rPr>
                    </m:ctrlPr>
                  </m:fPr>
                  <m:num>
                    <m:r>
                      <m:rPr>
                        <m:sty m:val="p"/>
                      </m:rPr>
                      <w:rPr>
                        <w:rFonts w:hint="eastAsia" w:ascii="Cambria Math" w:hAnsi="Cambria Math" w:cs="宋体"/>
                        <w:snapToGrid w:val="0"/>
                        <w:color w:val="000000" w:themeColor="text1"/>
                        <w:highlight w:val="none"/>
                        <w:lang w:eastAsia="en-US"/>
                        <w14:textFill>
                          <w14:solidFill>
                            <w14:schemeClr w14:val="tx1"/>
                          </w14:solidFill>
                        </w14:textFill>
                      </w:rPr>
                      <m:t>符合本国产品标准的投标产品成本之和</m:t>
                    </m:r>
                    <m:ctrlPr>
                      <w:rPr>
                        <w:rFonts w:ascii="Cambria Math" w:hAnsi="Cambria Math" w:eastAsia="宋体" w:cs="宋体"/>
                        <w:snapToGrid w:val="0"/>
                        <w:color w:val="000000" w:themeColor="text1"/>
                        <w:highlight w:val="none"/>
                        <w:lang w:eastAsia="en-US"/>
                        <w14:textFill>
                          <w14:solidFill>
                            <w14:schemeClr w14:val="tx1"/>
                          </w14:solidFill>
                        </w14:textFill>
                      </w:rPr>
                    </m:ctrlPr>
                  </m:num>
                  <m:den>
                    <m:r>
                      <m:rPr>
                        <m:sty m:val="p"/>
                      </m:rPr>
                      <w:rPr>
                        <w:rFonts w:hint="eastAsia" w:ascii="Cambria Math" w:hAnsi="Cambria Math" w:cs="宋体"/>
                        <w:snapToGrid w:val="0"/>
                        <w:color w:val="000000" w:themeColor="text1"/>
                        <w:highlight w:val="none"/>
                        <w:lang w:eastAsia="en-US"/>
                        <w14:textFill>
                          <w14:solidFill>
                            <w14:schemeClr w14:val="tx1"/>
                          </w14:solidFill>
                        </w14:textFill>
                      </w:rPr>
                      <m:t>提供的全部产品成本之和</m:t>
                    </m:r>
                    <m:ctrlPr>
                      <w:rPr>
                        <w:rFonts w:ascii="Cambria Math" w:hAnsi="Cambria Math" w:eastAsia="宋体" w:cs="宋体"/>
                        <w:snapToGrid w:val="0"/>
                        <w:color w:val="000000" w:themeColor="text1"/>
                        <w:highlight w:val="none"/>
                        <w:lang w:eastAsia="en-US"/>
                        <w14:textFill>
                          <w14:solidFill>
                            <w14:schemeClr w14:val="tx1"/>
                          </w14:solidFill>
                        </w14:textFill>
                      </w:rPr>
                    </m:ctrlPr>
                  </m:den>
                </m:f>
                <m:r>
                  <m:rPr>
                    <m:sty m:val="p"/>
                  </m:rPr>
                  <w:rPr>
                    <w:rFonts w:hint="eastAsia" w:ascii="Cambria Math" w:hAnsi="Cambria Math" w:cs="宋体"/>
                    <w:snapToGrid w:val="0"/>
                    <w:color w:val="000000" w:themeColor="text1"/>
                    <w:highlight w:val="none"/>
                    <w:lang w:eastAsia="en-US"/>
                    <w14:textFill>
                      <w14:solidFill>
                        <w14:schemeClr w14:val="tx1"/>
                      </w14:solidFill>
                    </w14:textFill>
                  </w:rPr>
                  <m:t>×</m:t>
                </m:r>
                <m:r>
                  <m:rPr/>
                  <w:rPr>
                    <w:rFonts w:hint="eastAsia" w:ascii="Cambria Math" w:hAnsi="Cambria Math" w:cs="宋体"/>
                    <w:snapToGrid w:val="0"/>
                    <w:color w:val="000000" w:themeColor="text1"/>
                    <w:highlight w:val="none"/>
                    <w:lang w:eastAsia="en-US"/>
                    <w14:textFill>
                      <w14:solidFill>
                        <w14:schemeClr w14:val="tx1"/>
                      </w14:solidFill>
                    </w14:textFill>
                  </w:rPr>
                  <m:t>100%</m:t>
                </m:r>
              </m:oMath>
            </m:oMathPara>
          </w:p>
          <w:p w14:paraId="43027265">
            <w:pPr>
              <w:kinsoku w:val="0"/>
              <w:autoSpaceDE w:val="0"/>
              <w:autoSpaceDN w:val="0"/>
              <w:jc w:val="center"/>
              <w:textAlignment w:val="baseline"/>
              <w:rPr>
                <w:rFonts w:ascii="宋体" w:hAnsi="宋体" w:eastAsia="宋体" w:cs="宋体"/>
                <w:snapToGrid w:val="0"/>
                <w:color w:val="000000" w:themeColor="text1"/>
                <w:spacing w:val="4"/>
                <w:highlight w:val="none"/>
                <w:bdr w:val="single" w:color="auto" w:sz="2" w:space="0"/>
                <w:shd w:val="clear" w:color="auto" w:fill="FFFFFF"/>
                <w14:textFill>
                  <w14:solidFill>
                    <w14:schemeClr w14:val="tx1"/>
                  </w14:solidFill>
                </w14:textFill>
              </w:rPr>
            </w:pPr>
          </w:p>
          <w:p w14:paraId="75C86855">
            <w:pPr>
              <w:kinsoku w:val="0"/>
              <w:autoSpaceDE w:val="0"/>
              <w:autoSpaceDN w:val="0"/>
              <w:jc w:val="center"/>
              <w:textAlignment w:val="baseline"/>
              <w:rPr>
                <w:rFonts w:ascii="宋体" w:hAnsi="宋体" w:eastAsia="宋体" w:cs="宋体"/>
                <w:snapToGrid w:val="0"/>
                <w:color w:val="000000" w:themeColor="text1"/>
                <w:highlight w:val="none"/>
                <w:shd w:val="clear" w:color="auto" w:fill="FFFFFF"/>
                <w14:textFill>
                  <w14:solidFill>
                    <w14:schemeClr w14:val="tx1"/>
                  </w14:solidFill>
                </w14:textFill>
              </w:rPr>
            </w:pPr>
          </w:p>
        </w:tc>
        <w:tc>
          <w:tcPr>
            <w:tcW w:w="2092" w:type="dxa"/>
            <w:vAlign w:val="center"/>
          </w:tcPr>
          <w:p w14:paraId="2E9B2A89">
            <w:pPr>
              <w:kinsoku w:val="0"/>
              <w:autoSpaceDE w:val="0"/>
              <w:autoSpaceDN w:val="0"/>
              <w:jc w:val="center"/>
              <w:textAlignment w:val="baseline"/>
              <w:rPr>
                <w:rFonts w:ascii="宋体" w:hAnsi="宋体" w:eastAsia="宋体" w:cs="宋体"/>
                <w:snapToGrid w:val="0"/>
                <w:color w:val="000000" w:themeColor="text1"/>
                <w:highlight w:val="none"/>
                <w:shd w:val="clear" w:color="auto" w:fill="FFFFFF"/>
                <w14:textFill>
                  <w14:solidFill>
                    <w14:schemeClr w14:val="tx1"/>
                  </w14:solidFill>
                </w14:textFill>
              </w:rPr>
            </w:pPr>
            <w:r>
              <w:rPr>
                <w:rFonts w:hint="eastAsia" w:ascii="宋体" w:hAnsi="宋体" w:eastAsia="宋体" w:cs="宋体"/>
                <w:snapToGrid w:val="0"/>
                <w:color w:val="000000" w:themeColor="text1"/>
                <w:highlight w:val="none"/>
                <w:u w:val="single"/>
                <w:shd w:val="clear" w:color="auto" w:fill="FFFFFF"/>
                <w14:textFill>
                  <w14:solidFill>
                    <w14:schemeClr w14:val="tx1"/>
                  </w14:solidFill>
                </w14:textFill>
              </w:rPr>
              <w:t xml:space="preserve">       </w:t>
            </w:r>
            <w:r>
              <w:rPr>
                <w:rFonts w:hint="eastAsia" w:ascii="宋体" w:hAnsi="宋体" w:eastAsia="宋体" w:cs="宋体"/>
                <w:snapToGrid w:val="0"/>
                <w:color w:val="000000" w:themeColor="text1"/>
                <w:highlight w:val="none"/>
                <w:shd w:val="clear" w:color="auto" w:fill="FFFFFF"/>
                <w14:textFill>
                  <w14:solidFill>
                    <w14:schemeClr w14:val="tx1"/>
                  </w14:solidFill>
                </w14:textFill>
              </w:rPr>
              <w:t>%</w:t>
            </w:r>
          </w:p>
        </w:tc>
      </w:tr>
    </w:tbl>
    <w:p w14:paraId="02B33812">
      <w:pPr>
        <w:spacing w:line="500" w:lineRule="exact"/>
        <w:ind w:firstLine="480" w:firstLineChars="200"/>
        <w:rPr>
          <w:rFonts w:ascii="宋体" w:hAnsi="宋体" w:eastAsia="宋体" w:cs="宋体"/>
          <w:snapToGrid w:val="0"/>
          <w:color w:val="000000" w:themeColor="text1"/>
          <w:highlight w:val="none"/>
          <w:shd w:val="clear" w:color="auto" w:fill="FFFFFF"/>
          <w14:textFill>
            <w14:solidFill>
              <w14:schemeClr w14:val="tx1"/>
            </w14:solidFill>
          </w14:textFill>
        </w:rPr>
      </w:pPr>
      <w:r>
        <w:rPr>
          <w:rFonts w:hint="eastAsia" w:ascii="宋体" w:hAnsi="宋体" w:eastAsia="宋体" w:cs="宋体"/>
          <w:snapToGrid w:val="0"/>
          <w:color w:val="000000" w:themeColor="text1"/>
          <w:highlight w:val="none"/>
          <w:shd w:val="clear" w:color="auto" w:fill="FFFFFF"/>
          <w14:textFill>
            <w14:solidFill>
              <w14:schemeClr w14:val="tx1"/>
            </w14:solidFill>
          </w14:textFill>
        </w:rPr>
        <w:t>本公司（单位）填写、盖章与签署，即视为对表格内容真实、准确、完整的正式承诺。如存在任何虚假、误导性陈述或重大遗漏，本公司（单位）愿承担由此产生的一切法律后果及责任。</w:t>
      </w:r>
    </w:p>
    <w:p w14:paraId="27B5BF80">
      <w:pPr>
        <w:wordWrap w:val="0"/>
        <w:spacing w:line="500" w:lineRule="exact"/>
        <w:ind w:firstLine="4320" w:firstLineChars="1800"/>
        <w:rPr>
          <w:rFonts w:ascii="宋体" w:hAnsi="宋体" w:eastAsia="宋体" w:cs="宋体"/>
          <w:snapToGrid w:val="0"/>
          <w:color w:val="000000" w:themeColor="text1"/>
          <w:highlight w:val="none"/>
          <w14:textFill>
            <w14:solidFill>
              <w14:schemeClr w14:val="tx1"/>
            </w14:solidFill>
          </w14:textFill>
        </w:rPr>
      </w:pPr>
      <w:r>
        <w:rPr>
          <w:rFonts w:hint="eastAsia" w:ascii="宋体" w:hAnsi="宋体" w:eastAsia="宋体" w:cs="宋体"/>
          <w:snapToGrid w:val="0"/>
          <w:color w:val="000000" w:themeColor="text1"/>
          <w:highlight w:val="none"/>
          <w14:textFill>
            <w14:solidFill>
              <w14:schemeClr w14:val="tx1"/>
            </w14:solidFill>
          </w14:textFill>
        </w:rPr>
        <w:t>供应商名称：（公章）</w:t>
      </w:r>
    </w:p>
    <w:p w14:paraId="3D17B4CF">
      <w:pPr>
        <w:wordWrap w:val="0"/>
        <w:spacing w:line="500" w:lineRule="exact"/>
        <w:ind w:firstLine="4320" w:firstLineChars="1800"/>
        <w:rPr>
          <w:rFonts w:ascii="宋体" w:hAnsi="宋体" w:eastAsia="宋体" w:cs="宋体"/>
          <w:snapToGrid w:val="0"/>
          <w:color w:val="000000" w:themeColor="text1"/>
          <w:highlight w:val="none"/>
          <w14:textFill>
            <w14:solidFill>
              <w14:schemeClr w14:val="tx1"/>
            </w14:solidFill>
          </w14:textFill>
        </w:rPr>
      </w:pPr>
      <w:r>
        <w:rPr>
          <w:rFonts w:hint="eastAsia" w:ascii="宋体" w:hAnsi="宋体" w:eastAsia="宋体" w:cs="宋体"/>
          <w:snapToGrid w:val="0"/>
          <w:color w:val="000000" w:themeColor="text1"/>
          <w:highlight w:val="none"/>
          <w14:textFill>
            <w14:solidFill>
              <w14:schemeClr w14:val="tx1"/>
            </w14:solidFill>
          </w14:textFill>
        </w:rPr>
        <w:t>日期：    年    月　  日</w:t>
      </w:r>
      <w:r>
        <w:rPr>
          <w:rFonts w:hint="eastAsia" w:ascii="宋体" w:hAnsi="宋体" w:eastAsia="宋体" w:cs="宋体"/>
          <w:snapToGrid w:val="0"/>
          <w:color w:val="000000" w:themeColor="text1"/>
          <w:highlight w:val="none"/>
          <w:shd w:val="clear" w:color="auto" w:fill="FFFFFF"/>
          <w14:textFill>
            <w14:solidFill>
              <w14:schemeClr w14:val="tx1"/>
            </w14:solidFill>
          </w14:textFill>
        </w:rPr>
        <w:t>         </w:t>
      </w:r>
    </w:p>
    <w:p w14:paraId="3A45B765">
      <w:pPr>
        <w:kinsoku w:val="0"/>
        <w:autoSpaceDE w:val="0"/>
        <w:autoSpaceDN w:val="0"/>
        <w:textAlignment w:val="baseline"/>
        <w:rPr>
          <w:rFonts w:ascii="宋体" w:hAnsi="宋体" w:eastAsia="宋体" w:cs="宋体"/>
          <w:snapToGrid w:val="0"/>
          <w:color w:val="000000" w:themeColor="text1"/>
          <w:highlight w:val="none"/>
          <w:shd w:val="clear" w:color="auto" w:fill="FFFFFF"/>
          <w14:textFill>
            <w14:solidFill>
              <w14:schemeClr w14:val="tx1"/>
            </w14:solidFill>
          </w14:textFill>
        </w:rPr>
      </w:pPr>
      <w:r>
        <w:rPr>
          <w:rFonts w:hint="eastAsia" w:ascii="宋体" w:hAnsi="宋体" w:eastAsia="宋体" w:cs="宋体"/>
          <w:snapToGrid w:val="0"/>
          <w:color w:val="000000" w:themeColor="text1"/>
          <w:highlight w:val="none"/>
          <w:shd w:val="clear" w:color="auto" w:fill="FFFFFF"/>
          <w14:textFill>
            <w14:solidFill>
              <w14:schemeClr w14:val="tx1"/>
            </w14:solidFill>
          </w14:textFill>
        </w:rPr>
        <w:t>注：</w:t>
      </w:r>
    </w:p>
    <w:p w14:paraId="720C2E5F">
      <w:pPr>
        <w:kinsoku w:val="0"/>
        <w:autoSpaceDE w:val="0"/>
        <w:autoSpaceDN w:val="0"/>
        <w:spacing w:line="500" w:lineRule="exact"/>
        <w:ind w:firstLine="482" w:firstLineChars="200"/>
        <w:textAlignment w:val="baseline"/>
        <w:rPr>
          <w:rFonts w:ascii="宋体" w:hAnsi="宋体" w:eastAsia="宋体" w:cs="宋体"/>
          <w:b/>
          <w:snapToGrid w:val="0"/>
          <w:color w:val="000000" w:themeColor="text1"/>
          <w:highlight w:val="none"/>
          <w:shd w:val="clear" w:color="auto" w:fill="FFFFFF"/>
          <w14:textFill>
            <w14:solidFill>
              <w14:schemeClr w14:val="tx1"/>
            </w14:solidFill>
          </w14:textFill>
        </w:rPr>
      </w:pPr>
      <w:r>
        <w:rPr>
          <w:rFonts w:hint="eastAsia" w:ascii="宋体" w:hAnsi="宋体" w:eastAsia="宋体" w:cs="宋体"/>
          <w:b/>
          <w:snapToGrid w:val="0"/>
          <w:color w:val="000000" w:themeColor="text1"/>
          <w:highlight w:val="none"/>
          <w:shd w:val="clear" w:color="auto" w:fill="FFFFFF"/>
          <w14:textFill>
            <w14:solidFill>
              <w14:schemeClr w14:val="tx1"/>
            </w14:solidFill>
          </w14:textFill>
        </w:rPr>
        <w:t>1、根据《国务院办公厅关于在政府采购中实施本国产品标准及相关政策的通知》（国办发〔2025〕34号）规定，当采购项目或采购包中含有多种产品，供应商对其提供的符合本国产品标准的产品成本之和占其提供的全部产品成本之和比例是否达到80%作出承诺，该比例达到80%以上，依法对其全部产品总报价给予20%的价格扣除，未达到80%,不享受价格评审优惠。</w:t>
      </w:r>
    </w:p>
    <w:p w14:paraId="1B0F8A0E">
      <w:pPr>
        <w:rPr>
          <w:rFonts w:ascii="宋体" w:hAnsi="宋体"/>
          <w:b/>
          <w:color w:val="000000" w:themeColor="text1"/>
          <w:highlight w:val="none"/>
          <w14:textFill>
            <w14:solidFill>
              <w14:schemeClr w14:val="tx1"/>
            </w14:solidFill>
          </w14:textFill>
        </w:rPr>
      </w:pPr>
    </w:p>
    <w:p w14:paraId="53102147">
      <w:pPr>
        <w:spacing w:line="300" w:lineRule="auto"/>
        <w:jc w:val="center"/>
        <w:rPr>
          <w:rFonts w:ascii="宋体" w:hAnsi="宋体" w:eastAsia="宋体" w:cs="宋体"/>
          <w:b/>
          <w:bCs/>
          <w:color w:val="000000" w:themeColor="text1"/>
          <w:sz w:val="44"/>
          <w:szCs w:val="44"/>
          <w:highlight w:val="none"/>
          <w14:textFill>
            <w14:solidFill>
              <w14:schemeClr w14:val="tx1"/>
            </w14:solidFill>
          </w14:textFill>
        </w:rPr>
      </w:pPr>
      <w:r>
        <w:rPr>
          <w:rFonts w:hint="eastAsia" w:ascii="宋体" w:hAnsi="宋体" w:eastAsia="宋体" w:cs="宋体"/>
          <w:b/>
          <w:bCs/>
          <w:color w:val="000000" w:themeColor="text1"/>
          <w:sz w:val="44"/>
          <w:szCs w:val="44"/>
          <w:highlight w:val="none"/>
          <w14:textFill>
            <w14:solidFill>
              <w14:schemeClr w14:val="tx1"/>
            </w14:solidFill>
          </w14:textFill>
        </w:rPr>
        <w:br w:type="page"/>
      </w:r>
      <w:r>
        <w:rPr>
          <w:rFonts w:hint="eastAsia" w:ascii="宋体" w:hAnsi="宋体" w:eastAsia="宋体" w:cs="宋体"/>
          <w:b/>
          <w:bCs/>
          <w:color w:val="000000" w:themeColor="text1"/>
          <w:sz w:val="44"/>
          <w:szCs w:val="44"/>
          <w:highlight w:val="none"/>
          <w14:textFill>
            <w14:solidFill>
              <w14:schemeClr w14:val="tx1"/>
            </w14:solidFill>
          </w14:textFill>
        </w:rPr>
        <w:t xml:space="preserve">第二节 商务技术文件 </w:t>
      </w:r>
    </w:p>
    <w:p w14:paraId="3CC1B801">
      <w:pPr>
        <w:spacing w:after="120"/>
        <w:jc w:val="center"/>
        <w:rPr>
          <w:rFonts w:ascii="宋体" w:hAnsi="宋体" w:eastAsia="宋体" w:cs="宋体"/>
          <w:color w:val="000000" w:themeColor="text1"/>
          <w:sz w:val="44"/>
          <w:szCs w:val="44"/>
          <w:highlight w:val="none"/>
          <w14:textFill>
            <w14:solidFill>
              <w14:schemeClr w14:val="tx1"/>
            </w14:solidFill>
          </w14:textFill>
        </w:rPr>
      </w:pPr>
    </w:p>
    <w:p w14:paraId="06024AC5">
      <w:pPr>
        <w:spacing w:after="120"/>
        <w:jc w:val="center"/>
        <w:rPr>
          <w:rFonts w:ascii="宋体" w:hAnsi="宋体" w:eastAsia="宋体" w:cs="宋体"/>
          <w:color w:val="000000" w:themeColor="text1"/>
          <w:sz w:val="44"/>
          <w:szCs w:val="44"/>
          <w:highlight w:val="none"/>
          <w14:textFill>
            <w14:solidFill>
              <w14:schemeClr w14:val="tx1"/>
            </w14:solidFill>
          </w14:textFill>
        </w:rPr>
      </w:pPr>
      <w:r>
        <w:rPr>
          <w:rFonts w:hint="eastAsia" w:ascii="宋体" w:hAnsi="宋体" w:eastAsia="宋体" w:cs="宋体"/>
          <w:color w:val="000000" w:themeColor="text1"/>
          <w:sz w:val="44"/>
          <w:szCs w:val="44"/>
          <w:highlight w:val="none"/>
          <w14:textFill>
            <w14:solidFill>
              <w14:schemeClr w14:val="tx1"/>
            </w14:solidFill>
          </w14:textFill>
        </w:rPr>
        <w:t>目  录</w:t>
      </w:r>
    </w:p>
    <w:p w14:paraId="2F4C3EEC">
      <w:pPr>
        <w:pStyle w:val="5"/>
        <w:jc w:val="center"/>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（自选采用）</w:t>
      </w:r>
    </w:p>
    <w:p w14:paraId="03E78D54">
      <w:pPr>
        <w:spacing w:line="440" w:lineRule="exact"/>
        <w:ind w:firstLine="482" w:firstLineChars="200"/>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（一）资格审查资料</w:t>
      </w:r>
    </w:p>
    <w:p w14:paraId="2D3E4151">
      <w:pPr>
        <w:spacing w:line="440" w:lineRule="exact"/>
        <w:ind w:firstLine="482" w:firstLineChars="200"/>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（请按供应商须知前附表3.1.</w:t>
      </w:r>
      <w:r>
        <w:rPr>
          <w:rFonts w:ascii="宋体" w:hAnsi="宋体" w:eastAsia="宋体" w:cs="宋体"/>
          <w:b/>
          <w:color w:val="000000" w:themeColor="text1"/>
          <w:highlight w:val="none"/>
          <w14:textFill>
            <w14:solidFill>
              <w14:schemeClr w14:val="tx1"/>
            </w14:solidFill>
          </w14:textFill>
        </w:rPr>
        <w:t>1</w:t>
      </w:r>
      <w:r>
        <w:rPr>
          <w:rFonts w:hint="eastAsia" w:ascii="宋体" w:hAnsi="宋体" w:eastAsia="宋体" w:cs="宋体"/>
          <w:b/>
          <w:color w:val="000000" w:themeColor="text1"/>
          <w:highlight w:val="none"/>
          <w14:textFill>
            <w14:solidFill>
              <w14:schemeClr w14:val="tx1"/>
            </w14:solidFill>
          </w14:textFill>
        </w:rPr>
        <w:t>项内容编列，应有页码）</w:t>
      </w:r>
    </w:p>
    <w:p w14:paraId="030113B8">
      <w:pPr>
        <w:spacing w:line="440" w:lineRule="exact"/>
        <w:ind w:firstLine="482" w:firstLineChars="200"/>
        <w:rPr>
          <w:rFonts w:ascii="宋体" w:hAnsi="宋体" w:eastAsia="宋体" w:cs="宋体"/>
          <w:b/>
          <w:color w:val="000000" w:themeColor="text1"/>
          <w:highlight w:val="none"/>
          <w14:textFill>
            <w14:solidFill>
              <w14:schemeClr w14:val="tx1"/>
            </w14:solidFill>
          </w14:textFill>
        </w:rPr>
      </w:pPr>
    </w:p>
    <w:p w14:paraId="09D6C9C8">
      <w:pPr>
        <w:spacing w:line="440" w:lineRule="exact"/>
        <w:ind w:firstLine="482" w:firstLineChars="200"/>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（二）</w:t>
      </w:r>
      <w:r>
        <w:rPr>
          <w:rFonts w:hint="eastAsia" w:ascii="宋体" w:hAnsi="宋体" w:eastAsia="宋体" w:cs="宋体"/>
          <w:b/>
          <w:bCs/>
          <w:color w:val="000000" w:themeColor="text1"/>
          <w:highlight w:val="none"/>
          <w14:textFill>
            <w14:solidFill>
              <w14:schemeClr w14:val="tx1"/>
            </w14:solidFill>
          </w14:textFill>
        </w:rPr>
        <w:t>商务文件</w:t>
      </w:r>
    </w:p>
    <w:p w14:paraId="635E44D7">
      <w:pPr>
        <w:spacing w:line="440" w:lineRule="exact"/>
        <w:ind w:firstLine="482" w:firstLineChars="200"/>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（请按供应商须知前附表3.1.</w:t>
      </w:r>
      <w:r>
        <w:rPr>
          <w:rFonts w:ascii="宋体" w:hAnsi="宋体" w:eastAsia="宋体" w:cs="宋体"/>
          <w:b/>
          <w:color w:val="000000" w:themeColor="text1"/>
          <w:highlight w:val="none"/>
          <w14:textFill>
            <w14:solidFill>
              <w14:schemeClr w14:val="tx1"/>
            </w14:solidFill>
          </w14:textFill>
        </w:rPr>
        <w:t>1</w:t>
      </w:r>
      <w:r>
        <w:rPr>
          <w:rFonts w:hint="eastAsia" w:ascii="宋体" w:hAnsi="宋体" w:eastAsia="宋体" w:cs="宋体"/>
          <w:b/>
          <w:color w:val="000000" w:themeColor="text1"/>
          <w:highlight w:val="none"/>
          <w14:textFill>
            <w14:solidFill>
              <w14:schemeClr w14:val="tx1"/>
            </w14:solidFill>
          </w14:textFill>
        </w:rPr>
        <w:t>项内容编列，应有页码）</w:t>
      </w:r>
    </w:p>
    <w:p w14:paraId="55D83FD3">
      <w:pPr>
        <w:spacing w:line="440" w:lineRule="exact"/>
        <w:ind w:firstLine="482" w:firstLineChars="200"/>
        <w:rPr>
          <w:rFonts w:ascii="宋体" w:hAnsi="宋体" w:eastAsia="宋体" w:cs="宋体"/>
          <w:b/>
          <w:color w:val="000000" w:themeColor="text1"/>
          <w:highlight w:val="none"/>
          <w14:textFill>
            <w14:solidFill>
              <w14:schemeClr w14:val="tx1"/>
            </w14:solidFill>
          </w14:textFill>
        </w:rPr>
      </w:pPr>
    </w:p>
    <w:p w14:paraId="20669164">
      <w:pPr>
        <w:spacing w:line="440" w:lineRule="exact"/>
        <w:ind w:firstLine="482" w:firstLineChars="200"/>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（三）技术文件</w:t>
      </w:r>
    </w:p>
    <w:p w14:paraId="602E2924">
      <w:pPr>
        <w:spacing w:line="440" w:lineRule="exact"/>
        <w:ind w:firstLine="482"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（请按供应商须知前附表3.1.</w:t>
      </w:r>
      <w:r>
        <w:rPr>
          <w:rFonts w:ascii="宋体" w:hAnsi="宋体" w:eastAsia="宋体" w:cs="宋体"/>
          <w:b/>
          <w:color w:val="000000" w:themeColor="text1"/>
          <w:highlight w:val="none"/>
          <w14:textFill>
            <w14:solidFill>
              <w14:schemeClr w14:val="tx1"/>
            </w14:solidFill>
          </w14:textFill>
        </w:rPr>
        <w:t>1</w:t>
      </w:r>
      <w:r>
        <w:rPr>
          <w:rFonts w:hint="eastAsia" w:ascii="宋体" w:hAnsi="宋体" w:eastAsia="宋体" w:cs="宋体"/>
          <w:b/>
          <w:color w:val="000000" w:themeColor="text1"/>
          <w:highlight w:val="none"/>
          <w14:textFill>
            <w14:solidFill>
              <w14:schemeClr w14:val="tx1"/>
            </w14:solidFill>
          </w14:textFill>
        </w:rPr>
        <w:t>项内容编列，应有页码）</w:t>
      </w:r>
    </w:p>
    <w:p w14:paraId="426A75CD">
      <w:pPr>
        <w:spacing w:after="0" w:line="520" w:lineRule="exact"/>
        <w:rPr>
          <w:rFonts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附件一：磋商声明书</w:t>
      </w:r>
    </w:p>
    <w:p w14:paraId="00C33338">
      <w:pPr>
        <w:spacing w:after="0" w:line="480" w:lineRule="exact"/>
        <w:jc w:val="center"/>
        <w:rPr>
          <w:rFonts w:ascii="仿宋" w:hAnsi="仿宋" w:eastAsia="仿宋" w:cs="仿宋"/>
          <w:color w:val="000000" w:themeColor="text1"/>
          <w:highlight w:val="none"/>
          <w14:textFill>
            <w14:solidFill>
              <w14:schemeClr w14:val="tx1"/>
            </w14:solidFill>
          </w14:textFill>
        </w:rPr>
      </w:pPr>
      <w:r>
        <w:rPr>
          <w:rFonts w:hint="eastAsia" w:ascii="仿宋" w:hAnsi="仿宋" w:eastAsia="仿宋"/>
          <w:b/>
          <w:color w:val="000000" w:themeColor="text1"/>
          <w:sz w:val="32"/>
          <w:szCs w:val="32"/>
          <w:highlight w:val="none"/>
          <w14:textFill>
            <w14:solidFill>
              <w14:schemeClr w14:val="tx1"/>
            </w14:solidFill>
          </w14:textFill>
        </w:rPr>
        <w:t>磋商声明书</w:t>
      </w:r>
    </w:p>
    <w:p w14:paraId="5704BB02">
      <w:pPr>
        <w:spacing w:after="0" w:line="400" w:lineRule="exact"/>
        <w:rPr>
          <w:rFonts w:ascii="仿宋" w:hAnsi="仿宋" w:eastAsia="仿宋" w:cs="仿宋"/>
          <w:color w:val="000000" w:themeColor="text1"/>
          <w:highlight w:val="none"/>
          <w14:textFill>
            <w14:solidFill>
              <w14:schemeClr w14:val="tx1"/>
            </w14:solidFill>
          </w14:textFill>
        </w:rPr>
      </w:pPr>
    </w:p>
    <w:p w14:paraId="59C9EAE0">
      <w:pPr>
        <w:spacing w:after="0" w:line="400" w:lineRule="exact"/>
        <w:rPr>
          <w:rFonts w:ascii="宋体" w:hAnsi="宋体" w:eastAsia="宋体" w:cs="宋体"/>
          <w:color w:val="000000" w:themeColor="text1"/>
          <w:szCs w:val="20"/>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(采购代理机构)</w:t>
      </w:r>
    </w:p>
    <w:p w14:paraId="3A0F8108">
      <w:pPr>
        <w:spacing w:after="0" w:line="400" w:lineRule="exact"/>
        <w:ind w:firstLine="480" w:firstLineChars="200"/>
        <w:rPr>
          <w:rFonts w:ascii="宋体" w:hAnsi="宋体" w:eastAsia="宋体" w:cs="宋体"/>
          <w:color w:val="000000" w:themeColor="text1"/>
          <w:szCs w:val="20"/>
          <w:highlight w:val="none"/>
          <w14:textFill>
            <w14:solidFill>
              <w14:schemeClr w14:val="tx1"/>
            </w14:solidFill>
          </w14:textFill>
        </w:rPr>
      </w:pP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（供应商名称）系中华人民共和国合法企业，经营地址</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w:t>
      </w:r>
    </w:p>
    <w:p w14:paraId="5C595F5C">
      <w:pPr>
        <w:spacing w:after="0" w:line="400" w:lineRule="exact"/>
        <w:ind w:firstLine="480" w:firstLineChars="200"/>
        <w:rPr>
          <w:rFonts w:ascii="宋体" w:hAnsi="宋体" w:eastAsia="宋体" w:cs="宋体"/>
          <w:color w:val="000000" w:themeColor="text1"/>
          <w:szCs w:val="20"/>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（姓名）系</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（供应商名称）的法定代表人，我方愿意参加贵方组织的 </w:t>
      </w:r>
      <w:r>
        <w:rPr>
          <w:rFonts w:hint="eastAsia" w:ascii="宋体" w:hAnsi="宋体" w:eastAsia="宋体" w:cs="宋体"/>
          <w:color w:val="000000" w:themeColor="text1"/>
          <w:highlight w:val="none"/>
          <w:u w:val="single"/>
          <w14:textFill>
            <w14:solidFill>
              <w14:schemeClr w14:val="tx1"/>
            </w14:solidFill>
          </w14:textFill>
        </w:rPr>
        <w:t xml:space="preserve"> （项目名称） （项目编号：      </w:t>
      </w:r>
      <w:r>
        <w:rPr>
          <w:rFonts w:hint="eastAsia" w:ascii="宋体" w:hAnsi="宋体" w:eastAsia="宋体" w:cs="宋体"/>
          <w:color w:val="000000" w:themeColor="text1"/>
          <w:highlight w:val="none"/>
          <w14:textFill>
            <w14:solidFill>
              <w14:schemeClr w14:val="tx1"/>
            </w14:solidFill>
          </w14:textFill>
        </w:rPr>
        <w:t>）的磋商，为便于贵方公正、择优地确定成交人及其服务，我方就本次磋商有关事项郑重声明如下：</w:t>
      </w:r>
    </w:p>
    <w:p w14:paraId="3A6AF563">
      <w:pPr>
        <w:spacing w:after="0" w:line="400" w:lineRule="exact"/>
        <w:ind w:firstLine="480" w:firstLineChars="200"/>
        <w:rPr>
          <w:rFonts w:ascii="宋体" w:hAnsi="宋体" w:eastAsia="宋体" w:cs="宋体"/>
          <w:color w:val="000000" w:themeColor="text1"/>
          <w:szCs w:val="20"/>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1.我方向贵方提交的所有响应文件、资料都是准确的和真实的。</w:t>
      </w:r>
    </w:p>
    <w:p w14:paraId="3FB50380">
      <w:pPr>
        <w:spacing w:after="0" w:line="400" w:lineRule="exact"/>
        <w:ind w:firstLine="480" w:firstLineChars="200"/>
        <w:rPr>
          <w:rFonts w:ascii="宋体" w:hAnsi="宋体" w:eastAsia="宋体" w:cs="宋体"/>
          <w:color w:val="000000" w:themeColor="text1"/>
          <w:szCs w:val="20"/>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2.我方不是采购人的附属机构；在获知本项目采购信息后，与采购人聘请的为此项目提供咨询服务的公司及其附属机构没有任何联系。</w:t>
      </w:r>
    </w:p>
    <w:p w14:paraId="71F8A1B1">
      <w:pPr>
        <w:spacing w:after="0" w:line="4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3.我方诚意提请贵方关注：近期有关该服务的重大决策和事项有：</w:t>
      </w:r>
    </w:p>
    <w:p w14:paraId="09C0EE10">
      <w:pPr>
        <w:spacing w:after="0" w:line="400" w:lineRule="exact"/>
        <w:ind w:firstLine="480" w:firstLineChars="200"/>
        <w:rPr>
          <w:rFonts w:ascii="宋体" w:hAnsi="宋体" w:eastAsia="宋体" w:cs="宋体"/>
          <w:color w:val="000000" w:themeColor="text1"/>
          <w:szCs w:val="20"/>
          <w:highlight w:val="none"/>
          <w14:textFill>
            <w14:solidFill>
              <w14:schemeClr w14:val="tx1"/>
            </w14:solidFill>
          </w14:textFill>
        </w:rPr>
      </w:pPr>
      <w:r>
        <w:rPr>
          <w:rFonts w:hint="eastAsia" w:ascii="宋体" w:hAnsi="宋体" w:eastAsia="宋体" w:cs="宋体"/>
          <w:color w:val="000000" w:themeColor="text1"/>
          <w:highlight w:val="none"/>
          <w:u w:val="single"/>
          <w14:textFill>
            <w14:solidFill>
              <w14:schemeClr w14:val="tx1"/>
            </w14:solidFill>
          </w14:textFill>
        </w:rPr>
        <w:t>　　　                                                     　</w:t>
      </w:r>
      <w:r>
        <w:rPr>
          <w:rFonts w:hint="eastAsia" w:ascii="宋体" w:hAnsi="宋体" w:eastAsia="宋体" w:cs="宋体"/>
          <w:color w:val="000000" w:themeColor="text1"/>
          <w:szCs w:val="20"/>
          <w:highlight w:val="none"/>
          <w14:textFill>
            <w14:solidFill>
              <w14:schemeClr w14:val="tx1"/>
            </w14:solidFill>
          </w14:textFill>
        </w:rPr>
        <w:t>.     　　</w:t>
      </w:r>
    </w:p>
    <w:p w14:paraId="36A44B82">
      <w:pPr>
        <w:spacing w:after="0" w:line="400" w:lineRule="exact"/>
        <w:ind w:firstLine="480" w:firstLineChars="200"/>
        <w:rPr>
          <w:rFonts w:ascii="宋体" w:hAnsi="宋体" w:eastAsia="宋体" w:cs="宋体"/>
          <w:color w:val="000000" w:themeColor="text1"/>
          <w:szCs w:val="20"/>
          <w:highlight w:val="none"/>
          <w14:textFill>
            <w14:solidFill>
              <w14:schemeClr w14:val="tx1"/>
            </w14:solidFill>
          </w14:textFill>
        </w:rPr>
      </w:pPr>
      <w:r>
        <w:rPr>
          <w:rFonts w:hint="eastAsia" w:ascii="宋体" w:hAnsi="宋体" w:eastAsia="宋体" w:cs="宋体"/>
          <w:color w:val="000000" w:themeColor="text1"/>
          <w:szCs w:val="20"/>
          <w:highlight w:val="none"/>
          <w14:textFill>
            <w14:solidFill>
              <w14:schemeClr w14:val="tx1"/>
            </w14:solidFill>
          </w14:textFill>
        </w:rPr>
        <w:t xml:space="preserve"> 4. 根据《中华人民共和国政府采购法实施条例》第五十条要求对政府采购合同进行公告，但政府采购合同中涉及国家秘密、商业秘密的内容除外。我方就对本次响应文件进行注明如下：（两项内容中必须选择一项）</w:t>
      </w:r>
    </w:p>
    <w:p w14:paraId="49E5400D">
      <w:pPr>
        <w:spacing w:after="0" w:line="400" w:lineRule="exact"/>
        <w:ind w:firstLine="480" w:firstLineChars="200"/>
        <w:rPr>
          <w:rFonts w:ascii="宋体" w:hAnsi="宋体" w:eastAsia="宋体" w:cs="宋体"/>
          <w:color w:val="000000" w:themeColor="text1"/>
          <w:szCs w:val="20"/>
          <w:highlight w:val="none"/>
          <w14:textFill>
            <w14:solidFill>
              <w14:schemeClr w14:val="tx1"/>
            </w14:solidFill>
          </w14:textFill>
        </w:rPr>
      </w:pPr>
      <w:r>
        <w:rPr>
          <w:rFonts w:hint="eastAsia" w:ascii="宋体" w:hAnsi="宋体" w:eastAsia="宋体" w:cs="宋体"/>
          <w:color w:val="000000" w:themeColor="text1"/>
          <w:szCs w:val="20"/>
          <w:highlight w:val="none"/>
          <w14:textFill>
            <w14:solidFill>
              <w14:schemeClr w14:val="tx1"/>
            </w14:solidFill>
          </w14:textFill>
        </w:rPr>
        <w:t>□我方本次响应文件</w:t>
      </w:r>
      <w:r>
        <w:rPr>
          <w:rFonts w:hint="eastAsia" w:ascii="宋体" w:hAnsi="宋体" w:eastAsia="宋体" w:cs="宋体"/>
          <w:color w:val="000000" w:themeColor="text1"/>
          <w:highlight w:val="none"/>
          <w14:textFill>
            <w14:solidFill>
              <w14:schemeClr w14:val="tx1"/>
            </w14:solidFill>
          </w14:textFill>
        </w:rPr>
        <w:t>内容中</w:t>
      </w:r>
      <w:r>
        <w:rPr>
          <w:rFonts w:hint="eastAsia" w:ascii="宋体" w:hAnsi="宋体" w:eastAsia="宋体" w:cs="宋体"/>
          <w:color w:val="000000" w:themeColor="text1"/>
          <w:szCs w:val="20"/>
          <w:highlight w:val="none"/>
          <w14:textFill>
            <w14:solidFill>
              <w14:schemeClr w14:val="tx1"/>
            </w14:solidFill>
          </w14:textFill>
        </w:rPr>
        <w:t>未</w:t>
      </w:r>
      <w:r>
        <w:rPr>
          <w:rFonts w:hint="eastAsia" w:ascii="宋体" w:hAnsi="宋体" w:eastAsia="宋体" w:cs="宋体"/>
          <w:color w:val="000000" w:themeColor="text1"/>
          <w:highlight w:val="none"/>
          <w14:textFill>
            <w14:solidFill>
              <w14:schemeClr w14:val="tx1"/>
            </w14:solidFill>
          </w14:textFill>
        </w:rPr>
        <w:t>涉及商业秘密；</w:t>
      </w:r>
    </w:p>
    <w:p w14:paraId="529F3EBD">
      <w:pPr>
        <w:spacing w:after="0" w:line="400" w:lineRule="exact"/>
        <w:ind w:firstLine="480" w:firstLineChars="200"/>
        <w:rPr>
          <w:rFonts w:ascii="宋体" w:hAnsi="宋体" w:eastAsia="宋体" w:cs="宋体"/>
          <w:color w:val="000000" w:themeColor="text1"/>
          <w:szCs w:val="20"/>
          <w:highlight w:val="none"/>
          <w:u w:val="single"/>
          <w14:textFill>
            <w14:solidFill>
              <w14:schemeClr w14:val="tx1"/>
            </w14:solidFill>
          </w14:textFill>
        </w:rPr>
      </w:pPr>
      <w:r>
        <w:rPr>
          <w:rFonts w:hint="eastAsia" w:ascii="宋体" w:hAnsi="宋体" w:eastAsia="宋体" w:cs="宋体"/>
          <w:color w:val="000000" w:themeColor="text1"/>
          <w:szCs w:val="20"/>
          <w:highlight w:val="none"/>
          <w14:textFill>
            <w14:solidFill>
              <w14:schemeClr w14:val="tx1"/>
            </w14:solidFill>
          </w14:textFill>
        </w:rPr>
        <w:t>□我方本次响应文件</w:t>
      </w:r>
      <w:r>
        <w:rPr>
          <w:rFonts w:hint="eastAsia" w:ascii="宋体" w:hAnsi="宋体" w:eastAsia="宋体" w:cs="宋体"/>
          <w:color w:val="000000" w:themeColor="text1"/>
          <w:highlight w:val="none"/>
          <w14:textFill>
            <w14:solidFill>
              <w14:schemeClr w14:val="tx1"/>
            </w14:solidFill>
          </w14:textFill>
        </w:rPr>
        <w:t>涉及商业秘密的内容有：</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w:t>
      </w:r>
    </w:p>
    <w:p w14:paraId="129276A9">
      <w:pPr>
        <w:spacing w:after="0" w:line="400" w:lineRule="exact"/>
        <w:ind w:firstLine="480" w:firstLineChars="200"/>
        <w:rPr>
          <w:rFonts w:ascii="宋体" w:hAnsi="宋体" w:eastAsia="宋体" w:cs="宋体"/>
          <w:color w:val="000000" w:themeColor="text1"/>
          <w:szCs w:val="20"/>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w:t>
      </w:r>
      <w:r>
        <w:rPr>
          <w:rFonts w:hint="eastAsia" w:ascii="宋体" w:hAnsi="宋体" w:eastAsia="宋体" w:cs="宋体"/>
          <w:color w:val="000000" w:themeColor="text1"/>
          <w:szCs w:val="20"/>
          <w:highlight w:val="non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我方在此声明，我方及由本人担任法定代表人的其他机构在</w:t>
      </w:r>
      <w:r>
        <w:rPr>
          <w:rFonts w:hint="eastAsia" w:ascii="宋体" w:hAnsi="宋体" w:eastAsia="宋体" w:cs="宋体"/>
          <w:color w:val="000000" w:themeColor="text1"/>
          <w:szCs w:val="20"/>
          <w:highlight w:val="none"/>
          <w14:textFill>
            <w14:solidFill>
              <w14:schemeClr w14:val="tx1"/>
            </w14:solidFill>
          </w14:textFill>
        </w:rPr>
        <w:t>参加本项目的政府采购活动前三年内</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szCs w:val="20"/>
          <w:highlight w:val="none"/>
          <w14:textFill>
            <w14:solidFill>
              <w14:schemeClr w14:val="tx1"/>
            </w14:solidFill>
          </w14:textFill>
        </w:rPr>
        <w:t>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398C484">
      <w:pPr>
        <w:spacing w:after="0" w:line="400" w:lineRule="exact"/>
        <w:ind w:firstLine="480" w:firstLineChars="200"/>
        <w:rPr>
          <w:rFonts w:ascii="宋体" w:hAnsi="宋体" w:eastAsia="宋体" w:cs="宋体"/>
          <w:color w:val="000000" w:themeColor="text1"/>
          <w:szCs w:val="20"/>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 以上事项如有虚假或隐瞒，我方愿意承担一切后果，并不再寻求任何旨在减轻或免除法律责任的辩解。</w:t>
      </w:r>
    </w:p>
    <w:p w14:paraId="4E46CE85">
      <w:pPr>
        <w:spacing w:line="400" w:lineRule="exact"/>
        <w:rPr>
          <w:rFonts w:ascii="宋体" w:hAnsi="宋体" w:eastAsia="宋体" w:cs="宋体"/>
          <w:color w:val="000000" w:themeColor="text1"/>
          <w:highlight w:val="none"/>
          <w14:textFill>
            <w14:solidFill>
              <w14:schemeClr w14:val="tx1"/>
            </w14:solidFill>
          </w14:textFill>
        </w:rPr>
      </w:pPr>
    </w:p>
    <w:p w14:paraId="7E9DFB29">
      <w:pPr>
        <w:spacing w:line="4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w:t>
      </w:r>
      <w:r>
        <w:rPr>
          <w:rFonts w:hint="eastAsia" w:ascii="宋体" w:hAnsi="宋体" w:eastAsia="宋体" w:cs="宋体"/>
          <w:color w:val="000000" w:themeColor="text1"/>
          <w:highlight w:val="none"/>
          <w:u w:val="single"/>
          <w14:textFill>
            <w14:solidFill>
              <w14:schemeClr w14:val="tx1"/>
            </w14:solidFill>
          </w14:textFill>
        </w:rPr>
        <w:t xml:space="preserve">           （单位名称并盖公章） </w:t>
      </w:r>
    </w:p>
    <w:p w14:paraId="79F5E20B">
      <w:pPr>
        <w:spacing w:line="4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法定代表人签字：</w:t>
      </w:r>
      <w:r>
        <w:rPr>
          <w:rFonts w:hint="eastAsia" w:ascii="宋体" w:hAnsi="宋体" w:eastAsia="宋体" w:cs="宋体"/>
          <w:color w:val="000000" w:themeColor="text1"/>
          <w:highlight w:val="none"/>
          <w:u w:val="single"/>
          <w14:textFill>
            <w14:solidFill>
              <w14:schemeClr w14:val="tx1"/>
            </w14:solidFill>
          </w14:textFill>
        </w:rPr>
        <w:t xml:space="preserve">             </w:t>
      </w:r>
    </w:p>
    <w:p w14:paraId="40E08F8F">
      <w:pPr>
        <w:spacing w:line="4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日</w:t>
      </w:r>
    </w:p>
    <w:p w14:paraId="731BFBC2">
      <w:pPr>
        <w:spacing w:line="4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附件二：具备履行合同所必需的设备和专业技术服务能力的承诺书</w:t>
      </w:r>
    </w:p>
    <w:p w14:paraId="1AE00CCE">
      <w:pPr>
        <w:spacing w:beforeLines="50" w:after="50"/>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具备履行合同所必需的设备和专业技术服务能力的承诺书</w:t>
      </w:r>
    </w:p>
    <w:p w14:paraId="7885E4EE">
      <w:pPr>
        <w:spacing w:beforeLines="50" w:after="50"/>
        <w:rPr>
          <w:rFonts w:ascii="宋体" w:hAnsi="宋体" w:eastAsia="宋体" w:cs="宋体"/>
          <w:b/>
          <w:bCs/>
          <w:color w:val="000000" w:themeColor="text1"/>
          <w:szCs w:val="21"/>
          <w:highlight w:val="none"/>
          <w14:textFill>
            <w14:solidFill>
              <w14:schemeClr w14:val="tx1"/>
            </w14:solidFill>
          </w14:textFill>
        </w:rPr>
      </w:pPr>
    </w:p>
    <w:p w14:paraId="39775492">
      <w:pPr>
        <w:spacing w:beforeLines="50" w:after="50" w:line="360" w:lineRule="auto"/>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致</w:t>
      </w:r>
      <w:r>
        <w:rPr>
          <w:rFonts w:hint="eastAsia" w:ascii="宋体" w:hAnsi="宋体" w:eastAsia="宋体" w:cs="宋体"/>
          <w:color w:val="000000" w:themeColor="text1"/>
          <w:highlight w:val="none"/>
          <w:u w:val="single"/>
          <w14:textFill>
            <w14:solidFill>
              <w14:schemeClr w14:val="tx1"/>
            </w14:solidFill>
          </w14:textFill>
        </w:rPr>
        <w:t xml:space="preserve">：  （采购人或代理机构）     </w:t>
      </w:r>
    </w:p>
    <w:p w14:paraId="377DF7F8">
      <w:pPr>
        <w:spacing w:beforeLines="50" w:after="50" w:line="360" w:lineRule="auto"/>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我单位参加贵公司组织的</w:t>
      </w:r>
      <w:r>
        <w:rPr>
          <w:rFonts w:hint="eastAsia" w:ascii="宋体" w:hAnsi="宋体" w:eastAsia="宋体" w:cs="宋体"/>
          <w:color w:val="000000" w:themeColor="text1"/>
          <w:highlight w:val="none"/>
          <w:u w:val="single"/>
          <w14:textFill>
            <w14:solidFill>
              <w14:schemeClr w14:val="tx1"/>
            </w14:solidFill>
          </w14:textFill>
        </w:rPr>
        <w:t xml:space="preserve">    （项目名称）       </w:t>
      </w:r>
      <w:r>
        <w:rPr>
          <w:rFonts w:hint="eastAsia" w:ascii="宋体" w:hAnsi="宋体" w:eastAsia="宋体" w:cs="宋体"/>
          <w:color w:val="000000" w:themeColor="text1"/>
          <w:highlight w:val="none"/>
          <w14:textFill>
            <w14:solidFill>
              <w14:schemeClr w14:val="tx1"/>
            </w14:solidFill>
          </w14:textFill>
        </w:rPr>
        <w:t>（项目编号：</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政府采购活动。我单位在此郑重承诺:我单位具有履行合同所必需的设备和专业技术服务能力，完全符合《中华人民共和国政府采购法》第二十二条规定的供应商资格条件，按照采购文件的要求提交磋商文件（响应文件），并对所提供的全部资料的真实性承担法律责任。</w:t>
      </w:r>
    </w:p>
    <w:p w14:paraId="0631D7DE">
      <w:pPr>
        <w:spacing w:beforeLines="50" w:after="50" w:line="360" w:lineRule="auto"/>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特此承诺。</w:t>
      </w:r>
    </w:p>
    <w:p w14:paraId="28E99A0F">
      <w:pPr>
        <w:spacing w:line="5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w:t>
      </w:r>
      <w:r>
        <w:rPr>
          <w:rFonts w:hint="eastAsia" w:ascii="宋体" w:hAnsi="宋体" w:eastAsia="宋体" w:cs="宋体"/>
          <w:color w:val="000000" w:themeColor="text1"/>
          <w:highlight w:val="none"/>
          <w:u w:val="single"/>
          <w14:textFill>
            <w14:solidFill>
              <w14:schemeClr w14:val="tx1"/>
            </w14:solidFill>
          </w14:textFill>
        </w:rPr>
        <w:t xml:space="preserve">         （单位名称并盖公章） </w:t>
      </w:r>
    </w:p>
    <w:p w14:paraId="46DA764D">
      <w:pPr>
        <w:spacing w:line="5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法定代表人或委托代理人：</w:t>
      </w:r>
      <w:r>
        <w:rPr>
          <w:rFonts w:hint="eastAsia" w:ascii="宋体" w:hAnsi="宋体" w:eastAsia="宋体" w:cs="宋体"/>
          <w:color w:val="000000" w:themeColor="text1"/>
          <w:highlight w:val="none"/>
          <w:u w:val="single"/>
          <w14:textFill>
            <w14:solidFill>
              <w14:schemeClr w14:val="tx1"/>
            </w14:solidFill>
          </w14:textFill>
        </w:rPr>
        <w:t xml:space="preserve"> （签字）   </w:t>
      </w:r>
    </w:p>
    <w:p w14:paraId="36B23E2C">
      <w:pPr>
        <w:pStyle w:val="23"/>
        <w:spacing w:line="500" w:lineRule="exact"/>
        <w:ind w:left="440" w:firstLine="3720" w:firstLineChars="155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日期：  年  月  日</w:t>
      </w:r>
    </w:p>
    <w:p w14:paraId="2A09BAA5">
      <w:pPr>
        <w:adjustRightInd/>
        <w:snapToGrid/>
        <w:spacing w:line="220" w:lineRule="atLeast"/>
        <w:rPr>
          <w:rFonts w:ascii="宋体" w:hAnsi="宋体" w:eastAsia="宋体" w:cs="宋体"/>
          <w:color w:val="000000" w:themeColor="text1"/>
          <w:highlight w:val="none"/>
          <w14:textFill>
            <w14:solidFill>
              <w14:schemeClr w14:val="tx1"/>
            </w14:solidFill>
          </w14:textFill>
        </w:rPr>
      </w:pPr>
    </w:p>
    <w:p w14:paraId="723D3DA6">
      <w:pPr>
        <w:widowControl w:val="0"/>
        <w:adjustRightInd/>
        <w:snapToGrid/>
        <w:spacing w:beforeLines="50" w:after="50" w:line="360" w:lineRule="auto"/>
        <w:jc w:val="both"/>
        <w:rPr>
          <w:rFonts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附：我单位具备履行合同所必需的设备、项目实施人员专业技术服务能力证明材料（如有可以提供）</w:t>
      </w:r>
    </w:p>
    <w:p w14:paraId="7B98FCD8">
      <w:pPr>
        <w:widowControl w:val="0"/>
        <w:adjustRightInd/>
        <w:snapToGrid/>
        <w:spacing w:beforeLines="50" w:after="50"/>
        <w:jc w:val="both"/>
        <w:rPr>
          <w:rFonts w:ascii="宋体" w:hAnsi="宋体" w:eastAsia="宋体" w:cs="宋体"/>
          <w:b/>
          <w:bCs/>
          <w:color w:val="000000" w:themeColor="text1"/>
          <w:kern w:val="2"/>
          <w:sz w:val="21"/>
          <w:szCs w:val="21"/>
          <w:highlight w:val="none"/>
          <w14:textFill>
            <w14:solidFill>
              <w14:schemeClr w14:val="tx1"/>
            </w14:solidFill>
          </w14:textFill>
        </w:rPr>
      </w:pPr>
      <w:r>
        <w:rPr>
          <w:rFonts w:hint="eastAsia" w:ascii="宋体" w:hAnsi="宋体" w:eastAsia="宋体" w:cs="宋体"/>
          <w:b/>
          <w:bCs/>
          <w:color w:val="000000" w:themeColor="text1"/>
          <w:kern w:val="2"/>
          <w:sz w:val="21"/>
          <w:szCs w:val="21"/>
          <w:highlight w:val="none"/>
          <w14:textFill>
            <w14:solidFill>
              <w14:schemeClr w14:val="tx1"/>
            </w14:solidFill>
          </w14:textFill>
        </w:rPr>
        <w:t>（参考格式）：</w:t>
      </w:r>
    </w:p>
    <w:p w14:paraId="0FB6C95B">
      <w:pPr>
        <w:widowControl w:val="0"/>
        <w:adjustRightInd/>
        <w:snapToGrid/>
        <w:spacing w:beforeLines="50" w:after="50"/>
        <w:jc w:val="both"/>
        <w:rPr>
          <w:rFonts w:ascii="宋体" w:hAnsi="宋体" w:eastAsia="宋体" w:cs="宋体"/>
          <w:b/>
          <w:bCs/>
          <w:color w:val="000000" w:themeColor="text1"/>
          <w:kern w:val="2"/>
          <w:sz w:val="21"/>
          <w:szCs w:val="21"/>
          <w:highlight w:val="none"/>
          <w14:textFill>
            <w14:solidFill>
              <w14:schemeClr w14:val="tx1"/>
            </w14:solidFill>
          </w14:textFill>
        </w:rPr>
      </w:pPr>
      <w:r>
        <w:rPr>
          <w:rFonts w:hint="eastAsia" w:ascii="宋体" w:hAnsi="宋体" w:eastAsia="宋体" w:cs="宋体"/>
          <w:b/>
          <w:bCs/>
          <w:color w:val="000000" w:themeColor="text1"/>
          <w:kern w:val="2"/>
          <w:sz w:val="21"/>
          <w:szCs w:val="21"/>
          <w:highlight w:val="none"/>
          <w14:textFill>
            <w14:solidFill>
              <w14:schemeClr w14:val="tx1"/>
            </w14:solidFill>
          </w14:textFill>
        </w:rPr>
        <w:t>我单位具备的履行合同所必需的设备</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544"/>
        <w:gridCol w:w="4925"/>
      </w:tblGrid>
      <w:tr w14:paraId="2CCC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208E2F58">
            <w:pPr>
              <w:widowControl w:val="0"/>
              <w:adjustRightInd/>
              <w:snapToGrid/>
              <w:spacing w:beforeLines="50" w:after="50"/>
              <w:jc w:val="center"/>
              <w:rPr>
                <w:rFonts w:ascii="宋体" w:hAnsi="宋体" w:eastAsia="宋体" w:cs="宋体"/>
                <w:b/>
                <w:bCs/>
                <w:color w:val="000000" w:themeColor="text1"/>
                <w:kern w:val="2"/>
                <w:sz w:val="21"/>
                <w:szCs w:val="21"/>
                <w:highlight w:val="none"/>
                <w14:textFill>
                  <w14:solidFill>
                    <w14:schemeClr w14:val="tx1"/>
                  </w14:solidFill>
                </w14:textFill>
              </w:rPr>
            </w:pPr>
            <w:r>
              <w:rPr>
                <w:rFonts w:hint="eastAsia" w:ascii="宋体" w:hAnsi="宋体" w:eastAsia="宋体" w:cs="宋体"/>
                <w:b/>
                <w:bCs/>
                <w:color w:val="000000" w:themeColor="text1"/>
                <w:kern w:val="2"/>
                <w:sz w:val="21"/>
                <w:szCs w:val="21"/>
                <w:highlight w:val="none"/>
                <w14:textFill>
                  <w14:solidFill>
                    <w14:schemeClr w14:val="tx1"/>
                  </w14:solidFill>
                </w14:textFill>
              </w:rPr>
              <w:t>序号</w:t>
            </w:r>
          </w:p>
        </w:tc>
        <w:tc>
          <w:tcPr>
            <w:tcW w:w="3544" w:type="dxa"/>
          </w:tcPr>
          <w:p w14:paraId="4CB6B9E7">
            <w:pPr>
              <w:widowControl w:val="0"/>
              <w:adjustRightInd/>
              <w:snapToGrid/>
              <w:spacing w:beforeLines="50" w:after="50"/>
              <w:jc w:val="center"/>
              <w:rPr>
                <w:rFonts w:ascii="宋体" w:hAnsi="宋体" w:eastAsia="宋体" w:cs="宋体"/>
                <w:b/>
                <w:bCs/>
                <w:color w:val="000000" w:themeColor="text1"/>
                <w:kern w:val="2"/>
                <w:sz w:val="21"/>
                <w:szCs w:val="21"/>
                <w:highlight w:val="none"/>
                <w14:textFill>
                  <w14:solidFill>
                    <w14:schemeClr w14:val="tx1"/>
                  </w14:solidFill>
                </w14:textFill>
              </w:rPr>
            </w:pPr>
            <w:r>
              <w:rPr>
                <w:rFonts w:hint="eastAsia" w:ascii="宋体" w:hAnsi="宋体" w:eastAsia="宋体" w:cs="宋体"/>
                <w:b/>
                <w:bCs/>
                <w:color w:val="000000" w:themeColor="text1"/>
                <w:kern w:val="2"/>
                <w:sz w:val="21"/>
                <w:szCs w:val="21"/>
                <w:highlight w:val="none"/>
                <w14:textFill>
                  <w14:solidFill>
                    <w14:schemeClr w14:val="tx1"/>
                  </w14:solidFill>
                </w14:textFill>
              </w:rPr>
              <w:t>设备名称</w:t>
            </w:r>
          </w:p>
        </w:tc>
        <w:tc>
          <w:tcPr>
            <w:tcW w:w="4925" w:type="dxa"/>
          </w:tcPr>
          <w:p w14:paraId="21AA08BB">
            <w:pPr>
              <w:widowControl w:val="0"/>
              <w:adjustRightInd/>
              <w:snapToGrid/>
              <w:spacing w:beforeLines="50" w:after="50"/>
              <w:jc w:val="center"/>
              <w:rPr>
                <w:rFonts w:ascii="宋体" w:hAnsi="宋体" w:eastAsia="宋体" w:cs="宋体"/>
                <w:b/>
                <w:bCs/>
                <w:color w:val="000000" w:themeColor="text1"/>
                <w:kern w:val="2"/>
                <w:sz w:val="21"/>
                <w:szCs w:val="21"/>
                <w:highlight w:val="none"/>
                <w14:textFill>
                  <w14:solidFill>
                    <w14:schemeClr w14:val="tx1"/>
                  </w14:solidFill>
                </w14:textFill>
              </w:rPr>
            </w:pPr>
            <w:r>
              <w:rPr>
                <w:rFonts w:hint="eastAsia" w:ascii="宋体" w:hAnsi="宋体" w:eastAsia="宋体" w:cs="宋体"/>
                <w:b/>
                <w:bCs/>
                <w:color w:val="000000" w:themeColor="text1"/>
                <w:kern w:val="2"/>
                <w:sz w:val="21"/>
                <w:szCs w:val="21"/>
                <w:highlight w:val="none"/>
                <w14:textFill>
                  <w14:solidFill>
                    <w14:schemeClr w14:val="tx1"/>
                  </w14:solidFill>
                </w14:textFill>
              </w:rPr>
              <w:t>数量</w:t>
            </w:r>
          </w:p>
        </w:tc>
      </w:tr>
      <w:tr w14:paraId="60D3C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5837BEB">
            <w:pPr>
              <w:widowControl w:val="0"/>
              <w:adjustRightInd/>
              <w:snapToGrid/>
              <w:spacing w:beforeLines="50" w:after="50"/>
              <w:jc w:val="center"/>
              <w:rPr>
                <w:rFonts w:ascii="宋体" w:hAnsi="宋体" w:eastAsia="宋体" w:cs="宋体"/>
                <w:b/>
                <w:bCs/>
                <w:color w:val="000000" w:themeColor="text1"/>
                <w:kern w:val="2"/>
                <w:sz w:val="21"/>
                <w:szCs w:val="21"/>
                <w:highlight w:val="none"/>
                <w14:textFill>
                  <w14:solidFill>
                    <w14:schemeClr w14:val="tx1"/>
                  </w14:solidFill>
                </w14:textFill>
              </w:rPr>
            </w:pPr>
          </w:p>
        </w:tc>
        <w:tc>
          <w:tcPr>
            <w:tcW w:w="3544" w:type="dxa"/>
          </w:tcPr>
          <w:p w14:paraId="566909C3">
            <w:pPr>
              <w:widowControl w:val="0"/>
              <w:adjustRightInd/>
              <w:snapToGrid/>
              <w:spacing w:beforeLines="50" w:after="50"/>
              <w:jc w:val="center"/>
              <w:rPr>
                <w:rFonts w:ascii="宋体" w:hAnsi="宋体" w:eastAsia="宋体" w:cs="宋体"/>
                <w:b/>
                <w:bCs/>
                <w:color w:val="000000" w:themeColor="text1"/>
                <w:kern w:val="2"/>
                <w:sz w:val="21"/>
                <w:szCs w:val="21"/>
                <w:highlight w:val="none"/>
                <w14:textFill>
                  <w14:solidFill>
                    <w14:schemeClr w14:val="tx1"/>
                  </w14:solidFill>
                </w14:textFill>
              </w:rPr>
            </w:pPr>
          </w:p>
        </w:tc>
        <w:tc>
          <w:tcPr>
            <w:tcW w:w="4925" w:type="dxa"/>
          </w:tcPr>
          <w:p w14:paraId="6D9124EB">
            <w:pPr>
              <w:widowControl w:val="0"/>
              <w:adjustRightInd/>
              <w:snapToGrid/>
              <w:spacing w:beforeLines="50" w:after="50"/>
              <w:jc w:val="center"/>
              <w:rPr>
                <w:rFonts w:ascii="宋体" w:hAnsi="宋体" w:eastAsia="宋体" w:cs="宋体"/>
                <w:b/>
                <w:bCs/>
                <w:color w:val="000000" w:themeColor="text1"/>
                <w:kern w:val="2"/>
                <w:sz w:val="21"/>
                <w:szCs w:val="21"/>
                <w:highlight w:val="none"/>
                <w14:textFill>
                  <w14:solidFill>
                    <w14:schemeClr w14:val="tx1"/>
                  </w14:solidFill>
                </w14:textFill>
              </w:rPr>
            </w:pPr>
          </w:p>
        </w:tc>
      </w:tr>
      <w:tr w14:paraId="6655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3851A20">
            <w:pPr>
              <w:widowControl w:val="0"/>
              <w:adjustRightInd/>
              <w:snapToGrid/>
              <w:spacing w:beforeLines="50" w:after="50"/>
              <w:jc w:val="center"/>
              <w:rPr>
                <w:rFonts w:ascii="宋体" w:hAnsi="宋体" w:eastAsia="宋体" w:cs="宋体"/>
                <w:b/>
                <w:bCs/>
                <w:color w:val="000000" w:themeColor="text1"/>
                <w:kern w:val="2"/>
                <w:sz w:val="21"/>
                <w:szCs w:val="21"/>
                <w:highlight w:val="none"/>
                <w14:textFill>
                  <w14:solidFill>
                    <w14:schemeClr w14:val="tx1"/>
                  </w14:solidFill>
                </w14:textFill>
              </w:rPr>
            </w:pPr>
          </w:p>
        </w:tc>
        <w:tc>
          <w:tcPr>
            <w:tcW w:w="3544" w:type="dxa"/>
          </w:tcPr>
          <w:p w14:paraId="536FA06B">
            <w:pPr>
              <w:widowControl w:val="0"/>
              <w:adjustRightInd/>
              <w:snapToGrid/>
              <w:spacing w:beforeLines="50" w:after="50"/>
              <w:jc w:val="center"/>
              <w:rPr>
                <w:rFonts w:ascii="宋体" w:hAnsi="宋体" w:eastAsia="宋体" w:cs="宋体"/>
                <w:b/>
                <w:bCs/>
                <w:color w:val="000000" w:themeColor="text1"/>
                <w:kern w:val="2"/>
                <w:sz w:val="21"/>
                <w:szCs w:val="21"/>
                <w:highlight w:val="none"/>
                <w14:textFill>
                  <w14:solidFill>
                    <w14:schemeClr w14:val="tx1"/>
                  </w14:solidFill>
                </w14:textFill>
              </w:rPr>
            </w:pPr>
          </w:p>
        </w:tc>
        <w:tc>
          <w:tcPr>
            <w:tcW w:w="4925" w:type="dxa"/>
          </w:tcPr>
          <w:p w14:paraId="330DE950">
            <w:pPr>
              <w:widowControl w:val="0"/>
              <w:adjustRightInd/>
              <w:snapToGrid/>
              <w:spacing w:beforeLines="50" w:after="50"/>
              <w:jc w:val="center"/>
              <w:rPr>
                <w:rFonts w:ascii="宋体" w:hAnsi="宋体" w:eastAsia="宋体" w:cs="宋体"/>
                <w:b/>
                <w:bCs/>
                <w:color w:val="000000" w:themeColor="text1"/>
                <w:kern w:val="2"/>
                <w:sz w:val="21"/>
                <w:szCs w:val="21"/>
                <w:highlight w:val="none"/>
                <w14:textFill>
                  <w14:solidFill>
                    <w14:schemeClr w14:val="tx1"/>
                  </w14:solidFill>
                </w14:textFill>
              </w:rPr>
            </w:pPr>
          </w:p>
        </w:tc>
      </w:tr>
      <w:tr w14:paraId="2817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72F8B828">
            <w:pPr>
              <w:widowControl w:val="0"/>
              <w:adjustRightInd/>
              <w:snapToGrid/>
              <w:spacing w:beforeLines="50" w:after="50"/>
              <w:jc w:val="both"/>
              <w:rPr>
                <w:rFonts w:ascii="宋体" w:hAnsi="宋体" w:eastAsia="宋体" w:cs="宋体"/>
                <w:b/>
                <w:bCs/>
                <w:color w:val="000000" w:themeColor="text1"/>
                <w:kern w:val="2"/>
                <w:sz w:val="21"/>
                <w:szCs w:val="21"/>
                <w:highlight w:val="none"/>
                <w14:textFill>
                  <w14:solidFill>
                    <w14:schemeClr w14:val="tx1"/>
                  </w14:solidFill>
                </w14:textFill>
              </w:rPr>
            </w:pPr>
          </w:p>
        </w:tc>
        <w:tc>
          <w:tcPr>
            <w:tcW w:w="3544" w:type="dxa"/>
          </w:tcPr>
          <w:p w14:paraId="17C4B9C9">
            <w:pPr>
              <w:widowControl w:val="0"/>
              <w:adjustRightInd/>
              <w:snapToGrid/>
              <w:spacing w:beforeLines="50" w:after="50"/>
              <w:jc w:val="both"/>
              <w:rPr>
                <w:rFonts w:ascii="宋体" w:hAnsi="宋体" w:eastAsia="宋体" w:cs="宋体"/>
                <w:b/>
                <w:bCs/>
                <w:color w:val="000000" w:themeColor="text1"/>
                <w:kern w:val="2"/>
                <w:sz w:val="21"/>
                <w:szCs w:val="21"/>
                <w:highlight w:val="none"/>
                <w14:textFill>
                  <w14:solidFill>
                    <w14:schemeClr w14:val="tx1"/>
                  </w14:solidFill>
                </w14:textFill>
              </w:rPr>
            </w:pPr>
            <w:r>
              <w:rPr>
                <w:rFonts w:hint="eastAsia" w:ascii="宋体" w:hAnsi="宋体" w:eastAsia="宋体" w:cs="宋体"/>
                <w:b/>
                <w:bCs/>
                <w:color w:val="000000" w:themeColor="text1"/>
                <w:kern w:val="2"/>
                <w:sz w:val="21"/>
                <w:szCs w:val="21"/>
                <w:highlight w:val="none"/>
                <w14:textFill>
                  <w14:solidFill>
                    <w14:schemeClr w14:val="tx1"/>
                  </w14:solidFill>
                </w14:textFill>
              </w:rPr>
              <w:t>……</w:t>
            </w:r>
          </w:p>
        </w:tc>
        <w:tc>
          <w:tcPr>
            <w:tcW w:w="4925" w:type="dxa"/>
          </w:tcPr>
          <w:p w14:paraId="594794DC">
            <w:pPr>
              <w:widowControl w:val="0"/>
              <w:adjustRightInd/>
              <w:snapToGrid/>
              <w:spacing w:beforeLines="50" w:after="50"/>
              <w:jc w:val="both"/>
              <w:rPr>
                <w:rFonts w:ascii="宋体" w:hAnsi="宋体" w:eastAsia="宋体" w:cs="宋体"/>
                <w:b/>
                <w:bCs/>
                <w:color w:val="000000" w:themeColor="text1"/>
                <w:kern w:val="2"/>
                <w:sz w:val="21"/>
                <w:szCs w:val="21"/>
                <w:highlight w:val="none"/>
                <w14:textFill>
                  <w14:solidFill>
                    <w14:schemeClr w14:val="tx1"/>
                  </w14:solidFill>
                </w14:textFill>
              </w:rPr>
            </w:pPr>
          </w:p>
        </w:tc>
      </w:tr>
    </w:tbl>
    <w:p w14:paraId="503B0A18">
      <w:pPr>
        <w:spacing w:beforeLines="50" w:after="50"/>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项目实施人员专业技术服务能力</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3119"/>
        <w:gridCol w:w="4925"/>
      </w:tblGrid>
      <w:tr w14:paraId="7509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1889A57C">
            <w:pPr>
              <w:spacing w:beforeLines="50" w:after="50"/>
              <w:jc w:val="center"/>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姓名</w:t>
            </w:r>
          </w:p>
        </w:tc>
        <w:tc>
          <w:tcPr>
            <w:tcW w:w="3119" w:type="dxa"/>
          </w:tcPr>
          <w:p w14:paraId="6A9FAC5C">
            <w:pPr>
              <w:spacing w:beforeLines="50" w:after="50"/>
              <w:jc w:val="center"/>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职务</w:t>
            </w:r>
          </w:p>
        </w:tc>
        <w:tc>
          <w:tcPr>
            <w:tcW w:w="4925" w:type="dxa"/>
          </w:tcPr>
          <w:p w14:paraId="0CE0EBFF">
            <w:pPr>
              <w:spacing w:beforeLines="50" w:after="50"/>
              <w:jc w:val="center"/>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专业技术资格</w:t>
            </w:r>
          </w:p>
        </w:tc>
      </w:tr>
      <w:tr w14:paraId="03993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5BF6E51F">
            <w:pPr>
              <w:spacing w:beforeLines="50" w:after="50"/>
              <w:jc w:val="center"/>
              <w:rPr>
                <w:rFonts w:ascii="宋体" w:hAnsi="宋体" w:eastAsia="宋体" w:cs="宋体"/>
                <w:b/>
                <w:bCs/>
                <w:color w:val="000000" w:themeColor="text1"/>
                <w:szCs w:val="21"/>
                <w:highlight w:val="none"/>
                <w14:textFill>
                  <w14:solidFill>
                    <w14:schemeClr w14:val="tx1"/>
                  </w14:solidFill>
                </w14:textFill>
              </w:rPr>
            </w:pPr>
          </w:p>
        </w:tc>
        <w:tc>
          <w:tcPr>
            <w:tcW w:w="3119" w:type="dxa"/>
          </w:tcPr>
          <w:p w14:paraId="79C698B2">
            <w:pPr>
              <w:spacing w:beforeLines="50" w:after="50"/>
              <w:jc w:val="center"/>
              <w:rPr>
                <w:rFonts w:ascii="宋体" w:hAnsi="宋体" w:eastAsia="宋体" w:cs="宋体"/>
                <w:b/>
                <w:bCs/>
                <w:color w:val="000000" w:themeColor="text1"/>
                <w:szCs w:val="21"/>
                <w:highlight w:val="none"/>
                <w14:textFill>
                  <w14:solidFill>
                    <w14:schemeClr w14:val="tx1"/>
                  </w14:solidFill>
                </w14:textFill>
              </w:rPr>
            </w:pPr>
          </w:p>
        </w:tc>
        <w:tc>
          <w:tcPr>
            <w:tcW w:w="4925" w:type="dxa"/>
          </w:tcPr>
          <w:p w14:paraId="7398B24E">
            <w:pPr>
              <w:spacing w:beforeLines="50" w:after="50"/>
              <w:jc w:val="center"/>
              <w:rPr>
                <w:rFonts w:ascii="宋体" w:hAnsi="宋体" w:eastAsia="宋体" w:cs="宋体"/>
                <w:b/>
                <w:bCs/>
                <w:color w:val="000000" w:themeColor="text1"/>
                <w:szCs w:val="21"/>
                <w:highlight w:val="none"/>
                <w14:textFill>
                  <w14:solidFill>
                    <w14:schemeClr w14:val="tx1"/>
                  </w14:solidFill>
                </w14:textFill>
              </w:rPr>
            </w:pPr>
          </w:p>
        </w:tc>
      </w:tr>
      <w:tr w14:paraId="6A93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0700B578">
            <w:pPr>
              <w:spacing w:beforeLines="50" w:after="50"/>
              <w:rPr>
                <w:rFonts w:ascii="宋体" w:hAnsi="宋体" w:eastAsia="宋体" w:cs="宋体"/>
                <w:b/>
                <w:bCs/>
                <w:color w:val="000000" w:themeColor="text1"/>
                <w:szCs w:val="21"/>
                <w:highlight w:val="none"/>
                <w14:textFill>
                  <w14:solidFill>
                    <w14:schemeClr w14:val="tx1"/>
                  </w14:solidFill>
                </w14:textFill>
              </w:rPr>
            </w:pPr>
          </w:p>
        </w:tc>
        <w:tc>
          <w:tcPr>
            <w:tcW w:w="3119" w:type="dxa"/>
          </w:tcPr>
          <w:p w14:paraId="5FA64AD9">
            <w:pPr>
              <w:spacing w:beforeLines="50" w:after="50"/>
              <w:rPr>
                <w:rFonts w:ascii="宋体" w:hAnsi="宋体" w:eastAsia="宋体" w:cs="宋体"/>
                <w:b/>
                <w:bCs/>
                <w:color w:val="000000" w:themeColor="text1"/>
                <w:szCs w:val="21"/>
                <w:highlight w:val="none"/>
                <w14:textFill>
                  <w14:solidFill>
                    <w14:schemeClr w14:val="tx1"/>
                  </w14:solidFill>
                </w14:textFill>
              </w:rPr>
            </w:pPr>
          </w:p>
        </w:tc>
        <w:tc>
          <w:tcPr>
            <w:tcW w:w="4925" w:type="dxa"/>
          </w:tcPr>
          <w:p w14:paraId="27BB1A6D">
            <w:pPr>
              <w:spacing w:beforeLines="50" w:after="50"/>
              <w:rPr>
                <w:rFonts w:ascii="宋体" w:hAnsi="宋体" w:eastAsia="宋体" w:cs="宋体"/>
                <w:b/>
                <w:bCs/>
                <w:color w:val="000000" w:themeColor="text1"/>
                <w:szCs w:val="21"/>
                <w:highlight w:val="none"/>
                <w14:textFill>
                  <w14:solidFill>
                    <w14:schemeClr w14:val="tx1"/>
                  </w14:solidFill>
                </w14:textFill>
              </w:rPr>
            </w:pPr>
          </w:p>
        </w:tc>
      </w:tr>
      <w:tr w14:paraId="0590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7A8410DD">
            <w:pPr>
              <w:spacing w:beforeLines="50" w:after="50"/>
              <w:rPr>
                <w:rFonts w:ascii="宋体" w:hAnsi="宋体" w:eastAsia="宋体" w:cs="宋体"/>
                <w:b/>
                <w:bCs/>
                <w:color w:val="000000" w:themeColor="text1"/>
                <w:szCs w:val="21"/>
                <w:highlight w:val="none"/>
                <w14:textFill>
                  <w14:solidFill>
                    <w14:schemeClr w14:val="tx1"/>
                  </w14:solidFill>
                </w14:textFill>
              </w:rPr>
            </w:pPr>
          </w:p>
        </w:tc>
        <w:tc>
          <w:tcPr>
            <w:tcW w:w="3119" w:type="dxa"/>
          </w:tcPr>
          <w:p w14:paraId="559E8E33">
            <w:pPr>
              <w:spacing w:beforeLines="50" w:after="50"/>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w:t>
            </w:r>
          </w:p>
        </w:tc>
        <w:tc>
          <w:tcPr>
            <w:tcW w:w="4925" w:type="dxa"/>
          </w:tcPr>
          <w:p w14:paraId="3D917A5E">
            <w:pPr>
              <w:spacing w:beforeLines="50" w:after="50"/>
              <w:rPr>
                <w:rFonts w:ascii="宋体" w:hAnsi="宋体" w:eastAsia="宋体" w:cs="宋体"/>
                <w:b/>
                <w:bCs/>
                <w:color w:val="000000" w:themeColor="text1"/>
                <w:szCs w:val="21"/>
                <w:highlight w:val="none"/>
                <w14:textFill>
                  <w14:solidFill>
                    <w14:schemeClr w14:val="tx1"/>
                  </w14:solidFill>
                </w14:textFill>
              </w:rPr>
            </w:pPr>
          </w:p>
        </w:tc>
      </w:tr>
    </w:tbl>
    <w:p w14:paraId="67677548">
      <w:pPr>
        <w:widowControl w:val="0"/>
        <w:spacing w:line="440" w:lineRule="exact"/>
        <w:jc w:val="both"/>
        <w:rPr>
          <w:rFonts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 w:val="22"/>
          <w:szCs w:val="21"/>
          <w:highlight w:val="none"/>
          <w14:textFill>
            <w14:solidFill>
              <w14:schemeClr w14:val="tx1"/>
            </w14:solidFill>
          </w14:textFill>
        </w:rPr>
        <w:t>（可以附上相关证明材料）</w:t>
      </w:r>
    </w:p>
    <w:p w14:paraId="6523A3E9">
      <w:pPr>
        <w:adjustRightInd/>
        <w:snapToGrid/>
        <w:spacing w:line="220" w:lineRule="atLeast"/>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kern w:val="2"/>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 xml:space="preserve">附件三： </w:t>
      </w:r>
    </w:p>
    <w:p w14:paraId="5B0B85F8">
      <w:pPr>
        <w:spacing w:beforeLines="50" w:after="50"/>
        <w:jc w:val="center"/>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参加政府采购活动前三年内在经营活动中</w:t>
      </w:r>
    </w:p>
    <w:p w14:paraId="149AE558">
      <w:pPr>
        <w:spacing w:beforeLines="50" w:after="50"/>
        <w:jc w:val="center"/>
        <w:rPr>
          <w:rFonts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没有重大违法记录的书面声明</w:t>
      </w:r>
    </w:p>
    <w:p w14:paraId="39BCBF8E">
      <w:pPr>
        <w:pStyle w:val="23"/>
        <w:spacing w:line="400" w:lineRule="exact"/>
        <w:ind w:left="1000" w:hanging="560"/>
        <w:rPr>
          <w:rFonts w:hAnsi="宋体" w:cs="宋体"/>
          <w:color w:val="000000" w:themeColor="text1"/>
          <w:sz w:val="24"/>
          <w:szCs w:val="24"/>
          <w:highlight w:val="none"/>
          <w14:textFill>
            <w14:solidFill>
              <w14:schemeClr w14:val="tx1"/>
            </w14:solidFill>
          </w14:textFill>
        </w:rPr>
      </w:pPr>
    </w:p>
    <w:p w14:paraId="49952E89">
      <w:pPr>
        <w:pStyle w:val="23"/>
        <w:spacing w:line="500" w:lineRule="exact"/>
        <w:ind w:left="920" w:hanging="48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致：________(采购代理机构)</w:t>
      </w:r>
    </w:p>
    <w:p w14:paraId="4759193A">
      <w:pPr>
        <w:pStyle w:val="23"/>
        <w:spacing w:line="500" w:lineRule="exact"/>
        <w:ind w:left="440"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我单位参加贵公司组织的</w:t>
      </w:r>
      <w:r>
        <w:rPr>
          <w:rFonts w:hint="eastAsia" w:hAnsi="宋体" w:cs="宋体"/>
          <w:color w:val="000000" w:themeColor="text1"/>
          <w:sz w:val="24"/>
          <w:szCs w:val="24"/>
          <w:highlight w:val="none"/>
          <w:u w:val="single"/>
          <w14:textFill>
            <w14:solidFill>
              <w14:schemeClr w14:val="tx1"/>
            </w14:solidFill>
          </w14:textFill>
        </w:rPr>
        <w:t xml:space="preserve">    （项目名称）          </w:t>
      </w:r>
      <w:r>
        <w:rPr>
          <w:rFonts w:hint="eastAsia" w:hAnsi="宋体" w:cs="宋体"/>
          <w:color w:val="000000" w:themeColor="text1"/>
          <w:sz w:val="24"/>
          <w:szCs w:val="24"/>
          <w:highlight w:val="none"/>
          <w14:textFill>
            <w14:solidFill>
              <w14:schemeClr w14:val="tx1"/>
            </w14:solidFill>
          </w14:textFill>
        </w:rPr>
        <w:t>（项目编号：</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政府采购活动。我单位在此郑重声明，我单位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5A671D6D">
      <w:pPr>
        <w:pStyle w:val="23"/>
        <w:spacing w:line="500" w:lineRule="exact"/>
        <w:ind w:left="440" w:firstLine="480" w:firstLineChars="2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特此承诺。</w:t>
      </w:r>
    </w:p>
    <w:p w14:paraId="24518F0D">
      <w:pPr>
        <w:pStyle w:val="23"/>
        <w:spacing w:line="400" w:lineRule="exact"/>
        <w:ind w:left="1000" w:hanging="560"/>
        <w:rPr>
          <w:rFonts w:hAnsi="宋体" w:cs="宋体"/>
          <w:color w:val="000000" w:themeColor="text1"/>
          <w:sz w:val="24"/>
          <w:szCs w:val="24"/>
          <w:highlight w:val="none"/>
          <w14:textFill>
            <w14:solidFill>
              <w14:schemeClr w14:val="tx1"/>
            </w14:solidFill>
          </w14:textFill>
        </w:rPr>
      </w:pPr>
    </w:p>
    <w:p w14:paraId="4CBE219A">
      <w:pPr>
        <w:pStyle w:val="23"/>
        <w:spacing w:line="300" w:lineRule="auto"/>
        <w:ind w:left="440" w:firstLine="1680" w:firstLineChars="700"/>
        <w:rPr>
          <w:rFonts w:hAnsi="宋体" w:cs="宋体"/>
          <w:color w:val="000000" w:themeColor="text1"/>
          <w:sz w:val="24"/>
          <w:szCs w:val="24"/>
          <w:highlight w:val="none"/>
          <w14:textFill>
            <w14:solidFill>
              <w14:schemeClr w14:val="tx1"/>
            </w14:solidFill>
          </w14:textFill>
        </w:rPr>
      </w:pPr>
    </w:p>
    <w:p w14:paraId="35B4793A">
      <w:pPr>
        <w:pStyle w:val="23"/>
        <w:spacing w:line="300" w:lineRule="auto"/>
        <w:ind w:left="440" w:firstLine="1680" w:firstLineChars="700"/>
        <w:rPr>
          <w:rFonts w:hAnsi="宋体" w:cs="宋体"/>
          <w:color w:val="000000" w:themeColor="text1"/>
          <w:sz w:val="24"/>
          <w:szCs w:val="24"/>
          <w:highlight w:val="none"/>
          <w14:textFill>
            <w14:solidFill>
              <w14:schemeClr w14:val="tx1"/>
            </w14:solidFill>
          </w14:textFill>
        </w:rPr>
      </w:pPr>
    </w:p>
    <w:p w14:paraId="00EFE6B3">
      <w:pPr>
        <w:pStyle w:val="23"/>
        <w:spacing w:line="300" w:lineRule="auto"/>
        <w:ind w:left="440" w:firstLine="1680" w:firstLineChars="700"/>
        <w:rPr>
          <w:rFonts w:hAnsi="宋体" w:cs="宋体"/>
          <w:color w:val="000000" w:themeColor="text1"/>
          <w:sz w:val="24"/>
          <w:szCs w:val="24"/>
          <w:highlight w:val="none"/>
          <w14:textFill>
            <w14:solidFill>
              <w14:schemeClr w14:val="tx1"/>
            </w14:solidFill>
          </w14:textFill>
        </w:rPr>
      </w:pPr>
    </w:p>
    <w:p w14:paraId="69443E13">
      <w:pPr>
        <w:spacing w:line="5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w:t>
      </w:r>
      <w:r>
        <w:rPr>
          <w:rFonts w:hint="eastAsia" w:ascii="宋体" w:hAnsi="宋体" w:eastAsia="宋体" w:cs="宋体"/>
          <w:color w:val="000000" w:themeColor="text1"/>
          <w:highlight w:val="none"/>
          <w:u w:val="single"/>
          <w14:textFill>
            <w14:solidFill>
              <w14:schemeClr w14:val="tx1"/>
            </w14:solidFill>
          </w14:textFill>
        </w:rPr>
        <w:t xml:space="preserve">         （单位名称并盖公章） </w:t>
      </w:r>
    </w:p>
    <w:p w14:paraId="1B2184E6">
      <w:pPr>
        <w:spacing w:line="5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法定代表人或委托代理人：</w:t>
      </w:r>
      <w:r>
        <w:rPr>
          <w:rFonts w:hint="eastAsia" w:ascii="宋体" w:hAnsi="宋体" w:eastAsia="宋体" w:cs="宋体"/>
          <w:color w:val="000000" w:themeColor="text1"/>
          <w:highlight w:val="none"/>
          <w:u w:val="single"/>
          <w14:textFill>
            <w14:solidFill>
              <w14:schemeClr w14:val="tx1"/>
            </w14:solidFill>
          </w14:textFill>
        </w:rPr>
        <w:t xml:space="preserve">   （签字）   </w:t>
      </w:r>
    </w:p>
    <w:p w14:paraId="1C7434B6">
      <w:pPr>
        <w:pStyle w:val="23"/>
        <w:spacing w:line="500" w:lineRule="exact"/>
        <w:ind w:left="440" w:firstLine="3720" w:firstLineChars="155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日期：  年  月  日</w:t>
      </w:r>
    </w:p>
    <w:p w14:paraId="73802828">
      <w:pPr>
        <w:spacing w:line="400" w:lineRule="exact"/>
        <w:rPr>
          <w:rFonts w:ascii="宋体" w:hAnsi="宋体" w:eastAsia="宋体" w:cs="宋体"/>
          <w:color w:val="000000" w:themeColor="text1"/>
          <w:highlight w:val="none"/>
          <w14:textFill>
            <w14:solidFill>
              <w14:schemeClr w14:val="tx1"/>
            </w14:solidFill>
          </w14:textFill>
        </w:rPr>
      </w:pPr>
    </w:p>
    <w:p w14:paraId="15A88BCC">
      <w:pPr>
        <w:adjustRightInd/>
        <w:snapToGrid/>
        <w:spacing w:line="220" w:lineRule="atLeast"/>
        <w:rPr>
          <w:rFonts w:ascii="宋体" w:hAnsi="宋体" w:eastAsia="宋体" w:cs="宋体"/>
          <w:color w:val="000000" w:themeColor="text1"/>
          <w:highlight w:val="none"/>
          <w14:textFill>
            <w14:solidFill>
              <w14:schemeClr w14:val="tx1"/>
            </w14:solidFill>
          </w14:textFill>
        </w:rPr>
      </w:pPr>
    </w:p>
    <w:p w14:paraId="546625A3">
      <w:pPr>
        <w:pStyle w:val="23"/>
        <w:spacing w:line="440" w:lineRule="exact"/>
        <w:rPr>
          <w:rFonts w:hAnsi="宋体" w:cs="宋体"/>
          <w:b/>
          <w:color w:val="000000" w:themeColor="text1"/>
          <w:sz w:val="28"/>
          <w:szCs w:val="28"/>
          <w:highlight w:val="none"/>
          <w14:textFill>
            <w14:solidFill>
              <w14:schemeClr w14:val="tx1"/>
            </w14:solidFill>
          </w14:textFill>
        </w:rPr>
      </w:pPr>
      <w:r>
        <w:rPr>
          <w:rFonts w:hint="eastAsia" w:hAnsi="宋体" w:cs="宋体"/>
          <w:b/>
          <w:color w:val="000000" w:themeColor="text1"/>
          <w:sz w:val="28"/>
          <w:szCs w:val="28"/>
          <w:highlight w:val="none"/>
          <w14:textFill>
            <w14:solidFill>
              <w14:schemeClr w14:val="tx1"/>
            </w14:solidFill>
          </w14:textFill>
        </w:rPr>
        <w:br w:type="page"/>
      </w:r>
      <w:r>
        <w:rPr>
          <w:rFonts w:hint="eastAsia" w:hAnsi="宋体" w:cs="宋体"/>
          <w:b/>
          <w:color w:val="000000" w:themeColor="text1"/>
          <w:sz w:val="28"/>
          <w:szCs w:val="28"/>
          <w:highlight w:val="none"/>
          <w14:textFill>
            <w14:solidFill>
              <w14:schemeClr w14:val="tx1"/>
            </w14:solidFill>
          </w14:textFill>
        </w:rPr>
        <w:t>附件四：供应商控股及管理关系情况申报表</w:t>
      </w:r>
    </w:p>
    <w:p w14:paraId="40299E1F">
      <w:pPr>
        <w:pStyle w:val="23"/>
        <w:spacing w:line="400" w:lineRule="exact"/>
        <w:ind w:left="1000" w:hanging="560"/>
        <w:rPr>
          <w:rFonts w:hAnsi="宋体" w:cs="宋体"/>
          <w:color w:val="000000" w:themeColor="text1"/>
          <w:highlight w:val="none"/>
          <w14:textFill>
            <w14:solidFill>
              <w14:schemeClr w14:val="tx1"/>
            </w14:solidFill>
          </w14:textFill>
        </w:rPr>
      </w:pPr>
    </w:p>
    <w:p w14:paraId="7C7D91E3">
      <w:pPr>
        <w:pStyle w:val="153"/>
        <w:ind w:firstLine="0" w:firstLineChars="0"/>
        <w:jc w:val="center"/>
        <w:rPr>
          <w:rFonts w:ascii="宋体" w:hAnsi="宋体" w:cs="宋体"/>
          <w:b/>
          <w:color w:val="000000" w:themeColor="text1"/>
          <w:sz w:val="30"/>
          <w:szCs w:val="30"/>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t>供应商控股及管理关系情况申报表</w:t>
      </w:r>
    </w:p>
    <w:p w14:paraId="39740E32">
      <w:pPr>
        <w:spacing w:line="440" w:lineRule="exact"/>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致：________(采购代理机构)</w:t>
      </w:r>
    </w:p>
    <w:p w14:paraId="44559A90">
      <w:pPr>
        <w:spacing w:line="440" w:lineRule="exact"/>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我单位参加</w:t>
      </w:r>
      <w:r>
        <w:rPr>
          <w:rFonts w:hint="eastAsia" w:ascii="宋体" w:hAnsi="宋体" w:eastAsia="宋体" w:cs="宋体"/>
          <w:color w:val="000000" w:themeColor="text1"/>
          <w:kern w:val="2"/>
          <w:highlight w:val="none"/>
          <w:u w:val="single"/>
          <w14:textFill>
            <w14:solidFill>
              <w14:schemeClr w14:val="tx1"/>
            </w14:solidFill>
          </w14:textFill>
        </w:rPr>
        <w:t xml:space="preserve">   （项目名称）      </w:t>
      </w:r>
      <w:r>
        <w:rPr>
          <w:rFonts w:hint="eastAsia" w:ascii="宋体" w:hAnsi="宋体" w:eastAsia="宋体" w:cs="宋体"/>
          <w:color w:val="000000" w:themeColor="text1"/>
          <w:kern w:val="2"/>
          <w:highlight w:val="none"/>
          <w14:textFill>
            <w14:solidFill>
              <w14:schemeClr w14:val="tx1"/>
            </w14:solidFill>
          </w14:textFill>
        </w:rPr>
        <w:t>的竞争性磋商，根据《中华人民共和国政府采购法》及相关规定，特就本单位控股及管理关系情况申报如下，并承担申报不实的责任。</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5"/>
        <w:gridCol w:w="2709"/>
        <w:gridCol w:w="3946"/>
      </w:tblGrid>
      <w:tr w14:paraId="16FA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525" w:type="dxa"/>
            <w:vAlign w:val="center"/>
          </w:tcPr>
          <w:p w14:paraId="01E04E85">
            <w:pPr>
              <w:spacing w:line="440" w:lineRule="exact"/>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供应商名称</w:t>
            </w:r>
          </w:p>
        </w:tc>
        <w:tc>
          <w:tcPr>
            <w:tcW w:w="6655" w:type="dxa"/>
            <w:gridSpan w:val="2"/>
            <w:vAlign w:val="center"/>
          </w:tcPr>
          <w:p w14:paraId="239A3669">
            <w:pPr>
              <w:spacing w:line="440" w:lineRule="exact"/>
              <w:rPr>
                <w:rFonts w:ascii="宋体" w:hAnsi="宋体" w:eastAsia="宋体" w:cs="宋体"/>
                <w:color w:val="000000" w:themeColor="text1"/>
                <w:kern w:val="2"/>
                <w:highlight w:val="none"/>
                <w14:textFill>
                  <w14:solidFill>
                    <w14:schemeClr w14:val="tx1"/>
                  </w14:solidFill>
                </w14:textFill>
              </w:rPr>
            </w:pPr>
          </w:p>
        </w:tc>
      </w:tr>
      <w:tr w14:paraId="1D14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525" w:type="dxa"/>
            <w:vMerge w:val="restart"/>
            <w:vAlign w:val="center"/>
          </w:tcPr>
          <w:p w14:paraId="57A6EDD5">
            <w:pPr>
              <w:spacing w:after="0" w:line="360" w:lineRule="exact"/>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法定代表人/单位负责人</w:t>
            </w:r>
          </w:p>
        </w:tc>
        <w:tc>
          <w:tcPr>
            <w:tcW w:w="2709" w:type="dxa"/>
            <w:vAlign w:val="center"/>
          </w:tcPr>
          <w:p w14:paraId="3AA7C9B4">
            <w:pPr>
              <w:spacing w:after="0" w:line="360" w:lineRule="exact"/>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姓    名</w:t>
            </w:r>
          </w:p>
        </w:tc>
        <w:tc>
          <w:tcPr>
            <w:tcW w:w="3946" w:type="dxa"/>
            <w:vAlign w:val="center"/>
          </w:tcPr>
          <w:p w14:paraId="2B5E0BD6">
            <w:pPr>
              <w:spacing w:line="440" w:lineRule="exact"/>
              <w:rPr>
                <w:rFonts w:ascii="宋体" w:hAnsi="宋体" w:eastAsia="宋体" w:cs="宋体"/>
                <w:color w:val="000000" w:themeColor="text1"/>
                <w:kern w:val="2"/>
                <w:highlight w:val="none"/>
                <w14:textFill>
                  <w14:solidFill>
                    <w14:schemeClr w14:val="tx1"/>
                  </w14:solidFill>
                </w14:textFill>
              </w:rPr>
            </w:pPr>
          </w:p>
        </w:tc>
      </w:tr>
      <w:tr w14:paraId="61C7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525" w:type="dxa"/>
            <w:vMerge w:val="continue"/>
            <w:vAlign w:val="center"/>
          </w:tcPr>
          <w:p w14:paraId="45F5D1EE">
            <w:pPr>
              <w:spacing w:after="0" w:line="360" w:lineRule="exact"/>
              <w:rPr>
                <w:rFonts w:ascii="宋体" w:hAnsi="宋体" w:eastAsia="宋体" w:cs="宋体"/>
                <w:color w:val="000000" w:themeColor="text1"/>
                <w:kern w:val="2"/>
                <w:highlight w:val="none"/>
                <w14:textFill>
                  <w14:solidFill>
                    <w14:schemeClr w14:val="tx1"/>
                  </w14:solidFill>
                </w14:textFill>
              </w:rPr>
            </w:pPr>
          </w:p>
        </w:tc>
        <w:tc>
          <w:tcPr>
            <w:tcW w:w="2709" w:type="dxa"/>
            <w:vAlign w:val="center"/>
          </w:tcPr>
          <w:p w14:paraId="64B4D2A1">
            <w:pPr>
              <w:spacing w:after="0" w:line="360" w:lineRule="exact"/>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身份证号</w:t>
            </w:r>
          </w:p>
        </w:tc>
        <w:tc>
          <w:tcPr>
            <w:tcW w:w="3946" w:type="dxa"/>
            <w:vAlign w:val="center"/>
          </w:tcPr>
          <w:p w14:paraId="52812DA2">
            <w:pPr>
              <w:spacing w:line="440" w:lineRule="exact"/>
              <w:rPr>
                <w:rFonts w:ascii="宋体" w:hAnsi="宋体" w:eastAsia="宋体" w:cs="宋体"/>
                <w:color w:val="000000" w:themeColor="text1"/>
                <w:kern w:val="2"/>
                <w:highlight w:val="none"/>
                <w14:textFill>
                  <w14:solidFill>
                    <w14:schemeClr w14:val="tx1"/>
                  </w14:solidFill>
                </w14:textFill>
              </w:rPr>
            </w:pPr>
          </w:p>
        </w:tc>
      </w:tr>
      <w:tr w14:paraId="4674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525" w:type="dxa"/>
            <w:vAlign w:val="center"/>
          </w:tcPr>
          <w:p w14:paraId="7953865B">
            <w:pPr>
              <w:spacing w:after="0" w:line="360" w:lineRule="exact"/>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控股股东/投资人名称及出资比例</w:t>
            </w:r>
          </w:p>
        </w:tc>
        <w:tc>
          <w:tcPr>
            <w:tcW w:w="6655" w:type="dxa"/>
            <w:gridSpan w:val="2"/>
            <w:vAlign w:val="center"/>
          </w:tcPr>
          <w:p w14:paraId="18D470D8">
            <w:pPr>
              <w:spacing w:after="0" w:line="360" w:lineRule="exact"/>
              <w:rPr>
                <w:rFonts w:ascii="宋体" w:hAnsi="宋体" w:eastAsia="宋体" w:cs="宋体"/>
                <w:color w:val="000000" w:themeColor="text1"/>
                <w:kern w:val="2"/>
                <w:highlight w:val="none"/>
                <w14:textFill>
                  <w14:solidFill>
                    <w14:schemeClr w14:val="tx1"/>
                  </w14:solidFill>
                </w14:textFill>
              </w:rPr>
            </w:pPr>
          </w:p>
        </w:tc>
      </w:tr>
      <w:tr w14:paraId="012D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525" w:type="dxa"/>
            <w:vAlign w:val="center"/>
          </w:tcPr>
          <w:p w14:paraId="6BC4F015">
            <w:pPr>
              <w:spacing w:after="0" w:line="360" w:lineRule="exact"/>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非控股股东/投资人名称及出资比例</w:t>
            </w:r>
          </w:p>
        </w:tc>
        <w:tc>
          <w:tcPr>
            <w:tcW w:w="6655" w:type="dxa"/>
            <w:gridSpan w:val="2"/>
            <w:vAlign w:val="center"/>
          </w:tcPr>
          <w:p w14:paraId="01213DEF">
            <w:pPr>
              <w:spacing w:after="0" w:line="360" w:lineRule="exact"/>
              <w:rPr>
                <w:rFonts w:ascii="宋体" w:hAnsi="宋体" w:eastAsia="宋体" w:cs="宋体"/>
                <w:color w:val="000000" w:themeColor="text1"/>
                <w:kern w:val="2"/>
                <w:highlight w:val="none"/>
                <w14:textFill>
                  <w14:solidFill>
                    <w14:schemeClr w14:val="tx1"/>
                  </w14:solidFill>
                </w14:textFill>
              </w:rPr>
            </w:pPr>
          </w:p>
        </w:tc>
      </w:tr>
      <w:tr w14:paraId="31B8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525" w:type="dxa"/>
            <w:vMerge w:val="restart"/>
            <w:vAlign w:val="center"/>
          </w:tcPr>
          <w:p w14:paraId="058A0EE5">
            <w:pPr>
              <w:spacing w:after="0" w:line="360" w:lineRule="exact"/>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管理关系单位名称</w:t>
            </w:r>
          </w:p>
        </w:tc>
        <w:tc>
          <w:tcPr>
            <w:tcW w:w="2709" w:type="dxa"/>
            <w:vAlign w:val="center"/>
          </w:tcPr>
          <w:p w14:paraId="049BB164">
            <w:pPr>
              <w:spacing w:after="0" w:line="360" w:lineRule="exact"/>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管理关系单位名称</w:t>
            </w:r>
          </w:p>
        </w:tc>
        <w:tc>
          <w:tcPr>
            <w:tcW w:w="3946" w:type="dxa"/>
            <w:vAlign w:val="center"/>
          </w:tcPr>
          <w:p w14:paraId="5967F2DA">
            <w:pPr>
              <w:spacing w:line="440" w:lineRule="exact"/>
              <w:rPr>
                <w:rFonts w:ascii="宋体" w:hAnsi="宋体" w:eastAsia="宋体" w:cs="宋体"/>
                <w:color w:val="000000" w:themeColor="text1"/>
                <w:kern w:val="2"/>
                <w:highlight w:val="none"/>
                <w14:textFill>
                  <w14:solidFill>
                    <w14:schemeClr w14:val="tx1"/>
                  </w14:solidFill>
                </w14:textFill>
              </w:rPr>
            </w:pPr>
          </w:p>
        </w:tc>
      </w:tr>
      <w:tr w14:paraId="67B0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525" w:type="dxa"/>
            <w:vMerge w:val="continue"/>
            <w:vAlign w:val="center"/>
          </w:tcPr>
          <w:p w14:paraId="4E042FD1">
            <w:pPr>
              <w:spacing w:after="0" w:line="360" w:lineRule="exact"/>
              <w:rPr>
                <w:rFonts w:ascii="宋体" w:hAnsi="宋体" w:eastAsia="宋体" w:cs="宋体"/>
                <w:color w:val="000000" w:themeColor="text1"/>
                <w:kern w:val="2"/>
                <w:highlight w:val="none"/>
                <w14:textFill>
                  <w14:solidFill>
                    <w14:schemeClr w14:val="tx1"/>
                  </w14:solidFill>
                </w14:textFill>
              </w:rPr>
            </w:pPr>
          </w:p>
        </w:tc>
        <w:tc>
          <w:tcPr>
            <w:tcW w:w="2709" w:type="dxa"/>
            <w:vAlign w:val="center"/>
          </w:tcPr>
          <w:p w14:paraId="45681526">
            <w:pPr>
              <w:spacing w:after="0" w:line="360" w:lineRule="exact"/>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被管理关系单位名称</w:t>
            </w:r>
          </w:p>
        </w:tc>
        <w:tc>
          <w:tcPr>
            <w:tcW w:w="3946" w:type="dxa"/>
            <w:vAlign w:val="center"/>
          </w:tcPr>
          <w:p w14:paraId="0F826E36">
            <w:pPr>
              <w:spacing w:line="440" w:lineRule="exact"/>
              <w:rPr>
                <w:rFonts w:ascii="宋体" w:hAnsi="宋体" w:eastAsia="宋体" w:cs="宋体"/>
                <w:color w:val="000000" w:themeColor="text1"/>
                <w:kern w:val="2"/>
                <w:highlight w:val="none"/>
                <w14:textFill>
                  <w14:solidFill>
                    <w14:schemeClr w14:val="tx1"/>
                  </w14:solidFill>
                </w14:textFill>
              </w:rPr>
            </w:pPr>
          </w:p>
        </w:tc>
      </w:tr>
      <w:tr w14:paraId="26969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9180" w:type="dxa"/>
            <w:gridSpan w:val="3"/>
            <w:vAlign w:val="center"/>
          </w:tcPr>
          <w:p w14:paraId="3DBE1679">
            <w:pPr>
              <w:spacing w:line="440" w:lineRule="exact"/>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备注：</w:t>
            </w:r>
          </w:p>
        </w:tc>
      </w:tr>
    </w:tbl>
    <w:p w14:paraId="0BBAAB1C">
      <w:pPr>
        <w:spacing w:after="0" w:line="340" w:lineRule="exact"/>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注：</w:t>
      </w:r>
    </w:p>
    <w:p w14:paraId="4BD83918">
      <w:pPr>
        <w:pStyle w:val="153"/>
        <w:numPr>
          <w:ilvl w:val="3"/>
          <w:numId w:val="54"/>
        </w:numPr>
        <w:tabs>
          <w:tab w:val="left" w:pos="312"/>
        </w:tabs>
        <w:adjustRightInd w:val="0"/>
        <w:snapToGrid w:val="0"/>
        <w:spacing w:line="340" w:lineRule="exact"/>
        <w:ind w:firstLine="48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控股股东/投资人是指出资比例在50%以上，或者出资比例不足50%，但享有公司股东会/董事会控制权的投资方（含单位或者个人）；</w:t>
      </w:r>
    </w:p>
    <w:p w14:paraId="26EF061D">
      <w:pPr>
        <w:pStyle w:val="153"/>
        <w:numPr>
          <w:ilvl w:val="3"/>
          <w:numId w:val="54"/>
        </w:numPr>
        <w:tabs>
          <w:tab w:val="left" w:pos="312"/>
        </w:tabs>
        <w:adjustRightInd w:val="0"/>
        <w:snapToGrid w:val="0"/>
        <w:spacing w:line="340" w:lineRule="exact"/>
        <w:ind w:firstLine="48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管理关系单位是指与不具有出资持股关系的其他单位之间存在管理与被管理关系的单位； </w:t>
      </w:r>
    </w:p>
    <w:p w14:paraId="6607059B">
      <w:pPr>
        <w:pStyle w:val="153"/>
        <w:numPr>
          <w:ilvl w:val="3"/>
          <w:numId w:val="54"/>
        </w:numPr>
        <w:tabs>
          <w:tab w:val="left" w:pos="312"/>
        </w:tabs>
        <w:adjustRightInd w:val="0"/>
        <w:snapToGrid w:val="0"/>
        <w:spacing w:line="340" w:lineRule="exact"/>
        <w:ind w:firstLine="48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如未有相关情况，请在相应栏填写“无”。</w:t>
      </w:r>
    </w:p>
    <w:p w14:paraId="708EB115">
      <w:pPr>
        <w:pStyle w:val="23"/>
        <w:spacing w:line="300" w:lineRule="auto"/>
        <w:ind w:left="440" w:firstLine="1680" w:firstLineChars="700"/>
        <w:rPr>
          <w:rFonts w:hAnsi="宋体" w:cs="宋体"/>
          <w:color w:val="000000" w:themeColor="text1"/>
          <w:sz w:val="24"/>
          <w:szCs w:val="24"/>
          <w:highlight w:val="none"/>
          <w14:textFill>
            <w14:solidFill>
              <w14:schemeClr w14:val="tx1"/>
            </w14:solidFill>
          </w14:textFill>
        </w:rPr>
      </w:pPr>
    </w:p>
    <w:p w14:paraId="531810CA">
      <w:pPr>
        <w:spacing w:line="5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w:t>
      </w:r>
      <w:r>
        <w:rPr>
          <w:rFonts w:hint="eastAsia" w:ascii="宋体" w:hAnsi="宋体" w:eastAsia="宋体" w:cs="宋体"/>
          <w:color w:val="000000" w:themeColor="text1"/>
          <w:highlight w:val="none"/>
          <w:u w:val="single"/>
          <w14:textFill>
            <w14:solidFill>
              <w14:schemeClr w14:val="tx1"/>
            </w14:solidFill>
          </w14:textFill>
        </w:rPr>
        <w:t xml:space="preserve">         （单位名称并盖公章） </w:t>
      </w:r>
    </w:p>
    <w:p w14:paraId="42523106">
      <w:pPr>
        <w:spacing w:line="5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法定代表人或委托代理人：</w:t>
      </w:r>
      <w:r>
        <w:rPr>
          <w:rFonts w:hint="eastAsia" w:ascii="宋体" w:hAnsi="宋体" w:eastAsia="宋体" w:cs="宋体"/>
          <w:color w:val="000000" w:themeColor="text1"/>
          <w:highlight w:val="none"/>
          <w:u w:val="single"/>
          <w14:textFill>
            <w14:solidFill>
              <w14:schemeClr w14:val="tx1"/>
            </w14:solidFill>
          </w14:textFill>
        </w:rPr>
        <w:t xml:space="preserve">（签字）   </w:t>
      </w:r>
    </w:p>
    <w:p w14:paraId="301B2958">
      <w:pPr>
        <w:pStyle w:val="23"/>
        <w:spacing w:line="500" w:lineRule="exact"/>
        <w:ind w:left="440" w:firstLine="3720" w:firstLineChars="1550"/>
        <w:rPr>
          <w:rFonts w:hAnsi="宋体" w:cs="宋体"/>
          <w:color w:val="000000" w:themeColor="text1"/>
          <w:sz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日期：  年 月 日</w:t>
      </w:r>
    </w:p>
    <w:p w14:paraId="6FD80784">
      <w:pPr>
        <w:pStyle w:val="82"/>
        <w:rPr>
          <w:rFonts w:hAnsi="宋体"/>
          <w:bCs/>
          <w:color w:val="000000" w:themeColor="text1"/>
          <w:sz w:val="28"/>
          <w:szCs w:val="28"/>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br w:type="page"/>
      </w:r>
      <w:r>
        <w:rPr>
          <w:rFonts w:hint="eastAsia" w:hAnsi="宋体"/>
          <w:b/>
          <w:color w:val="000000" w:themeColor="text1"/>
          <w:sz w:val="28"/>
          <w:szCs w:val="28"/>
          <w:highlight w:val="none"/>
          <w14:textFill>
            <w14:solidFill>
              <w14:schemeClr w14:val="tx1"/>
            </w14:solidFill>
          </w14:textFill>
        </w:rPr>
        <w:t>附件五：</w:t>
      </w:r>
      <w:r>
        <w:rPr>
          <w:rFonts w:hint="eastAsia" w:hAnsi="宋体"/>
          <w:bCs/>
          <w:color w:val="000000" w:themeColor="text1"/>
          <w:sz w:val="28"/>
          <w:szCs w:val="28"/>
          <w:highlight w:val="none"/>
          <w14:textFill>
            <w14:solidFill>
              <w14:schemeClr w14:val="tx1"/>
            </w14:solidFill>
          </w14:textFill>
        </w:rPr>
        <w:t>符合</w:t>
      </w:r>
      <w:r>
        <w:rPr>
          <w:rFonts w:hint="eastAsia" w:hAnsi="宋体"/>
          <w:bCs/>
          <w:color w:val="000000" w:themeColor="text1"/>
          <w:sz w:val="28"/>
          <w:szCs w:val="28"/>
          <w:highlight w:val="none"/>
          <w:lang w:val="en-US" w:eastAsia="zh-CN"/>
          <w14:textFill>
            <w14:solidFill>
              <w14:schemeClr w14:val="tx1"/>
            </w14:solidFill>
          </w14:textFill>
        </w:rPr>
        <w:t>中型、</w:t>
      </w:r>
      <w:r>
        <w:rPr>
          <w:rFonts w:hint="eastAsia" w:hAnsi="宋体"/>
          <w:bCs/>
          <w:color w:val="000000" w:themeColor="text1"/>
          <w:sz w:val="28"/>
          <w:szCs w:val="28"/>
          <w:highlight w:val="none"/>
          <w14:textFill>
            <w14:solidFill>
              <w14:schemeClr w14:val="tx1"/>
            </w14:solidFill>
          </w14:textFill>
        </w:rPr>
        <w:t xml:space="preserve">小型、微型企业政府采购政策证明材料 </w:t>
      </w:r>
    </w:p>
    <w:p w14:paraId="17752E69">
      <w:pPr>
        <w:spacing w:after="0" w:line="500" w:lineRule="exact"/>
        <w:ind w:firstLine="602" w:firstLineChars="200"/>
        <w:jc w:val="center"/>
        <w:rPr>
          <w:rFonts w:ascii="宋体" w:hAnsi="宋体" w:eastAsia="宋体" w:cs="宋体"/>
          <w:b/>
          <w:color w:val="000000" w:themeColor="text1"/>
          <w:sz w:val="30"/>
          <w:szCs w:val="30"/>
          <w:highlight w:val="none"/>
          <w14:textFill>
            <w14:solidFill>
              <w14:schemeClr w14:val="tx1"/>
            </w14:solidFill>
          </w14:textFill>
        </w:rPr>
      </w:pPr>
    </w:p>
    <w:p w14:paraId="39D0DA57">
      <w:pPr>
        <w:spacing w:after="0" w:line="336" w:lineRule="auto"/>
        <w:ind w:firstLine="602" w:firstLineChars="200"/>
        <w:jc w:val="center"/>
        <w:rPr>
          <w:rFonts w:ascii="宋体" w:hAnsi="宋体" w:eastAsia="宋体" w:cs="宋体"/>
          <w:b/>
          <w:color w:val="000000" w:themeColor="text1"/>
          <w:sz w:val="30"/>
          <w:szCs w:val="30"/>
          <w:highlight w:val="none"/>
          <w14:textFill>
            <w14:solidFill>
              <w14:schemeClr w14:val="tx1"/>
            </w14:solidFill>
          </w14:textFill>
        </w:rPr>
      </w:pPr>
      <w:r>
        <w:rPr>
          <w:rFonts w:hint="eastAsia" w:ascii="宋体" w:hAnsi="宋体" w:eastAsia="宋体" w:cs="宋体"/>
          <w:b/>
          <w:color w:val="000000" w:themeColor="text1"/>
          <w:sz w:val="30"/>
          <w:szCs w:val="30"/>
          <w:highlight w:val="none"/>
          <w14:textFill>
            <w14:solidFill>
              <w14:schemeClr w14:val="tx1"/>
            </w14:solidFill>
          </w14:textFill>
        </w:rPr>
        <w:t>中小企业声明函（服务）</w:t>
      </w:r>
    </w:p>
    <w:p w14:paraId="55EB65CF">
      <w:pPr>
        <w:spacing w:before="50" w:line="336" w:lineRule="auto"/>
        <w:ind w:firstLine="720" w:firstLineChars="3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eastAsia="宋体" w:cs="宋体"/>
          <w:color w:val="000000" w:themeColor="text1"/>
          <w:highlight w:val="none"/>
          <w:u w:val="single"/>
          <w14:textFill>
            <w14:solidFill>
              <w14:schemeClr w14:val="tx1"/>
            </w14:solidFill>
          </w14:textFill>
        </w:rPr>
        <w:t>（单位名称）</w:t>
      </w:r>
      <w:r>
        <w:rPr>
          <w:rFonts w:hint="eastAsia" w:ascii="宋体" w:hAnsi="宋体" w:eastAsia="宋体" w:cs="宋体"/>
          <w:color w:val="000000" w:themeColor="text1"/>
          <w:highlight w:val="none"/>
          <w14:textFill>
            <w14:solidFill>
              <w14:schemeClr w14:val="tx1"/>
            </w14:solidFill>
          </w14:textFill>
        </w:rPr>
        <w:t>的</w:t>
      </w:r>
      <w:r>
        <w:rPr>
          <w:rFonts w:hint="eastAsia" w:ascii="宋体" w:hAnsi="宋体" w:eastAsia="宋体" w:cs="宋体"/>
          <w:color w:val="000000" w:themeColor="text1"/>
          <w:highlight w:val="none"/>
          <w:u w:val="single"/>
          <w14:textFill>
            <w14:solidFill>
              <w14:schemeClr w14:val="tx1"/>
            </w14:solidFill>
          </w14:textFill>
        </w:rPr>
        <w:t>（项目名称）</w:t>
      </w:r>
      <w:r>
        <w:rPr>
          <w:rFonts w:hint="eastAsia" w:ascii="宋体" w:hAnsi="宋体" w:eastAsia="宋体" w:cs="宋体"/>
          <w:color w:val="000000" w:themeColor="text1"/>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1F816709">
      <w:pPr>
        <w:spacing w:line="336" w:lineRule="auto"/>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1.</w:t>
      </w:r>
      <w:r>
        <w:rPr>
          <w:rFonts w:hint="eastAsia" w:ascii="宋体" w:hAnsi="宋体" w:eastAsia="宋体" w:cs="宋体"/>
          <w:color w:val="000000" w:themeColor="text1"/>
          <w:highlight w:val="none"/>
          <w:u w:val="single"/>
          <w14:textFill>
            <w14:solidFill>
              <w14:schemeClr w14:val="tx1"/>
            </w14:solidFill>
          </w14:textFill>
        </w:rPr>
        <w:t xml:space="preserve">  （标的名称）</w:t>
      </w:r>
      <w:r>
        <w:rPr>
          <w:rFonts w:hint="eastAsia" w:ascii="宋体" w:hAnsi="宋体" w:eastAsia="宋体" w:cs="宋体"/>
          <w:color w:val="000000" w:themeColor="text1"/>
          <w:highlight w:val="none"/>
          <w14:textFill>
            <w14:solidFill>
              <w14:schemeClr w14:val="tx1"/>
            </w14:solidFill>
          </w14:textFill>
        </w:rPr>
        <w:t>，属于</w:t>
      </w:r>
      <w:r>
        <w:rPr>
          <w:rFonts w:hint="eastAsia" w:ascii="宋体" w:hAnsi="宋体" w:eastAsia="宋体" w:cs="宋体"/>
          <w:color w:val="000000" w:themeColor="text1"/>
          <w:highlight w:val="none"/>
          <w:u w:val="single"/>
          <w14:textFill>
            <w14:solidFill>
              <w14:schemeClr w14:val="tx1"/>
            </w14:solidFill>
          </w14:textFill>
        </w:rPr>
        <w:t>（采购文件中明确的所属行业）</w:t>
      </w:r>
      <w:r>
        <w:rPr>
          <w:rFonts w:hint="eastAsia" w:ascii="宋体" w:hAnsi="宋体" w:eastAsia="宋体" w:cs="宋体"/>
          <w:color w:val="000000" w:themeColor="text1"/>
          <w:highlight w:val="none"/>
          <w14:textFill>
            <w14:solidFill>
              <w14:schemeClr w14:val="tx1"/>
            </w14:solidFill>
          </w14:textFill>
        </w:rPr>
        <w:t xml:space="preserve">；承建（承接）企业为 </w:t>
      </w:r>
      <w:r>
        <w:rPr>
          <w:rFonts w:hint="eastAsia" w:ascii="宋体" w:hAnsi="宋体" w:eastAsia="宋体" w:cs="宋体"/>
          <w:color w:val="000000" w:themeColor="text1"/>
          <w:highlight w:val="none"/>
          <w:u w:val="single"/>
          <w14:textFill>
            <w14:solidFill>
              <w14:schemeClr w14:val="tx1"/>
            </w14:solidFill>
          </w14:textFill>
        </w:rPr>
        <w:t>（企业名称）</w:t>
      </w:r>
      <w:r>
        <w:rPr>
          <w:rFonts w:hint="eastAsia" w:ascii="宋体" w:hAnsi="宋体" w:eastAsia="宋体" w:cs="宋体"/>
          <w:color w:val="000000" w:themeColor="text1"/>
          <w:highlight w:val="none"/>
          <w14:textFill>
            <w14:solidFill>
              <w14:schemeClr w14:val="tx1"/>
            </w14:solidFill>
          </w14:textFill>
        </w:rPr>
        <w:t>，从业人员</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人，营业收入为</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万元，资产总额为____万元，属于</w:t>
      </w:r>
      <w:r>
        <w:rPr>
          <w:rFonts w:hint="eastAsia" w:ascii="宋体" w:hAnsi="宋体" w:eastAsia="宋体" w:cs="宋体"/>
          <w:color w:val="000000" w:themeColor="text1"/>
          <w:highlight w:val="none"/>
          <w:u w:val="single"/>
          <w14:textFill>
            <w14:solidFill>
              <w14:schemeClr w14:val="tx1"/>
            </w14:solidFill>
          </w14:textFill>
        </w:rPr>
        <w:t>（中型企业、小型企业，微型企业）；</w:t>
      </w:r>
      <w:r>
        <w:rPr>
          <w:rFonts w:hint="eastAsia" w:ascii="宋体" w:hAnsi="宋体" w:eastAsia="宋体" w:cs="宋体"/>
          <w:color w:val="000000" w:themeColor="text1"/>
          <w:highlight w:val="none"/>
          <w14:textFill>
            <w14:solidFill>
              <w14:schemeClr w14:val="tx1"/>
            </w14:solidFill>
          </w14:textFill>
        </w:rPr>
        <w:t> </w:t>
      </w:r>
    </w:p>
    <w:p w14:paraId="612EAB45">
      <w:pPr>
        <w:spacing w:line="336" w:lineRule="auto"/>
        <w:ind w:firstLine="480" w:firstLineChars="200"/>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eastAsia="宋体" w:cs="宋体"/>
          <w:color w:val="000000" w:themeColor="text1"/>
          <w:highlight w:val="none"/>
          <w:u w:val="single"/>
          <w14:textFill>
            <w14:solidFill>
              <w14:schemeClr w14:val="tx1"/>
            </w14:solidFill>
          </w14:textFill>
        </w:rPr>
        <w:t xml:space="preserve">  （标的名称）</w:t>
      </w:r>
      <w:r>
        <w:rPr>
          <w:rFonts w:hint="eastAsia" w:ascii="宋体" w:hAnsi="宋体" w:eastAsia="宋体" w:cs="宋体"/>
          <w:color w:val="000000" w:themeColor="text1"/>
          <w:highlight w:val="none"/>
          <w14:textFill>
            <w14:solidFill>
              <w14:schemeClr w14:val="tx1"/>
            </w14:solidFill>
          </w14:textFill>
        </w:rPr>
        <w:t>，属于</w:t>
      </w:r>
      <w:r>
        <w:rPr>
          <w:rFonts w:hint="eastAsia" w:ascii="宋体" w:hAnsi="宋体" w:eastAsia="宋体" w:cs="宋体"/>
          <w:color w:val="000000" w:themeColor="text1"/>
          <w:highlight w:val="none"/>
          <w:u w:val="single"/>
          <w14:textFill>
            <w14:solidFill>
              <w14:schemeClr w14:val="tx1"/>
            </w14:solidFill>
          </w14:textFill>
        </w:rPr>
        <w:t>（采购文件中明确的所属行业）</w:t>
      </w:r>
      <w:r>
        <w:rPr>
          <w:rFonts w:hint="eastAsia" w:ascii="宋体" w:hAnsi="宋体" w:eastAsia="宋体" w:cs="宋体"/>
          <w:color w:val="000000" w:themeColor="text1"/>
          <w:highlight w:val="none"/>
          <w14:textFill>
            <w14:solidFill>
              <w14:schemeClr w14:val="tx1"/>
            </w14:solidFill>
          </w14:textFill>
        </w:rPr>
        <w:t>；承建（承接）企业为</w:t>
      </w:r>
      <w:r>
        <w:rPr>
          <w:rFonts w:hint="eastAsia" w:ascii="宋体" w:hAnsi="宋体" w:eastAsia="宋体" w:cs="宋体"/>
          <w:color w:val="000000" w:themeColor="text1"/>
          <w:highlight w:val="none"/>
          <w:u w:val="single"/>
          <w14:textFill>
            <w14:solidFill>
              <w14:schemeClr w14:val="tx1"/>
            </w14:solidFill>
          </w14:textFill>
        </w:rPr>
        <w:t>（企业名称）</w:t>
      </w:r>
      <w:r>
        <w:rPr>
          <w:rFonts w:hint="eastAsia" w:ascii="宋体" w:hAnsi="宋体" w:eastAsia="宋体" w:cs="宋体"/>
          <w:color w:val="000000" w:themeColor="text1"/>
          <w:highlight w:val="none"/>
          <w14:textFill>
            <w14:solidFill>
              <w14:schemeClr w14:val="tx1"/>
            </w14:solidFill>
          </w14:textFill>
        </w:rPr>
        <w:t>，从业人员____人，营业收入为___万元，资产总额为___万元，属于</w:t>
      </w:r>
      <w:r>
        <w:rPr>
          <w:rFonts w:hint="eastAsia" w:ascii="宋体" w:hAnsi="宋体" w:eastAsia="宋体" w:cs="宋体"/>
          <w:color w:val="000000" w:themeColor="text1"/>
          <w:highlight w:val="none"/>
          <w:u w:val="single"/>
          <w14:textFill>
            <w14:solidFill>
              <w14:schemeClr w14:val="tx1"/>
            </w14:solidFill>
          </w14:textFill>
        </w:rPr>
        <w:t>（中型企业、小型企业、微型企业）</w:t>
      </w:r>
      <w:r>
        <w:rPr>
          <w:rFonts w:hint="eastAsia" w:ascii="宋体" w:hAnsi="宋体" w:eastAsia="宋体" w:cs="宋体"/>
          <w:color w:val="000000" w:themeColor="text1"/>
          <w:highlight w:val="none"/>
          <w14:textFill>
            <w14:solidFill>
              <w14:schemeClr w14:val="tx1"/>
            </w14:solidFill>
          </w14:textFill>
        </w:rPr>
        <w:t>；</w:t>
      </w:r>
    </w:p>
    <w:p w14:paraId="2DBFC22F">
      <w:pPr>
        <w:spacing w:before="50" w:line="336" w:lineRule="auto"/>
        <w:jc w:val="both"/>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以上企业，不属于大企业的分支机构，不存在控股股东为大企业的情形，也不存在与大企业的负责人为同一人的情形。 </w:t>
      </w:r>
    </w:p>
    <w:p w14:paraId="668C99BF">
      <w:pPr>
        <w:spacing w:after="0" w:line="336" w:lineRule="auto"/>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本企业对上述声明内容的真实性负责。如有虚假，将依法承担相应责任。</w:t>
      </w:r>
    </w:p>
    <w:p w14:paraId="41C3CFCF">
      <w:pPr>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w:t>
      </w:r>
    </w:p>
    <w:p w14:paraId="5525183E">
      <w:pPr>
        <w:spacing w:after="0" w:line="500" w:lineRule="exact"/>
        <w:ind w:firstLine="5040" w:firstLineChars="21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企业名称（盖章）：</w:t>
      </w:r>
    </w:p>
    <w:p w14:paraId="17680292">
      <w:pPr>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日期：</w:t>
      </w:r>
    </w:p>
    <w:p w14:paraId="097DE000">
      <w:pPr>
        <w:pStyle w:val="28"/>
        <w:rPr>
          <w:color w:val="000000" w:themeColor="text1"/>
          <w:highlight w:val="none"/>
          <w14:textFill>
            <w14:solidFill>
              <w14:schemeClr w14:val="tx1"/>
            </w14:solidFill>
          </w14:textFill>
        </w:rPr>
      </w:pPr>
    </w:p>
    <w:p w14:paraId="1C1559EF">
      <w:pPr>
        <w:numPr>
          <w:ilvl w:val="0"/>
          <w:numId w:val="55"/>
        </w:numPr>
        <w:spacing w:line="324" w:lineRule="auto"/>
        <w:rPr>
          <w:rFonts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从业人员、营业收入、资产总额填报上一年度数据，无上一年度数据的新成立企业可不填报。</w:t>
      </w:r>
    </w:p>
    <w:p w14:paraId="40176C48">
      <w:pPr>
        <w:spacing w:line="324" w:lineRule="auto"/>
        <w:ind w:firstLine="300" w:firstLineChars="150"/>
        <w:rPr>
          <w:rFonts w:ascii="宋体" w:hAnsi="宋体" w:eastAsia="宋体" w:cs="宋体"/>
          <w:color w:val="000000" w:themeColor="text1"/>
          <w:sz w:val="20"/>
          <w:szCs w:val="20"/>
          <w:highlight w:val="none"/>
          <w14:textFill>
            <w14:solidFill>
              <w14:schemeClr w14:val="tx1"/>
            </w14:solidFill>
          </w14:textFill>
        </w:rPr>
        <w:sectPr>
          <w:footerReference r:id="rId9" w:type="default"/>
          <w:pgSz w:w="11906" w:h="16838"/>
          <w:pgMar w:top="1361" w:right="1474" w:bottom="1361" w:left="1361" w:header="720" w:footer="720" w:gutter="0"/>
          <w:cols w:space="720" w:num="1"/>
          <w:docGrid w:type="lines" w:linePitch="331" w:charSpace="0"/>
        </w:sectPr>
      </w:pPr>
      <w:r>
        <w:rPr>
          <w:rFonts w:hint="eastAsia" w:ascii="宋体" w:hAnsi="宋体" w:eastAsia="宋体" w:cs="宋体"/>
          <w:color w:val="000000" w:themeColor="text1"/>
          <w:sz w:val="20"/>
          <w:szCs w:val="20"/>
          <w:highlight w:val="none"/>
          <w14:textFill>
            <w14:solidFill>
              <w14:schemeClr w14:val="tx1"/>
            </w14:solidFill>
          </w14:textFill>
        </w:rPr>
        <w:t>2、请根据自己的真实情况出具《中小企业声明函》。依法享受中小企业优惠政策的，采购人或者采购代理机构在公告中标结果时，同时公告其《中小企业声明函》，接受社会监督。</w:t>
      </w:r>
    </w:p>
    <w:p w14:paraId="669DF207">
      <w:pPr>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2、属监狱企业的，请提供由省级以上监狱管理局、戒毒管理局（含新疆生产建设兵团）出具的属于监狱企业的证明文件（非监狱企业无需提供）</w:t>
      </w:r>
    </w:p>
    <w:p w14:paraId="0F1BB014">
      <w:pPr>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p>
    <w:p w14:paraId="71D64809">
      <w:pPr>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3、残疾人福利性单位须提供《残疾人福利性单位声明函》（非残疾人福利性单位无需提供；如提供，则须按格式提供）</w:t>
      </w:r>
    </w:p>
    <w:p w14:paraId="6045FEA8">
      <w:pPr>
        <w:spacing w:after="0" w:line="500" w:lineRule="exact"/>
        <w:ind w:firstLine="482" w:firstLineChars="200"/>
        <w:jc w:val="center"/>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残疾人福利性单位声明函</w:t>
      </w:r>
    </w:p>
    <w:p w14:paraId="0F5A5D69">
      <w:pPr>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单位郑重声明，根据《财政部、民政部、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657E335">
      <w:pPr>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本单位对上述声明的真实性负责。如有虚假，将依法承担相应责任。</w:t>
      </w:r>
    </w:p>
    <w:p w14:paraId="77F7452D">
      <w:pPr>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p>
    <w:p w14:paraId="5282ABF8">
      <w:pPr>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p>
    <w:p w14:paraId="54553989">
      <w:pPr>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单位名称（盖章）：</w:t>
      </w:r>
    </w:p>
    <w:p w14:paraId="12334F48">
      <w:pPr>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日  期：</w:t>
      </w:r>
    </w:p>
    <w:p w14:paraId="5DDA2485">
      <w:pPr>
        <w:spacing w:after="0" w:line="500" w:lineRule="exact"/>
        <w:ind w:firstLine="482" w:firstLineChars="200"/>
        <w:rPr>
          <w:rFonts w:ascii="宋体" w:hAnsi="宋体" w:eastAsia="宋体" w:cs="宋体"/>
          <w:b/>
          <w:bCs/>
          <w:color w:val="000000" w:themeColor="text1"/>
          <w:highlight w:val="none"/>
          <w14:textFill>
            <w14:solidFill>
              <w14:schemeClr w14:val="tx1"/>
            </w14:solidFill>
          </w14:textFill>
        </w:rPr>
      </w:pPr>
    </w:p>
    <w:p w14:paraId="267FB4E0">
      <w:pPr>
        <w:spacing w:after="0" w:line="500" w:lineRule="exact"/>
        <w:ind w:firstLine="482" w:firstLineChars="200"/>
        <w:rPr>
          <w:rFonts w:ascii="宋体" w:hAnsi="宋体" w:eastAsia="宋体" w:cs="宋体"/>
          <w:b/>
          <w:bCs/>
          <w:color w:val="000000" w:themeColor="text1"/>
          <w:highlight w:val="none"/>
          <w14:textFill>
            <w14:solidFill>
              <w14:schemeClr w14:val="tx1"/>
            </w14:solidFill>
          </w14:textFill>
        </w:rPr>
      </w:pPr>
    </w:p>
    <w:p w14:paraId="60E9FE20">
      <w:pPr>
        <w:spacing w:after="0" w:line="500" w:lineRule="exact"/>
        <w:ind w:firstLine="482" w:firstLineChars="200"/>
        <w:rPr>
          <w:rFonts w:ascii="宋体" w:hAnsi="宋体" w:eastAsia="宋体" w:cs="宋体"/>
          <w:b/>
          <w:bCs/>
          <w:color w:val="000000" w:themeColor="text1"/>
          <w:highlight w:val="none"/>
          <w14:textFill>
            <w14:solidFill>
              <w14:schemeClr w14:val="tx1"/>
            </w14:solidFill>
          </w14:textFill>
        </w:rPr>
      </w:pPr>
    </w:p>
    <w:p w14:paraId="24F51C88">
      <w:pPr>
        <w:spacing w:after="0" w:line="500" w:lineRule="exact"/>
        <w:ind w:firstLine="482" w:firstLineChars="200"/>
        <w:rPr>
          <w:rFonts w:ascii="宋体" w:hAnsi="宋体" w:eastAsia="宋体" w:cs="宋体"/>
          <w:b/>
          <w:bCs/>
          <w:color w:val="000000" w:themeColor="text1"/>
          <w:highlight w:val="none"/>
          <w14:textFill>
            <w14:solidFill>
              <w14:schemeClr w14:val="tx1"/>
            </w14:solidFill>
          </w14:textFill>
        </w:rPr>
      </w:pPr>
    </w:p>
    <w:p w14:paraId="1EB40553">
      <w:pPr>
        <w:spacing w:after="0" w:line="500" w:lineRule="exact"/>
        <w:ind w:firstLine="482" w:firstLineChars="200"/>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注：1、</w:t>
      </w:r>
      <w:r>
        <w:rPr>
          <w:rFonts w:hint="eastAsia" w:ascii="宋体" w:hAnsi="宋体" w:eastAsia="宋体" w:cs="宋体"/>
          <w:b/>
          <w:color w:val="000000" w:themeColor="text1"/>
          <w:highlight w:val="none"/>
          <w:u w:val="single"/>
          <w14:textFill>
            <w14:solidFill>
              <w14:schemeClr w14:val="tx1"/>
            </w14:solidFill>
          </w14:textFill>
        </w:rPr>
        <w:t>成交供应商为残疾人福利性单位的，成交结果将同时公告其《残疾人福利性单位声明函》，接受社会监督</w:t>
      </w:r>
      <w:r>
        <w:rPr>
          <w:rFonts w:hint="eastAsia" w:ascii="宋体" w:hAnsi="宋体" w:eastAsia="宋体" w:cs="宋体"/>
          <w:b/>
          <w:color w:val="000000" w:themeColor="text1"/>
          <w:highlight w:val="none"/>
          <w14:textFill>
            <w14:solidFill>
              <w14:schemeClr w14:val="tx1"/>
            </w14:solidFill>
          </w14:textFill>
        </w:rPr>
        <w:t>。</w:t>
      </w:r>
    </w:p>
    <w:p w14:paraId="1A308365">
      <w:pPr>
        <w:spacing w:after="0" w:line="500" w:lineRule="exact"/>
        <w:ind w:firstLine="482"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2、</w:t>
      </w:r>
      <w:r>
        <w:rPr>
          <w:rFonts w:hint="eastAsia" w:ascii="宋体" w:hAnsi="宋体" w:eastAsia="宋体" w:cs="宋体"/>
          <w:b/>
          <w:color w:val="000000" w:themeColor="text1"/>
          <w:highlight w:val="none"/>
          <w:u w:val="single"/>
          <w14:textFill>
            <w14:solidFill>
              <w14:schemeClr w14:val="tx1"/>
            </w14:solidFill>
          </w14:textFill>
        </w:rPr>
        <w:t>供应商提供的《残疾人福利性单位声明函》与事实不符的，依照《政府采购法》第七十七条第一款的规定追究法律责任</w:t>
      </w:r>
      <w:r>
        <w:rPr>
          <w:rFonts w:hint="eastAsia" w:ascii="宋体" w:hAnsi="宋体" w:eastAsia="宋体" w:cs="宋体"/>
          <w:b/>
          <w:color w:val="000000" w:themeColor="text1"/>
          <w:highlight w:val="none"/>
          <w14:textFill>
            <w14:solidFill>
              <w14:schemeClr w14:val="tx1"/>
            </w14:solidFill>
          </w14:textFill>
        </w:rPr>
        <w:t>。</w:t>
      </w:r>
    </w:p>
    <w:p w14:paraId="53B4E42C">
      <w:pPr>
        <w:spacing w:after="0" w:line="500" w:lineRule="exact"/>
        <w:ind w:firstLine="480" w:firstLineChars="200"/>
        <w:rPr>
          <w:rFonts w:ascii="宋体" w:hAnsi="宋体" w:eastAsia="宋体" w:cs="宋体"/>
          <w:color w:val="000000" w:themeColor="text1"/>
          <w:highlight w:val="none"/>
          <w14:textFill>
            <w14:solidFill>
              <w14:schemeClr w14:val="tx1"/>
            </w14:solidFill>
          </w14:textFill>
        </w:rPr>
      </w:pPr>
    </w:p>
    <w:p w14:paraId="16FF5419">
      <w:pPr>
        <w:spacing w:after="0" w:line="520" w:lineRule="exact"/>
        <w:rPr>
          <w:rFonts w:hAnsi="宋体"/>
          <w:color w:val="000000" w:themeColor="text1"/>
          <w:highlight w:val="none"/>
          <w14:textFill>
            <w14:solidFill>
              <w14:schemeClr w14:val="tx1"/>
            </w14:solidFill>
          </w14:textFill>
        </w:rPr>
        <w:sectPr>
          <w:headerReference r:id="rId10" w:type="first"/>
          <w:footerReference r:id="rId11" w:type="default"/>
          <w:footerReference r:id="rId12" w:type="even"/>
          <w:pgSz w:w="12240" w:h="15840"/>
          <w:pgMar w:top="1361" w:right="1361" w:bottom="1304" w:left="1304" w:header="720" w:footer="720" w:gutter="0"/>
          <w:cols w:space="720" w:num="1"/>
          <w:docGrid w:linePitch="312" w:charSpace="0"/>
        </w:sectPr>
      </w:pPr>
    </w:p>
    <w:p w14:paraId="3A9DF53A">
      <w:pPr>
        <w:spacing w:after="0" w:line="5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附件六：磋商书</w:t>
      </w:r>
    </w:p>
    <w:p w14:paraId="67E325DA">
      <w:pPr>
        <w:spacing w:after="0" w:line="48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磋商书</w:t>
      </w:r>
    </w:p>
    <w:p w14:paraId="4F08D45C">
      <w:pPr>
        <w:spacing w:after="0" w:line="420" w:lineRule="exact"/>
        <w:rPr>
          <w:rFonts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(采购代理机构)</w:t>
      </w:r>
    </w:p>
    <w:p w14:paraId="6BEC16F9">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根据贵方的</w:t>
      </w:r>
      <w:r>
        <w:rPr>
          <w:rFonts w:hint="eastAsia" w:ascii="宋体" w:hAnsi="宋体" w:eastAsia="宋体" w:cs="宋体"/>
          <w:color w:val="000000" w:themeColor="text1"/>
          <w:highlight w:val="none"/>
          <w:u w:val="single"/>
          <w14:textFill>
            <w14:solidFill>
              <w14:schemeClr w14:val="tx1"/>
            </w14:solidFill>
          </w14:textFill>
        </w:rPr>
        <w:t xml:space="preserve">   （项目名称） （项目编号：     ）  </w:t>
      </w:r>
      <w:r>
        <w:rPr>
          <w:rFonts w:hint="eastAsia" w:ascii="宋体" w:hAnsi="宋体" w:eastAsia="宋体" w:cs="宋体"/>
          <w:color w:val="000000" w:themeColor="text1"/>
          <w:highlight w:val="none"/>
          <w14:textFill>
            <w14:solidFill>
              <w14:schemeClr w14:val="tx1"/>
            </w14:solidFill>
          </w14:textFill>
        </w:rPr>
        <w:t>项目政府采购的磋商邀请，我方授权代表</w:t>
      </w:r>
      <w:r>
        <w:rPr>
          <w:rFonts w:hint="eastAsia" w:ascii="宋体" w:hAnsi="宋体" w:eastAsia="宋体" w:cs="宋体"/>
          <w:color w:val="000000" w:themeColor="text1"/>
          <w:highlight w:val="none"/>
          <w:u w:val="single"/>
          <w14:textFill>
            <w14:solidFill>
              <w14:schemeClr w14:val="tx1"/>
            </w14:solidFill>
          </w14:textFill>
        </w:rPr>
        <w:t xml:space="preserve">         （姓名和职务）</w:t>
      </w:r>
      <w:r>
        <w:rPr>
          <w:rFonts w:hint="eastAsia" w:ascii="宋体" w:hAnsi="宋体" w:eastAsia="宋体" w:cs="宋体"/>
          <w:color w:val="000000" w:themeColor="text1"/>
          <w:highlight w:val="none"/>
          <w14:textFill>
            <w14:solidFill>
              <w14:schemeClr w14:val="tx1"/>
            </w14:solidFill>
          </w14:textFill>
        </w:rPr>
        <w:t>经正式授权并代表供应商</w:t>
      </w:r>
      <w:r>
        <w:rPr>
          <w:rFonts w:hint="eastAsia" w:ascii="宋体" w:hAnsi="宋体" w:eastAsia="宋体" w:cs="宋体"/>
          <w:color w:val="000000" w:themeColor="text1"/>
          <w:highlight w:val="none"/>
          <w:u w:val="single"/>
          <w14:textFill>
            <w14:solidFill>
              <w14:schemeClr w14:val="tx1"/>
            </w14:solidFill>
          </w14:textFill>
        </w:rPr>
        <w:t xml:space="preserve">    （供应商名称）   </w:t>
      </w:r>
      <w:r>
        <w:rPr>
          <w:rFonts w:hint="eastAsia" w:ascii="宋体" w:hAnsi="宋体" w:eastAsia="宋体" w:cs="宋体"/>
          <w:color w:val="000000" w:themeColor="text1"/>
          <w:highlight w:val="none"/>
          <w14:textFill>
            <w14:solidFill>
              <w14:schemeClr w14:val="tx1"/>
            </w14:solidFill>
          </w14:textFill>
        </w:rPr>
        <w:t>提交响应文件正本</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份、副本</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份。</w:t>
      </w:r>
    </w:p>
    <w:p w14:paraId="7D9C9DFD">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在此，授权代表宣布同意如下：</w:t>
      </w:r>
    </w:p>
    <w:p w14:paraId="2462D08F">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1．供应商已详细审查全部“磋商文件”，包括修改文件（如有的话）以及全部参考资料和有关附件，已经了解我方对于磋商文件、采购过程、采购结果有依法进行询问、质疑、投诉的权利及相关渠道和要求。</w:t>
      </w:r>
    </w:p>
    <w:p w14:paraId="41CBAB72">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2．供应商在磋商之前已经与贵方进行了充分的沟通，完全理解并接受磋商文件的各项规定和要求，对磋商文件的合理性、合法性不再有异议。</w:t>
      </w:r>
    </w:p>
    <w:p w14:paraId="2389C6F1">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3．本次响应有效期为自响应文件提交截止之日起</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天（日历天）内。</w:t>
      </w:r>
    </w:p>
    <w:p w14:paraId="72CF7490">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4．如成交，供应商将按“磋商文件”及政府采购法律、法规的规定履行合同责任和义务。</w:t>
      </w:r>
    </w:p>
    <w:p w14:paraId="572F999B">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5．供应商同意按照贵方要求提供与磋商有关的一切数据或资料。</w:t>
      </w:r>
    </w:p>
    <w:p w14:paraId="62EC97E4">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6．与本次磋商有关的一切正式往来信函请寄：</w:t>
      </w:r>
    </w:p>
    <w:p w14:paraId="20A1F6CD">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w:t>
      </w:r>
      <w:r>
        <w:rPr>
          <w:rFonts w:hint="eastAsia" w:ascii="宋体" w:hAnsi="宋体" w:eastAsia="宋体" w:cs="宋体"/>
          <w:color w:val="000000" w:themeColor="text1"/>
          <w:highlight w:val="none"/>
          <w:u w:val="single"/>
          <w14:textFill>
            <w14:solidFill>
              <w14:schemeClr w14:val="tx1"/>
            </w14:solidFill>
          </w14:textFill>
        </w:rPr>
        <w:t xml:space="preserve">      （单位名称并盖公章）         </w:t>
      </w:r>
    </w:p>
    <w:p w14:paraId="03873362">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地址：</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 邮编</w:t>
      </w:r>
      <w:r>
        <w:rPr>
          <w:rFonts w:hint="eastAsia" w:ascii="宋体" w:hAnsi="宋体" w:eastAsia="宋体" w:cs="宋体"/>
          <w:color w:val="000000" w:themeColor="text1"/>
          <w:highlight w:val="none"/>
          <w:u w:val="single"/>
          <w14:textFill>
            <w14:solidFill>
              <w14:schemeClr w14:val="tx1"/>
            </w14:solidFill>
          </w14:textFill>
        </w:rPr>
        <w:t xml:space="preserve">：              </w:t>
      </w:r>
    </w:p>
    <w:p w14:paraId="095F7FE4">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电话：</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 传真：</w:t>
      </w:r>
      <w:r>
        <w:rPr>
          <w:rFonts w:hint="eastAsia" w:ascii="宋体" w:hAnsi="宋体" w:eastAsia="宋体" w:cs="宋体"/>
          <w:color w:val="000000" w:themeColor="text1"/>
          <w:highlight w:val="none"/>
          <w:u w:val="single"/>
          <w14:textFill>
            <w14:solidFill>
              <w14:schemeClr w14:val="tx1"/>
            </w14:solidFill>
          </w14:textFill>
        </w:rPr>
        <w:t xml:space="preserve">            </w:t>
      </w:r>
    </w:p>
    <w:p w14:paraId="67FE4C34">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法定代表人或委托代理人：</w:t>
      </w:r>
      <w:r>
        <w:rPr>
          <w:rFonts w:hint="eastAsia" w:ascii="宋体" w:hAnsi="宋体" w:eastAsia="宋体" w:cs="宋体"/>
          <w:color w:val="000000" w:themeColor="text1"/>
          <w:highlight w:val="none"/>
          <w:u w:val="single"/>
          <w14:textFill>
            <w14:solidFill>
              <w14:schemeClr w14:val="tx1"/>
            </w14:solidFill>
          </w14:textFill>
        </w:rPr>
        <w:t xml:space="preserve">          （签字）                   </w:t>
      </w:r>
    </w:p>
    <w:p w14:paraId="53FEE1C7">
      <w:pPr>
        <w:spacing w:after="0" w:line="42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日</w:t>
      </w:r>
    </w:p>
    <w:p w14:paraId="696732F1">
      <w:pPr>
        <w:spacing w:after="0" w:line="420" w:lineRule="exact"/>
        <w:rPr>
          <w:rFonts w:ascii="宋体" w:hAnsi="宋体" w:eastAsia="宋体" w:cs="宋体"/>
          <w:b/>
          <w:color w:val="000000" w:themeColor="text1"/>
          <w:sz w:val="28"/>
          <w:szCs w:val="28"/>
          <w:highlight w:val="none"/>
          <w14:textFill>
            <w14:solidFill>
              <w14:schemeClr w14:val="tx1"/>
            </w14:solidFill>
          </w14:textFill>
        </w:rPr>
      </w:pPr>
    </w:p>
    <w:p w14:paraId="090C4763">
      <w:pPr>
        <w:spacing w:after="0" w:line="420" w:lineRule="exact"/>
        <w:rPr>
          <w:rFonts w:ascii="宋体" w:hAnsi="宋体" w:eastAsia="宋体" w:cs="宋体"/>
          <w:b/>
          <w:color w:val="000000" w:themeColor="text1"/>
          <w:sz w:val="28"/>
          <w:szCs w:val="28"/>
          <w:highlight w:val="none"/>
          <w14:textFill>
            <w14:solidFill>
              <w14:schemeClr w14:val="tx1"/>
            </w14:solidFill>
          </w14:textFill>
        </w:rPr>
      </w:pPr>
    </w:p>
    <w:p w14:paraId="030C9711">
      <w:pPr>
        <w:spacing w:after="0" w:line="420" w:lineRule="exact"/>
        <w:rPr>
          <w:rFonts w:ascii="宋体" w:hAnsi="宋体" w:eastAsia="宋体" w:cs="宋体"/>
          <w:b/>
          <w:color w:val="000000" w:themeColor="text1"/>
          <w:sz w:val="28"/>
          <w:szCs w:val="28"/>
          <w:highlight w:val="none"/>
          <w14:textFill>
            <w14:solidFill>
              <w14:schemeClr w14:val="tx1"/>
            </w14:solidFill>
          </w14:textFill>
        </w:rPr>
      </w:pPr>
    </w:p>
    <w:p w14:paraId="45CE5D9D">
      <w:pPr>
        <w:spacing w:after="0" w:line="420" w:lineRule="exact"/>
        <w:rPr>
          <w:rFonts w:ascii="宋体" w:hAnsi="宋体" w:eastAsia="宋体" w:cs="宋体"/>
          <w:b/>
          <w:color w:val="000000" w:themeColor="text1"/>
          <w:sz w:val="28"/>
          <w:szCs w:val="28"/>
          <w:highlight w:val="none"/>
          <w14:textFill>
            <w14:solidFill>
              <w14:schemeClr w14:val="tx1"/>
            </w14:solidFill>
          </w14:textFill>
        </w:rPr>
      </w:pPr>
    </w:p>
    <w:p w14:paraId="37CF21EE">
      <w:pPr>
        <w:spacing w:after="0" w:line="420" w:lineRule="exact"/>
        <w:rPr>
          <w:rFonts w:ascii="宋体" w:hAnsi="宋体" w:eastAsia="宋体" w:cs="宋体"/>
          <w:b/>
          <w:color w:val="000000" w:themeColor="text1"/>
          <w:sz w:val="28"/>
          <w:szCs w:val="28"/>
          <w:highlight w:val="none"/>
          <w14:textFill>
            <w14:solidFill>
              <w14:schemeClr w14:val="tx1"/>
            </w14:solidFill>
          </w14:textFill>
        </w:rPr>
      </w:pPr>
    </w:p>
    <w:p w14:paraId="3737DC1C">
      <w:pPr>
        <w:spacing w:after="0" w:line="420" w:lineRule="exact"/>
        <w:rPr>
          <w:rFonts w:ascii="宋体" w:hAnsi="宋体" w:eastAsia="宋体" w:cs="宋体"/>
          <w:b/>
          <w:color w:val="000000" w:themeColor="text1"/>
          <w:sz w:val="28"/>
          <w:szCs w:val="28"/>
          <w:highlight w:val="none"/>
          <w14:textFill>
            <w14:solidFill>
              <w14:schemeClr w14:val="tx1"/>
            </w14:solidFill>
          </w14:textFill>
        </w:rPr>
      </w:pPr>
    </w:p>
    <w:p w14:paraId="36B5E2CF">
      <w:pPr>
        <w:spacing w:after="0" w:line="420" w:lineRule="exact"/>
        <w:rPr>
          <w:rFonts w:ascii="宋体" w:hAnsi="宋体" w:eastAsia="宋体" w:cs="宋体"/>
          <w:b/>
          <w:color w:val="000000" w:themeColor="text1"/>
          <w:sz w:val="28"/>
          <w:szCs w:val="28"/>
          <w:highlight w:val="none"/>
          <w14:textFill>
            <w14:solidFill>
              <w14:schemeClr w14:val="tx1"/>
            </w14:solidFill>
          </w14:textFill>
        </w:rPr>
      </w:pPr>
    </w:p>
    <w:p w14:paraId="4697C7A7">
      <w:pPr>
        <w:spacing w:after="0" w:line="420" w:lineRule="exact"/>
        <w:rPr>
          <w:rFonts w:ascii="宋体" w:hAnsi="宋体" w:eastAsia="宋体" w:cs="宋体"/>
          <w:b/>
          <w:color w:val="000000" w:themeColor="text1"/>
          <w:sz w:val="28"/>
          <w:szCs w:val="28"/>
          <w:highlight w:val="none"/>
          <w14:textFill>
            <w14:solidFill>
              <w14:schemeClr w14:val="tx1"/>
            </w14:solidFill>
          </w14:textFill>
        </w:rPr>
      </w:pPr>
    </w:p>
    <w:p w14:paraId="24E8DA02">
      <w:pPr>
        <w:spacing w:after="0" w:line="420" w:lineRule="exact"/>
        <w:rPr>
          <w:rFonts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附件七：商务响应表</w:t>
      </w:r>
    </w:p>
    <w:p w14:paraId="319051BB">
      <w:pPr>
        <w:spacing w:beforeLines="50" w:afterLines="50" w:line="600" w:lineRule="exact"/>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商务响应表</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7"/>
        <w:gridCol w:w="1766"/>
        <w:gridCol w:w="2392"/>
        <w:gridCol w:w="2250"/>
        <w:gridCol w:w="1646"/>
      </w:tblGrid>
      <w:tr w14:paraId="4DA3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307" w:type="dxa"/>
            <w:vAlign w:val="center"/>
          </w:tcPr>
          <w:p w14:paraId="6164DB3A">
            <w:pPr>
              <w:spacing w:after="0" w:line="5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1766" w:type="dxa"/>
            <w:vAlign w:val="center"/>
          </w:tcPr>
          <w:p w14:paraId="3D877BA7">
            <w:pPr>
              <w:spacing w:after="0" w:line="5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条款名称</w:t>
            </w:r>
          </w:p>
        </w:tc>
        <w:tc>
          <w:tcPr>
            <w:tcW w:w="2392" w:type="dxa"/>
            <w:vAlign w:val="center"/>
          </w:tcPr>
          <w:p w14:paraId="6C0A7FD4">
            <w:pPr>
              <w:spacing w:after="0" w:line="5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竞争性磋商文件的商务要求</w:t>
            </w:r>
          </w:p>
        </w:tc>
        <w:tc>
          <w:tcPr>
            <w:tcW w:w="2250" w:type="dxa"/>
            <w:vAlign w:val="center"/>
          </w:tcPr>
          <w:p w14:paraId="798BD930">
            <w:pPr>
              <w:spacing w:after="0" w:line="5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响应文件响应内容</w:t>
            </w:r>
          </w:p>
        </w:tc>
        <w:tc>
          <w:tcPr>
            <w:tcW w:w="1646" w:type="dxa"/>
            <w:vAlign w:val="center"/>
          </w:tcPr>
          <w:p w14:paraId="648F23E8">
            <w:pPr>
              <w:spacing w:after="0" w:line="520" w:lineRule="exact"/>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偏离说明</w:t>
            </w:r>
          </w:p>
        </w:tc>
      </w:tr>
      <w:tr w14:paraId="550A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tcPr>
          <w:p w14:paraId="4919F2C1">
            <w:pPr>
              <w:spacing w:after="0" w:line="520" w:lineRule="exact"/>
              <w:rPr>
                <w:rFonts w:ascii="宋体" w:hAnsi="宋体" w:eastAsia="宋体" w:cs="宋体"/>
                <w:color w:val="000000" w:themeColor="text1"/>
                <w:highlight w:val="none"/>
                <w14:textFill>
                  <w14:solidFill>
                    <w14:schemeClr w14:val="tx1"/>
                  </w14:solidFill>
                </w14:textFill>
              </w:rPr>
            </w:pPr>
          </w:p>
        </w:tc>
        <w:tc>
          <w:tcPr>
            <w:tcW w:w="1766" w:type="dxa"/>
            <w:vAlign w:val="center"/>
          </w:tcPr>
          <w:p w14:paraId="2326D025">
            <w:pPr>
              <w:spacing w:after="0" w:line="520" w:lineRule="exact"/>
              <w:rPr>
                <w:rFonts w:ascii="宋体" w:hAnsi="宋体" w:eastAsia="宋体" w:cs="宋体"/>
                <w:color w:val="000000" w:themeColor="text1"/>
                <w:highlight w:val="none"/>
                <w14:textFill>
                  <w14:solidFill>
                    <w14:schemeClr w14:val="tx1"/>
                  </w14:solidFill>
                </w14:textFill>
              </w:rPr>
            </w:pPr>
          </w:p>
        </w:tc>
        <w:tc>
          <w:tcPr>
            <w:tcW w:w="2392" w:type="dxa"/>
            <w:vAlign w:val="center"/>
          </w:tcPr>
          <w:p w14:paraId="31E09484">
            <w:pPr>
              <w:spacing w:after="0" w:line="520" w:lineRule="exact"/>
              <w:rPr>
                <w:rFonts w:ascii="宋体" w:hAnsi="宋体" w:eastAsia="宋体" w:cs="宋体"/>
                <w:color w:val="000000" w:themeColor="text1"/>
                <w:highlight w:val="none"/>
                <w14:textFill>
                  <w14:solidFill>
                    <w14:schemeClr w14:val="tx1"/>
                  </w14:solidFill>
                </w14:textFill>
              </w:rPr>
            </w:pPr>
          </w:p>
        </w:tc>
        <w:tc>
          <w:tcPr>
            <w:tcW w:w="2250" w:type="dxa"/>
            <w:vAlign w:val="center"/>
          </w:tcPr>
          <w:p w14:paraId="0E6D6267">
            <w:pPr>
              <w:spacing w:after="0" w:line="520" w:lineRule="exact"/>
              <w:rPr>
                <w:rFonts w:ascii="宋体" w:hAnsi="宋体" w:eastAsia="宋体" w:cs="宋体"/>
                <w:color w:val="000000" w:themeColor="text1"/>
                <w:highlight w:val="none"/>
                <w14:textFill>
                  <w14:solidFill>
                    <w14:schemeClr w14:val="tx1"/>
                  </w14:solidFill>
                </w14:textFill>
              </w:rPr>
            </w:pPr>
          </w:p>
        </w:tc>
        <w:tc>
          <w:tcPr>
            <w:tcW w:w="1646" w:type="dxa"/>
            <w:vAlign w:val="center"/>
          </w:tcPr>
          <w:p w14:paraId="38144FEC">
            <w:pPr>
              <w:spacing w:after="0" w:line="520" w:lineRule="exact"/>
              <w:rPr>
                <w:rFonts w:ascii="宋体" w:hAnsi="宋体" w:eastAsia="宋体" w:cs="宋体"/>
                <w:color w:val="000000" w:themeColor="text1"/>
                <w:highlight w:val="none"/>
                <w14:textFill>
                  <w14:solidFill>
                    <w14:schemeClr w14:val="tx1"/>
                  </w14:solidFill>
                </w14:textFill>
              </w:rPr>
            </w:pPr>
          </w:p>
        </w:tc>
      </w:tr>
      <w:tr w14:paraId="0F92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tcPr>
          <w:p w14:paraId="4E57D1E2">
            <w:pPr>
              <w:spacing w:after="0" w:line="520" w:lineRule="exact"/>
              <w:rPr>
                <w:rFonts w:ascii="宋体" w:hAnsi="宋体" w:eastAsia="宋体" w:cs="宋体"/>
                <w:color w:val="000000" w:themeColor="text1"/>
                <w:highlight w:val="none"/>
                <w14:textFill>
                  <w14:solidFill>
                    <w14:schemeClr w14:val="tx1"/>
                  </w14:solidFill>
                </w14:textFill>
              </w:rPr>
            </w:pPr>
          </w:p>
        </w:tc>
        <w:tc>
          <w:tcPr>
            <w:tcW w:w="1766" w:type="dxa"/>
            <w:vAlign w:val="center"/>
          </w:tcPr>
          <w:p w14:paraId="1FC41E79">
            <w:pPr>
              <w:spacing w:after="0" w:line="5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2392" w:type="dxa"/>
          </w:tcPr>
          <w:p w14:paraId="0B2278F7">
            <w:pPr>
              <w:spacing w:after="0" w:line="520" w:lineRule="exact"/>
              <w:rPr>
                <w:rFonts w:ascii="宋体" w:hAnsi="宋体" w:eastAsia="宋体" w:cs="宋体"/>
                <w:color w:val="000000" w:themeColor="text1"/>
                <w:highlight w:val="none"/>
                <w14:textFill>
                  <w14:solidFill>
                    <w14:schemeClr w14:val="tx1"/>
                  </w14:solidFill>
                </w14:textFill>
              </w:rPr>
            </w:pPr>
          </w:p>
        </w:tc>
        <w:tc>
          <w:tcPr>
            <w:tcW w:w="2250" w:type="dxa"/>
          </w:tcPr>
          <w:p w14:paraId="02F9644A">
            <w:pPr>
              <w:spacing w:after="0" w:line="520" w:lineRule="exact"/>
              <w:rPr>
                <w:rFonts w:ascii="宋体" w:hAnsi="宋体" w:eastAsia="宋体" w:cs="宋体"/>
                <w:color w:val="000000" w:themeColor="text1"/>
                <w:highlight w:val="none"/>
                <w14:textFill>
                  <w14:solidFill>
                    <w14:schemeClr w14:val="tx1"/>
                  </w14:solidFill>
                </w14:textFill>
              </w:rPr>
            </w:pPr>
          </w:p>
        </w:tc>
        <w:tc>
          <w:tcPr>
            <w:tcW w:w="1646" w:type="dxa"/>
          </w:tcPr>
          <w:p w14:paraId="02A057B3">
            <w:pPr>
              <w:spacing w:after="0" w:line="520" w:lineRule="exact"/>
              <w:rPr>
                <w:rFonts w:ascii="宋体" w:hAnsi="宋体" w:eastAsia="宋体" w:cs="宋体"/>
                <w:color w:val="000000" w:themeColor="text1"/>
                <w:highlight w:val="none"/>
                <w14:textFill>
                  <w14:solidFill>
                    <w14:schemeClr w14:val="tx1"/>
                  </w14:solidFill>
                </w14:textFill>
              </w:rPr>
            </w:pPr>
          </w:p>
        </w:tc>
      </w:tr>
      <w:tr w14:paraId="6C7C1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tcPr>
          <w:p w14:paraId="18D1A66A">
            <w:pPr>
              <w:spacing w:after="0" w:line="520" w:lineRule="exact"/>
              <w:rPr>
                <w:rFonts w:ascii="宋体" w:hAnsi="宋体" w:eastAsia="宋体" w:cs="宋体"/>
                <w:color w:val="000000" w:themeColor="text1"/>
                <w:highlight w:val="none"/>
                <w14:textFill>
                  <w14:solidFill>
                    <w14:schemeClr w14:val="tx1"/>
                  </w14:solidFill>
                </w14:textFill>
              </w:rPr>
            </w:pPr>
          </w:p>
        </w:tc>
        <w:tc>
          <w:tcPr>
            <w:tcW w:w="1766" w:type="dxa"/>
            <w:vAlign w:val="center"/>
          </w:tcPr>
          <w:p w14:paraId="0F3AE370">
            <w:pPr>
              <w:spacing w:after="0" w:line="520" w:lineRule="exact"/>
              <w:rPr>
                <w:rFonts w:ascii="宋体" w:hAnsi="宋体" w:eastAsia="宋体" w:cs="宋体"/>
                <w:color w:val="000000" w:themeColor="text1"/>
                <w:highlight w:val="none"/>
                <w14:textFill>
                  <w14:solidFill>
                    <w14:schemeClr w14:val="tx1"/>
                  </w14:solidFill>
                </w14:textFill>
              </w:rPr>
            </w:pPr>
          </w:p>
        </w:tc>
        <w:tc>
          <w:tcPr>
            <w:tcW w:w="2392" w:type="dxa"/>
          </w:tcPr>
          <w:p w14:paraId="4B4777F8">
            <w:pPr>
              <w:spacing w:after="0" w:line="520" w:lineRule="exact"/>
              <w:rPr>
                <w:rFonts w:ascii="宋体" w:hAnsi="宋体" w:eastAsia="宋体" w:cs="宋体"/>
                <w:color w:val="000000" w:themeColor="text1"/>
                <w:highlight w:val="none"/>
                <w14:textFill>
                  <w14:solidFill>
                    <w14:schemeClr w14:val="tx1"/>
                  </w14:solidFill>
                </w14:textFill>
              </w:rPr>
            </w:pPr>
          </w:p>
        </w:tc>
        <w:tc>
          <w:tcPr>
            <w:tcW w:w="2250" w:type="dxa"/>
          </w:tcPr>
          <w:p w14:paraId="0800A7F7">
            <w:pPr>
              <w:spacing w:after="0" w:line="520" w:lineRule="exact"/>
              <w:rPr>
                <w:rFonts w:ascii="宋体" w:hAnsi="宋体" w:eastAsia="宋体" w:cs="宋体"/>
                <w:color w:val="000000" w:themeColor="text1"/>
                <w:highlight w:val="none"/>
                <w14:textFill>
                  <w14:solidFill>
                    <w14:schemeClr w14:val="tx1"/>
                  </w14:solidFill>
                </w14:textFill>
              </w:rPr>
            </w:pPr>
          </w:p>
        </w:tc>
        <w:tc>
          <w:tcPr>
            <w:tcW w:w="1646" w:type="dxa"/>
          </w:tcPr>
          <w:p w14:paraId="234FCD14">
            <w:pPr>
              <w:spacing w:after="0" w:line="520" w:lineRule="exact"/>
              <w:rPr>
                <w:rFonts w:ascii="宋体" w:hAnsi="宋体" w:eastAsia="宋体" w:cs="宋体"/>
                <w:color w:val="000000" w:themeColor="text1"/>
                <w:highlight w:val="none"/>
                <w14:textFill>
                  <w14:solidFill>
                    <w14:schemeClr w14:val="tx1"/>
                  </w14:solidFill>
                </w14:textFill>
              </w:rPr>
            </w:pPr>
          </w:p>
        </w:tc>
      </w:tr>
      <w:tr w14:paraId="2663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tcPr>
          <w:p w14:paraId="22D952D2">
            <w:pPr>
              <w:spacing w:after="0" w:line="520" w:lineRule="exact"/>
              <w:rPr>
                <w:rFonts w:ascii="宋体" w:hAnsi="宋体" w:eastAsia="宋体" w:cs="宋体"/>
                <w:color w:val="000000" w:themeColor="text1"/>
                <w:highlight w:val="none"/>
                <w14:textFill>
                  <w14:solidFill>
                    <w14:schemeClr w14:val="tx1"/>
                  </w14:solidFill>
                </w14:textFill>
              </w:rPr>
            </w:pPr>
          </w:p>
        </w:tc>
        <w:tc>
          <w:tcPr>
            <w:tcW w:w="1766" w:type="dxa"/>
            <w:vAlign w:val="center"/>
          </w:tcPr>
          <w:p w14:paraId="442FFA89">
            <w:pPr>
              <w:spacing w:after="0" w:line="520" w:lineRule="exact"/>
              <w:rPr>
                <w:rFonts w:ascii="宋体" w:hAnsi="宋体" w:eastAsia="宋体" w:cs="宋体"/>
                <w:color w:val="000000" w:themeColor="text1"/>
                <w:highlight w:val="none"/>
                <w14:textFill>
                  <w14:solidFill>
                    <w14:schemeClr w14:val="tx1"/>
                  </w14:solidFill>
                </w14:textFill>
              </w:rPr>
            </w:pPr>
          </w:p>
        </w:tc>
        <w:tc>
          <w:tcPr>
            <w:tcW w:w="2392" w:type="dxa"/>
          </w:tcPr>
          <w:p w14:paraId="533AE1A4">
            <w:pPr>
              <w:spacing w:after="0" w:line="520" w:lineRule="exact"/>
              <w:rPr>
                <w:rFonts w:ascii="宋体" w:hAnsi="宋体" w:eastAsia="宋体" w:cs="宋体"/>
                <w:color w:val="000000" w:themeColor="text1"/>
                <w:highlight w:val="none"/>
                <w14:textFill>
                  <w14:solidFill>
                    <w14:schemeClr w14:val="tx1"/>
                  </w14:solidFill>
                </w14:textFill>
              </w:rPr>
            </w:pPr>
          </w:p>
        </w:tc>
        <w:tc>
          <w:tcPr>
            <w:tcW w:w="2250" w:type="dxa"/>
          </w:tcPr>
          <w:p w14:paraId="0DAA774D">
            <w:pPr>
              <w:spacing w:after="0" w:line="520" w:lineRule="exact"/>
              <w:rPr>
                <w:rFonts w:ascii="宋体" w:hAnsi="宋体" w:eastAsia="宋体" w:cs="宋体"/>
                <w:color w:val="000000" w:themeColor="text1"/>
                <w:highlight w:val="none"/>
                <w14:textFill>
                  <w14:solidFill>
                    <w14:schemeClr w14:val="tx1"/>
                  </w14:solidFill>
                </w14:textFill>
              </w:rPr>
            </w:pPr>
          </w:p>
        </w:tc>
        <w:tc>
          <w:tcPr>
            <w:tcW w:w="1646" w:type="dxa"/>
          </w:tcPr>
          <w:p w14:paraId="3C1724A4">
            <w:pPr>
              <w:spacing w:after="0" w:line="520" w:lineRule="exact"/>
              <w:rPr>
                <w:rFonts w:ascii="宋体" w:hAnsi="宋体" w:eastAsia="宋体" w:cs="宋体"/>
                <w:color w:val="000000" w:themeColor="text1"/>
                <w:highlight w:val="none"/>
                <w14:textFill>
                  <w14:solidFill>
                    <w14:schemeClr w14:val="tx1"/>
                  </w14:solidFill>
                </w14:textFill>
              </w:rPr>
            </w:pPr>
          </w:p>
        </w:tc>
      </w:tr>
      <w:tr w14:paraId="5F458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tcPr>
          <w:p w14:paraId="16B28FFC">
            <w:pPr>
              <w:spacing w:after="0" w:line="520" w:lineRule="exact"/>
              <w:rPr>
                <w:rFonts w:ascii="宋体" w:hAnsi="宋体" w:eastAsia="宋体" w:cs="宋体"/>
                <w:color w:val="000000" w:themeColor="text1"/>
                <w:highlight w:val="none"/>
                <w14:textFill>
                  <w14:solidFill>
                    <w14:schemeClr w14:val="tx1"/>
                  </w14:solidFill>
                </w14:textFill>
              </w:rPr>
            </w:pPr>
          </w:p>
        </w:tc>
        <w:tc>
          <w:tcPr>
            <w:tcW w:w="1766" w:type="dxa"/>
            <w:vAlign w:val="center"/>
          </w:tcPr>
          <w:p w14:paraId="5713199F">
            <w:pPr>
              <w:spacing w:after="0" w:line="52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2392" w:type="dxa"/>
          </w:tcPr>
          <w:p w14:paraId="18B4668A">
            <w:pPr>
              <w:spacing w:after="0" w:line="520" w:lineRule="exact"/>
              <w:rPr>
                <w:rFonts w:ascii="宋体" w:hAnsi="宋体" w:eastAsia="宋体" w:cs="宋体"/>
                <w:color w:val="000000" w:themeColor="text1"/>
                <w:highlight w:val="none"/>
                <w14:textFill>
                  <w14:solidFill>
                    <w14:schemeClr w14:val="tx1"/>
                  </w14:solidFill>
                </w14:textFill>
              </w:rPr>
            </w:pPr>
          </w:p>
        </w:tc>
        <w:tc>
          <w:tcPr>
            <w:tcW w:w="2250" w:type="dxa"/>
          </w:tcPr>
          <w:p w14:paraId="3C983014">
            <w:pPr>
              <w:spacing w:after="0" w:line="520" w:lineRule="exact"/>
              <w:rPr>
                <w:rFonts w:ascii="宋体" w:hAnsi="宋体" w:eastAsia="宋体" w:cs="宋体"/>
                <w:color w:val="000000" w:themeColor="text1"/>
                <w:highlight w:val="none"/>
                <w14:textFill>
                  <w14:solidFill>
                    <w14:schemeClr w14:val="tx1"/>
                  </w14:solidFill>
                </w14:textFill>
              </w:rPr>
            </w:pPr>
          </w:p>
        </w:tc>
        <w:tc>
          <w:tcPr>
            <w:tcW w:w="1646" w:type="dxa"/>
          </w:tcPr>
          <w:p w14:paraId="19E9ABAE">
            <w:pPr>
              <w:spacing w:after="0" w:line="520" w:lineRule="exact"/>
              <w:rPr>
                <w:rFonts w:ascii="宋体" w:hAnsi="宋体" w:eastAsia="宋体" w:cs="宋体"/>
                <w:color w:val="000000" w:themeColor="text1"/>
                <w:highlight w:val="none"/>
                <w14:textFill>
                  <w14:solidFill>
                    <w14:schemeClr w14:val="tx1"/>
                  </w14:solidFill>
                </w14:textFill>
              </w:rPr>
            </w:pPr>
          </w:p>
        </w:tc>
      </w:tr>
    </w:tbl>
    <w:p w14:paraId="784E112B">
      <w:pPr>
        <w:spacing w:after="0" w:line="520" w:lineRule="exact"/>
        <w:rPr>
          <w:rFonts w:ascii="宋体" w:hAnsi="宋体" w:eastAsia="宋体" w:cs="宋体"/>
          <w:color w:val="000000" w:themeColor="text1"/>
          <w:highlight w:val="none"/>
          <w14:textFill>
            <w14:solidFill>
              <w14:schemeClr w14:val="tx1"/>
            </w14:solidFill>
          </w14:textFill>
        </w:rPr>
      </w:pPr>
    </w:p>
    <w:p w14:paraId="700543F9">
      <w:pPr>
        <w:pStyle w:val="18"/>
        <w:spacing w:line="380" w:lineRule="exact"/>
        <w:ind w:firstLine="0" w:firstLineChars="0"/>
        <w:rPr>
          <w:rFonts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说明：（1）应对照竞争性磋商文件“第三章 项目采购需求”中所列商务条款进行逐项响应。</w:t>
      </w:r>
    </w:p>
    <w:p w14:paraId="723D05AE">
      <w:pPr>
        <w:widowControl w:val="0"/>
        <w:adjustRightInd/>
        <w:spacing w:before="50" w:after="50"/>
        <w:ind w:firstLine="480" w:firstLineChars="200"/>
        <w:jc w:val="both"/>
        <w:rPr>
          <w:rFonts w:ascii="宋体" w:hAnsi="宋体" w:eastAsia="宋体" w:cs="宋体"/>
          <w:color w:val="000000" w:themeColor="text1"/>
          <w:kern w:val="2"/>
          <w:sz w:val="2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kern w:val="2"/>
          <w:sz w:val="21"/>
          <w:szCs w:val="21"/>
          <w:highlight w:val="none"/>
          <w14:textFill>
            <w14:solidFill>
              <w14:schemeClr w14:val="tx1"/>
            </w14:solidFill>
          </w14:textFill>
        </w:rPr>
        <w:t>（2）本表内容必须如实填写，并根据响应情况在“偏离说明”栏填写正偏离或负偏离及原因，完全符合的填写“无偏离”。</w:t>
      </w:r>
    </w:p>
    <w:p w14:paraId="7329A4F6">
      <w:pPr>
        <w:widowControl w:val="0"/>
        <w:adjustRightInd/>
        <w:spacing w:before="50" w:after="50"/>
        <w:ind w:firstLine="420" w:firstLineChars="200"/>
        <w:jc w:val="both"/>
        <w:rPr>
          <w:rFonts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（3）本表可扩展。</w:t>
      </w:r>
    </w:p>
    <w:p w14:paraId="25B5BFBA">
      <w:pPr>
        <w:pStyle w:val="18"/>
        <w:spacing w:line="380" w:lineRule="exact"/>
        <w:ind w:firstLine="428" w:firstLineChars="200"/>
        <w:rPr>
          <w:rFonts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w:t>
      </w:r>
    </w:p>
    <w:p w14:paraId="38D9E6F4">
      <w:pPr>
        <w:spacing w:line="500" w:lineRule="exact"/>
        <w:ind w:firstLine="3720" w:firstLineChars="1550"/>
        <w:rPr>
          <w:rFonts w:ascii="宋体" w:hAnsi="宋体" w:eastAsia="宋体" w:cs="宋体"/>
          <w:color w:val="000000" w:themeColor="text1"/>
          <w:highlight w:val="none"/>
          <w14:textFill>
            <w14:solidFill>
              <w14:schemeClr w14:val="tx1"/>
            </w14:solidFill>
          </w14:textFill>
        </w:rPr>
      </w:pPr>
    </w:p>
    <w:p w14:paraId="055D4151">
      <w:pPr>
        <w:spacing w:line="500" w:lineRule="exact"/>
        <w:ind w:firstLine="3720" w:firstLineChars="1550"/>
        <w:rPr>
          <w:rFonts w:ascii="宋体" w:hAnsi="宋体" w:eastAsia="宋体" w:cs="宋体"/>
          <w:color w:val="000000" w:themeColor="text1"/>
          <w:highlight w:val="none"/>
          <w14:textFill>
            <w14:solidFill>
              <w14:schemeClr w14:val="tx1"/>
            </w14:solidFill>
          </w14:textFill>
        </w:rPr>
      </w:pPr>
    </w:p>
    <w:p w14:paraId="08F22D37">
      <w:pPr>
        <w:spacing w:line="5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w:t>
      </w:r>
      <w:r>
        <w:rPr>
          <w:rFonts w:hint="eastAsia" w:ascii="宋体" w:hAnsi="宋体" w:eastAsia="宋体" w:cs="宋体"/>
          <w:color w:val="000000" w:themeColor="text1"/>
          <w:highlight w:val="none"/>
          <w:u w:val="single"/>
          <w14:textFill>
            <w14:solidFill>
              <w14:schemeClr w14:val="tx1"/>
            </w14:solidFill>
          </w14:textFill>
        </w:rPr>
        <w:t xml:space="preserve">         （单位名称并盖公章） </w:t>
      </w:r>
    </w:p>
    <w:p w14:paraId="595BA71E">
      <w:pPr>
        <w:spacing w:line="5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法定代表人或委托代理人：</w:t>
      </w:r>
      <w:r>
        <w:rPr>
          <w:rFonts w:hint="eastAsia" w:ascii="宋体" w:hAnsi="宋体" w:eastAsia="宋体" w:cs="宋体"/>
          <w:color w:val="000000" w:themeColor="text1"/>
          <w:highlight w:val="none"/>
          <w:u w:val="single"/>
          <w14:textFill>
            <w14:solidFill>
              <w14:schemeClr w14:val="tx1"/>
            </w14:solidFill>
          </w14:textFill>
        </w:rPr>
        <w:t xml:space="preserve">  （签字）   </w:t>
      </w:r>
    </w:p>
    <w:p w14:paraId="265F1C66">
      <w:pPr>
        <w:pStyle w:val="23"/>
        <w:spacing w:line="500" w:lineRule="exact"/>
        <w:ind w:firstLine="3720" w:firstLineChars="155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日期：</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年</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月</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日</w:t>
      </w:r>
    </w:p>
    <w:p w14:paraId="4669A024">
      <w:pPr>
        <w:spacing w:beforeLines="50" w:after="50"/>
        <w:ind w:right="480"/>
        <w:rPr>
          <w:rFonts w:ascii="宋体" w:hAnsi="宋体" w:eastAsia="宋体" w:cs="宋体"/>
          <w:b/>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附件八：法定代表人身份证明</w:t>
      </w:r>
    </w:p>
    <w:p w14:paraId="0D4BCDFC">
      <w:pPr>
        <w:pStyle w:val="23"/>
        <w:spacing w:line="440" w:lineRule="exact"/>
        <w:jc w:val="center"/>
        <w:rPr>
          <w:rFonts w:hAnsi="宋体" w:cs="宋体"/>
          <w:b/>
          <w:color w:val="000000" w:themeColor="text1"/>
          <w:sz w:val="32"/>
          <w:szCs w:val="32"/>
          <w:highlight w:val="none"/>
          <w14:textFill>
            <w14:solidFill>
              <w14:schemeClr w14:val="tx1"/>
            </w14:solidFill>
          </w14:textFill>
        </w:rPr>
      </w:pPr>
    </w:p>
    <w:p w14:paraId="7B11D030">
      <w:pPr>
        <w:spacing w:beforeLines="50" w:afterLines="50" w:line="600" w:lineRule="exact"/>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法定代表人身份证明</w:t>
      </w:r>
    </w:p>
    <w:p w14:paraId="4DFBEDC8">
      <w:pPr>
        <w:spacing w:line="5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w:t>
      </w:r>
      <w:r>
        <w:rPr>
          <w:rFonts w:hint="eastAsia" w:ascii="宋体" w:hAnsi="宋体" w:eastAsia="宋体" w:cs="宋体"/>
          <w:color w:val="000000" w:themeColor="text1"/>
          <w:highlight w:val="none"/>
          <w:u w:val="single"/>
          <w14:textFill>
            <w14:solidFill>
              <w14:schemeClr w14:val="tx1"/>
            </w14:solidFill>
          </w14:textFill>
        </w:rPr>
        <w:t xml:space="preserve">                                                        </w:t>
      </w:r>
    </w:p>
    <w:p w14:paraId="54421477">
      <w:pPr>
        <w:spacing w:line="5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单位性质：</w:t>
      </w:r>
      <w:r>
        <w:rPr>
          <w:rFonts w:hint="eastAsia" w:ascii="宋体" w:hAnsi="宋体" w:eastAsia="宋体" w:cs="宋体"/>
          <w:color w:val="000000" w:themeColor="text1"/>
          <w:highlight w:val="none"/>
          <w:u w:val="single"/>
          <w14:textFill>
            <w14:solidFill>
              <w14:schemeClr w14:val="tx1"/>
            </w14:solidFill>
          </w14:textFill>
        </w:rPr>
        <w:t xml:space="preserve">                                                        </w:t>
      </w:r>
    </w:p>
    <w:p w14:paraId="514E5747">
      <w:pPr>
        <w:spacing w:line="5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地    址：</w:t>
      </w:r>
      <w:r>
        <w:rPr>
          <w:rFonts w:hint="eastAsia" w:ascii="宋体" w:hAnsi="宋体" w:eastAsia="宋体" w:cs="宋体"/>
          <w:color w:val="000000" w:themeColor="text1"/>
          <w:highlight w:val="none"/>
          <w:u w:val="single"/>
          <w14:textFill>
            <w14:solidFill>
              <w14:schemeClr w14:val="tx1"/>
            </w14:solidFill>
          </w14:textFill>
        </w:rPr>
        <w:t xml:space="preserve">                                                        </w:t>
      </w:r>
    </w:p>
    <w:p w14:paraId="7C02B832">
      <w:pPr>
        <w:spacing w:line="5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成立时间：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日</w:t>
      </w:r>
    </w:p>
    <w:p w14:paraId="29EA4CB5">
      <w:pPr>
        <w:spacing w:line="5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经营期限：</w:t>
      </w:r>
      <w:r>
        <w:rPr>
          <w:rFonts w:hint="eastAsia" w:ascii="宋体" w:hAnsi="宋体" w:eastAsia="宋体" w:cs="宋体"/>
          <w:color w:val="000000" w:themeColor="text1"/>
          <w:highlight w:val="none"/>
          <w:u w:val="single"/>
          <w14:textFill>
            <w14:solidFill>
              <w14:schemeClr w14:val="tx1"/>
            </w14:solidFill>
          </w14:textFill>
        </w:rPr>
        <w:t xml:space="preserve">                                                        </w:t>
      </w:r>
    </w:p>
    <w:p w14:paraId="3EB89CF7">
      <w:pPr>
        <w:spacing w:line="5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    名：</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性      别：</w:t>
      </w:r>
      <w:r>
        <w:rPr>
          <w:rFonts w:hint="eastAsia" w:ascii="宋体" w:hAnsi="宋体" w:eastAsia="宋体" w:cs="宋体"/>
          <w:color w:val="000000" w:themeColor="text1"/>
          <w:highlight w:val="none"/>
          <w:u w:val="single"/>
          <w14:textFill>
            <w14:solidFill>
              <w14:schemeClr w14:val="tx1"/>
            </w14:solidFill>
          </w14:textFill>
        </w:rPr>
        <w:t xml:space="preserve">                </w:t>
      </w:r>
    </w:p>
    <w:p w14:paraId="62DFE153">
      <w:pPr>
        <w:spacing w:line="500" w:lineRule="exact"/>
        <w:rPr>
          <w:rFonts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年    龄：</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职      务：</w:t>
      </w:r>
      <w:r>
        <w:rPr>
          <w:rFonts w:hint="eastAsia" w:ascii="宋体" w:hAnsi="宋体" w:eastAsia="宋体" w:cs="宋体"/>
          <w:color w:val="000000" w:themeColor="text1"/>
          <w:highlight w:val="none"/>
          <w:u w:val="single"/>
          <w14:textFill>
            <w14:solidFill>
              <w14:schemeClr w14:val="tx1"/>
            </w14:solidFill>
          </w14:textFill>
        </w:rPr>
        <w:t xml:space="preserve">                </w:t>
      </w:r>
    </w:p>
    <w:p w14:paraId="0BC33E1E">
      <w:pPr>
        <w:spacing w:line="500" w:lineRule="exact"/>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身份证号码：</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系</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（供应商名称）的法定代表人。</w:t>
      </w:r>
    </w:p>
    <w:p w14:paraId="3D334A1C">
      <w:pPr>
        <w:pStyle w:val="23"/>
        <w:spacing w:line="460" w:lineRule="exact"/>
        <w:ind w:firstLine="616" w:firstLineChars="257"/>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特此证明。</w:t>
      </w:r>
    </w:p>
    <w:p w14:paraId="1D562F0C">
      <w:pPr>
        <w:pStyle w:val="23"/>
        <w:spacing w:line="460" w:lineRule="exact"/>
        <w:ind w:firstLine="616" w:firstLineChars="257"/>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附：法定代表人有效的身份证正反面复印件，并加盖公章。</w:t>
      </w:r>
    </w:p>
    <w:p w14:paraId="15F177CF">
      <w:pPr>
        <w:pStyle w:val="23"/>
        <w:spacing w:line="460" w:lineRule="exact"/>
        <w:ind w:firstLine="616" w:firstLineChars="257"/>
        <w:rPr>
          <w:rFonts w:hAnsi="宋体" w:cs="宋体"/>
          <w:color w:val="000000" w:themeColor="text1"/>
          <w:sz w:val="24"/>
          <w:szCs w:val="24"/>
          <w:highlight w:val="none"/>
          <w14:textFill>
            <w14:solidFill>
              <w14:schemeClr w14:val="tx1"/>
            </w14:solidFill>
          </w14:textFill>
        </w:rPr>
      </w:pPr>
    </w:p>
    <w:p w14:paraId="4EED9343">
      <w:pPr>
        <w:pStyle w:val="23"/>
        <w:spacing w:line="460" w:lineRule="exact"/>
        <w:ind w:firstLine="616" w:firstLineChars="257"/>
        <w:rPr>
          <w:rFonts w:hAnsi="宋体" w:cs="宋体"/>
          <w:color w:val="000000" w:themeColor="text1"/>
          <w:sz w:val="24"/>
          <w:szCs w:val="24"/>
          <w:highlight w:val="none"/>
          <w14:textFill>
            <w14:solidFill>
              <w14:schemeClr w14:val="tx1"/>
            </w14:solidFill>
          </w14:textFill>
        </w:rPr>
      </w:pPr>
    </w:p>
    <w:p w14:paraId="30A2CDF0">
      <w:pPr>
        <w:pStyle w:val="23"/>
        <w:spacing w:line="460" w:lineRule="exact"/>
        <w:ind w:firstLine="616" w:firstLineChars="257"/>
        <w:rPr>
          <w:rFonts w:hAnsi="宋体" w:cs="宋体"/>
          <w:color w:val="000000" w:themeColor="text1"/>
          <w:sz w:val="24"/>
          <w:szCs w:val="24"/>
          <w:highlight w:val="none"/>
          <w14:textFill>
            <w14:solidFill>
              <w14:schemeClr w14:val="tx1"/>
            </w14:solidFill>
          </w14:textFill>
        </w:rPr>
      </w:pPr>
    </w:p>
    <w:p w14:paraId="778832B1">
      <w:pPr>
        <w:pStyle w:val="23"/>
        <w:spacing w:line="460" w:lineRule="exact"/>
        <w:ind w:firstLine="616" w:firstLineChars="257"/>
        <w:rPr>
          <w:rFonts w:hAnsi="宋体" w:cs="宋体"/>
          <w:color w:val="000000" w:themeColor="text1"/>
          <w:sz w:val="24"/>
          <w:szCs w:val="24"/>
          <w:highlight w:val="none"/>
          <w14:textFill>
            <w14:solidFill>
              <w14:schemeClr w14:val="tx1"/>
            </w14:solidFill>
          </w14:textFill>
        </w:rPr>
      </w:pPr>
    </w:p>
    <w:p w14:paraId="2BA8C9B3">
      <w:pPr>
        <w:spacing w:line="5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w:t>
      </w:r>
      <w:r>
        <w:rPr>
          <w:rFonts w:hint="eastAsia" w:ascii="宋体" w:hAnsi="宋体" w:eastAsia="宋体" w:cs="宋体"/>
          <w:color w:val="000000" w:themeColor="text1"/>
          <w:highlight w:val="none"/>
          <w:u w:val="single"/>
          <w14:textFill>
            <w14:solidFill>
              <w14:schemeClr w14:val="tx1"/>
            </w14:solidFill>
          </w14:textFill>
        </w:rPr>
        <w:t xml:space="preserve">         （单位名称并盖公章） </w:t>
      </w:r>
    </w:p>
    <w:p w14:paraId="60B77373">
      <w:pPr>
        <w:pStyle w:val="23"/>
        <w:spacing w:line="460" w:lineRule="exact"/>
        <w:ind w:right="480" w:firstLine="4080" w:firstLineChars="17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日期：</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年</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月</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日</w:t>
      </w:r>
    </w:p>
    <w:p w14:paraId="2CF982B1">
      <w:pPr>
        <w:spacing w:line="400" w:lineRule="exact"/>
        <w:rPr>
          <w:rFonts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附件九：法定代表人授权委托书</w:t>
      </w:r>
    </w:p>
    <w:p w14:paraId="06D9E879">
      <w:pPr>
        <w:spacing w:beforeLines="50" w:afterLines="50" w:line="600" w:lineRule="exact"/>
        <w:jc w:val="center"/>
        <w:rPr>
          <w:rFonts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法定代表人授权委托书</w:t>
      </w:r>
    </w:p>
    <w:p w14:paraId="799C10F9">
      <w:pPr>
        <w:autoSpaceDE w:val="0"/>
        <w:rPr>
          <w:rFonts w:ascii="宋体" w:hAnsi="宋体" w:eastAsia="宋体" w:cs="宋体"/>
          <w:b/>
          <w:color w:val="000000" w:themeColor="text1"/>
          <w:szCs w:val="21"/>
          <w:highlight w:val="none"/>
          <w14:textFill>
            <w14:solidFill>
              <w14:schemeClr w14:val="tx1"/>
            </w14:solidFill>
          </w14:textFill>
        </w:rPr>
      </w:pPr>
    </w:p>
    <w:p w14:paraId="7FF079FD">
      <w:pPr>
        <w:spacing w:after="0" w:line="440" w:lineRule="exact"/>
        <w:rPr>
          <w:rFonts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致</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（采购代理机构）</w:t>
      </w:r>
    </w:p>
    <w:p w14:paraId="0ADC9831">
      <w:pPr>
        <w:spacing w:after="0" w:line="44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我 </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（姓名）系</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（供应商名称）的法定代表人，现授权委托本单位在职职工 </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（姓名）以我方的名义参加</w:t>
      </w:r>
      <w:r>
        <w:rPr>
          <w:rFonts w:hint="eastAsia" w:ascii="宋体" w:hAnsi="宋体" w:eastAsia="宋体" w:cs="宋体"/>
          <w:color w:val="000000" w:themeColor="text1"/>
          <w:highlight w:val="none"/>
          <w:u w:val="single"/>
          <w14:textFill>
            <w14:solidFill>
              <w14:schemeClr w14:val="tx1"/>
            </w14:solidFill>
          </w14:textFill>
        </w:rPr>
        <w:t xml:space="preserve">   （项目名称） （项目编号：      </w:t>
      </w:r>
      <w:r>
        <w:rPr>
          <w:rFonts w:hint="eastAsia" w:ascii="宋体" w:hAnsi="宋体" w:eastAsia="宋体" w:cs="宋体"/>
          <w:color w:val="000000" w:themeColor="text1"/>
          <w:highlight w:val="none"/>
          <w14:textFill>
            <w14:solidFill>
              <w14:schemeClr w14:val="tx1"/>
            </w14:solidFill>
          </w14:textFill>
        </w:rPr>
        <w:t>）项目的磋商活动，并代表我方全权办理针对上述项目的响应文件签署、响应文件提交、磋商、签订合同和处理一切有关事宜等。</w:t>
      </w:r>
    </w:p>
    <w:p w14:paraId="73955E66">
      <w:pPr>
        <w:spacing w:after="0" w:line="44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我方对被授权人的签名事项负全部责任。</w:t>
      </w:r>
    </w:p>
    <w:p w14:paraId="63095A14">
      <w:pPr>
        <w:spacing w:after="0" w:line="44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授权委托期限：</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日至</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日。被授权人在授权书有效期内签署的所有文件均有效。</w:t>
      </w:r>
    </w:p>
    <w:p w14:paraId="57276473">
      <w:pPr>
        <w:spacing w:after="0" w:line="44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被授权人无转委托权，特此委托。</w:t>
      </w:r>
    </w:p>
    <w:p w14:paraId="300B2BEC">
      <w:pPr>
        <w:spacing w:after="0" w:line="440" w:lineRule="exact"/>
        <w:ind w:firstLine="480" w:firstLineChars="200"/>
        <w:rPr>
          <w:rFonts w:ascii="宋体" w:hAnsi="宋体" w:eastAsia="宋体" w:cs="宋体"/>
          <w:color w:val="000000" w:themeColor="text1"/>
          <w:highlight w:val="none"/>
          <w14:textFill>
            <w14:solidFill>
              <w14:schemeClr w14:val="tx1"/>
            </w14:solidFill>
          </w14:textFill>
        </w:rPr>
      </w:pPr>
    </w:p>
    <w:p w14:paraId="315AB174">
      <w:pPr>
        <w:spacing w:after="0" w:line="44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附：被授权人有效的身份证正反面复印件，并加盖公章。</w:t>
      </w:r>
    </w:p>
    <w:p w14:paraId="02284323">
      <w:pPr>
        <w:spacing w:after="0" w:line="440" w:lineRule="exact"/>
        <w:ind w:firstLine="480" w:firstLineChars="200"/>
        <w:rPr>
          <w:rFonts w:ascii="宋体" w:hAnsi="宋体" w:eastAsia="宋体" w:cs="宋体"/>
          <w:color w:val="000000" w:themeColor="text1"/>
          <w:highlight w:val="none"/>
          <w14:textFill>
            <w14:solidFill>
              <w14:schemeClr w14:val="tx1"/>
            </w14:solidFill>
          </w14:textFill>
        </w:rPr>
      </w:pPr>
    </w:p>
    <w:p w14:paraId="719F12E9">
      <w:pPr>
        <w:spacing w:line="440" w:lineRule="exact"/>
        <w:ind w:firstLine="480" w:firstLineChars="200"/>
        <w:rPr>
          <w:rFonts w:ascii="宋体" w:hAnsi="宋体" w:eastAsia="宋体" w:cs="宋体"/>
          <w:color w:val="000000" w:themeColor="text1"/>
          <w:highlight w:val="none"/>
          <w14:textFill>
            <w14:solidFill>
              <w14:schemeClr w14:val="tx1"/>
            </w14:solidFill>
          </w14:textFill>
        </w:rPr>
      </w:pPr>
    </w:p>
    <w:p w14:paraId="113F32BE">
      <w:pPr>
        <w:spacing w:line="440" w:lineRule="exact"/>
        <w:ind w:firstLine="2760" w:firstLineChars="1150"/>
        <w:rPr>
          <w:rFonts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w:t>
      </w:r>
      <w:r>
        <w:rPr>
          <w:rFonts w:hint="eastAsia" w:ascii="宋体" w:hAnsi="宋体" w:eastAsia="宋体" w:cs="宋体"/>
          <w:color w:val="000000" w:themeColor="text1"/>
          <w:highlight w:val="none"/>
          <w:u w:val="single"/>
          <w14:textFill>
            <w14:solidFill>
              <w14:schemeClr w14:val="tx1"/>
            </w14:solidFill>
          </w14:textFill>
        </w:rPr>
        <w:t xml:space="preserve">         （单位名称并盖公章）</w:t>
      </w:r>
    </w:p>
    <w:p w14:paraId="663C7517">
      <w:pPr>
        <w:spacing w:line="440" w:lineRule="exact"/>
        <w:ind w:firstLine="2760" w:firstLineChars="1150"/>
        <w:rPr>
          <w:rFonts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法定代表人（签字）：</w:t>
      </w:r>
      <w:r>
        <w:rPr>
          <w:rFonts w:hint="eastAsia" w:ascii="宋体" w:hAnsi="宋体" w:eastAsia="宋体" w:cs="宋体"/>
          <w:color w:val="000000" w:themeColor="text1"/>
          <w:highlight w:val="none"/>
          <w:u w:val="single"/>
          <w14:textFill>
            <w14:solidFill>
              <w14:schemeClr w14:val="tx1"/>
            </w14:solidFill>
          </w14:textFill>
        </w:rPr>
        <w:t xml:space="preserve">                            </w:t>
      </w:r>
    </w:p>
    <w:p w14:paraId="7E3D16F7">
      <w:pPr>
        <w:spacing w:line="440" w:lineRule="exact"/>
        <w:ind w:firstLine="2760" w:firstLineChars="1150"/>
        <w:rPr>
          <w:rFonts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法定代表人身份证号码：</w:t>
      </w:r>
      <w:r>
        <w:rPr>
          <w:rFonts w:hint="eastAsia" w:ascii="宋体" w:hAnsi="宋体" w:eastAsia="宋体" w:cs="宋体"/>
          <w:color w:val="000000" w:themeColor="text1"/>
          <w:highlight w:val="none"/>
          <w:u w:val="single"/>
          <w14:textFill>
            <w14:solidFill>
              <w14:schemeClr w14:val="tx1"/>
            </w14:solidFill>
          </w14:textFill>
        </w:rPr>
        <w:t xml:space="preserve">                         </w:t>
      </w:r>
    </w:p>
    <w:p w14:paraId="79F36CF0">
      <w:pPr>
        <w:spacing w:line="440" w:lineRule="exact"/>
        <w:ind w:firstLine="2760" w:firstLineChars="11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委托代理人（签字）：</w:t>
      </w:r>
      <w:r>
        <w:rPr>
          <w:rFonts w:hint="eastAsia" w:ascii="宋体" w:hAnsi="宋体" w:eastAsia="宋体" w:cs="宋体"/>
          <w:color w:val="000000" w:themeColor="text1"/>
          <w:highlight w:val="none"/>
          <w:u w:val="single"/>
          <w14:textFill>
            <w14:solidFill>
              <w14:schemeClr w14:val="tx1"/>
            </w14:solidFill>
          </w14:textFill>
        </w:rPr>
        <w:t xml:space="preserve">                             </w:t>
      </w:r>
    </w:p>
    <w:p w14:paraId="1279004E">
      <w:pPr>
        <w:spacing w:line="440" w:lineRule="exact"/>
        <w:ind w:firstLine="2760" w:firstLineChars="11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委托代理人身份证号码：</w:t>
      </w:r>
      <w:r>
        <w:rPr>
          <w:rFonts w:hint="eastAsia" w:ascii="宋体" w:hAnsi="宋体" w:eastAsia="宋体" w:cs="宋体"/>
          <w:color w:val="000000" w:themeColor="text1"/>
          <w:highlight w:val="none"/>
          <w:u w:val="single"/>
          <w14:textFill>
            <w14:solidFill>
              <w14:schemeClr w14:val="tx1"/>
            </w14:solidFill>
          </w14:textFill>
        </w:rPr>
        <w:t xml:space="preserve">                          </w:t>
      </w:r>
    </w:p>
    <w:p w14:paraId="68E8E3B6">
      <w:pPr>
        <w:spacing w:line="440" w:lineRule="exact"/>
        <w:ind w:firstLine="480" w:firstLineChars="20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日期：</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日</w:t>
      </w:r>
    </w:p>
    <w:p w14:paraId="2A80BB25">
      <w:pPr>
        <w:spacing w:line="440" w:lineRule="exact"/>
        <w:rPr>
          <w:rFonts w:ascii="宋体" w:hAnsi="宋体" w:eastAsia="宋体" w:cs="宋体"/>
          <w:color w:val="000000" w:themeColor="text1"/>
          <w:highlight w:val="none"/>
          <w14:textFill>
            <w14:solidFill>
              <w14:schemeClr w14:val="tx1"/>
            </w14:solidFill>
          </w14:textFill>
        </w:rPr>
      </w:pPr>
    </w:p>
    <w:p w14:paraId="73D2B1AB">
      <w:pPr>
        <w:pStyle w:val="23"/>
        <w:spacing w:line="440" w:lineRule="exact"/>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注：另出席截标会议及磋商时需随身携带提供授权委托书原件。</w:t>
      </w:r>
    </w:p>
    <w:p w14:paraId="3802328A">
      <w:pPr>
        <w:spacing w:line="400" w:lineRule="exact"/>
        <w:rPr>
          <w:rFonts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附件十：供应商类似成功案例的业绩证明</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3"/>
        <w:gridCol w:w="5492"/>
      </w:tblGrid>
      <w:tr w14:paraId="5A0E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413" w:type="dxa"/>
            <w:vAlign w:val="center"/>
          </w:tcPr>
          <w:p w14:paraId="2A6614E0">
            <w:pPr>
              <w:spacing w:after="0"/>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项目名称</w:t>
            </w:r>
          </w:p>
        </w:tc>
        <w:tc>
          <w:tcPr>
            <w:tcW w:w="5492" w:type="dxa"/>
            <w:vAlign w:val="center"/>
          </w:tcPr>
          <w:p w14:paraId="35DD557E">
            <w:pPr>
              <w:spacing w:after="0"/>
              <w:jc w:val="center"/>
              <w:rPr>
                <w:rFonts w:ascii="宋体" w:hAnsi="宋体" w:eastAsia="宋体" w:cs="宋体"/>
                <w:color w:val="000000" w:themeColor="text1"/>
                <w:szCs w:val="21"/>
                <w:highlight w:val="none"/>
                <w14:textFill>
                  <w14:solidFill>
                    <w14:schemeClr w14:val="tx1"/>
                  </w14:solidFill>
                </w14:textFill>
              </w:rPr>
            </w:pPr>
          </w:p>
        </w:tc>
      </w:tr>
      <w:tr w14:paraId="2FFD5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3413" w:type="dxa"/>
            <w:vAlign w:val="center"/>
          </w:tcPr>
          <w:p w14:paraId="09ED3945">
            <w:pPr>
              <w:spacing w:after="0"/>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项目所在地</w:t>
            </w:r>
          </w:p>
        </w:tc>
        <w:tc>
          <w:tcPr>
            <w:tcW w:w="5492" w:type="dxa"/>
            <w:vAlign w:val="center"/>
          </w:tcPr>
          <w:p w14:paraId="4FA0E4BD">
            <w:pPr>
              <w:spacing w:after="0"/>
              <w:jc w:val="center"/>
              <w:rPr>
                <w:rFonts w:ascii="宋体" w:hAnsi="宋体" w:eastAsia="宋体" w:cs="宋体"/>
                <w:color w:val="000000" w:themeColor="text1"/>
                <w:szCs w:val="21"/>
                <w:highlight w:val="none"/>
                <w14:textFill>
                  <w14:solidFill>
                    <w14:schemeClr w14:val="tx1"/>
                  </w14:solidFill>
                </w14:textFill>
              </w:rPr>
            </w:pPr>
          </w:p>
        </w:tc>
      </w:tr>
      <w:tr w14:paraId="6DC1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413" w:type="dxa"/>
            <w:vAlign w:val="center"/>
          </w:tcPr>
          <w:p w14:paraId="0408D727">
            <w:pPr>
              <w:spacing w:after="0"/>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委托人名称</w:t>
            </w:r>
          </w:p>
        </w:tc>
        <w:tc>
          <w:tcPr>
            <w:tcW w:w="5492" w:type="dxa"/>
            <w:vAlign w:val="center"/>
          </w:tcPr>
          <w:p w14:paraId="17A5192F">
            <w:pPr>
              <w:spacing w:after="0"/>
              <w:jc w:val="center"/>
              <w:rPr>
                <w:rFonts w:ascii="宋体" w:hAnsi="宋体" w:eastAsia="宋体" w:cs="宋体"/>
                <w:color w:val="000000" w:themeColor="text1"/>
                <w:szCs w:val="21"/>
                <w:highlight w:val="none"/>
                <w14:textFill>
                  <w14:solidFill>
                    <w14:schemeClr w14:val="tx1"/>
                  </w14:solidFill>
                </w14:textFill>
              </w:rPr>
            </w:pPr>
          </w:p>
        </w:tc>
      </w:tr>
      <w:tr w14:paraId="4637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413" w:type="dxa"/>
            <w:vAlign w:val="center"/>
          </w:tcPr>
          <w:p w14:paraId="4EEB65D2">
            <w:pPr>
              <w:spacing w:after="0"/>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委托人电话</w:t>
            </w:r>
          </w:p>
        </w:tc>
        <w:tc>
          <w:tcPr>
            <w:tcW w:w="5492" w:type="dxa"/>
            <w:vAlign w:val="center"/>
          </w:tcPr>
          <w:p w14:paraId="6C18B134">
            <w:pPr>
              <w:spacing w:after="0"/>
              <w:jc w:val="center"/>
              <w:rPr>
                <w:rFonts w:ascii="宋体" w:hAnsi="宋体" w:eastAsia="宋体" w:cs="宋体"/>
                <w:color w:val="000000" w:themeColor="text1"/>
                <w:szCs w:val="21"/>
                <w:highlight w:val="none"/>
                <w14:textFill>
                  <w14:solidFill>
                    <w14:schemeClr w14:val="tx1"/>
                  </w14:solidFill>
                </w14:textFill>
              </w:rPr>
            </w:pPr>
          </w:p>
        </w:tc>
      </w:tr>
      <w:tr w14:paraId="7E0D3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413" w:type="dxa"/>
            <w:vAlign w:val="center"/>
          </w:tcPr>
          <w:p w14:paraId="162AF387">
            <w:pPr>
              <w:spacing w:after="0"/>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服务周期（月）</w:t>
            </w:r>
          </w:p>
        </w:tc>
        <w:tc>
          <w:tcPr>
            <w:tcW w:w="5492" w:type="dxa"/>
            <w:vAlign w:val="center"/>
          </w:tcPr>
          <w:p w14:paraId="40BB6899">
            <w:pPr>
              <w:spacing w:after="0"/>
              <w:jc w:val="center"/>
              <w:rPr>
                <w:rFonts w:ascii="宋体" w:hAnsi="宋体" w:eastAsia="宋体" w:cs="宋体"/>
                <w:color w:val="000000" w:themeColor="text1"/>
                <w:szCs w:val="21"/>
                <w:highlight w:val="none"/>
                <w14:textFill>
                  <w14:solidFill>
                    <w14:schemeClr w14:val="tx1"/>
                  </w14:solidFill>
                </w14:textFill>
              </w:rPr>
            </w:pPr>
          </w:p>
        </w:tc>
      </w:tr>
      <w:tr w14:paraId="267C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413" w:type="dxa"/>
            <w:vAlign w:val="center"/>
          </w:tcPr>
          <w:p w14:paraId="3CB7846A">
            <w:pPr>
              <w:spacing w:after="0"/>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合同价格（元）</w:t>
            </w:r>
          </w:p>
        </w:tc>
        <w:tc>
          <w:tcPr>
            <w:tcW w:w="5492" w:type="dxa"/>
            <w:vAlign w:val="center"/>
          </w:tcPr>
          <w:p w14:paraId="6DE3F83A">
            <w:pPr>
              <w:spacing w:after="0"/>
              <w:jc w:val="center"/>
              <w:rPr>
                <w:rFonts w:ascii="宋体" w:hAnsi="宋体" w:eastAsia="宋体" w:cs="宋体"/>
                <w:color w:val="000000" w:themeColor="text1"/>
                <w:szCs w:val="21"/>
                <w:highlight w:val="none"/>
                <w14:textFill>
                  <w14:solidFill>
                    <w14:schemeClr w14:val="tx1"/>
                  </w14:solidFill>
                </w14:textFill>
              </w:rPr>
            </w:pPr>
          </w:p>
        </w:tc>
      </w:tr>
      <w:tr w14:paraId="33A75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2" w:hRule="atLeast"/>
          <w:jc w:val="center"/>
        </w:trPr>
        <w:tc>
          <w:tcPr>
            <w:tcW w:w="3413" w:type="dxa"/>
            <w:vAlign w:val="center"/>
          </w:tcPr>
          <w:p w14:paraId="393615F0">
            <w:pPr>
              <w:spacing w:after="0"/>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项目描述</w:t>
            </w:r>
          </w:p>
        </w:tc>
        <w:tc>
          <w:tcPr>
            <w:tcW w:w="5492" w:type="dxa"/>
            <w:vAlign w:val="center"/>
          </w:tcPr>
          <w:p w14:paraId="40E3B23C">
            <w:pPr>
              <w:spacing w:after="0"/>
              <w:jc w:val="center"/>
              <w:rPr>
                <w:rFonts w:ascii="宋体" w:hAnsi="宋体" w:eastAsia="宋体" w:cs="宋体"/>
                <w:color w:val="000000" w:themeColor="text1"/>
                <w:szCs w:val="21"/>
                <w:highlight w:val="none"/>
                <w14:textFill>
                  <w14:solidFill>
                    <w14:schemeClr w14:val="tx1"/>
                  </w14:solidFill>
                </w14:textFill>
              </w:rPr>
            </w:pPr>
          </w:p>
        </w:tc>
      </w:tr>
      <w:tr w14:paraId="16DD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jc w:val="center"/>
        </w:trPr>
        <w:tc>
          <w:tcPr>
            <w:tcW w:w="3413" w:type="dxa"/>
            <w:vAlign w:val="center"/>
          </w:tcPr>
          <w:p w14:paraId="347417CE">
            <w:pPr>
              <w:spacing w:after="0"/>
              <w:jc w:val="center"/>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c>
          <w:tcPr>
            <w:tcW w:w="5492" w:type="dxa"/>
            <w:vAlign w:val="center"/>
          </w:tcPr>
          <w:p w14:paraId="5989F4A5">
            <w:pPr>
              <w:spacing w:after="0"/>
              <w:jc w:val="center"/>
              <w:rPr>
                <w:rFonts w:ascii="宋体" w:hAnsi="宋体" w:eastAsia="宋体" w:cs="宋体"/>
                <w:color w:val="000000" w:themeColor="text1"/>
                <w:szCs w:val="21"/>
                <w:highlight w:val="none"/>
                <w14:textFill>
                  <w14:solidFill>
                    <w14:schemeClr w14:val="tx1"/>
                  </w14:solidFill>
                </w14:textFill>
              </w:rPr>
            </w:pPr>
          </w:p>
        </w:tc>
      </w:tr>
    </w:tbl>
    <w:p w14:paraId="3DE15B28">
      <w:pPr>
        <w:pStyle w:val="23"/>
        <w:spacing w:line="440" w:lineRule="exact"/>
        <w:rPr>
          <w:rFonts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注：</w:t>
      </w:r>
    </w:p>
    <w:p w14:paraId="317979C2">
      <w:pPr>
        <w:widowControl w:val="0"/>
        <w:adjustRightInd/>
        <w:snapToGrid/>
        <w:spacing w:after="0" w:line="480" w:lineRule="exact"/>
        <w:ind w:firstLine="420" w:firstLineChars="200"/>
        <w:jc w:val="both"/>
        <w:rPr>
          <w:rFonts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（1）本表后未附中标（成交）通知书或合同复印件的业绩无效。</w:t>
      </w:r>
    </w:p>
    <w:p w14:paraId="3E4FA93F">
      <w:pPr>
        <w:widowControl w:val="0"/>
        <w:adjustRightInd/>
        <w:snapToGrid/>
        <w:spacing w:after="0" w:line="480" w:lineRule="exact"/>
        <w:ind w:firstLine="420" w:firstLineChars="200"/>
        <w:jc w:val="both"/>
        <w:rPr>
          <w:rFonts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（2）类似项目的详见《评标方法及评标标准》的内容填写。</w:t>
      </w:r>
    </w:p>
    <w:p w14:paraId="5378CC01">
      <w:pPr>
        <w:widowControl w:val="0"/>
        <w:adjustRightInd/>
        <w:snapToGrid/>
        <w:spacing w:after="0" w:line="480" w:lineRule="exact"/>
        <w:ind w:firstLine="420" w:firstLineChars="200"/>
        <w:jc w:val="both"/>
        <w:rPr>
          <w:rFonts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（3）本表可拓展。</w:t>
      </w:r>
    </w:p>
    <w:p w14:paraId="71625316">
      <w:pPr>
        <w:pStyle w:val="23"/>
        <w:spacing w:line="440" w:lineRule="exact"/>
        <w:rPr>
          <w:rFonts w:hAnsi="宋体" w:cs="宋体"/>
          <w:color w:val="000000" w:themeColor="text1"/>
          <w:sz w:val="24"/>
          <w:szCs w:val="24"/>
          <w:highlight w:val="none"/>
          <w14:textFill>
            <w14:solidFill>
              <w14:schemeClr w14:val="tx1"/>
            </w14:solidFill>
          </w14:textFill>
        </w:rPr>
      </w:pPr>
    </w:p>
    <w:p w14:paraId="7204C3CA">
      <w:pPr>
        <w:pStyle w:val="23"/>
        <w:spacing w:line="440" w:lineRule="exact"/>
        <w:rPr>
          <w:rFonts w:hAnsi="宋体" w:cs="宋体"/>
          <w:color w:val="000000" w:themeColor="text1"/>
          <w:sz w:val="24"/>
          <w:szCs w:val="24"/>
          <w:highlight w:val="none"/>
          <w14:textFill>
            <w14:solidFill>
              <w14:schemeClr w14:val="tx1"/>
            </w14:solidFill>
          </w14:textFill>
        </w:rPr>
      </w:pPr>
    </w:p>
    <w:p w14:paraId="4155E840">
      <w:pPr>
        <w:spacing w:line="5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w:t>
      </w:r>
      <w:r>
        <w:rPr>
          <w:rFonts w:hint="eastAsia" w:ascii="宋体" w:hAnsi="宋体" w:eastAsia="宋体" w:cs="宋体"/>
          <w:color w:val="000000" w:themeColor="text1"/>
          <w:highlight w:val="none"/>
          <w:u w:val="single"/>
          <w14:textFill>
            <w14:solidFill>
              <w14:schemeClr w14:val="tx1"/>
            </w14:solidFill>
          </w14:textFill>
        </w:rPr>
        <w:t xml:space="preserve">         （单位名称并盖公章） </w:t>
      </w:r>
    </w:p>
    <w:p w14:paraId="112E0DB4">
      <w:pPr>
        <w:spacing w:line="5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法定代表人或委托代理人：</w:t>
      </w:r>
      <w:r>
        <w:rPr>
          <w:rFonts w:hint="eastAsia" w:ascii="宋体" w:hAnsi="宋体" w:eastAsia="宋体" w:cs="宋体"/>
          <w:color w:val="000000" w:themeColor="text1"/>
          <w:highlight w:val="none"/>
          <w:u w:val="single"/>
          <w14:textFill>
            <w14:solidFill>
              <w14:schemeClr w14:val="tx1"/>
            </w14:solidFill>
          </w14:textFill>
        </w:rPr>
        <w:t xml:space="preserve"> （签字）   </w:t>
      </w:r>
    </w:p>
    <w:p w14:paraId="36768C75">
      <w:pPr>
        <w:pStyle w:val="23"/>
        <w:spacing w:line="440" w:lineRule="exact"/>
        <w:ind w:firstLine="3840" w:firstLineChars="16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日期：</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年</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月</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日</w:t>
      </w:r>
    </w:p>
    <w:p w14:paraId="7CB6C504">
      <w:pPr>
        <w:widowControl w:val="0"/>
        <w:adjustRightInd/>
        <w:spacing w:beforeLines="50" w:after="50"/>
        <w:ind w:right="480"/>
        <w:rPr>
          <w:rFonts w:ascii="宋体" w:hAnsi="宋体" w:eastAsia="宋体" w:cs="宋体"/>
          <w:b/>
          <w:color w:val="000000" w:themeColor="text1"/>
          <w:sz w:val="28"/>
          <w:szCs w:val="28"/>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附件十一：技术响应偏离表</w:t>
      </w:r>
    </w:p>
    <w:p w14:paraId="0EDD8057">
      <w:pPr>
        <w:widowControl w:val="0"/>
        <w:adjustRightInd/>
        <w:spacing w:beforeLines="50" w:after="50"/>
        <w:ind w:right="480"/>
        <w:jc w:val="center"/>
        <w:rPr>
          <w:rFonts w:ascii="宋体" w:hAnsi="宋体" w:eastAsia="宋体" w:cs="宋体"/>
          <w:b/>
          <w:color w:val="000000" w:themeColor="text1"/>
          <w:kern w:val="2"/>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技术响应偏离表</w:t>
      </w:r>
    </w:p>
    <w:p w14:paraId="3C10A86C">
      <w:pPr>
        <w:widowControl w:val="0"/>
        <w:adjustRightInd/>
        <w:spacing w:before="50" w:after="0"/>
        <w:rPr>
          <w:rFonts w:ascii="宋体" w:hAnsi="宋体" w:eastAsia="宋体" w:cs="宋体"/>
          <w:color w:val="000000" w:themeColor="text1"/>
          <w:kern w:val="2"/>
          <w:highlight w:val="none"/>
          <w:u w:val="single"/>
          <w14:textFill>
            <w14:solidFill>
              <w14:schemeClr w14:val="tx1"/>
            </w14:solidFill>
          </w14:textFill>
        </w:rPr>
      </w:pP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2143"/>
        <w:gridCol w:w="1834"/>
        <w:gridCol w:w="2687"/>
        <w:gridCol w:w="1463"/>
      </w:tblGrid>
      <w:tr w14:paraId="1618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91" w:type="dxa"/>
            <w:vAlign w:val="center"/>
          </w:tcPr>
          <w:p w14:paraId="4E517D14">
            <w:pPr>
              <w:widowControl w:val="0"/>
              <w:adjustRightInd/>
              <w:snapToGrid/>
              <w:spacing w:after="0" w:line="400" w:lineRule="exact"/>
              <w:jc w:val="center"/>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项号</w:t>
            </w:r>
          </w:p>
        </w:tc>
        <w:tc>
          <w:tcPr>
            <w:tcW w:w="2143" w:type="dxa"/>
            <w:vAlign w:val="center"/>
          </w:tcPr>
          <w:p w14:paraId="57C6B460">
            <w:pPr>
              <w:widowControl w:val="0"/>
              <w:adjustRightInd/>
              <w:snapToGrid/>
              <w:spacing w:after="0" w:line="400" w:lineRule="exact"/>
              <w:jc w:val="center"/>
              <w:rPr>
                <w:rFonts w:ascii="宋体" w:hAnsi="宋体" w:eastAsia="宋体" w:cs="宋体"/>
                <w:color w:val="000000" w:themeColor="text1"/>
                <w:kern w:val="2"/>
                <w:highlight w:val="none"/>
                <w14:textFill>
                  <w14:solidFill>
                    <w14:schemeClr w14:val="tx1"/>
                  </w14:solidFill>
                </w14:textFill>
              </w:rPr>
            </w:pPr>
            <w:r>
              <w:rPr>
                <w:rFonts w:ascii="宋体" w:hAnsi="宋体" w:eastAsia="宋体" w:cs="宋体"/>
                <w:color w:val="000000" w:themeColor="text1"/>
                <w:kern w:val="2"/>
                <w:highlight w:val="none"/>
                <w14:textFill>
                  <w14:solidFill>
                    <w14:schemeClr w14:val="tx1"/>
                  </w14:solidFill>
                </w14:textFill>
              </w:rPr>
              <w:t>名称</w:t>
            </w:r>
            <w:r>
              <w:rPr>
                <w:rFonts w:hint="eastAsia" w:ascii="宋体" w:hAnsi="宋体" w:eastAsia="宋体" w:cs="宋体"/>
                <w:color w:val="000000" w:themeColor="text1"/>
                <w:highlight w:val="none"/>
                <w14:textFill>
                  <w14:solidFill>
                    <w14:schemeClr w14:val="tx1"/>
                  </w14:solidFill>
                </w14:textFill>
              </w:rPr>
              <w:t>项目或服务名称</w:t>
            </w:r>
          </w:p>
        </w:tc>
        <w:tc>
          <w:tcPr>
            <w:tcW w:w="1834" w:type="dxa"/>
            <w:vAlign w:val="center"/>
          </w:tcPr>
          <w:p w14:paraId="7F564900">
            <w:pPr>
              <w:widowControl w:val="0"/>
              <w:adjustRightInd/>
              <w:snapToGrid/>
              <w:spacing w:after="0" w:line="400" w:lineRule="exact"/>
              <w:jc w:val="center"/>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竞争性磋商文件的</w:t>
            </w:r>
            <w:r>
              <w:rPr>
                <w:rFonts w:hint="eastAsia" w:ascii="宋体" w:hAnsi="宋体" w:eastAsia="宋体" w:cs="宋体"/>
                <w:bCs/>
                <w:color w:val="000000" w:themeColor="text1"/>
                <w:highlight w:val="none"/>
                <w14:textFill>
                  <w14:solidFill>
                    <w14:schemeClr w14:val="tx1"/>
                  </w14:solidFill>
                </w14:textFill>
              </w:rPr>
              <w:t>服务内容及技术服务要求</w:t>
            </w:r>
          </w:p>
        </w:tc>
        <w:tc>
          <w:tcPr>
            <w:tcW w:w="2687" w:type="dxa"/>
            <w:vAlign w:val="center"/>
          </w:tcPr>
          <w:p w14:paraId="20932A6B">
            <w:pPr>
              <w:widowControl w:val="0"/>
              <w:adjustRightInd/>
              <w:snapToGrid/>
              <w:spacing w:after="0" w:line="400" w:lineRule="exact"/>
              <w:jc w:val="center"/>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磋商响应文件内容（</w:t>
            </w:r>
            <w:r>
              <w:rPr>
                <w:rFonts w:hint="eastAsia" w:ascii="宋体" w:hAnsi="宋体" w:eastAsia="宋体" w:cs="宋体"/>
                <w:bCs/>
                <w:color w:val="000000" w:themeColor="text1"/>
                <w:highlight w:val="none"/>
                <w14:textFill>
                  <w14:solidFill>
                    <w14:schemeClr w14:val="tx1"/>
                  </w14:solidFill>
                </w14:textFill>
              </w:rPr>
              <w:t>服务内容及技术服务要求</w:t>
            </w:r>
            <w:r>
              <w:rPr>
                <w:rFonts w:hint="eastAsia" w:ascii="宋体" w:hAnsi="宋体" w:eastAsia="宋体" w:cs="宋体"/>
                <w:bCs/>
                <w:color w:val="000000" w:themeColor="text1"/>
                <w:kern w:val="2"/>
                <w:highlight w:val="none"/>
                <w14:textFill>
                  <w14:solidFill>
                    <w14:schemeClr w14:val="tx1"/>
                  </w14:solidFill>
                </w14:textFill>
              </w:rPr>
              <w:t>内容承诺）</w:t>
            </w:r>
          </w:p>
        </w:tc>
        <w:tc>
          <w:tcPr>
            <w:tcW w:w="1463" w:type="dxa"/>
            <w:vAlign w:val="center"/>
          </w:tcPr>
          <w:p w14:paraId="3CF6A1D9">
            <w:pPr>
              <w:widowControl w:val="0"/>
              <w:adjustRightInd/>
              <w:snapToGrid/>
              <w:spacing w:after="0" w:line="400" w:lineRule="exact"/>
              <w:jc w:val="center"/>
              <w:rPr>
                <w:rFonts w:ascii="宋体" w:hAnsi="宋体" w:eastAsia="宋体" w:cs="宋体"/>
                <w:color w:val="000000" w:themeColor="text1"/>
                <w:kern w:val="2"/>
                <w:highlight w:val="none"/>
                <w14:textFill>
                  <w14:solidFill>
                    <w14:schemeClr w14:val="tx1"/>
                  </w14:solidFill>
                </w14:textFill>
              </w:rPr>
            </w:pPr>
            <w:r>
              <w:rPr>
                <w:rFonts w:hint="eastAsia" w:ascii="宋体" w:hAnsi="宋体" w:eastAsia="宋体" w:cs="宋体"/>
                <w:color w:val="000000" w:themeColor="text1"/>
                <w:kern w:val="2"/>
                <w:highlight w:val="none"/>
                <w14:textFill>
                  <w14:solidFill>
                    <w14:schemeClr w14:val="tx1"/>
                  </w14:solidFill>
                </w14:textFill>
              </w:rPr>
              <w:t>偏离说明</w:t>
            </w:r>
          </w:p>
        </w:tc>
      </w:tr>
      <w:tr w14:paraId="3140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 w:type="dxa"/>
          </w:tcPr>
          <w:p w14:paraId="6090032D">
            <w:pPr>
              <w:widowControl w:val="0"/>
              <w:adjustRightInd/>
              <w:snapToGrid/>
              <w:spacing w:after="0" w:line="600" w:lineRule="exact"/>
              <w:jc w:val="center"/>
              <w:rPr>
                <w:rFonts w:ascii="宋体" w:hAnsi="宋体" w:eastAsia="宋体" w:cs="宋体"/>
                <w:color w:val="000000" w:themeColor="text1"/>
                <w:kern w:val="2"/>
                <w:highlight w:val="none"/>
                <w14:textFill>
                  <w14:solidFill>
                    <w14:schemeClr w14:val="tx1"/>
                  </w14:solidFill>
                </w14:textFill>
              </w:rPr>
            </w:pPr>
          </w:p>
        </w:tc>
        <w:tc>
          <w:tcPr>
            <w:tcW w:w="2143" w:type="dxa"/>
            <w:vAlign w:val="center"/>
          </w:tcPr>
          <w:p w14:paraId="3550CA13">
            <w:pPr>
              <w:widowControl w:val="0"/>
              <w:adjustRightInd/>
              <w:snapToGrid/>
              <w:spacing w:after="0" w:line="600" w:lineRule="exact"/>
              <w:jc w:val="center"/>
              <w:rPr>
                <w:rFonts w:ascii="宋体" w:hAnsi="宋体" w:eastAsia="宋体" w:cs="宋体"/>
                <w:color w:val="000000" w:themeColor="text1"/>
                <w:kern w:val="2"/>
                <w:highlight w:val="none"/>
                <w14:textFill>
                  <w14:solidFill>
                    <w14:schemeClr w14:val="tx1"/>
                  </w14:solidFill>
                </w14:textFill>
              </w:rPr>
            </w:pPr>
          </w:p>
        </w:tc>
        <w:tc>
          <w:tcPr>
            <w:tcW w:w="1834" w:type="dxa"/>
            <w:vAlign w:val="center"/>
          </w:tcPr>
          <w:p w14:paraId="004C1864">
            <w:pPr>
              <w:widowControl w:val="0"/>
              <w:adjustRightInd/>
              <w:snapToGrid/>
              <w:spacing w:after="0" w:line="600" w:lineRule="exact"/>
              <w:jc w:val="center"/>
              <w:rPr>
                <w:rFonts w:ascii="宋体" w:hAnsi="宋体" w:eastAsia="宋体" w:cs="宋体"/>
                <w:color w:val="000000" w:themeColor="text1"/>
                <w:kern w:val="2"/>
                <w:highlight w:val="none"/>
                <w14:textFill>
                  <w14:solidFill>
                    <w14:schemeClr w14:val="tx1"/>
                  </w14:solidFill>
                </w14:textFill>
              </w:rPr>
            </w:pPr>
          </w:p>
        </w:tc>
        <w:tc>
          <w:tcPr>
            <w:tcW w:w="2687" w:type="dxa"/>
            <w:vAlign w:val="center"/>
          </w:tcPr>
          <w:p w14:paraId="0C9528E7">
            <w:pPr>
              <w:widowControl w:val="0"/>
              <w:adjustRightInd/>
              <w:snapToGrid/>
              <w:spacing w:after="0" w:line="600" w:lineRule="exact"/>
              <w:jc w:val="center"/>
              <w:rPr>
                <w:rFonts w:ascii="宋体" w:hAnsi="宋体" w:eastAsia="宋体" w:cs="宋体"/>
                <w:color w:val="000000" w:themeColor="text1"/>
                <w:kern w:val="2"/>
                <w:highlight w:val="none"/>
                <w14:textFill>
                  <w14:solidFill>
                    <w14:schemeClr w14:val="tx1"/>
                  </w14:solidFill>
                </w14:textFill>
              </w:rPr>
            </w:pPr>
          </w:p>
        </w:tc>
        <w:tc>
          <w:tcPr>
            <w:tcW w:w="1463" w:type="dxa"/>
            <w:vAlign w:val="center"/>
          </w:tcPr>
          <w:p w14:paraId="2216E989">
            <w:pPr>
              <w:widowControl w:val="0"/>
              <w:adjustRightInd/>
              <w:snapToGrid/>
              <w:spacing w:after="0" w:line="600" w:lineRule="exact"/>
              <w:jc w:val="center"/>
              <w:rPr>
                <w:rFonts w:ascii="宋体" w:hAnsi="宋体" w:eastAsia="宋体" w:cs="宋体"/>
                <w:color w:val="000000" w:themeColor="text1"/>
                <w:kern w:val="2"/>
                <w:highlight w:val="none"/>
                <w14:textFill>
                  <w14:solidFill>
                    <w14:schemeClr w14:val="tx1"/>
                  </w14:solidFill>
                </w14:textFill>
              </w:rPr>
            </w:pPr>
          </w:p>
        </w:tc>
      </w:tr>
      <w:tr w14:paraId="0D11E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 w:type="dxa"/>
          </w:tcPr>
          <w:p w14:paraId="64DB9101">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2143" w:type="dxa"/>
          </w:tcPr>
          <w:p w14:paraId="77F0D840">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1834" w:type="dxa"/>
          </w:tcPr>
          <w:p w14:paraId="7D52554D">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2687" w:type="dxa"/>
          </w:tcPr>
          <w:p w14:paraId="1C127824">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1463" w:type="dxa"/>
          </w:tcPr>
          <w:p w14:paraId="4E944CB6">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r>
      <w:tr w14:paraId="5E6F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 w:type="dxa"/>
          </w:tcPr>
          <w:p w14:paraId="7D1525D7">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2143" w:type="dxa"/>
          </w:tcPr>
          <w:p w14:paraId="12987EB2">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1834" w:type="dxa"/>
          </w:tcPr>
          <w:p w14:paraId="7286157F">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2687" w:type="dxa"/>
          </w:tcPr>
          <w:p w14:paraId="653B1672">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1463" w:type="dxa"/>
          </w:tcPr>
          <w:p w14:paraId="53660E21">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r>
      <w:tr w14:paraId="24B6F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 w:type="dxa"/>
          </w:tcPr>
          <w:p w14:paraId="4E71FF49">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2143" w:type="dxa"/>
          </w:tcPr>
          <w:p w14:paraId="4CCC76D8">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1834" w:type="dxa"/>
          </w:tcPr>
          <w:p w14:paraId="5DE29A8B">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2687" w:type="dxa"/>
          </w:tcPr>
          <w:p w14:paraId="7E6E68A1">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1463" w:type="dxa"/>
          </w:tcPr>
          <w:p w14:paraId="1F7CEC13">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r>
      <w:tr w14:paraId="39E1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 w:type="dxa"/>
          </w:tcPr>
          <w:p w14:paraId="699FFC39">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2143" w:type="dxa"/>
          </w:tcPr>
          <w:p w14:paraId="40292FF8">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1834" w:type="dxa"/>
          </w:tcPr>
          <w:p w14:paraId="22584D9E">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2687" w:type="dxa"/>
          </w:tcPr>
          <w:p w14:paraId="21EC89F5">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1463" w:type="dxa"/>
          </w:tcPr>
          <w:p w14:paraId="09F90C23">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r>
      <w:tr w14:paraId="5342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 w:type="dxa"/>
          </w:tcPr>
          <w:p w14:paraId="4A634637">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2143" w:type="dxa"/>
          </w:tcPr>
          <w:p w14:paraId="7DD5781E">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1834" w:type="dxa"/>
          </w:tcPr>
          <w:p w14:paraId="2ED8A062">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2687" w:type="dxa"/>
          </w:tcPr>
          <w:p w14:paraId="2E37EA1F">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1463" w:type="dxa"/>
          </w:tcPr>
          <w:p w14:paraId="0481A84B">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r>
      <w:tr w14:paraId="387E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 w:type="dxa"/>
          </w:tcPr>
          <w:p w14:paraId="48F44D6C">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2143" w:type="dxa"/>
          </w:tcPr>
          <w:p w14:paraId="1B1DDBFD">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1834" w:type="dxa"/>
          </w:tcPr>
          <w:p w14:paraId="58A1B306">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2687" w:type="dxa"/>
          </w:tcPr>
          <w:p w14:paraId="4AAAA9AA">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1463" w:type="dxa"/>
          </w:tcPr>
          <w:p w14:paraId="733B6CF7">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r>
      <w:tr w14:paraId="23638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 w:type="dxa"/>
          </w:tcPr>
          <w:p w14:paraId="17185DB5">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2143" w:type="dxa"/>
          </w:tcPr>
          <w:p w14:paraId="7DCAF221">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1834" w:type="dxa"/>
          </w:tcPr>
          <w:p w14:paraId="7E29ACB8">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2687" w:type="dxa"/>
          </w:tcPr>
          <w:p w14:paraId="6AE07E9A">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c>
          <w:tcPr>
            <w:tcW w:w="1463" w:type="dxa"/>
          </w:tcPr>
          <w:p w14:paraId="65D4E54A">
            <w:pPr>
              <w:widowControl w:val="0"/>
              <w:adjustRightInd/>
              <w:snapToGrid/>
              <w:spacing w:after="0" w:line="600" w:lineRule="exact"/>
              <w:jc w:val="both"/>
              <w:rPr>
                <w:rFonts w:ascii="宋体" w:hAnsi="宋体" w:eastAsia="宋体" w:cs="宋体"/>
                <w:color w:val="000000" w:themeColor="text1"/>
                <w:kern w:val="2"/>
                <w:highlight w:val="none"/>
                <w14:textFill>
                  <w14:solidFill>
                    <w14:schemeClr w14:val="tx1"/>
                  </w14:solidFill>
                </w14:textFill>
              </w:rPr>
            </w:pPr>
          </w:p>
        </w:tc>
      </w:tr>
    </w:tbl>
    <w:p w14:paraId="3D56DFA9">
      <w:pPr>
        <w:widowControl w:val="0"/>
        <w:adjustRightInd/>
        <w:snapToGrid/>
        <w:spacing w:after="0" w:line="340" w:lineRule="exact"/>
        <w:jc w:val="both"/>
        <w:rPr>
          <w:rFonts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注：（1）供应商应对照第三章《项目采购需求》中所</w:t>
      </w:r>
      <w:r>
        <w:rPr>
          <w:rFonts w:hint="eastAsia" w:ascii="宋体" w:hAnsi="宋体" w:eastAsia="宋体" w:cs="宋体"/>
          <w:b/>
          <w:color w:val="000000" w:themeColor="text1"/>
          <w:sz w:val="21"/>
          <w:szCs w:val="21"/>
          <w:highlight w:val="none"/>
          <w14:textFill>
            <w14:solidFill>
              <w14:schemeClr w14:val="tx1"/>
            </w14:solidFill>
          </w14:textFill>
        </w:rPr>
        <w:t>列“一、服务内容及技术服务要求”</w:t>
      </w:r>
      <w:r>
        <w:rPr>
          <w:rFonts w:hint="eastAsia" w:ascii="宋体" w:hAnsi="宋体" w:eastAsia="宋体" w:cs="宋体"/>
          <w:bCs/>
          <w:color w:val="000000" w:themeColor="text1"/>
          <w:sz w:val="21"/>
          <w:szCs w:val="21"/>
          <w:highlight w:val="none"/>
          <w14:textFill>
            <w14:solidFill>
              <w14:schemeClr w14:val="tx1"/>
            </w14:solidFill>
          </w14:textFill>
        </w:rPr>
        <w:t>逐条对应填报响应等承诺，并在“偏离说明”栏注明“正偏离”、“负偏离”或“无偏离”，当出现“正偏离”情况时应详细填写偏离情况说明及提供相应有效证明材料。</w:t>
      </w:r>
    </w:p>
    <w:p w14:paraId="3E236DD5">
      <w:pPr>
        <w:widowControl w:val="0"/>
        <w:adjustRightInd/>
        <w:snapToGrid/>
        <w:spacing w:after="0" w:line="340" w:lineRule="exact"/>
        <w:ind w:firstLine="420" w:firstLineChars="200"/>
        <w:jc w:val="both"/>
        <w:rPr>
          <w:rFonts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（2）磋商服务响应与采购要求相同的为无偏离，磋商服务承诺高于采购要求的为正偏离，低于采购要求的为负偏离。</w:t>
      </w:r>
    </w:p>
    <w:p w14:paraId="6E821321">
      <w:pPr>
        <w:widowControl w:val="0"/>
        <w:adjustRightInd/>
        <w:snapToGrid/>
        <w:spacing w:after="0" w:line="340" w:lineRule="exact"/>
        <w:ind w:firstLine="420" w:firstLineChars="200"/>
        <w:jc w:val="both"/>
        <w:rPr>
          <w:rFonts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（3）本表可扩展。</w:t>
      </w:r>
    </w:p>
    <w:p w14:paraId="27670D76">
      <w:pPr>
        <w:widowControl w:val="0"/>
        <w:adjustRightInd/>
        <w:spacing w:beforeLines="50" w:after="50"/>
        <w:ind w:right="480"/>
        <w:rPr>
          <w:rFonts w:ascii="宋体" w:hAnsi="宋体" w:eastAsia="宋体" w:cs="宋体"/>
          <w:b/>
          <w:color w:val="000000" w:themeColor="text1"/>
          <w:sz w:val="28"/>
          <w:szCs w:val="28"/>
          <w:highlight w:val="none"/>
          <w14:textFill>
            <w14:solidFill>
              <w14:schemeClr w14:val="tx1"/>
            </w14:solidFill>
          </w14:textFill>
        </w:rPr>
      </w:pPr>
    </w:p>
    <w:p w14:paraId="1737094D">
      <w:pPr>
        <w:spacing w:line="5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w:t>
      </w:r>
      <w:r>
        <w:rPr>
          <w:rFonts w:hint="eastAsia" w:ascii="宋体" w:hAnsi="宋体" w:eastAsia="宋体" w:cs="宋体"/>
          <w:color w:val="000000" w:themeColor="text1"/>
          <w:highlight w:val="none"/>
          <w:u w:val="single"/>
          <w14:textFill>
            <w14:solidFill>
              <w14:schemeClr w14:val="tx1"/>
            </w14:solidFill>
          </w14:textFill>
        </w:rPr>
        <w:t xml:space="preserve">         （单位名称并盖公章） </w:t>
      </w:r>
    </w:p>
    <w:p w14:paraId="632DCD69">
      <w:pPr>
        <w:spacing w:line="5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法定代表人或委托代理人：</w:t>
      </w:r>
      <w:r>
        <w:rPr>
          <w:rFonts w:hint="eastAsia" w:ascii="宋体" w:hAnsi="宋体" w:eastAsia="宋体" w:cs="宋体"/>
          <w:color w:val="000000" w:themeColor="text1"/>
          <w:highlight w:val="none"/>
          <w:u w:val="single"/>
          <w14:textFill>
            <w14:solidFill>
              <w14:schemeClr w14:val="tx1"/>
            </w14:solidFill>
          </w14:textFill>
        </w:rPr>
        <w:t xml:space="preserve"> （签字）   </w:t>
      </w:r>
    </w:p>
    <w:p w14:paraId="1D65E3B4">
      <w:pPr>
        <w:pStyle w:val="23"/>
        <w:spacing w:line="440" w:lineRule="exact"/>
        <w:ind w:firstLine="3840" w:firstLineChars="160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日期：</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年</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月</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日</w:t>
      </w:r>
    </w:p>
    <w:p w14:paraId="6E147DC8">
      <w:pPr>
        <w:widowControl w:val="0"/>
        <w:adjustRightInd/>
        <w:spacing w:beforeLines="50" w:after="50"/>
        <w:ind w:right="480"/>
        <w:rPr>
          <w:rFonts w:ascii="宋体" w:hAnsi="宋体" w:eastAsia="宋体" w:cs="宋体"/>
          <w:b/>
          <w:color w:val="000000" w:themeColor="text1"/>
          <w:sz w:val="28"/>
          <w:szCs w:val="28"/>
          <w:highlight w:val="none"/>
          <w14:textFill>
            <w14:solidFill>
              <w14:schemeClr w14:val="tx1"/>
            </w14:solidFill>
          </w14:textFill>
        </w:rPr>
      </w:pPr>
    </w:p>
    <w:p w14:paraId="13B8646D">
      <w:pPr>
        <w:widowControl w:val="0"/>
        <w:adjustRightInd/>
        <w:spacing w:beforeLines="50" w:after="50"/>
        <w:ind w:right="480"/>
        <w:rPr>
          <w:rFonts w:ascii="宋体" w:hAnsi="宋体" w:eastAsia="宋体" w:cs="宋体"/>
          <w:b/>
          <w:color w:val="000000" w:themeColor="text1"/>
          <w:sz w:val="28"/>
          <w:szCs w:val="28"/>
          <w:highlight w:val="none"/>
          <w14:textFill>
            <w14:solidFill>
              <w14:schemeClr w14:val="tx1"/>
            </w14:solidFill>
          </w14:textFill>
        </w:rPr>
      </w:pPr>
    </w:p>
    <w:p w14:paraId="2FAD9F26">
      <w:pPr>
        <w:pStyle w:val="23"/>
        <w:spacing w:line="440" w:lineRule="exact"/>
        <w:rPr>
          <w:rFonts w:hAnsi="宋体" w:cs="宋体"/>
          <w:b/>
          <w:color w:val="000000" w:themeColor="text1"/>
          <w:sz w:val="28"/>
          <w:szCs w:val="28"/>
          <w:highlight w:val="none"/>
          <w14:textFill>
            <w14:solidFill>
              <w14:schemeClr w14:val="tx1"/>
            </w14:solidFill>
          </w14:textFill>
        </w:rPr>
      </w:pPr>
      <w:r>
        <w:rPr>
          <w:rFonts w:hint="eastAsia" w:hAnsi="宋体" w:cs="宋体"/>
          <w:b/>
          <w:color w:val="000000" w:themeColor="text1"/>
          <w:sz w:val="28"/>
          <w:szCs w:val="28"/>
          <w:highlight w:val="none"/>
          <w14:textFill>
            <w14:solidFill>
              <w14:schemeClr w14:val="tx1"/>
            </w14:solidFill>
          </w14:textFill>
        </w:rPr>
        <w:t>附件十二：项目实施人员一览表</w:t>
      </w:r>
    </w:p>
    <w:p w14:paraId="664DB048">
      <w:pPr>
        <w:spacing w:before="50" w:afterLines="50"/>
        <w:jc w:val="center"/>
        <w:rPr>
          <w:rFonts w:ascii="宋体" w:hAnsi="宋体" w:eastAsia="宋体" w:cs="宋体"/>
          <w:b/>
          <w:color w:val="000000" w:themeColor="text1"/>
          <w:sz w:val="28"/>
          <w:szCs w:val="28"/>
          <w:highlight w:val="none"/>
          <w14:textFill>
            <w14:solidFill>
              <w14:schemeClr w14:val="tx1"/>
            </w14:solidFill>
          </w14:textFill>
        </w:rPr>
      </w:pPr>
    </w:p>
    <w:p w14:paraId="0E32C814">
      <w:pPr>
        <w:spacing w:before="50" w:afterLines="50"/>
        <w:jc w:val="center"/>
        <w:rPr>
          <w:rFonts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项目实施人员一览表</w:t>
      </w:r>
    </w:p>
    <w:p w14:paraId="3344098E">
      <w:pPr>
        <w:spacing w:line="300" w:lineRule="auto"/>
        <w:rPr>
          <w:rFonts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采购项目编号:</w:t>
      </w:r>
      <w:r>
        <w:rPr>
          <w:rFonts w:hint="eastAsia" w:ascii="宋体" w:hAnsi="宋体" w:eastAsia="宋体" w:cs="宋体"/>
          <w:color w:val="000000" w:themeColor="text1"/>
          <w:highlight w:val="none"/>
          <w:u w:val="single"/>
          <w14:textFill>
            <w14:solidFill>
              <w14:schemeClr w14:val="tx1"/>
            </w14:solidFill>
          </w14:textFill>
        </w:rPr>
        <w:t xml:space="preserve">            </w:t>
      </w:r>
    </w:p>
    <w:p w14:paraId="4BAAC1C9">
      <w:pPr>
        <w:spacing w:line="300" w:lineRule="auto"/>
        <w:rPr>
          <w:rFonts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采购项目名称:</w:t>
      </w:r>
      <w:r>
        <w:rPr>
          <w:rFonts w:hint="eastAsia" w:ascii="宋体" w:hAnsi="宋体" w:eastAsia="宋体" w:cs="宋体"/>
          <w:color w:val="000000" w:themeColor="text1"/>
          <w:highlight w:val="none"/>
          <w:u w:val="single"/>
          <w14:textFill>
            <w14:solidFill>
              <w14:schemeClr w14:val="tx1"/>
            </w14:solidFill>
          </w14:textFill>
        </w:rPr>
        <w:t xml:space="preserve">            </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2549"/>
        <w:gridCol w:w="2268"/>
      </w:tblGrid>
      <w:tr w14:paraId="407C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464B8C7">
            <w:pPr>
              <w:spacing w:before="50" w:afterLines="50"/>
              <w:jc w:val="center"/>
              <w:rPr>
                <w:rFonts w:ascii="宋体" w:hAnsi="宋体" w:eastAsia="宋体" w:cs="宋体"/>
                <w:color w:val="000000" w:themeColor="text1"/>
                <w:szCs w:val="20"/>
                <w:highlight w:val="none"/>
                <w14:textFill>
                  <w14:solidFill>
                    <w14:schemeClr w14:val="tx1"/>
                  </w14:solidFill>
                </w14:textFill>
              </w:rPr>
            </w:pPr>
            <w:r>
              <w:rPr>
                <w:rFonts w:hint="eastAsia" w:ascii="宋体" w:hAnsi="宋体" w:eastAsia="宋体" w:cs="宋体"/>
                <w:color w:val="000000" w:themeColor="text1"/>
                <w:szCs w:val="20"/>
                <w:highlight w:val="none"/>
                <w14:textFill>
                  <w14:solidFill>
                    <w14:schemeClr w14:val="tx1"/>
                  </w14:solidFill>
                </w14:textFill>
              </w:rPr>
              <w:t>姓名</w:t>
            </w:r>
          </w:p>
        </w:tc>
        <w:tc>
          <w:tcPr>
            <w:tcW w:w="709" w:type="dxa"/>
            <w:vAlign w:val="center"/>
          </w:tcPr>
          <w:p w14:paraId="08158CE0">
            <w:pPr>
              <w:spacing w:before="50" w:afterLines="50"/>
              <w:jc w:val="center"/>
              <w:rPr>
                <w:rFonts w:ascii="宋体" w:hAnsi="宋体" w:eastAsia="宋体" w:cs="宋体"/>
                <w:color w:val="000000" w:themeColor="text1"/>
                <w:szCs w:val="20"/>
                <w:highlight w:val="none"/>
                <w14:textFill>
                  <w14:solidFill>
                    <w14:schemeClr w14:val="tx1"/>
                  </w14:solidFill>
                </w14:textFill>
              </w:rPr>
            </w:pPr>
            <w:r>
              <w:rPr>
                <w:rFonts w:hint="eastAsia" w:ascii="宋体" w:hAnsi="宋体" w:eastAsia="宋体" w:cs="宋体"/>
                <w:color w:val="000000" w:themeColor="text1"/>
                <w:szCs w:val="20"/>
                <w:highlight w:val="none"/>
                <w14:textFill>
                  <w14:solidFill>
                    <w14:schemeClr w14:val="tx1"/>
                  </w14:solidFill>
                </w14:textFill>
              </w:rPr>
              <w:t>职务</w:t>
            </w:r>
          </w:p>
        </w:tc>
        <w:tc>
          <w:tcPr>
            <w:tcW w:w="1701" w:type="dxa"/>
            <w:vAlign w:val="center"/>
          </w:tcPr>
          <w:p w14:paraId="7EA85FA5">
            <w:pPr>
              <w:spacing w:before="50" w:afterLines="50"/>
              <w:jc w:val="center"/>
              <w:rPr>
                <w:rFonts w:ascii="宋体" w:hAnsi="宋体" w:eastAsia="宋体" w:cs="宋体"/>
                <w:color w:val="000000" w:themeColor="text1"/>
                <w:szCs w:val="20"/>
                <w:highlight w:val="none"/>
                <w14:textFill>
                  <w14:solidFill>
                    <w14:schemeClr w14:val="tx1"/>
                  </w14:solidFill>
                </w14:textFill>
              </w:rPr>
            </w:pPr>
            <w:r>
              <w:rPr>
                <w:rFonts w:hint="eastAsia" w:ascii="宋体" w:hAnsi="宋体" w:eastAsia="宋体" w:cs="宋体"/>
                <w:color w:val="000000" w:themeColor="text1"/>
                <w:szCs w:val="20"/>
                <w:highlight w:val="none"/>
                <w14:textFill>
                  <w14:solidFill>
                    <w14:schemeClr w14:val="tx1"/>
                  </w14:solidFill>
                </w14:textFill>
              </w:rPr>
              <w:t>专业技术资格</w:t>
            </w:r>
          </w:p>
        </w:tc>
        <w:tc>
          <w:tcPr>
            <w:tcW w:w="1420" w:type="dxa"/>
            <w:vAlign w:val="center"/>
          </w:tcPr>
          <w:p w14:paraId="6B694156">
            <w:pPr>
              <w:spacing w:before="50" w:afterLines="50"/>
              <w:jc w:val="center"/>
              <w:rPr>
                <w:rFonts w:ascii="宋体" w:hAnsi="宋体" w:eastAsia="宋体" w:cs="宋体"/>
                <w:color w:val="000000" w:themeColor="text1"/>
                <w:szCs w:val="20"/>
                <w:highlight w:val="none"/>
                <w14:textFill>
                  <w14:solidFill>
                    <w14:schemeClr w14:val="tx1"/>
                  </w14:solidFill>
                </w14:textFill>
              </w:rPr>
            </w:pPr>
            <w:r>
              <w:rPr>
                <w:rFonts w:hint="eastAsia" w:ascii="宋体" w:hAnsi="宋体" w:eastAsia="宋体" w:cs="宋体"/>
                <w:color w:val="000000" w:themeColor="text1"/>
                <w:szCs w:val="20"/>
                <w:highlight w:val="none"/>
                <w14:textFill>
                  <w14:solidFill>
                    <w14:schemeClr w14:val="tx1"/>
                  </w14:solidFill>
                </w14:textFill>
              </w:rPr>
              <w:t>证书编号</w:t>
            </w:r>
          </w:p>
        </w:tc>
        <w:tc>
          <w:tcPr>
            <w:tcW w:w="2549" w:type="dxa"/>
            <w:vAlign w:val="center"/>
          </w:tcPr>
          <w:p w14:paraId="58D27CAF">
            <w:pPr>
              <w:spacing w:before="50" w:afterLines="50"/>
              <w:jc w:val="center"/>
              <w:rPr>
                <w:rFonts w:ascii="宋体" w:hAnsi="宋体" w:eastAsia="宋体" w:cs="宋体"/>
                <w:color w:val="000000" w:themeColor="text1"/>
                <w:szCs w:val="20"/>
                <w:highlight w:val="none"/>
                <w14:textFill>
                  <w14:solidFill>
                    <w14:schemeClr w14:val="tx1"/>
                  </w14:solidFill>
                </w14:textFill>
              </w:rPr>
            </w:pPr>
            <w:r>
              <w:rPr>
                <w:rFonts w:hint="eastAsia" w:ascii="宋体" w:hAnsi="宋体" w:eastAsia="宋体" w:cs="宋体"/>
                <w:color w:val="000000" w:themeColor="text1"/>
                <w:szCs w:val="20"/>
                <w:highlight w:val="none"/>
                <w14:textFill>
                  <w14:solidFill>
                    <w14:schemeClr w14:val="tx1"/>
                  </w14:solidFill>
                </w14:textFill>
              </w:rPr>
              <w:t>参加本单位</w:t>
            </w:r>
          </w:p>
          <w:p w14:paraId="3A41E705">
            <w:pPr>
              <w:spacing w:before="50" w:afterLines="50"/>
              <w:jc w:val="center"/>
              <w:rPr>
                <w:rFonts w:ascii="宋体" w:hAnsi="宋体" w:eastAsia="宋体" w:cs="宋体"/>
                <w:color w:val="000000" w:themeColor="text1"/>
                <w:szCs w:val="20"/>
                <w:highlight w:val="none"/>
                <w14:textFill>
                  <w14:solidFill>
                    <w14:schemeClr w14:val="tx1"/>
                  </w14:solidFill>
                </w14:textFill>
              </w:rPr>
            </w:pPr>
            <w:r>
              <w:rPr>
                <w:rFonts w:hint="eastAsia" w:ascii="宋体" w:hAnsi="宋体" w:eastAsia="宋体" w:cs="宋体"/>
                <w:color w:val="000000" w:themeColor="text1"/>
                <w:szCs w:val="20"/>
                <w:highlight w:val="none"/>
                <w14:textFill>
                  <w14:solidFill>
                    <w14:schemeClr w14:val="tx1"/>
                  </w14:solidFill>
                </w14:textFill>
              </w:rPr>
              <w:t>工作时间</w:t>
            </w:r>
          </w:p>
        </w:tc>
        <w:tc>
          <w:tcPr>
            <w:tcW w:w="2268" w:type="dxa"/>
            <w:vAlign w:val="center"/>
          </w:tcPr>
          <w:p w14:paraId="1662DC74">
            <w:pPr>
              <w:spacing w:before="50" w:afterLines="50"/>
              <w:jc w:val="center"/>
              <w:rPr>
                <w:rFonts w:ascii="宋体" w:hAnsi="宋体" w:eastAsia="宋体" w:cs="宋体"/>
                <w:color w:val="000000" w:themeColor="text1"/>
                <w:szCs w:val="20"/>
                <w:highlight w:val="none"/>
                <w14:textFill>
                  <w14:solidFill>
                    <w14:schemeClr w14:val="tx1"/>
                  </w14:solidFill>
                </w14:textFill>
              </w:rPr>
            </w:pPr>
            <w:r>
              <w:rPr>
                <w:rFonts w:hint="eastAsia" w:ascii="宋体" w:hAnsi="宋体" w:eastAsia="宋体" w:cs="宋体"/>
                <w:color w:val="000000" w:themeColor="text1"/>
                <w:szCs w:val="20"/>
                <w:highlight w:val="none"/>
                <w14:textFill>
                  <w14:solidFill>
                    <w14:schemeClr w14:val="tx1"/>
                  </w14:solidFill>
                </w14:textFill>
              </w:rPr>
              <w:t>社保证明编号</w:t>
            </w:r>
          </w:p>
        </w:tc>
      </w:tr>
      <w:tr w14:paraId="0BF77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E745D00">
            <w:pPr>
              <w:spacing w:before="50" w:afterLines="50"/>
              <w:jc w:val="center"/>
              <w:rPr>
                <w:rFonts w:ascii="宋体" w:hAnsi="宋体" w:eastAsia="宋体" w:cs="宋体"/>
                <w:color w:val="000000" w:themeColor="text1"/>
                <w:szCs w:val="20"/>
                <w:highlight w:val="none"/>
                <w14:textFill>
                  <w14:solidFill>
                    <w14:schemeClr w14:val="tx1"/>
                  </w14:solidFill>
                </w14:textFill>
              </w:rPr>
            </w:pPr>
          </w:p>
        </w:tc>
        <w:tc>
          <w:tcPr>
            <w:tcW w:w="709" w:type="dxa"/>
            <w:vAlign w:val="center"/>
          </w:tcPr>
          <w:p w14:paraId="6758A226">
            <w:pPr>
              <w:spacing w:before="50" w:afterLines="50"/>
              <w:jc w:val="center"/>
              <w:rPr>
                <w:rFonts w:ascii="宋体" w:hAnsi="宋体" w:eastAsia="宋体" w:cs="宋体"/>
                <w:color w:val="000000" w:themeColor="text1"/>
                <w:szCs w:val="20"/>
                <w:highlight w:val="none"/>
                <w14:textFill>
                  <w14:solidFill>
                    <w14:schemeClr w14:val="tx1"/>
                  </w14:solidFill>
                </w14:textFill>
              </w:rPr>
            </w:pPr>
          </w:p>
        </w:tc>
        <w:tc>
          <w:tcPr>
            <w:tcW w:w="1701" w:type="dxa"/>
            <w:vAlign w:val="center"/>
          </w:tcPr>
          <w:p w14:paraId="156A122E">
            <w:pPr>
              <w:spacing w:before="50" w:afterLines="50"/>
              <w:jc w:val="center"/>
              <w:rPr>
                <w:rFonts w:ascii="宋体" w:hAnsi="宋体" w:eastAsia="宋体" w:cs="宋体"/>
                <w:color w:val="000000" w:themeColor="text1"/>
                <w:szCs w:val="20"/>
                <w:highlight w:val="none"/>
                <w14:textFill>
                  <w14:solidFill>
                    <w14:schemeClr w14:val="tx1"/>
                  </w14:solidFill>
                </w14:textFill>
              </w:rPr>
            </w:pPr>
          </w:p>
        </w:tc>
        <w:tc>
          <w:tcPr>
            <w:tcW w:w="1420" w:type="dxa"/>
            <w:vAlign w:val="center"/>
          </w:tcPr>
          <w:p w14:paraId="212A1E9E">
            <w:pPr>
              <w:spacing w:before="50" w:afterLines="50"/>
              <w:jc w:val="center"/>
              <w:rPr>
                <w:rFonts w:ascii="宋体" w:hAnsi="宋体" w:eastAsia="宋体" w:cs="宋体"/>
                <w:color w:val="000000" w:themeColor="text1"/>
                <w:szCs w:val="20"/>
                <w:highlight w:val="none"/>
                <w14:textFill>
                  <w14:solidFill>
                    <w14:schemeClr w14:val="tx1"/>
                  </w14:solidFill>
                </w14:textFill>
              </w:rPr>
            </w:pPr>
          </w:p>
        </w:tc>
        <w:tc>
          <w:tcPr>
            <w:tcW w:w="2549" w:type="dxa"/>
            <w:vAlign w:val="center"/>
          </w:tcPr>
          <w:p w14:paraId="0D57F81F">
            <w:pPr>
              <w:spacing w:before="50" w:afterLines="50"/>
              <w:jc w:val="center"/>
              <w:rPr>
                <w:rFonts w:ascii="宋体" w:hAnsi="宋体" w:eastAsia="宋体" w:cs="宋体"/>
                <w:color w:val="000000" w:themeColor="text1"/>
                <w:szCs w:val="20"/>
                <w:highlight w:val="none"/>
                <w14:textFill>
                  <w14:solidFill>
                    <w14:schemeClr w14:val="tx1"/>
                  </w14:solidFill>
                </w14:textFill>
              </w:rPr>
            </w:pPr>
          </w:p>
        </w:tc>
        <w:tc>
          <w:tcPr>
            <w:tcW w:w="2268" w:type="dxa"/>
            <w:vAlign w:val="center"/>
          </w:tcPr>
          <w:p w14:paraId="536671BC">
            <w:pPr>
              <w:spacing w:before="50" w:afterLines="50"/>
              <w:jc w:val="center"/>
              <w:rPr>
                <w:rFonts w:ascii="宋体" w:hAnsi="宋体" w:eastAsia="宋体" w:cs="宋体"/>
                <w:color w:val="000000" w:themeColor="text1"/>
                <w:szCs w:val="20"/>
                <w:highlight w:val="none"/>
                <w14:textFill>
                  <w14:solidFill>
                    <w14:schemeClr w14:val="tx1"/>
                  </w14:solidFill>
                </w14:textFill>
              </w:rPr>
            </w:pPr>
          </w:p>
        </w:tc>
      </w:tr>
      <w:tr w14:paraId="6BB7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DDB7320">
            <w:pPr>
              <w:spacing w:before="50" w:afterLines="50"/>
              <w:jc w:val="center"/>
              <w:rPr>
                <w:rFonts w:ascii="宋体" w:hAnsi="宋体" w:eastAsia="宋体" w:cs="宋体"/>
                <w:color w:val="000000" w:themeColor="text1"/>
                <w:szCs w:val="20"/>
                <w:highlight w:val="none"/>
                <w14:textFill>
                  <w14:solidFill>
                    <w14:schemeClr w14:val="tx1"/>
                  </w14:solidFill>
                </w14:textFill>
              </w:rPr>
            </w:pPr>
          </w:p>
        </w:tc>
        <w:tc>
          <w:tcPr>
            <w:tcW w:w="709" w:type="dxa"/>
            <w:vAlign w:val="center"/>
          </w:tcPr>
          <w:p w14:paraId="5AF0F262">
            <w:pPr>
              <w:spacing w:before="50" w:afterLines="50"/>
              <w:jc w:val="center"/>
              <w:rPr>
                <w:rFonts w:ascii="宋体" w:hAnsi="宋体" w:eastAsia="宋体" w:cs="宋体"/>
                <w:color w:val="000000" w:themeColor="text1"/>
                <w:szCs w:val="20"/>
                <w:highlight w:val="none"/>
                <w14:textFill>
                  <w14:solidFill>
                    <w14:schemeClr w14:val="tx1"/>
                  </w14:solidFill>
                </w14:textFill>
              </w:rPr>
            </w:pPr>
          </w:p>
        </w:tc>
        <w:tc>
          <w:tcPr>
            <w:tcW w:w="1701" w:type="dxa"/>
            <w:vAlign w:val="center"/>
          </w:tcPr>
          <w:p w14:paraId="196E3897">
            <w:pPr>
              <w:spacing w:before="50" w:afterLines="50"/>
              <w:jc w:val="center"/>
              <w:rPr>
                <w:rFonts w:ascii="宋体" w:hAnsi="宋体" w:eastAsia="宋体" w:cs="宋体"/>
                <w:color w:val="000000" w:themeColor="text1"/>
                <w:szCs w:val="20"/>
                <w:highlight w:val="none"/>
                <w14:textFill>
                  <w14:solidFill>
                    <w14:schemeClr w14:val="tx1"/>
                  </w14:solidFill>
                </w14:textFill>
              </w:rPr>
            </w:pPr>
          </w:p>
        </w:tc>
        <w:tc>
          <w:tcPr>
            <w:tcW w:w="1420" w:type="dxa"/>
            <w:vAlign w:val="center"/>
          </w:tcPr>
          <w:p w14:paraId="2A81D44E">
            <w:pPr>
              <w:spacing w:before="50" w:afterLines="50"/>
              <w:jc w:val="center"/>
              <w:rPr>
                <w:rFonts w:ascii="宋体" w:hAnsi="宋体" w:eastAsia="宋体" w:cs="宋体"/>
                <w:color w:val="000000" w:themeColor="text1"/>
                <w:szCs w:val="20"/>
                <w:highlight w:val="none"/>
                <w14:textFill>
                  <w14:solidFill>
                    <w14:schemeClr w14:val="tx1"/>
                  </w14:solidFill>
                </w14:textFill>
              </w:rPr>
            </w:pPr>
          </w:p>
        </w:tc>
        <w:tc>
          <w:tcPr>
            <w:tcW w:w="2549" w:type="dxa"/>
            <w:vAlign w:val="center"/>
          </w:tcPr>
          <w:p w14:paraId="7A84B9B6">
            <w:pPr>
              <w:spacing w:before="50" w:afterLines="50"/>
              <w:jc w:val="center"/>
              <w:rPr>
                <w:rFonts w:ascii="宋体" w:hAnsi="宋体" w:eastAsia="宋体" w:cs="宋体"/>
                <w:color w:val="000000" w:themeColor="text1"/>
                <w:szCs w:val="20"/>
                <w:highlight w:val="none"/>
                <w14:textFill>
                  <w14:solidFill>
                    <w14:schemeClr w14:val="tx1"/>
                  </w14:solidFill>
                </w14:textFill>
              </w:rPr>
            </w:pPr>
          </w:p>
        </w:tc>
        <w:tc>
          <w:tcPr>
            <w:tcW w:w="2268" w:type="dxa"/>
            <w:vAlign w:val="center"/>
          </w:tcPr>
          <w:p w14:paraId="5473897C">
            <w:pPr>
              <w:spacing w:before="50" w:afterLines="50"/>
              <w:jc w:val="center"/>
              <w:rPr>
                <w:rFonts w:ascii="宋体" w:hAnsi="宋体" w:eastAsia="宋体" w:cs="宋体"/>
                <w:color w:val="000000" w:themeColor="text1"/>
                <w:szCs w:val="20"/>
                <w:highlight w:val="none"/>
                <w14:textFill>
                  <w14:solidFill>
                    <w14:schemeClr w14:val="tx1"/>
                  </w14:solidFill>
                </w14:textFill>
              </w:rPr>
            </w:pPr>
          </w:p>
        </w:tc>
      </w:tr>
      <w:tr w14:paraId="64D95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843A1FA">
            <w:pPr>
              <w:spacing w:before="50" w:afterLines="50"/>
              <w:jc w:val="center"/>
              <w:rPr>
                <w:rFonts w:ascii="宋体" w:hAnsi="宋体" w:eastAsia="宋体" w:cs="宋体"/>
                <w:color w:val="000000" w:themeColor="text1"/>
                <w:szCs w:val="20"/>
                <w:highlight w:val="none"/>
                <w14:textFill>
                  <w14:solidFill>
                    <w14:schemeClr w14:val="tx1"/>
                  </w14:solidFill>
                </w14:textFill>
              </w:rPr>
            </w:pPr>
          </w:p>
        </w:tc>
        <w:tc>
          <w:tcPr>
            <w:tcW w:w="709" w:type="dxa"/>
            <w:vAlign w:val="center"/>
          </w:tcPr>
          <w:p w14:paraId="5B01BA0C">
            <w:pPr>
              <w:spacing w:before="50" w:afterLines="50"/>
              <w:jc w:val="center"/>
              <w:rPr>
                <w:rFonts w:ascii="宋体" w:hAnsi="宋体" w:eastAsia="宋体" w:cs="宋体"/>
                <w:color w:val="000000" w:themeColor="text1"/>
                <w:szCs w:val="20"/>
                <w:highlight w:val="none"/>
                <w14:textFill>
                  <w14:solidFill>
                    <w14:schemeClr w14:val="tx1"/>
                  </w14:solidFill>
                </w14:textFill>
              </w:rPr>
            </w:pPr>
          </w:p>
        </w:tc>
        <w:tc>
          <w:tcPr>
            <w:tcW w:w="1701" w:type="dxa"/>
            <w:vAlign w:val="center"/>
          </w:tcPr>
          <w:p w14:paraId="782657B2">
            <w:pPr>
              <w:spacing w:before="50" w:afterLines="50"/>
              <w:jc w:val="center"/>
              <w:rPr>
                <w:rFonts w:ascii="宋体" w:hAnsi="宋体" w:eastAsia="宋体" w:cs="宋体"/>
                <w:color w:val="000000" w:themeColor="text1"/>
                <w:szCs w:val="20"/>
                <w:highlight w:val="none"/>
                <w14:textFill>
                  <w14:solidFill>
                    <w14:schemeClr w14:val="tx1"/>
                  </w14:solidFill>
                </w14:textFill>
              </w:rPr>
            </w:pPr>
          </w:p>
        </w:tc>
        <w:tc>
          <w:tcPr>
            <w:tcW w:w="1420" w:type="dxa"/>
            <w:vAlign w:val="center"/>
          </w:tcPr>
          <w:p w14:paraId="4A1818A2">
            <w:pPr>
              <w:spacing w:before="50" w:afterLines="50"/>
              <w:jc w:val="center"/>
              <w:rPr>
                <w:rFonts w:ascii="宋体" w:hAnsi="宋体" w:eastAsia="宋体" w:cs="宋体"/>
                <w:color w:val="000000" w:themeColor="text1"/>
                <w:szCs w:val="20"/>
                <w:highlight w:val="none"/>
                <w14:textFill>
                  <w14:solidFill>
                    <w14:schemeClr w14:val="tx1"/>
                  </w14:solidFill>
                </w14:textFill>
              </w:rPr>
            </w:pPr>
          </w:p>
        </w:tc>
        <w:tc>
          <w:tcPr>
            <w:tcW w:w="2549" w:type="dxa"/>
            <w:vAlign w:val="center"/>
          </w:tcPr>
          <w:p w14:paraId="39AFCA40">
            <w:pPr>
              <w:spacing w:before="50" w:afterLines="50"/>
              <w:jc w:val="center"/>
              <w:rPr>
                <w:rFonts w:ascii="宋体" w:hAnsi="宋体" w:eastAsia="宋体" w:cs="宋体"/>
                <w:color w:val="000000" w:themeColor="text1"/>
                <w:szCs w:val="20"/>
                <w:highlight w:val="none"/>
                <w14:textFill>
                  <w14:solidFill>
                    <w14:schemeClr w14:val="tx1"/>
                  </w14:solidFill>
                </w14:textFill>
              </w:rPr>
            </w:pPr>
          </w:p>
        </w:tc>
        <w:tc>
          <w:tcPr>
            <w:tcW w:w="2268" w:type="dxa"/>
            <w:vAlign w:val="center"/>
          </w:tcPr>
          <w:p w14:paraId="25FD1434">
            <w:pPr>
              <w:spacing w:before="50" w:afterLines="50"/>
              <w:jc w:val="center"/>
              <w:rPr>
                <w:rFonts w:ascii="宋体" w:hAnsi="宋体" w:eastAsia="宋体" w:cs="宋体"/>
                <w:color w:val="000000" w:themeColor="text1"/>
                <w:szCs w:val="20"/>
                <w:highlight w:val="none"/>
                <w14:textFill>
                  <w14:solidFill>
                    <w14:schemeClr w14:val="tx1"/>
                  </w14:solidFill>
                </w14:textFill>
              </w:rPr>
            </w:pPr>
          </w:p>
        </w:tc>
      </w:tr>
    </w:tbl>
    <w:p w14:paraId="5B7CB98B">
      <w:pPr>
        <w:spacing w:before="50" w:afterLines="50"/>
        <w:rPr>
          <w:rFonts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注：在填写时，如本表格不适合供应商的实际情况，可根据本表格式自行制表填写。磋商供应商提供以上人员为本企业职工证明，需提供拟入人员劳务合同或供应商为其缴纳的工资等证明材料）</w:t>
      </w:r>
    </w:p>
    <w:p w14:paraId="1B7C7E70">
      <w:pPr>
        <w:spacing w:after="0" w:line="600" w:lineRule="exact"/>
        <w:rPr>
          <w:rFonts w:ascii="宋体" w:hAnsi="宋体" w:eastAsia="宋体" w:cs="宋体"/>
          <w:color w:val="000000" w:themeColor="text1"/>
          <w:highlight w:val="none"/>
          <w14:textFill>
            <w14:solidFill>
              <w14:schemeClr w14:val="tx1"/>
            </w14:solidFill>
          </w14:textFill>
        </w:rPr>
      </w:pPr>
    </w:p>
    <w:p w14:paraId="0394922D">
      <w:pPr>
        <w:spacing w:after="0" w:line="600" w:lineRule="exact"/>
        <w:rPr>
          <w:rFonts w:ascii="宋体" w:hAnsi="宋体" w:eastAsia="宋体" w:cs="宋体"/>
          <w:color w:val="000000" w:themeColor="text1"/>
          <w:highlight w:val="none"/>
          <w14:textFill>
            <w14:solidFill>
              <w14:schemeClr w14:val="tx1"/>
            </w14:solidFill>
          </w14:textFill>
        </w:rPr>
      </w:pPr>
    </w:p>
    <w:p w14:paraId="31316798">
      <w:pPr>
        <w:spacing w:line="5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供应商：</w:t>
      </w:r>
      <w:r>
        <w:rPr>
          <w:rFonts w:hint="eastAsia" w:ascii="宋体" w:hAnsi="宋体" w:eastAsia="宋体" w:cs="宋体"/>
          <w:color w:val="000000" w:themeColor="text1"/>
          <w:highlight w:val="none"/>
          <w:u w:val="single"/>
          <w14:textFill>
            <w14:solidFill>
              <w14:schemeClr w14:val="tx1"/>
            </w14:solidFill>
          </w14:textFill>
        </w:rPr>
        <w:t xml:space="preserve">         （单位名称并盖公章） </w:t>
      </w:r>
    </w:p>
    <w:p w14:paraId="10028B05">
      <w:pPr>
        <w:spacing w:line="500" w:lineRule="exact"/>
        <w:ind w:firstLine="3720" w:firstLineChars="1550"/>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法定代表人或委托代理人：</w:t>
      </w:r>
      <w:r>
        <w:rPr>
          <w:rFonts w:hint="eastAsia" w:ascii="宋体" w:hAnsi="宋体" w:eastAsia="宋体" w:cs="宋体"/>
          <w:color w:val="000000" w:themeColor="text1"/>
          <w:highlight w:val="none"/>
          <w:u w:val="single"/>
          <w14:textFill>
            <w14:solidFill>
              <w14:schemeClr w14:val="tx1"/>
            </w14:solidFill>
          </w14:textFill>
        </w:rPr>
        <w:t xml:space="preserve">  （签字）   </w:t>
      </w:r>
    </w:p>
    <w:p w14:paraId="6059558C">
      <w:pPr>
        <w:pStyle w:val="23"/>
        <w:spacing w:line="500" w:lineRule="exact"/>
        <w:ind w:firstLine="3720" w:firstLineChars="1550"/>
        <w:rPr>
          <w:rFonts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highlight w:val="none"/>
          <w14:textFill>
            <w14:solidFill>
              <w14:schemeClr w14:val="tx1"/>
            </w14:solidFill>
          </w14:textFill>
        </w:rPr>
        <w:t>日期：</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年</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月</w:t>
      </w:r>
      <w:r>
        <w:rPr>
          <w:rFonts w:hint="eastAsia" w:hAnsi="宋体" w:cs="宋体"/>
          <w:color w:val="000000" w:themeColor="text1"/>
          <w:sz w:val="24"/>
          <w:highlight w:val="none"/>
          <w:u w:val="single"/>
          <w14:textFill>
            <w14:solidFill>
              <w14:schemeClr w14:val="tx1"/>
            </w14:solidFill>
          </w14:textFill>
        </w:rPr>
        <w:t xml:space="preserve">     </w:t>
      </w:r>
      <w:r>
        <w:rPr>
          <w:rFonts w:hint="eastAsia" w:hAnsi="宋体" w:cs="宋体"/>
          <w:color w:val="000000" w:themeColor="text1"/>
          <w:sz w:val="24"/>
          <w:highlight w:val="none"/>
          <w14:textFill>
            <w14:solidFill>
              <w14:schemeClr w14:val="tx1"/>
            </w14:solidFill>
          </w14:textFill>
        </w:rPr>
        <w:t>日</w:t>
      </w:r>
    </w:p>
    <w:p w14:paraId="7121BED3">
      <w:pPr>
        <w:spacing w:line="500" w:lineRule="exact"/>
        <w:rPr>
          <w:rFonts w:ascii="宋体" w:hAnsi="宋体" w:eastAsia="宋体" w:cs="宋体"/>
          <w:color w:val="000000" w:themeColor="text1"/>
          <w:highlight w:val="none"/>
          <w14:textFill>
            <w14:solidFill>
              <w14:schemeClr w14:val="tx1"/>
            </w14:solidFill>
          </w14:textFill>
        </w:rPr>
      </w:pPr>
    </w:p>
    <w:p w14:paraId="34E91435">
      <w:pPr>
        <w:pStyle w:val="44"/>
        <w:ind w:firstLine="424"/>
        <w:rPr>
          <w:color w:val="000000" w:themeColor="text1"/>
          <w:highlight w:val="none"/>
          <w14:textFill>
            <w14:solidFill>
              <w14:schemeClr w14:val="tx1"/>
            </w14:solidFill>
          </w14:textFill>
        </w:rPr>
      </w:pPr>
    </w:p>
    <w:p w14:paraId="0CC6C527">
      <w:pPr>
        <w:spacing w:line="500" w:lineRule="exact"/>
        <w:rPr>
          <w:rFonts w:ascii="宋体" w:hAnsi="宋体" w:eastAsia="宋体" w:cs="宋体"/>
          <w:b/>
          <w:color w:val="000000" w:themeColor="text1"/>
          <w:sz w:val="28"/>
          <w:szCs w:val="28"/>
          <w:highlight w:val="none"/>
          <w14:textFill>
            <w14:solidFill>
              <w14:schemeClr w14:val="tx1"/>
            </w14:solidFill>
          </w14:textFill>
        </w:rPr>
      </w:pPr>
    </w:p>
    <w:sectPr>
      <w:pgSz w:w="12240" w:h="15840"/>
      <w:pgMar w:top="1361" w:right="1361" w:bottom="1304" w:left="1304" w:header="720" w:footer="72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EFCDAAF-FEC9-43BB-9FBF-897DE1313436}"/>
  </w:font>
  <w:font w:name="Arial">
    <w:panose1 w:val="020B0604020202020204"/>
    <w:charset w:val="01"/>
    <w:family w:val="swiss"/>
    <w:pitch w:val="default"/>
    <w:sig w:usb0="E0002EFF" w:usb1="C000785B" w:usb2="00000009" w:usb3="00000000" w:csb0="400001FF" w:csb1="FFFF0000"/>
    <w:embedRegular r:id="rId2" w:fontKey="{1A0E5F53-AE28-489A-B644-D8481BAD7FE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Calibri Light">
    <w:panose1 w:val="020F03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embedRegular r:id="rId3" w:fontKey="{A2972C1A-93D9-4585-94BD-33D7E1F037CA}"/>
  </w:font>
  <w:font w:name="Verdana">
    <w:panose1 w:val="020B0604030504040204"/>
    <w:charset w:val="00"/>
    <w:family w:val="swiss"/>
    <w:pitch w:val="default"/>
    <w:sig w:usb0="A00006FF" w:usb1="4000205B" w:usb2="00000010" w:usb3="00000000" w:csb0="2000019F" w:csb1="00000000"/>
  </w:font>
  <w:font w:name="汉仪中宋简">
    <w:altName w:val="宋体"/>
    <w:panose1 w:val="00000000000000000000"/>
    <w:charset w:val="80"/>
    <w:family w:val="modern"/>
    <w:pitch w:val="default"/>
    <w:sig w:usb0="00000000" w:usb1="00000000" w:usb2="00000012" w:usb3="00000000" w:csb0="00020001" w:csb1="00000000"/>
  </w:font>
  <w:font w:name="汉仪字典宋简">
    <w:altName w:val="宋体"/>
    <w:panose1 w:val="00000000000000000000"/>
    <w:charset w:val="00"/>
    <w:family w:val="modern"/>
    <w:pitch w:val="default"/>
    <w:sig w:usb0="00000000" w:usb1="00000000" w:usb2="00000012" w:usb3="00000000" w:csb0="00040000" w:csb1="00000000"/>
  </w:font>
  <w:font w:name="微软雅黑">
    <w:panose1 w:val="020B0503020204020204"/>
    <w:charset w:val="86"/>
    <w:family w:val="swiss"/>
    <w:pitch w:val="default"/>
    <w:sig w:usb0="80000287" w:usb1="2ACF3C50" w:usb2="00000016" w:usb3="00000000" w:csb0="0004001F" w:csb1="00000000"/>
    <w:embedRegular r:id="rId4" w:fontKey="{CB94057F-A2D8-4872-8BB3-9BF0274F43C1}"/>
  </w:font>
  <w:font w:name="方正小标宋_GBK">
    <w:panose1 w:val="02000000000000000000"/>
    <w:charset w:val="86"/>
    <w:family w:val="script"/>
    <w:pitch w:val="default"/>
    <w:sig w:usb0="A00002BF" w:usb1="38CF7CFA" w:usb2="00082016" w:usb3="00000000" w:csb0="00040001" w:csb1="00000000"/>
    <w:embedRegular r:id="rId5" w:fontKey="{942DC05F-8EAA-4DCF-8B6F-50B0011D5F4B}"/>
  </w:font>
  <w:font w:name="Wingdings 2">
    <w:altName w:val="Kingsoft Mark"/>
    <w:panose1 w:val="05020102010507070707"/>
    <w:charset w:val="02"/>
    <w:family w:val="roman"/>
    <w:pitch w:val="default"/>
    <w:sig w:usb0="00000000" w:usb1="00000000" w:usb2="00000000" w:usb3="00000000" w:csb0="80000000" w:csb1="00000000"/>
    <w:embedRegular r:id="rId6" w:fontKey="{19E226EB-02FA-4A46-8613-83FA8ED9F5E4}"/>
  </w:font>
  <w:font w:name="Cambria Math">
    <w:panose1 w:val="02040503050406030204"/>
    <w:charset w:val="00"/>
    <w:family w:val="roman"/>
    <w:pitch w:val="default"/>
    <w:sig w:usb0="E00006FF" w:usb1="420024FF" w:usb2="02000000" w:usb3="00000000" w:csb0="2000019F" w:csb1="00000000"/>
    <w:embedRegular r:id="rId7" w:fontKey="{CA238FC6-2964-4818-9C06-3D74F6E05C53}"/>
  </w:font>
  <w:font w:name="仿宋">
    <w:panose1 w:val="02010609060101010101"/>
    <w:charset w:val="86"/>
    <w:family w:val="modern"/>
    <w:pitch w:val="default"/>
    <w:sig w:usb0="800002BF" w:usb1="38CF7CFA" w:usb2="00000016" w:usb3="00000000" w:csb0="00040001" w:csb1="00000000"/>
    <w:embedRegular r:id="rId8" w:fontKey="{9C4D8B9E-A484-431E-987F-78656CF2F746}"/>
  </w:font>
  <w:font w:name="楷体">
    <w:panose1 w:val="02010609060101010101"/>
    <w:charset w:val="86"/>
    <w:family w:val="auto"/>
    <w:pitch w:val="default"/>
    <w:sig w:usb0="800002BF" w:usb1="38CF7CFA" w:usb2="00000016" w:usb3="00000000" w:csb0="00040001" w:csb1="00000000"/>
  </w:font>
  <w:font w:name="WPSEMBED1">
    <w:panose1 w:val="020B0604020202020204"/>
    <w:charset w:val="86"/>
    <w:family w:val="auto"/>
    <w:pitch w:val="default"/>
    <w:sig w:usb0="FFFFFFFF" w:usb1="E9FFFFFF" w:usb2="0000003F" w:usb3="00000000" w:csb0="603F01FF" w:csb1="FFFF0000"/>
  </w:font>
  <w:font w:name="WPSEMBED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E4BB2">
    <w:pPr>
      <w:pStyle w:val="28"/>
      <w:ind w:right="450"/>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95A8DC8">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795A8DC8">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A5D16">
    <w:pPr>
      <w:pStyle w:val="28"/>
      <w:jc w:val="right"/>
    </w:pPr>
    <w:r>
      <w:rPr>
        <w:rFonts w:hint="eastAsia"/>
      </w:rPr>
      <w:t>广西真诚工程咨询有限公司  编制</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51E22">
    <w:pPr>
      <w:spacing w:line="176" w:lineRule="auto"/>
      <w:ind w:left="4241"/>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2E97CD4">
                          <w:pPr>
                            <w:pStyle w:val="28"/>
                          </w:pPr>
                          <w:r>
                            <w:fldChar w:fldCharType="begin"/>
                          </w:r>
                          <w:r>
                            <w:instrText xml:space="preserve"> PAGE  \* MERGEFORMAT </w:instrText>
                          </w:r>
                          <w:r>
                            <w:fldChar w:fldCharType="separate"/>
                          </w:r>
                          <w:r>
                            <w:t>116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22E97CD4">
                    <w:pPr>
                      <w:pStyle w:val="28"/>
                    </w:pPr>
                    <w:r>
                      <w:fldChar w:fldCharType="begin"/>
                    </w:r>
                    <w:r>
                      <w:instrText xml:space="preserve"> PAGE  \* MERGEFORMAT </w:instrText>
                    </w:r>
                    <w:r>
                      <w:fldChar w:fldCharType="separate"/>
                    </w:r>
                    <w:r>
                      <w:t>116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8B224">
    <w:pPr>
      <w:spacing w:line="176" w:lineRule="auto"/>
      <w:ind w:left="4593"/>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posOffset>2861310</wp:posOffset>
              </wp:positionH>
              <wp:positionV relativeFrom="paragraph">
                <wp:posOffset>-31115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D894C08">
                          <w:pPr>
                            <w:pStyle w:val="28"/>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5.3pt;margin-top:-2.45pt;height:144pt;width:144pt;mso-position-horizontal-relative:margin;mso-wrap-style:none;z-index:251661312;mso-width-relative:page;mso-height-relative:page;" filled="f" stroked="f" coordsize="21600,21600" o:gfxdata="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evvtjYAAAACgEAAA8AAAAAAAAAAQAgAAAAIgAAAGRycy9kb3du&#10;cmV2LnhtbFBLAQIUABQAAAAIAIdO4kB7qTMlOAIAAG8EAAAOAAAAAAAAAAEAIAAAACcBAABkcnMv&#10;ZTJvRG9jLnhtbFBLBQYAAAAABgAGAFkBAADRBQAAAAA=&#10;">
              <v:fill on="f" focussize="0,0"/>
              <v:stroke on="f" weight="0.5pt"/>
              <v:imagedata o:title=""/>
              <o:lock v:ext="edit" aspectratio="f"/>
              <v:textbox inset="0mm,0mm,0mm,0mm" style="mso-fit-shape-to-text:t;">
                <w:txbxContent>
                  <w:p w14:paraId="2D894C08">
                    <w:pPr>
                      <w:pStyle w:val="28"/>
                    </w:pPr>
                    <w:r>
                      <w:fldChar w:fldCharType="begin"/>
                    </w:r>
                    <w:r>
                      <w:instrText xml:space="preserve"> PAGE  \* MERGEFORMAT </w:instrText>
                    </w:r>
                    <w:r>
                      <w:fldChar w:fldCharType="separate"/>
                    </w:r>
                    <w:r>
                      <w:t>118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BC5DA">
    <w:pPr>
      <w:pStyle w:val="28"/>
      <w:rPr>
        <w:rStyle w:val="49"/>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6DAF2DB">
                          <w:pPr>
                            <w:pStyle w:val="28"/>
                          </w:pPr>
                          <w:r>
                            <w:fldChar w:fldCharType="begin"/>
                          </w:r>
                          <w:r>
                            <w:instrText xml:space="preserve"> PAGE  \* MERGEFORMAT </w:instrText>
                          </w:r>
                          <w:r>
                            <w:fldChar w:fldCharType="separate"/>
                          </w:r>
                          <w:r>
                            <w:t>121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26DAF2DB">
                    <w:pPr>
                      <w:pStyle w:val="28"/>
                    </w:pPr>
                    <w:r>
                      <w:fldChar w:fldCharType="begin"/>
                    </w:r>
                    <w:r>
                      <w:instrText xml:space="preserve"> PAGE  \* MERGEFORMAT </w:instrText>
                    </w:r>
                    <w:r>
                      <w:fldChar w:fldCharType="separate"/>
                    </w:r>
                    <w:r>
                      <w:t>121</w:t>
                    </w:r>
                    <w:r>
                      <w:fldChar w:fldCharType="end"/>
                    </w:r>
                  </w:p>
                </w:txbxContent>
              </v:textbox>
            </v:shape>
          </w:pict>
        </mc:Fallback>
      </mc:AlternateContent>
    </w:r>
  </w:p>
  <w:p w14:paraId="6668A04A">
    <w:pPr>
      <w:pStyle w:val="2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7E2AB">
    <w:pPr>
      <w:pStyle w:val="28"/>
      <w:rPr>
        <w:u w:val="single"/>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22021B3">
                          <w:pPr>
                            <w:pStyle w:val="28"/>
                          </w:pPr>
                          <w:r>
                            <w:fldChar w:fldCharType="begin"/>
                          </w:r>
                          <w:r>
                            <w:instrText xml:space="preserve"> PAGE  \* MERGEFORMAT </w:instrText>
                          </w:r>
                          <w:r>
                            <w:fldChar w:fldCharType="separate"/>
                          </w:r>
                          <w:r>
                            <w:t>141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322021B3">
                    <w:pPr>
                      <w:pStyle w:val="28"/>
                    </w:pPr>
                    <w:r>
                      <w:fldChar w:fldCharType="begin"/>
                    </w:r>
                    <w:r>
                      <w:instrText xml:space="preserve"> PAGE  \* MERGEFORMAT </w:instrText>
                    </w:r>
                    <w:r>
                      <w:fldChar w:fldCharType="separate"/>
                    </w:r>
                    <w:r>
                      <w:t>141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802C5">
    <w:pPr>
      <w:pStyle w:val="28"/>
      <w:framePr w:wrap="around" w:vAnchor="text" w:hAnchor="margin" w:xAlign="center" w:y="1"/>
      <w:rPr>
        <w:rStyle w:val="49"/>
      </w:rPr>
    </w:pPr>
    <w:r>
      <w:fldChar w:fldCharType="begin"/>
    </w:r>
    <w:r>
      <w:rPr>
        <w:rStyle w:val="49"/>
      </w:rPr>
      <w:instrText xml:space="preserve">PAGE  </w:instrText>
    </w:r>
    <w:r>
      <w:fldChar w:fldCharType="separate"/>
    </w:r>
    <w:r>
      <w:rPr>
        <w:rStyle w:val="49"/>
      </w:rPr>
      <w:t>1</w:t>
    </w:r>
    <w:r>
      <w:fldChar w:fldCharType="end"/>
    </w:r>
  </w:p>
  <w:p w14:paraId="7539907F">
    <w:pPr>
      <w:pStyle w:val="2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85448">
    <w:pPr>
      <w:pStyle w:val="29"/>
      <w:pBdr>
        <w:bottom w:val="double" w:color="auto" w:sz="4" w:space="1"/>
      </w:pBdr>
      <w:spacing w:after="0"/>
      <w:rPr>
        <w:rFonts w:ascii="宋体" w:hAnsi="宋体"/>
      </w:rPr>
    </w:pPr>
    <w:r>
      <w:rPr>
        <w:rFonts w:hint="eastAsia"/>
      </w:rPr>
      <w:t>项目名称：</w:t>
    </w:r>
    <w:r>
      <w:rPr>
        <w:rFonts w:hint="eastAsia" w:ascii="宋体" w:hAnsi="宋体" w:cs="宋体"/>
      </w:rPr>
      <w:t>平板数字减影血管造影系统球管维修采购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CE17F">
    <w:pPr>
      <w:pStyle w:val="29"/>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FFF33"/>
    <w:multiLevelType w:val="singleLevel"/>
    <w:tmpl w:val="B3FFFF33"/>
    <w:lvl w:ilvl="0" w:tentative="0">
      <w:start w:val="1"/>
      <w:numFmt w:val="decimal"/>
      <w:lvlText w:val="%1."/>
      <w:lvlJc w:val="left"/>
      <w:pPr>
        <w:ind w:left="900" w:hanging="420"/>
      </w:pPr>
      <w:rPr>
        <w:rFonts w:hint="default"/>
      </w:rPr>
    </w:lvl>
  </w:abstractNum>
  <w:abstractNum w:abstractNumId="1">
    <w:nsid w:val="CF3CE6D2"/>
    <w:multiLevelType w:val="singleLevel"/>
    <w:tmpl w:val="CF3CE6D2"/>
    <w:lvl w:ilvl="0" w:tentative="0">
      <w:start w:val="1"/>
      <w:numFmt w:val="chineseCounting"/>
      <w:suff w:val="nothing"/>
      <w:lvlText w:val="%1、"/>
      <w:lvlJc w:val="left"/>
      <w:pPr>
        <w:ind w:left="0" w:firstLine="0"/>
      </w:pPr>
      <w:rPr>
        <w:rFonts w:hint="eastAsia"/>
      </w:rPr>
    </w:lvl>
  </w:abstractNum>
  <w:abstractNum w:abstractNumId="2">
    <w:nsid w:val="D6AC833D"/>
    <w:multiLevelType w:val="singleLevel"/>
    <w:tmpl w:val="D6AC833D"/>
    <w:lvl w:ilvl="0" w:tentative="0">
      <w:start w:val="2"/>
      <w:numFmt w:val="decimal"/>
      <w:lvlText w:val="%1."/>
      <w:lvlJc w:val="left"/>
      <w:pPr>
        <w:tabs>
          <w:tab w:val="left" w:pos="312"/>
        </w:tabs>
      </w:pPr>
    </w:lvl>
  </w:abstractNum>
  <w:abstractNum w:abstractNumId="3">
    <w:nsid w:val="E6262AB9"/>
    <w:multiLevelType w:val="singleLevel"/>
    <w:tmpl w:val="E6262AB9"/>
    <w:lvl w:ilvl="0" w:tentative="0">
      <w:start w:val="4"/>
      <w:numFmt w:val="chineseCounting"/>
      <w:suff w:val="nothing"/>
      <w:lvlText w:val="%1、"/>
      <w:lvlJc w:val="left"/>
      <w:rPr>
        <w:rFonts w:hint="eastAsia"/>
      </w:rPr>
    </w:lvl>
  </w:abstractNum>
  <w:abstractNum w:abstractNumId="4">
    <w:nsid w:val="EBBF2CB6"/>
    <w:multiLevelType w:val="singleLevel"/>
    <w:tmpl w:val="EBBF2CB6"/>
    <w:lvl w:ilvl="0" w:tentative="0">
      <w:start w:val="2"/>
      <w:numFmt w:val="chineseCounting"/>
      <w:suff w:val="nothing"/>
      <w:lvlText w:val="（%1）"/>
      <w:lvlJc w:val="left"/>
      <w:rPr>
        <w:rFonts w:hint="eastAsia"/>
      </w:rPr>
    </w:lvl>
  </w:abstractNum>
  <w:abstractNum w:abstractNumId="5">
    <w:nsid w:val="FE3C7CC2"/>
    <w:multiLevelType w:val="singleLevel"/>
    <w:tmpl w:val="FE3C7CC2"/>
    <w:lvl w:ilvl="0" w:tentative="0">
      <w:start w:val="1"/>
      <w:numFmt w:val="chineseCounting"/>
      <w:suff w:val="nothing"/>
      <w:lvlText w:val="（%1）"/>
      <w:lvlJc w:val="left"/>
      <w:pPr>
        <w:ind w:left="0" w:firstLine="0"/>
      </w:pPr>
      <w:rPr>
        <w:rFonts w:hint="eastAsia"/>
      </w:rPr>
    </w:lvl>
  </w:abstractNum>
  <w:abstractNum w:abstractNumId="6">
    <w:nsid w:val="04EC7F58"/>
    <w:multiLevelType w:val="multilevel"/>
    <w:tmpl w:val="04EC7F58"/>
    <w:lvl w:ilvl="0" w:tentative="0">
      <w:start w:val="1"/>
      <w:numFmt w:val="decimal"/>
      <w:lvlText w:val="（%1）"/>
      <w:lvlJc w:val="left"/>
      <w:pPr>
        <w:ind w:left="840" w:hanging="420"/>
      </w:pPr>
      <w:rPr>
        <w:rFonts w:hint="eastAsia"/>
        <w:b w:val="0"/>
        <w:bCs/>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08E97B61"/>
    <w:multiLevelType w:val="multilevel"/>
    <w:tmpl w:val="08E97B61"/>
    <w:lvl w:ilvl="0" w:tentative="0">
      <w:start w:val="1"/>
      <w:numFmt w:val="decimal"/>
      <w:lvlText w:val="（%1）"/>
      <w:lvlJc w:val="left"/>
      <w:pPr>
        <w:ind w:left="840" w:hanging="420"/>
      </w:pPr>
      <w:rPr>
        <w:rFonts w:hint="eastAsia"/>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0B4C20EC"/>
    <w:multiLevelType w:val="multilevel"/>
    <w:tmpl w:val="0B4C20EC"/>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C7A48F7"/>
    <w:multiLevelType w:val="singleLevel"/>
    <w:tmpl w:val="0C7A48F7"/>
    <w:lvl w:ilvl="0" w:tentative="0">
      <w:start w:val="1"/>
      <w:numFmt w:val="decimal"/>
      <w:lvlText w:val="%1."/>
      <w:lvlJc w:val="left"/>
      <w:pPr>
        <w:ind w:left="900" w:hanging="420"/>
      </w:pPr>
      <w:rPr>
        <w:rFonts w:hint="default"/>
      </w:rPr>
    </w:lvl>
  </w:abstractNum>
  <w:abstractNum w:abstractNumId="10">
    <w:nsid w:val="0FC24509"/>
    <w:multiLevelType w:val="multilevel"/>
    <w:tmpl w:val="0FC2450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141632DD"/>
    <w:multiLevelType w:val="multilevel"/>
    <w:tmpl w:val="141632D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14675EF5"/>
    <w:multiLevelType w:val="multilevel"/>
    <w:tmpl w:val="14675EF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1DC837D0"/>
    <w:multiLevelType w:val="multilevel"/>
    <w:tmpl w:val="1DC837D0"/>
    <w:lvl w:ilvl="0" w:tentative="0">
      <w:start w:val="1"/>
      <w:numFmt w:val="decimal"/>
      <w:lvlText w:val="（%1）"/>
      <w:lvlJc w:val="left"/>
      <w:pPr>
        <w:ind w:left="902" w:hanging="420"/>
      </w:pPr>
      <w:rPr>
        <w:rFonts w:hint="eastAsia"/>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4">
    <w:nsid w:val="22CA6243"/>
    <w:multiLevelType w:val="multilevel"/>
    <w:tmpl w:val="22CA6243"/>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22EC029F"/>
    <w:multiLevelType w:val="multilevel"/>
    <w:tmpl w:val="22EC029F"/>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238C58B9"/>
    <w:multiLevelType w:val="multilevel"/>
    <w:tmpl w:val="238C58B9"/>
    <w:lvl w:ilvl="0" w:tentative="0">
      <w:start w:val="1"/>
      <w:numFmt w:val="decimal"/>
      <w:lvlText w:val="%1)"/>
      <w:lvlJc w:val="left"/>
      <w:pPr>
        <w:ind w:left="920" w:hanging="440"/>
      </w:pPr>
      <w:rPr>
        <w:rFonts w:hint="default"/>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17">
    <w:nsid w:val="23E821EF"/>
    <w:multiLevelType w:val="multilevel"/>
    <w:tmpl w:val="23E821EF"/>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26647DA2"/>
    <w:multiLevelType w:val="multilevel"/>
    <w:tmpl w:val="26647DA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27081378"/>
    <w:multiLevelType w:val="multilevel"/>
    <w:tmpl w:val="27081378"/>
    <w:lvl w:ilvl="0" w:tentative="0">
      <w:start w:val="1"/>
      <w:numFmt w:val="decimal"/>
      <w:lvlText w:val="%1."/>
      <w:lvlJc w:val="left"/>
      <w:pPr>
        <w:ind w:left="840" w:hanging="420"/>
      </w:pPr>
      <w:rPr>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27C56449"/>
    <w:multiLevelType w:val="multilevel"/>
    <w:tmpl w:val="27C5644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2B3371E7"/>
    <w:multiLevelType w:val="multilevel"/>
    <w:tmpl w:val="2B3371E7"/>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2B8A77FE"/>
    <w:multiLevelType w:val="multilevel"/>
    <w:tmpl w:val="2B8A77FE"/>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2CDE0CB5"/>
    <w:multiLevelType w:val="multilevel"/>
    <w:tmpl w:val="2CDE0CB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2E371E33"/>
    <w:multiLevelType w:val="multilevel"/>
    <w:tmpl w:val="2E371E33"/>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31500082"/>
    <w:multiLevelType w:val="multilevel"/>
    <w:tmpl w:val="31500082"/>
    <w:lvl w:ilvl="0" w:tentative="0">
      <w:start w:val="1"/>
      <w:numFmt w:val="chineseCountingThousand"/>
      <w:lvlText w:val="%1、"/>
      <w:lvlJc w:val="left"/>
      <w:pPr>
        <w:ind w:left="902"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31E43E78"/>
    <w:multiLevelType w:val="multilevel"/>
    <w:tmpl w:val="31E43E78"/>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33E775C7"/>
    <w:multiLevelType w:val="multilevel"/>
    <w:tmpl w:val="33E775C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29">
    <w:nsid w:val="34487234"/>
    <w:multiLevelType w:val="multilevel"/>
    <w:tmpl w:val="34487234"/>
    <w:lvl w:ilvl="0" w:tentative="0">
      <w:start w:val="1"/>
      <w:numFmt w:val="chineseCountingThousand"/>
      <w:lvlText w:val="(%1)"/>
      <w:lvlJc w:val="left"/>
      <w:pPr>
        <w:ind w:left="420" w:hanging="420"/>
      </w:pPr>
      <w:rPr>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34DA3E24"/>
    <w:multiLevelType w:val="multilevel"/>
    <w:tmpl w:val="34DA3E2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364150B2"/>
    <w:multiLevelType w:val="singleLevel"/>
    <w:tmpl w:val="364150B2"/>
    <w:lvl w:ilvl="0" w:tentative="0">
      <w:start w:val="2"/>
      <w:numFmt w:val="decimal"/>
      <w:lvlText w:val="%1."/>
      <w:lvlJc w:val="left"/>
      <w:pPr>
        <w:tabs>
          <w:tab w:val="left" w:pos="312"/>
        </w:tabs>
        <w:ind w:left="220"/>
      </w:pPr>
    </w:lvl>
  </w:abstractNum>
  <w:abstractNum w:abstractNumId="32">
    <w:nsid w:val="380D796F"/>
    <w:multiLevelType w:val="multilevel"/>
    <w:tmpl w:val="380D796F"/>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38886DCD"/>
    <w:multiLevelType w:val="multilevel"/>
    <w:tmpl w:val="38886DCD"/>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34">
    <w:nsid w:val="3E88279C"/>
    <w:multiLevelType w:val="multilevel"/>
    <w:tmpl w:val="3E88279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407D3C25"/>
    <w:multiLevelType w:val="multilevel"/>
    <w:tmpl w:val="407D3C2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408F5F2B"/>
    <w:multiLevelType w:val="multilevel"/>
    <w:tmpl w:val="408F5F2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40D43EED"/>
    <w:multiLevelType w:val="singleLevel"/>
    <w:tmpl w:val="40D43EED"/>
    <w:lvl w:ilvl="0" w:tentative="0">
      <w:start w:val="1"/>
      <w:numFmt w:val="decimal"/>
      <w:lvlText w:val="%1."/>
      <w:lvlJc w:val="left"/>
      <w:pPr>
        <w:ind w:left="900" w:hanging="420"/>
      </w:pPr>
      <w:rPr>
        <w:rFonts w:hint="default"/>
      </w:rPr>
    </w:lvl>
  </w:abstractNum>
  <w:abstractNum w:abstractNumId="38">
    <w:nsid w:val="43B40B23"/>
    <w:multiLevelType w:val="singleLevel"/>
    <w:tmpl w:val="43B40B23"/>
    <w:lvl w:ilvl="0" w:tentative="0">
      <w:start w:val="1"/>
      <w:numFmt w:val="decimal"/>
      <w:lvlText w:val="%1."/>
      <w:lvlJc w:val="left"/>
      <w:pPr>
        <w:ind w:left="900" w:hanging="420"/>
      </w:pPr>
      <w:rPr>
        <w:rFonts w:hint="default"/>
      </w:rPr>
    </w:lvl>
  </w:abstractNum>
  <w:abstractNum w:abstractNumId="39">
    <w:nsid w:val="45AD380C"/>
    <w:multiLevelType w:val="multilevel"/>
    <w:tmpl w:val="45AD380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486D4226"/>
    <w:multiLevelType w:val="multilevel"/>
    <w:tmpl w:val="486D4226"/>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53913304"/>
    <w:multiLevelType w:val="multilevel"/>
    <w:tmpl w:val="53913304"/>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596E054B"/>
    <w:multiLevelType w:val="singleLevel"/>
    <w:tmpl w:val="596E054B"/>
    <w:lvl w:ilvl="0" w:tentative="0">
      <w:start w:val="1"/>
      <w:numFmt w:val="decimal"/>
      <w:pStyle w:val="13"/>
      <w:lvlText w:val="%1."/>
      <w:lvlJc w:val="left"/>
      <w:pPr>
        <w:tabs>
          <w:tab w:val="left" w:pos="360"/>
        </w:tabs>
        <w:ind w:left="360" w:hanging="360"/>
      </w:pPr>
    </w:lvl>
  </w:abstractNum>
  <w:abstractNum w:abstractNumId="43">
    <w:nsid w:val="5D204EDC"/>
    <w:multiLevelType w:val="multilevel"/>
    <w:tmpl w:val="5D204ED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5EEC4AB8"/>
    <w:multiLevelType w:val="multilevel"/>
    <w:tmpl w:val="5EEC4AB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609452FB"/>
    <w:multiLevelType w:val="multilevel"/>
    <w:tmpl w:val="609452F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609757FE"/>
    <w:multiLevelType w:val="multilevel"/>
    <w:tmpl w:val="609757FE"/>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60B36DCA"/>
    <w:multiLevelType w:val="multilevel"/>
    <w:tmpl w:val="60B36DCA"/>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60BB348B"/>
    <w:multiLevelType w:val="multilevel"/>
    <w:tmpl w:val="60BB348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60C95920"/>
    <w:multiLevelType w:val="singleLevel"/>
    <w:tmpl w:val="60C95920"/>
    <w:lvl w:ilvl="0" w:tentative="0">
      <w:start w:val="1"/>
      <w:numFmt w:val="decimal"/>
      <w:lvlText w:val="%1."/>
      <w:lvlJc w:val="left"/>
      <w:pPr>
        <w:ind w:left="900" w:hanging="420"/>
      </w:pPr>
      <w:rPr>
        <w:rFonts w:hint="default"/>
      </w:rPr>
    </w:lvl>
  </w:abstractNum>
  <w:abstractNum w:abstractNumId="50">
    <w:nsid w:val="66BE4DF3"/>
    <w:multiLevelType w:val="multilevel"/>
    <w:tmpl w:val="66BE4DF3"/>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1">
    <w:nsid w:val="685C4D03"/>
    <w:multiLevelType w:val="multilevel"/>
    <w:tmpl w:val="685C4D03"/>
    <w:lvl w:ilvl="0" w:tentative="0">
      <w:start w:val="1"/>
      <w:numFmt w:val="chineseCountingThousand"/>
      <w:lvlText w:val="(%1)"/>
      <w:lvlJc w:val="left"/>
      <w:pPr>
        <w:ind w:left="420" w:hanging="420"/>
      </w:pPr>
      <w:rPr>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6B07285B"/>
    <w:multiLevelType w:val="multilevel"/>
    <w:tmpl w:val="6B07285B"/>
    <w:lvl w:ilvl="0" w:tentative="0">
      <w:start w:val="1"/>
      <w:numFmt w:val="decimal"/>
      <w:lvlText w:val="（%1）"/>
      <w:lvlJc w:val="left"/>
      <w:pPr>
        <w:ind w:left="420" w:hanging="420"/>
      </w:pPr>
      <w:rPr>
        <w:rFonts w:hint="eastAsia"/>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3">
    <w:nsid w:val="72811FDD"/>
    <w:multiLevelType w:val="multilevel"/>
    <w:tmpl w:val="72811FD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4">
    <w:nsid w:val="74D309A9"/>
    <w:multiLevelType w:val="multilevel"/>
    <w:tmpl w:val="74D309A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2"/>
  </w:num>
  <w:num w:numId="2">
    <w:abstractNumId w:val="3"/>
  </w:num>
  <w:num w:numId="3">
    <w:abstractNumId w:val="2"/>
  </w:num>
  <w:num w:numId="4">
    <w:abstractNumId w:val="1"/>
  </w:num>
  <w:num w:numId="5">
    <w:abstractNumId w:val="5"/>
  </w:num>
  <w:num w:numId="6">
    <w:abstractNumId w:val="0"/>
  </w:num>
  <w:num w:numId="7">
    <w:abstractNumId w:val="49"/>
  </w:num>
  <w:num w:numId="8">
    <w:abstractNumId w:val="9"/>
  </w:num>
  <w:num w:numId="9">
    <w:abstractNumId w:val="38"/>
  </w:num>
  <w:num w:numId="10">
    <w:abstractNumId w:val="37"/>
  </w:num>
  <w:num w:numId="11">
    <w:abstractNumId w:val="29"/>
  </w:num>
  <w:num w:numId="12">
    <w:abstractNumId w:val="19"/>
  </w:num>
  <w:num w:numId="13">
    <w:abstractNumId w:val="7"/>
  </w:num>
  <w:num w:numId="14">
    <w:abstractNumId w:val="6"/>
  </w:num>
  <w:num w:numId="15">
    <w:abstractNumId w:val="25"/>
  </w:num>
  <w:num w:numId="16">
    <w:abstractNumId w:val="27"/>
  </w:num>
  <w:num w:numId="17">
    <w:abstractNumId w:val="44"/>
  </w:num>
  <w:num w:numId="18">
    <w:abstractNumId w:val="22"/>
  </w:num>
  <w:num w:numId="19">
    <w:abstractNumId w:val="46"/>
  </w:num>
  <w:num w:numId="20">
    <w:abstractNumId w:val="8"/>
  </w:num>
  <w:num w:numId="21">
    <w:abstractNumId w:val="23"/>
  </w:num>
  <w:num w:numId="22">
    <w:abstractNumId w:val="12"/>
  </w:num>
  <w:num w:numId="23">
    <w:abstractNumId w:val="36"/>
  </w:num>
  <w:num w:numId="24">
    <w:abstractNumId w:val="41"/>
  </w:num>
  <w:num w:numId="25">
    <w:abstractNumId w:val="43"/>
  </w:num>
  <w:num w:numId="26">
    <w:abstractNumId w:val="21"/>
  </w:num>
  <w:num w:numId="27">
    <w:abstractNumId w:val="24"/>
  </w:num>
  <w:num w:numId="28">
    <w:abstractNumId w:val="54"/>
  </w:num>
  <w:num w:numId="29">
    <w:abstractNumId w:val="32"/>
  </w:num>
  <w:num w:numId="30">
    <w:abstractNumId w:val="10"/>
  </w:num>
  <w:num w:numId="31">
    <w:abstractNumId w:val="45"/>
  </w:num>
  <w:num w:numId="32">
    <w:abstractNumId w:val="40"/>
  </w:num>
  <w:num w:numId="33">
    <w:abstractNumId w:val="34"/>
  </w:num>
  <w:num w:numId="34">
    <w:abstractNumId w:val="15"/>
  </w:num>
  <w:num w:numId="35">
    <w:abstractNumId w:val="53"/>
  </w:num>
  <w:num w:numId="36">
    <w:abstractNumId w:val="13"/>
  </w:num>
  <w:num w:numId="37">
    <w:abstractNumId w:val="30"/>
  </w:num>
  <w:num w:numId="38">
    <w:abstractNumId w:val="11"/>
  </w:num>
  <w:num w:numId="39">
    <w:abstractNumId w:val="39"/>
  </w:num>
  <w:num w:numId="40">
    <w:abstractNumId w:val="17"/>
  </w:num>
  <w:num w:numId="41">
    <w:abstractNumId w:val="48"/>
  </w:num>
  <w:num w:numId="42">
    <w:abstractNumId w:val="35"/>
  </w:num>
  <w:num w:numId="43">
    <w:abstractNumId w:val="47"/>
  </w:num>
  <w:num w:numId="44">
    <w:abstractNumId w:val="52"/>
  </w:num>
  <w:num w:numId="45">
    <w:abstractNumId w:val="20"/>
  </w:num>
  <w:num w:numId="46">
    <w:abstractNumId w:val="14"/>
  </w:num>
  <w:num w:numId="47">
    <w:abstractNumId w:val="33"/>
  </w:num>
  <w:num w:numId="48">
    <w:abstractNumId w:val="16"/>
  </w:num>
  <w:num w:numId="49">
    <w:abstractNumId w:val="18"/>
  </w:num>
  <w:num w:numId="50">
    <w:abstractNumId w:val="50"/>
  </w:num>
  <w:num w:numId="51">
    <w:abstractNumId w:val="51"/>
  </w:num>
  <w:num w:numId="52">
    <w:abstractNumId w:val="26"/>
  </w:num>
  <w:num w:numId="53">
    <w:abstractNumId w:val="4"/>
  </w:num>
  <w:num w:numId="54">
    <w:abstractNumId w:val="31"/>
  </w:num>
  <w:num w:numId="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hideSpellingErrors/>
  <w:documentProtection w:edit="readOnly" w:enforcement="0"/>
  <w:defaultTabStop w:val="0"/>
  <w:drawingGridHorizontalSpacing w:val="110"/>
  <w:noPunctuationKerning w:val="1"/>
  <w:characterSpacingControl w:val="doNotCompress"/>
  <w:doNotValidateAgainstSchema/>
  <w:doNotDemarcateInvalidXml/>
  <w:hdrShapeDefaults>
    <o:shapelayout v:ext="edit">
      <o:idmap v:ext="edit" data="1"/>
    </o:shapelayout>
  </w:hdrShapeDefaults>
  <w:footnotePr>
    <w:footnote w:id="0"/>
    <w:footnote w:id="1"/>
  </w:footnotePr>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3OTRiYThmM2NjNDJjZmIwNmJkODlhOGNlNGE4ZGYifQ=="/>
  </w:docVars>
  <w:rsids>
    <w:rsidRoot w:val="00172A27"/>
    <w:rsid w:val="00001738"/>
    <w:rsid w:val="00020563"/>
    <w:rsid w:val="00021A3E"/>
    <w:rsid w:val="0003042B"/>
    <w:rsid w:val="0003473D"/>
    <w:rsid w:val="0003583F"/>
    <w:rsid w:val="00046C61"/>
    <w:rsid w:val="00076E86"/>
    <w:rsid w:val="0009410F"/>
    <w:rsid w:val="000A0509"/>
    <w:rsid w:val="000C71A0"/>
    <w:rsid w:val="000D5BEE"/>
    <w:rsid w:val="000E6056"/>
    <w:rsid w:val="00112F96"/>
    <w:rsid w:val="00122AB7"/>
    <w:rsid w:val="00137F1C"/>
    <w:rsid w:val="001550F7"/>
    <w:rsid w:val="00172A27"/>
    <w:rsid w:val="001837B0"/>
    <w:rsid w:val="00190FC0"/>
    <w:rsid w:val="00193A12"/>
    <w:rsid w:val="001A1ED7"/>
    <w:rsid w:val="001B257E"/>
    <w:rsid w:val="001D23AF"/>
    <w:rsid w:val="001D4CA6"/>
    <w:rsid w:val="001F43A2"/>
    <w:rsid w:val="001F5852"/>
    <w:rsid w:val="002277BE"/>
    <w:rsid w:val="00236CE1"/>
    <w:rsid w:val="00242814"/>
    <w:rsid w:val="00242AD9"/>
    <w:rsid w:val="00245563"/>
    <w:rsid w:val="00263A2F"/>
    <w:rsid w:val="0029205B"/>
    <w:rsid w:val="002A2ABD"/>
    <w:rsid w:val="002A4F81"/>
    <w:rsid w:val="002C4679"/>
    <w:rsid w:val="002C4FF3"/>
    <w:rsid w:val="002F2BCE"/>
    <w:rsid w:val="00323A64"/>
    <w:rsid w:val="00362CAD"/>
    <w:rsid w:val="003C23F0"/>
    <w:rsid w:val="003E5968"/>
    <w:rsid w:val="003F0A23"/>
    <w:rsid w:val="003F5FE4"/>
    <w:rsid w:val="00402BA9"/>
    <w:rsid w:val="00426D12"/>
    <w:rsid w:val="00430D4E"/>
    <w:rsid w:val="00461AA0"/>
    <w:rsid w:val="00461C8E"/>
    <w:rsid w:val="00475D08"/>
    <w:rsid w:val="004C0631"/>
    <w:rsid w:val="004D1154"/>
    <w:rsid w:val="004D56DF"/>
    <w:rsid w:val="00506EDD"/>
    <w:rsid w:val="00512222"/>
    <w:rsid w:val="00520D75"/>
    <w:rsid w:val="0052152E"/>
    <w:rsid w:val="005328BB"/>
    <w:rsid w:val="00540F38"/>
    <w:rsid w:val="005427CD"/>
    <w:rsid w:val="005551AF"/>
    <w:rsid w:val="00563468"/>
    <w:rsid w:val="00574E8A"/>
    <w:rsid w:val="005A5167"/>
    <w:rsid w:val="005C4429"/>
    <w:rsid w:val="005D72C1"/>
    <w:rsid w:val="006008EF"/>
    <w:rsid w:val="0061249E"/>
    <w:rsid w:val="00632CAA"/>
    <w:rsid w:val="00633AF7"/>
    <w:rsid w:val="00635B97"/>
    <w:rsid w:val="0063783C"/>
    <w:rsid w:val="006720C4"/>
    <w:rsid w:val="00683A0D"/>
    <w:rsid w:val="0069193D"/>
    <w:rsid w:val="006A4144"/>
    <w:rsid w:val="006C0456"/>
    <w:rsid w:val="006C0DAE"/>
    <w:rsid w:val="006D3170"/>
    <w:rsid w:val="0070126B"/>
    <w:rsid w:val="00726DA0"/>
    <w:rsid w:val="00730A36"/>
    <w:rsid w:val="007624D8"/>
    <w:rsid w:val="00784D30"/>
    <w:rsid w:val="00791306"/>
    <w:rsid w:val="007953CF"/>
    <w:rsid w:val="007A259F"/>
    <w:rsid w:val="007B0AC3"/>
    <w:rsid w:val="007F6892"/>
    <w:rsid w:val="008064D7"/>
    <w:rsid w:val="00827A68"/>
    <w:rsid w:val="008301FF"/>
    <w:rsid w:val="00830635"/>
    <w:rsid w:val="00845AE2"/>
    <w:rsid w:val="00863B39"/>
    <w:rsid w:val="00870CB8"/>
    <w:rsid w:val="00877D39"/>
    <w:rsid w:val="00882A3B"/>
    <w:rsid w:val="00882D2A"/>
    <w:rsid w:val="00897F70"/>
    <w:rsid w:val="008B78B3"/>
    <w:rsid w:val="008F75A3"/>
    <w:rsid w:val="00905813"/>
    <w:rsid w:val="00933146"/>
    <w:rsid w:val="00940D6C"/>
    <w:rsid w:val="00944816"/>
    <w:rsid w:val="0095063F"/>
    <w:rsid w:val="00956A9A"/>
    <w:rsid w:val="00966AE7"/>
    <w:rsid w:val="0098526D"/>
    <w:rsid w:val="00987FF5"/>
    <w:rsid w:val="009D40A1"/>
    <w:rsid w:val="00A011B1"/>
    <w:rsid w:val="00A1701B"/>
    <w:rsid w:val="00A4114F"/>
    <w:rsid w:val="00A52ADE"/>
    <w:rsid w:val="00A73CFB"/>
    <w:rsid w:val="00A82462"/>
    <w:rsid w:val="00A85D1B"/>
    <w:rsid w:val="00A95355"/>
    <w:rsid w:val="00AC35D9"/>
    <w:rsid w:val="00AD25A0"/>
    <w:rsid w:val="00AD6C92"/>
    <w:rsid w:val="00AE1E52"/>
    <w:rsid w:val="00AE586D"/>
    <w:rsid w:val="00B553B7"/>
    <w:rsid w:val="00B64BA5"/>
    <w:rsid w:val="00B81352"/>
    <w:rsid w:val="00B84252"/>
    <w:rsid w:val="00B931F2"/>
    <w:rsid w:val="00B94897"/>
    <w:rsid w:val="00B978BB"/>
    <w:rsid w:val="00BB56D7"/>
    <w:rsid w:val="00BC5613"/>
    <w:rsid w:val="00BD6E1C"/>
    <w:rsid w:val="00BE3FE6"/>
    <w:rsid w:val="00BE787F"/>
    <w:rsid w:val="00BF0334"/>
    <w:rsid w:val="00BF6007"/>
    <w:rsid w:val="00C1172A"/>
    <w:rsid w:val="00C2017B"/>
    <w:rsid w:val="00C738BF"/>
    <w:rsid w:val="00C861EA"/>
    <w:rsid w:val="00C9753D"/>
    <w:rsid w:val="00CA729B"/>
    <w:rsid w:val="00CB4E61"/>
    <w:rsid w:val="00CE26AD"/>
    <w:rsid w:val="00CF227C"/>
    <w:rsid w:val="00CF6039"/>
    <w:rsid w:val="00D11B3F"/>
    <w:rsid w:val="00D5332B"/>
    <w:rsid w:val="00D54C1D"/>
    <w:rsid w:val="00D875C2"/>
    <w:rsid w:val="00D91E8A"/>
    <w:rsid w:val="00D950E9"/>
    <w:rsid w:val="00DA45AD"/>
    <w:rsid w:val="00DD06A5"/>
    <w:rsid w:val="00DD22EF"/>
    <w:rsid w:val="00DE7224"/>
    <w:rsid w:val="00E02E8D"/>
    <w:rsid w:val="00E53FEC"/>
    <w:rsid w:val="00E96EAE"/>
    <w:rsid w:val="00EC0037"/>
    <w:rsid w:val="00EC204C"/>
    <w:rsid w:val="00ED72ED"/>
    <w:rsid w:val="00EE21F3"/>
    <w:rsid w:val="00EE524F"/>
    <w:rsid w:val="00EF426D"/>
    <w:rsid w:val="00F1307F"/>
    <w:rsid w:val="00F14272"/>
    <w:rsid w:val="00F2108C"/>
    <w:rsid w:val="00F26598"/>
    <w:rsid w:val="00F442D2"/>
    <w:rsid w:val="00F463F9"/>
    <w:rsid w:val="00F46C0A"/>
    <w:rsid w:val="00F748BD"/>
    <w:rsid w:val="00F81AF3"/>
    <w:rsid w:val="00F95D21"/>
    <w:rsid w:val="00FA23D7"/>
    <w:rsid w:val="00FA44E7"/>
    <w:rsid w:val="01061E76"/>
    <w:rsid w:val="01163B6B"/>
    <w:rsid w:val="014B73A5"/>
    <w:rsid w:val="01CE349F"/>
    <w:rsid w:val="02220A49"/>
    <w:rsid w:val="02956CED"/>
    <w:rsid w:val="02D83D35"/>
    <w:rsid w:val="032A168B"/>
    <w:rsid w:val="033C2780"/>
    <w:rsid w:val="0349265E"/>
    <w:rsid w:val="03B67FA1"/>
    <w:rsid w:val="03D80B70"/>
    <w:rsid w:val="041A4E9A"/>
    <w:rsid w:val="0454544C"/>
    <w:rsid w:val="05E15E9A"/>
    <w:rsid w:val="05F20457"/>
    <w:rsid w:val="06A15F7C"/>
    <w:rsid w:val="072274AD"/>
    <w:rsid w:val="07D60499"/>
    <w:rsid w:val="07FE1CE5"/>
    <w:rsid w:val="08D92B26"/>
    <w:rsid w:val="09326811"/>
    <w:rsid w:val="093A0E3A"/>
    <w:rsid w:val="09715B84"/>
    <w:rsid w:val="0A807333"/>
    <w:rsid w:val="0AA0206B"/>
    <w:rsid w:val="0AD845C1"/>
    <w:rsid w:val="0B152901"/>
    <w:rsid w:val="0B486285"/>
    <w:rsid w:val="0B6C27E3"/>
    <w:rsid w:val="0C537970"/>
    <w:rsid w:val="0C60102E"/>
    <w:rsid w:val="0CDF79FB"/>
    <w:rsid w:val="0D571DA4"/>
    <w:rsid w:val="0D8364C2"/>
    <w:rsid w:val="0DDF14BF"/>
    <w:rsid w:val="0EB737F7"/>
    <w:rsid w:val="0EEF495F"/>
    <w:rsid w:val="0F513ECB"/>
    <w:rsid w:val="0F71606C"/>
    <w:rsid w:val="0F8A6E5B"/>
    <w:rsid w:val="0FC338F7"/>
    <w:rsid w:val="0FF034D1"/>
    <w:rsid w:val="1060624E"/>
    <w:rsid w:val="106B29EF"/>
    <w:rsid w:val="10932354"/>
    <w:rsid w:val="10B62C61"/>
    <w:rsid w:val="114642D2"/>
    <w:rsid w:val="11C34BA1"/>
    <w:rsid w:val="11D7250A"/>
    <w:rsid w:val="12716B82"/>
    <w:rsid w:val="128C64D2"/>
    <w:rsid w:val="12F0630A"/>
    <w:rsid w:val="13DB2307"/>
    <w:rsid w:val="13F31E8A"/>
    <w:rsid w:val="14042EBD"/>
    <w:rsid w:val="1470677B"/>
    <w:rsid w:val="158449D4"/>
    <w:rsid w:val="16450281"/>
    <w:rsid w:val="16EE44F2"/>
    <w:rsid w:val="16F87405"/>
    <w:rsid w:val="17330B62"/>
    <w:rsid w:val="17DB7603"/>
    <w:rsid w:val="17E61118"/>
    <w:rsid w:val="17FB29A2"/>
    <w:rsid w:val="185274F4"/>
    <w:rsid w:val="1873100E"/>
    <w:rsid w:val="18A8411B"/>
    <w:rsid w:val="195336E6"/>
    <w:rsid w:val="197554E8"/>
    <w:rsid w:val="19E05F85"/>
    <w:rsid w:val="1A002B7B"/>
    <w:rsid w:val="1A0C7D4D"/>
    <w:rsid w:val="1A1B54F4"/>
    <w:rsid w:val="1A5D56F5"/>
    <w:rsid w:val="1A811E2E"/>
    <w:rsid w:val="1AA53282"/>
    <w:rsid w:val="1AE705A4"/>
    <w:rsid w:val="1AFA5418"/>
    <w:rsid w:val="1B065B4D"/>
    <w:rsid w:val="1B1B440E"/>
    <w:rsid w:val="1BA63B67"/>
    <w:rsid w:val="1BF027CF"/>
    <w:rsid w:val="1C404F6B"/>
    <w:rsid w:val="1C461390"/>
    <w:rsid w:val="1CE9103F"/>
    <w:rsid w:val="1D2F39CF"/>
    <w:rsid w:val="1D500272"/>
    <w:rsid w:val="1E7E7133"/>
    <w:rsid w:val="1E9B16D8"/>
    <w:rsid w:val="1EB6057A"/>
    <w:rsid w:val="1F665C06"/>
    <w:rsid w:val="1F827690"/>
    <w:rsid w:val="1FE56612"/>
    <w:rsid w:val="1FFC17CB"/>
    <w:rsid w:val="200A081E"/>
    <w:rsid w:val="206C5445"/>
    <w:rsid w:val="21371384"/>
    <w:rsid w:val="2140614F"/>
    <w:rsid w:val="21C21AAF"/>
    <w:rsid w:val="22CF2B89"/>
    <w:rsid w:val="2307116E"/>
    <w:rsid w:val="23771117"/>
    <w:rsid w:val="23F765CA"/>
    <w:rsid w:val="24264017"/>
    <w:rsid w:val="24A75B1B"/>
    <w:rsid w:val="24EF6E5F"/>
    <w:rsid w:val="250247D9"/>
    <w:rsid w:val="2561291D"/>
    <w:rsid w:val="26AA4390"/>
    <w:rsid w:val="27DF5CC8"/>
    <w:rsid w:val="28095451"/>
    <w:rsid w:val="28186991"/>
    <w:rsid w:val="28291BF0"/>
    <w:rsid w:val="28C67FF4"/>
    <w:rsid w:val="28CF0B14"/>
    <w:rsid w:val="294C0189"/>
    <w:rsid w:val="29C95ECC"/>
    <w:rsid w:val="29CA1D9C"/>
    <w:rsid w:val="29D30ED5"/>
    <w:rsid w:val="29F46C68"/>
    <w:rsid w:val="2A980E5B"/>
    <w:rsid w:val="2A9D7F7C"/>
    <w:rsid w:val="2B8557E9"/>
    <w:rsid w:val="2B901CEB"/>
    <w:rsid w:val="2BAD05E9"/>
    <w:rsid w:val="2C027653"/>
    <w:rsid w:val="2C9A0212"/>
    <w:rsid w:val="2CD65DC2"/>
    <w:rsid w:val="2D71772F"/>
    <w:rsid w:val="2DB313C9"/>
    <w:rsid w:val="2EBAF6D9"/>
    <w:rsid w:val="2EF05946"/>
    <w:rsid w:val="2F8A5213"/>
    <w:rsid w:val="2FC04532"/>
    <w:rsid w:val="312A0581"/>
    <w:rsid w:val="3134423A"/>
    <w:rsid w:val="317D1952"/>
    <w:rsid w:val="31BB6E4C"/>
    <w:rsid w:val="31E72DB7"/>
    <w:rsid w:val="32AF7DCA"/>
    <w:rsid w:val="335064AB"/>
    <w:rsid w:val="33B27201"/>
    <w:rsid w:val="34666A58"/>
    <w:rsid w:val="346D08C3"/>
    <w:rsid w:val="34DE11F3"/>
    <w:rsid w:val="354042E8"/>
    <w:rsid w:val="359C73A0"/>
    <w:rsid w:val="35BF02D5"/>
    <w:rsid w:val="374908F5"/>
    <w:rsid w:val="377063EE"/>
    <w:rsid w:val="38BA77BB"/>
    <w:rsid w:val="38FD6686"/>
    <w:rsid w:val="398158EA"/>
    <w:rsid w:val="39A861E2"/>
    <w:rsid w:val="39C657F9"/>
    <w:rsid w:val="39E112E1"/>
    <w:rsid w:val="3A695377"/>
    <w:rsid w:val="3AEC1764"/>
    <w:rsid w:val="3B0C5702"/>
    <w:rsid w:val="3B355089"/>
    <w:rsid w:val="3B4342DC"/>
    <w:rsid w:val="3C2755CC"/>
    <w:rsid w:val="3CF4182B"/>
    <w:rsid w:val="3E164043"/>
    <w:rsid w:val="3E567559"/>
    <w:rsid w:val="3EEC4621"/>
    <w:rsid w:val="3FCC13BF"/>
    <w:rsid w:val="406F403B"/>
    <w:rsid w:val="407A6CD7"/>
    <w:rsid w:val="41512022"/>
    <w:rsid w:val="42034615"/>
    <w:rsid w:val="428E1EEC"/>
    <w:rsid w:val="42BA4950"/>
    <w:rsid w:val="433A015B"/>
    <w:rsid w:val="433C34EC"/>
    <w:rsid w:val="43AC0944"/>
    <w:rsid w:val="443C0414"/>
    <w:rsid w:val="444E0A13"/>
    <w:rsid w:val="44D10F45"/>
    <w:rsid w:val="453C7A8D"/>
    <w:rsid w:val="459C06BF"/>
    <w:rsid w:val="45E07A8C"/>
    <w:rsid w:val="45EE70E7"/>
    <w:rsid w:val="45F47EFB"/>
    <w:rsid w:val="469D6AD4"/>
    <w:rsid w:val="47947B46"/>
    <w:rsid w:val="47A84303"/>
    <w:rsid w:val="48341632"/>
    <w:rsid w:val="48C83878"/>
    <w:rsid w:val="49357497"/>
    <w:rsid w:val="496D2863"/>
    <w:rsid w:val="49B23A1A"/>
    <w:rsid w:val="4A6579B7"/>
    <w:rsid w:val="4B4C2876"/>
    <w:rsid w:val="4B971F8A"/>
    <w:rsid w:val="4BFC6460"/>
    <w:rsid w:val="4C6D1B84"/>
    <w:rsid w:val="4CC54D28"/>
    <w:rsid w:val="4D211BB8"/>
    <w:rsid w:val="4D534DC0"/>
    <w:rsid w:val="4D8575A7"/>
    <w:rsid w:val="4DA34742"/>
    <w:rsid w:val="4DD221CD"/>
    <w:rsid w:val="4DE72E3F"/>
    <w:rsid w:val="4E076687"/>
    <w:rsid w:val="4E641252"/>
    <w:rsid w:val="4EE27BD9"/>
    <w:rsid w:val="4FCC50EA"/>
    <w:rsid w:val="501C327C"/>
    <w:rsid w:val="505B5EB9"/>
    <w:rsid w:val="50B03F31"/>
    <w:rsid w:val="50B60458"/>
    <w:rsid w:val="50BD622C"/>
    <w:rsid w:val="514302C6"/>
    <w:rsid w:val="516C19D3"/>
    <w:rsid w:val="51846FC6"/>
    <w:rsid w:val="51D768EE"/>
    <w:rsid w:val="521C5F4B"/>
    <w:rsid w:val="52414A18"/>
    <w:rsid w:val="52671034"/>
    <w:rsid w:val="52A35143"/>
    <w:rsid w:val="52AB165F"/>
    <w:rsid w:val="52FC757F"/>
    <w:rsid w:val="53695142"/>
    <w:rsid w:val="53A63E52"/>
    <w:rsid w:val="54C7739C"/>
    <w:rsid w:val="553E3C3F"/>
    <w:rsid w:val="55A710F3"/>
    <w:rsid w:val="56232D18"/>
    <w:rsid w:val="5677687A"/>
    <w:rsid w:val="568F37F6"/>
    <w:rsid w:val="56A54166"/>
    <w:rsid w:val="56D07FC7"/>
    <w:rsid w:val="57616572"/>
    <w:rsid w:val="57D97D35"/>
    <w:rsid w:val="58AD66FC"/>
    <w:rsid w:val="58B93227"/>
    <w:rsid w:val="59DA765F"/>
    <w:rsid w:val="5A0451AC"/>
    <w:rsid w:val="5A8F7816"/>
    <w:rsid w:val="5A93027F"/>
    <w:rsid w:val="5AAE2559"/>
    <w:rsid w:val="5AB60987"/>
    <w:rsid w:val="5AE1062F"/>
    <w:rsid w:val="5B0B5CF4"/>
    <w:rsid w:val="5B113A67"/>
    <w:rsid w:val="5B7724D3"/>
    <w:rsid w:val="5BB7476A"/>
    <w:rsid w:val="5D847211"/>
    <w:rsid w:val="5EC4224F"/>
    <w:rsid w:val="5F737A23"/>
    <w:rsid w:val="60373621"/>
    <w:rsid w:val="605346AA"/>
    <w:rsid w:val="607E7932"/>
    <w:rsid w:val="60A14C2F"/>
    <w:rsid w:val="60F53509"/>
    <w:rsid w:val="61354081"/>
    <w:rsid w:val="61932EBD"/>
    <w:rsid w:val="619A5A29"/>
    <w:rsid w:val="62BD1B9F"/>
    <w:rsid w:val="62D607FE"/>
    <w:rsid w:val="63D56101"/>
    <w:rsid w:val="63DE7D45"/>
    <w:rsid w:val="63F65D83"/>
    <w:rsid w:val="64DC535A"/>
    <w:rsid w:val="6539626D"/>
    <w:rsid w:val="680C00AC"/>
    <w:rsid w:val="694405D5"/>
    <w:rsid w:val="694F2C2A"/>
    <w:rsid w:val="69731BEA"/>
    <w:rsid w:val="69C308E5"/>
    <w:rsid w:val="69C704B7"/>
    <w:rsid w:val="69FE1CAF"/>
    <w:rsid w:val="6A5F3D4C"/>
    <w:rsid w:val="6A7E1191"/>
    <w:rsid w:val="6A9C69BC"/>
    <w:rsid w:val="6AB73270"/>
    <w:rsid w:val="6AEB14FB"/>
    <w:rsid w:val="6AF1203D"/>
    <w:rsid w:val="6B827EC3"/>
    <w:rsid w:val="6BAD5036"/>
    <w:rsid w:val="6C3E3C9D"/>
    <w:rsid w:val="6C5624EB"/>
    <w:rsid w:val="6C632A70"/>
    <w:rsid w:val="6C8A7A02"/>
    <w:rsid w:val="6CA11984"/>
    <w:rsid w:val="6CB16666"/>
    <w:rsid w:val="6CEF0B54"/>
    <w:rsid w:val="6D23233F"/>
    <w:rsid w:val="6D697513"/>
    <w:rsid w:val="6DD44D78"/>
    <w:rsid w:val="6E9C011B"/>
    <w:rsid w:val="6ED33E99"/>
    <w:rsid w:val="6F3160F6"/>
    <w:rsid w:val="6FA815D5"/>
    <w:rsid w:val="70014994"/>
    <w:rsid w:val="7013196B"/>
    <w:rsid w:val="714914E5"/>
    <w:rsid w:val="71543152"/>
    <w:rsid w:val="71D43BA0"/>
    <w:rsid w:val="71DE16D4"/>
    <w:rsid w:val="72124A82"/>
    <w:rsid w:val="721675B7"/>
    <w:rsid w:val="723A0FF3"/>
    <w:rsid w:val="72CC54B5"/>
    <w:rsid w:val="736E469F"/>
    <w:rsid w:val="74487307"/>
    <w:rsid w:val="75347DD6"/>
    <w:rsid w:val="75A5663A"/>
    <w:rsid w:val="75D23740"/>
    <w:rsid w:val="77357460"/>
    <w:rsid w:val="77702116"/>
    <w:rsid w:val="77C3281B"/>
    <w:rsid w:val="7806519A"/>
    <w:rsid w:val="78A82446"/>
    <w:rsid w:val="78D70743"/>
    <w:rsid w:val="797B64B8"/>
    <w:rsid w:val="79DCB11B"/>
    <w:rsid w:val="79F77899"/>
    <w:rsid w:val="7B8A6FAE"/>
    <w:rsid w:val="7BA276CD"/>
    <w:rsid w:val="7BB71398"/>
    <w:rsid w:val="7BB81C68"/>
    <w:rsid w:val="7BC3381A"/>
    <w:rsid w:val="7BE15D5B"/>
    <w:rsid w:val="7C4132E5"/>
    <w:rsid w:val="7CCF6862"/>
    <w:rsid w:val="7D934A90"/>
    <w:rsid w:val="7DEC7A92"/>
    <w:rsid w:val="7E346D99"/>
    <w:rsid w:val="7F49446D"/>
    <w:rsid w:val="7F571DFA"/>
    <w:rsid w:val="7FB03B39"/>
    <w:rsid w:val="7FBB7332"/>
    <w:rsid w:val="9BFE7243"/>
    <w:rsid w:val="A7FBEBD7"/>
    <w:rsid w:val="DDB979B2"/>
    <w:rsid w:val="E76A274F"/>
    <w:rsid w:val="F5F9D5C5"/>
    <w:rsid w:val="FD7FAE8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iPriority="99" w:semiHidden="0" w:name="List Number"/>
    <w:lsdException w:qFormat="1" w:uiPriority="99" w:semiHidden="0" w:name="List 2"/>
    <w:lsdException w:uiPriority="99"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imes New Roman" w:hAnsi="Times New Roman" w:eastAsia="Times New Roman" w:cs="Times New Roman"/>
      <w:sz w:val="24"/>
      <w:szCs w:val="24"/>
      <w:lang w:val="en-US" w:eastAsia="zh-CN" w:bidi="ar-SA"/>
    </w:rPr>
  </w:style>
  <w:style w:type="paragraph" w:styleId="2">
    <w:name w:val="heading 1"/>
    <w:basedOn w:val="1"/>
    <w:next w:val="1"/>
    <w:link w:val="58"/>
    <w:qFormat/>
    <w:uiPriority w:val="0"/>
    <w:pPr>
      <w:keepNext/>
      <w:adjustRightInd/>
      <w:snapToGrid/>
      <w:spacing w:after="0" w:line="400" w:lineRule="exact"/>
      <w:jc w:val="center"/>
      <w:outlineLvl w:val="0"/>
    </w:pPr>
    <w:rPr>
      <w:rFonts w:ascii="黑体" w:eastAsia="黑体"/>
      <w:sz w:val="36"/>
      <w:szCs w:val="20"/>
    </w:rPr>
  </w:style>
  <w:style w:type="paragraph" w:styleId="3">
    <w:name w:val="heading 2"/>
    <w:basedOn w:val="1"/>
    <w:next w:val="1"/>
    <w:link w:val="59"/>
    <w:qFormat/>
    <w:uiPriority w:val="0"/>
    <w:pPr>
      <w:keepNext/>
      <w:keepLines/>
      <w:widowControl w:val="0"/>
      <w:adjustRightInd/>
      <w:snapToGrid/>
      <w:spacing w:after="0" w:line="380" w:lineRule="atLeast"/>
      <w:jc w:val="center"/>
      <w:outlineLvl w:val="1"/>
    </w:pPr>
    <w:rPr>
      <w:rFonts w:ascii="Arial" w:hAnsi="Arial" w:eastAsia="黑体"/>
      <w:bCs/>
      <w:sz w:val="32"/>
      <w:szCs w:val="32"/>
    </w:rPr>
  </w:style>
  <w:style w:type="paragraph" w:styleId="4">
    <w:name w:val="heading 3"/>
    <w:basedOn w:val="1"/>
    <w:next w:val="1"/>
    <w:link w:val="60"/>
    <w:qFormat/>
    <w:uiPriority w:val="0"/>
    <w:pPr>
      <w:keepNext/>
      <w:keepLines/>
      <w:widowControl w:val="0"/>
      <w:adjustRightInd/>
      <w:snapToGrid/>
      <w:spacing w:after="0" w:line="380" w:lineRule="exact"/>
      <w:jc w:val="center"/>
      <w:outlineLvl w:val="2"/>
    </w:pPr>
    <w:rPr>
      <w:rFonts w:ascii="宋体" w:hAnsi="宋体" w:eastAsia="宋体"/>
      <w:bCs/>
      <w:sz w:val="30"/>
      <w:szCs w:val="32"/>
    </w:rPr>
  </w:style>
  <w:style w:type="paragraph" w:styleId="5">
    <w:name w:val="heading 4"/>
    <w:basedOn w:val="1"/>
    <w:next w:val="1"/>
    <w:link w:val="61"/>
    <w:qFormat/>
    <w:uiPriority w:val="0"/>
    <w:pPr>
      <w:keepNext/>
      <w:keepLines/>
      <w:widowControl w:val="0"/>
      <w:adjustRightInd/>
      <w:snapToGrid/>
      <w:spacing w:before="280" w:after="290" w:line="376" w:lineRule="auto"/>
      <w:jc w:val="both"/>
      <w:outlineLvl w:val="3"/>
    </w:pPr>
    <w:rPr>
      <w:rFonts w:ascii="Cambria" w:hAnsi="Cambria" w:eastAsia="宋体"/>
      <w:b/>
      <w:bCs/>
      <w:kern w:val="2"/>
      <w:sz w:val="28"/>
      <w:szCs w:val="28"/>
    </w:rPr>
  </w:style>
  <w:style w:type="paragraph" w:styleId="6">
    <w:name w:val="heading 5"/>
    <w:basedOn w:val="1"/>
    <w:next w:val="1"/>
    <w:link w:val="62"/>
    <w:qFormat/>
    <w:uiPriority w:val="0"/>
    <w:pPr>
      <w:keepNext/>
      <w:keepLines/>
      <w:widowControl w:val="0"/>
      <w:adjustRightInd/>
      <w:snapToGrid/>
      <w:spacing w:before="280" w:after="290" w:line="376" w:lineRule="auto"/>
      <w:jc w:val="both"/>
      <w:outlineLvl w:val="4"/>
    </w:pPr>
    <w:rPr>
      <w:rFonts w:eastAsia="宋体"/>
      <w:b/>
      <w:bCs/>
      <w:kern w:val="2"/>
      <w:sz w:val="28"/>
      <w:szCs w:val="28"/>
    </w:rPr>
  </w:style>
  <w:style w:type="paragraph" w:styleId="7">
    <w:name w:val="heading 6"/>
    <w:basedOn w:val="1"/>
    <w:next w:val="1"/>
    <w:link w:val="63"/>
    <w:qFormat/>
    <w:uiPriority w:val="0"/>
    <w:pPr>
      <w:keepNext/>
      <w:keepLines/>
      <w:adjustRightInd/>
      <w:snapToGrid/>
      <w:spacing w:before="240" w:after="64" w:line="319" w:lineRule="auto"/>
      <w:outlineLvl w:val="5"/>
    </w:pPr>
    <w:rPr>
      <w:rFonts w:ascii="Arial" w:hAnsi="Arial" w:eastAsia="黑体"/>
      <w:b/>
      <w:bCs/>
    </w:rPr>
  </w:style>
  <w:style w:type="paragraph" w:styleId="8">
    <w:name w:val="heading 7"/>
    <w:basedOn w:val="1"/>
    <w:next w:val="1"/>
    <w:link w:val="64"/>
    <w:qFormat/>
    <w:uiPriority w:val="0"/>
    <w:pPr>
      <w:keepNext/>
      <w:keepLines/>
      <w:adjustRightInd/>
      <w:snapToGrid/>
      <w:spacing w:before="240" w:after="64" w:line="319" w:lineRule="auto"/>
      <w:outlineLvl w:val="6"/>
    </w:pPr>
    <w:rPr>
      <w:rFonts w:eastAsia="宋体"/>
      <w:b/>
      <w:bCs/>
    </w:rPr>
  </w:style>
  <w:style w:type="paragraph" w:styleId="9">
    <w:name w:val="heading 8"/>
    <w:basedOn w:val="1"/>
    <w:next w:val="1"/>
    <w:link w:val="65"/>
    <w:qFormat/>
    <w:uiPriority w:val="0"/>
    <w:pPr>
      <w:keepNext/>
      <w:keepLines/>
      <w:adjustRightInd/>
      <w:snapToGrid/>
      <w:spacing w:before="240" w:after="64" w:line="319" w:lineRule="auto"/>
      <w:outlineLvl w:val="7"/>
    </w:pPr>
    <w:rPr>
      <w:rFonts w:ascii="Arial" w:hAnsi="Arial" w:eastAsia="黑体"/>
    </w:rPr>
  </w:style>
  <w:style w:type="paragraph" w:styleId="10">
    <w:name w:val="heading 9"/>
    <w:basedOn w:val="1"/>
    <w:next w:val="1"/>
    <w:link w:val="66"/>
    <w:qFormat/>
    <w:uiPriority w:val="0"/>
    <w:pPr>
      <w:keepNext/>
      <w:keepLines/>
      <w:adjustRightInd/>
      <w:snapToGrid/>
      <w:spacing w:before="240" w:after="64" w:line="319" w:lineRule="auto"/>
      <w:outlineLvl w:val="8"/>
    </w:pPr>
    <w:rPr>
      <w:rFonts w:ascii="Arial" w:hAnsi="Arial" w:eastAsia="黑体"/>
      <w:sz w:val="21"/>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val="0"/>
      <w:adjustRightInd/>
      <w:snapToGrid/>
      <w:spacing w:after="0"/>
      <w:ind w:left="1260"/>
    </w:pPr>
    <w:rPr>
      <w:rFonts w:eastAsia="宋体"/>
      <w:kern w:val="2"/>
      <w:sz w:val="18"/>
      <w:szCs w:val="18"/>
    </w:rPr>
  </w:style>
  <w:style w:type="paragraph" w:styleId="12">
    <w:name w:val="index 8"/>
    <w:basedOn w:val="1"/>
    <w:next w:val="1"/>
    <w:qFormat/>
    <w:uiPriority w:val="0"/>
    <w:pPr>
      <w:ind w:left="2940"/>
    </w:pPr>
  </w:style>
  <w:style w:type="paragraph" w:styleId="13">
    <w:name w:val="List Number"/>
    <w:basedOn w:val="1"/>
    <w:unhideWhenUsed/>
    <w:qFormat/>
    <w:uiPriority w:val="99"/>
    <w:pPr>
      <w:numPr>
        <w:ilvl w:val="0"/>
        <w:numId w:val="1"/>
      </w:numPr>
    </w:pPr>
  </w:style>
  <w:style w:type="paragraph" w:styleId="14">
    <w:name w:val="Normal Indent"/>
    <w:basedOn w:val="1"/>
    <w:link w:val="67"/>
    <w:qFormat/>
    <w:uiPriority w:val="0"/>
    <w:pPr>
      <w:widowControl w:val="0"/>
      <w:snapToGrid/>
      <w:spacing w:after="0" w:line="360" w:lineRule="atLeast"/>
      <w:ind w:firstLine="420"/>
      <w:jc w:val="both"/>
      <w:textAlignment w:val="baseline"/>
    </w:pPr>
    <w:rPr>
      <w:rFonts w:eastAsia="宋体"/>
      <w:kern w:val="2"/>
      <w:sz w:val="21"/>
      <w:szCs w:val="20"/>
    </w:rPr>
  </w:style>
  <w:style w:type="paragraph" w:styleId="15">
    <w:name w:val="Document Map"/>
    <w:basedOn w:val="1"/>
    <w:link w:val="68"/>
    <w:semiHidden/>
    <w:qFormat/>
    <w:uiPriority w:val="0"/>
    <w:pPr>
      <w:widowControl w:val="0"/>
      <w:shd w:val="clear" w:color="auto" w:fill="000080"/>
      <w:adjustRightInd/>
      <w:snapToGrid/>
      <w:spacing w:after="0"/>
      <w:jc w:val="both"/>
    </w:pPr>
    <w:rPr>
      <w:rFonts w:eastAsia="宋体"/>
      <w:kern w:val="2"/>
      <w:sz w:val="21"/>
    </w:rPr>
  </w:style>
  <w:style w:type="paragraph" w:styleId="16">
    <w:name w:val="annotation text"/>
    <w:basedOn w:val="1"/>
    <w:link w:val="69"/>
    <w:qFormat/>
    <w:uiPriority w:val="0"/>
    <w:pPr>
      <w:widowControl w:val="0"/>
      <w:adjustRightInd/>
      <w:snapToGrid/>
      <w:spacing w:after="0"/>
    </w:pPr>
    <w:rPr>
      <w:rFonts w:eastAsia="宋体"/>
      <w:kern w:val="2"/>
      <w:sz w:val="21"/>
    </w:rPr>
  </w:style>
  <w:style w:type="paragraph" w:styleId="17">
    <w:name w:val="Body Text"/>
    <w:basedOn w:val="1"/>
    <w:link w:val="70"/>
    <w:qFormat/>
    <w:uiPriority w:val="0"/>
    <w:pPr>
      <w:widowControl w:val="0"/>
      <w:adjustRightInd/>
      <w:snapToGrid/>
      <w:spacing w:after="0"/>
      <w:jc w:val="center"/>
    </w:pPr>
    <w:rPr>
      <w:rFonts w:eastAsia="宋体"/>
      <w:kern w:val="2"/>
      <w:sz w:val="52"/>
    </w:rPr>
  </w:style>
  <w:style w:type="paragraph" w:styleId="18">
    <w:name w:val="Body Text Indent"/>
    <w:basedOn w:val="1"/>
    <w:link w:val="71"/>
    <w:qFormat/>
    <w:uiPriority w:val="0"/>
    <w:pPr>
      <w:widowControl w:val="0"/>
      <w:adjustRightInd/>
      <w:snapToGrid/>
      <w:spacing w:after="0" w:line="440" w:lineRule="exact"/>
      <w:ind w:firstLine="419" w:firstLineChars="196"/>
      <w:jc w:val="both"/>
    </w:pPr>
    <w:rPr>
      <w:rFonts w:ascii="宋体" w:hAnsi="宋体" w:eastAsia="宋体"/>
      <w:spacing w:val="2"/>
      <w:kern w:val="2"/>
      <w:sz w:val="21"/>
    </w:rPr>
  </w:style>
  <w:style w:type="paragraph" w:styleId="19">
    <w:name w:val="List 2"/>
    <w:basedOn w:val="1"/>
    <w:unhideWhenUsed/>
    <w:qFormat/>
    <w:uiPriority w:val="99"/>
    <w:pPr>
      <w:ind w:left="100" w:leftChars="200" w:hanging="200" w:hangingChars="200"/>
    </w:pPr>
    <w:rPr>
      <w:sz w:val="28"/>
    </w:rPr>
  </w:style>
  <w:style w:type="paragraph" w:styleId="20">
    <w:name w:val="Block Text"/>
    <w:basedOn w:val="1"/>
    <w:qFormat/>
    <w:uiPriority w:val="0"/>
    <w:pPr>
      <w:ind w:left="420" w:right="33"/>
      <w:textAlignment w:val="baseline"/>
    </w:pPr>
    <w:rPr>
      <w:rFonts w:eastAsia="宋体"/>
      <w:szCs w:val="20"/>
    </w:rPr>
  </w:style>
  <w:style w:type="paragraph" w:styleId="21">
    <w:name w:val="toc 5"/>
    <w:basedOn w:val="1"/>
    <w:next w:val="1"/>
    <w:qFormat/>
    <w:uiPriority w:val="0"/>
    <w:pPr>
      <w:widowControl w:val="0"/>
      <w:adjustRightInd/>
      <w:snapToGrid/>
      <w:spacing w:after="0"/>
      <w:ind w:left="840"/>
    </w:pPr>
    <w:rPr>
      <w:rFonts w:eastAsia="宋体"/>
      <w:kern w:val="2"/>
      <w:sz w:val="18"/>
      <w:szCs w:val="18"/>
    </w:rPr>
  </w:style>
  <w:style w:type="paragraph" w:styleId="22">
    <w:name w:val="toc 3"/>
    <w:basedOn w:val="1"/>
    <w:next w:val="1"/>
    <w:qFormat/>
    <w:uiPriority w:val="39"/>
    <w:pPr>
      <w:widowControl w:val="0"/>
      <w:adjustRightInd/>
      <w:snapToGrid/>
      <w:spacing w:after="0"/>
      <w:ind w:left="420"/>
    </w:pPr>
    <w:rPr>
      <w:rFonts w:eastAsia="宋体"/>
      <w:i/>
      <w:iCs/>
      <w:kern w:val="2"/>
      <w:sz w:val="20"/>
      <w:szCs w:val="20"/>
    </w:rPr>
  </w:style>
  <w:style w:type="paragraph" w:styleId="23">
    <w:name w:val="Plain Text"/>
    <w:basedOn w:val="1"/>
    <w:next w:val="12"/>
    <w:link w:val="72"/>
    <w:qFormat/>
    <w:uiPriority w:val="0"/>
    <w:pPr>
      <w:widowControl w:val="0"/>
      <w:adjustRightInd/>
      <w:snapToGrid/>
      <w:spacing w:after="0"/>
      <w:jc w:val="both"/>
    </w:pPr>
    <w:rPr>
      <w:rFonts w:ascii="宋体" w:hAnsi="Courier New" w:eastAsia="宋体"/>
      <w:sz w:val="21"/>
      <w:szCs w:val="21"/>
    </w:rPr>
  </w:style>
  <w:style w:type="paragraph" w:styleId="24">
    <w:name w:val="toc 8"/>
    <w:basedOn w:val="1"/>
    <w:next w:val="1"/>
    <w:qFormat/>
    <w:uiPriority w:val="0"/>
    <w:pPr>
      <w:widowControl w:val="0"/>
      <w:adjustRightInd/>
      <w:snapToGrid/>
      <w:spacing w:after="0"/>
      <w:ind w:left="1470"/>
    </w:pPr>
    <w:rPr>
      <w:rFonts w:eastAsia="宋体"/>
      <w:kern w:val="2"/>
      <w:sz w:val="18"/>
      <w:szCs w:val="18"/>
    </w:rPr>
  </w:style>
  <w:style w:type="paragraph" w:styleId="25">
    <w:name w:val="Date"/>
    <w:basedOn w:val="1"/>
    <w:next w:val="1"/>
    <w:link w:val="73"/>
    <w:qFormat/>
    <w:uiPriority w:val="0"/>
    <w:pPr>
      <w:widowControl w:val="0"/>
      <w:adjustRightInd/>
      <w:snapToGrid/>
      <w:spacing w:after="0"/>
      <w:ind w:left="100" w:leftChars="2500"/>
      <w:jc w:val="both"/>
    </w:pPr>
    <w:rPr>
      <w:rFonts w:eastAsia="宋体"/>
      <w:kern w:val="2"/>
      <w:sz w:val="21"/>
    </w:rPr>
  </w:style>
  <w:style w:type="paragraph" w:styleId="26">
    <w:name w:val="Body Text Indent 2"/>
    <w:basedOn w:val="1"/>
    <w:link w:val="74"/>
    <w:qFormat/>
    <w:uiPriority w:val="0"/>
    <w:pPr>
      <w:widowControl w:val="0"/>
      <w:adjustRightInd/>
      <w:snapToGrid/>
      <w:spacing w:after="0" w:line="420" w:lineRule="exact"/>
      <w:ind w:firstLine="409" w:firstLineChars="195"/>
      <w:jc w:val="both"/>
    </w:pPr>
    <w:rPr>
      <w:rFonts w:eastAsia="宋体"/>
      <w:kern w:val="2"/>
      <w:sz w:val="21"/>
    </w:rPr>
  </w:style>
  <w:style w:type="paragraph" w:styleId="27">
    <w:name w:val="Balloon Text"/>
    <w:basedOn w:val="1"/>
    <w:link w:val="75"/>
    <w:qFormat/>
    <w:uiPriority w:val="0"/>
    <w:pPr>
      <w:widowControl w:val="0"/>
      <w:adjustRightInd/>
      <w:snapToGrid/>
      <w:spacing w:after="0"/>
      <w:jc w:val="both"/>
    </w:pPr>
    <w:rPr>
      <w:rFonts w:eastAsia="宋体"/>
      <w:kern w:val="2"/>
      <w:sz w:val="18"/>
      <w:szCs w:val="18"/>
    </w:rPr>
  </w:style>
  <w:style w:type="paragraph" w:styleId="28">
    <w:name w:val="footer"/>
    <w:basedOn w:val="1"/>
    <w:next w:val="1"/>
    <w:link w:val="76"/>
    <w:unhideWhenUsed/>
    <w:qFormat/>
    <w:uiPriority w:val="99"/>
    <w:pPr>
      <w:tabs>
        <w:tab w:val="center" w:pos="4153"/>
        <w:tab w:val="right" w:pos="8306"/>
      </w:tabs>
    </w:pPr>
    <w:rPr>
      <w:rFonts w:ascii="Tahoma" w:hAnsi="Tahoma" w:eastAsia="宋体"/>
      <w:sz w:val="18"/>
      <w:szCs w:val="18"/>
    </w:rPr>
  </w:style>
  <w:style w:type="paragraph" w:styleId="29">
    <w:name w:val="header"/>
    <w:basedOn w:val="1"/>
    <w:link w:val="77"/>
    <w:unhideWhenUsed/>
    <w:qFormat/>
    <w:uiPriority w:val="99"/>
    <w:pPr>
      <w:pBdr>
        <w:bottom w:val="single" w:color="auto" w:sz="6" w:space="1"/>
      </w:pBdr>
      <w:tabs>
        <w:tab w:val="center" w:pos="4153"/>
        <w:tab w:val="right" w:pos="8306"/>
      </w:tabs>
      <w:jc w:val="center"/>
    </w:pPr>
    <w:rPr>
      <w:rFonts w:ascii="Tahoma" w:hAnsi="Tahoma" w:eastAsia="宋体"/>
      <w:sz w:val="18"/>
      <w:szCs w:val="18"/>
    </w:rPr>
  </w:style>
  <w:style w:type="paragraph" w:styleId="30">
    <w:name w:val="toc 1"/>
    <w:basedOn w:val="1"/>
    <w:next w:val="1"/>
    <w:qFormat/>
    <w:uiPriority w:val="39"/>
    <w:pPr>
      <w:widowControl w:val="0"/>
      <w:adjustRightInd/>
      <w:snapToGrid/>
      <w:spacing w:before="120" w:after="120"/>
    </w:pPr>
    <w:rPr>
      <w:rFonts w:eastAsia="宋体"/>
      <w:b/>
      <w:bCs/>
      <w:caps/>
      <w:kern w:val="2"/>
      <w:sz w:val="20"/>
      <w:szCs w:val="20"/>
    </w:rPr>
  </w:style>
  <w:style w:type="paragraph" w:styleId="31">
    <w:name w:val="toc 4"/>
    <w:basedOn w:val="1"/>
    <w:next w:val="1"/>
    <w:qFormat/>
    <w:uiPriority w:val="0"/>
    <w:pPr>
      <w:widowControl w:val="0"/>
      <w:adjustRightInd/>
      <w:snapToGrid/>
      <w:spacing w:after="0"/>
      <w:ind w:left="630"/>
    </w:pPr>
    <w:rPr>
      <w:rFonts w:eastAsia="宋体"/>
      <w:kern w:val="2"/>
      <w:sz w:val="18"/>
      <w:szCs w:val="18"/>
    </w:rPr>
  </w:style>
  <w:style w:type="paragraph" w:styleId="32">
    <w:name w:val="List"/>
    <w:basedOn w:val="1"/>
    <w:qFormat/>
    <w:uiPriority w:val="0"/>
    <w:pPr>
      <w:widowControl w:val="0"/>
      <w:adjustRightInd/>
      <w:snapToGrid/>
      <w:spacing w:after="0" w:line="340" w:lineRule="exact"/>
      <w:jc w:val="both"/>
    </w:pPr>
    <w:rPr>
      <w:rFonts w:eastAsia="楷体_GB2312"/>
      <w:kern w:val="2"/>
      <w:szCs w:val="20"/>
    </w:rPr>
  </w:style>
  <w:style w:type="paragraph" w:styleId="33">
    <w:name w:val="toc 6"/>
    <w:basedOn w:val="1"/>
    <w:next w:val="1"/>
    <w:qFormat/>
    <w:uiPriority w:val="0"/>
    <w:pPr>
      <w:widowControl w:val="0"/>
      <w:adjustRightInd/>
      <w:snapToGrid/>
      <w:spacing w:after="0"/>
      <w:ind w:left="1050"/>
    </w:pPr>
    <w:rPr>
      <w:rFonts w:eastAsia="宋体"/>
      <w:kern w:val="2"/>
      <w:sz w:val="18"/>
      <w:szCs w:val="18"/>
    </w:rPr>
  </w:style>
  <w:style w:type="paragraph" w:styleId="34">
    <w:name w:val="Body Text Indent 3"/>
    <w:basedOn w:val="1"/>
    <w:link w:val="78"/>
    <w:qFormat/>
    <w:uiPriority w:val="0"/>
    <w:pPr>
      <w:widowControl w:val="0"/>
      <w:adjustRightInd/>
      <w:snapToGrid/>
      <w:spacing w:after="0" w:line="480" w:lineRule="exact"/>
      <w:ind w:firstLine="420" w:firstLineChars="200"/>
      <w:jc w:val="both"/>
    </w:pPr>
    <w:rPr>
      <w:rFonts w:ascii="宋体" w:hAnsi="Courier New" w:eastAsia="宋体"/>
      <w:kern w:val="2"/>
      <w:sz w:val="21"/>
    </w:rPr>
  </w:style>
  <w:style w:type="paragraph" w:styleId="35">
    <w:name w:val="toc 2"/>
    <w:basedOn w:val="1"/>
    <w:next w:val="1"/>
    <w:qFormat/>
    <w:uiPriority w:val="39"/>
    <w:pPr>
      <w:widowControl w:val="0"/>
      <w:adjustRightInd/>
      <w:snapToGrid/>
      <w:spacing w:after="0"/>
      <w:ind w:left="210"/>
    </w:pPr>
    <w:rPr>
      <w:rFonts w:eastAsia="宋体"/>
      <w:smallCaps/>
      <w:kern w:val="2"/>
      <w:sz w:val="20"/>
      <w:szCs w:val="20"/>
    </w:rPr>
  </w:style>
  <w:style w:type="paragraph" w:styleId="36">
    <w:name w:val="toc 9"/>
    <w:basedOn w:val="1"/>
    <w:next w:val="1"/>
    <w:qFormat/>
    <w:uiPriority w:val="0"/>
    <w:pPr>
      <w:widowControl w:val="0"/>
      <w:adjustRightInd/>
      <w:snapToGrid/>
      <w:spacing w:after="0"/>
      <w:ind w:left="1680"/>
    </w:pPr>
    <w:rPr>
      <w:rFonts w:eastAsia="宋体"/>
      <w:kern w:val="2"/>
      <w:sz w:val="18"/>
      <w:szCs w:val="18"/>
    </w:rPr>
  </w:style>
  <w:style w:type="paragraph" w:styleId="37">
    <w:name w:val="Body Text 2"/>
    <w:basedOn w:val="1"/>
    <w:next w:val="17"/>
    <w:link w:val="79"/>
    <w:qFormat/>
    <w:uiPriority w:val="0"/>
    <w:pPr>
      <w:widowControl w:val="0"/>
      <w:adjustRightInd/>
      <w:snapToGrid/>
      <w:spacing w:after="0" w:line="280" w:lineRule="exact"/>
      <w:jc w:val="center"/>
    </w:pPr>
    <w:rPr>
      <w:rFonts w:eastAsia="宋体"/>
      <w:kern w:val="2"/>
      <w:sz w:val="21"/>
    </w:rPr>
  </w:style>
  <w:style w:type="paragraph" w:styleId="38">
    <w:name w:val="List 4"/>
    <w:basedOn w:val="1"/>
    <w:qFormat/>
    <w:uiPriority w:val="0"/>
    <w:pPr>
      <w:widowControl w:val="0"/>
      <w:adjustRightInd/>
      <w:snapToGrid/>
      <w:spacing w:after="0"/>
      <w:ind w:left="100" w:leftChars="600" w:hanging="200" w:hangingChars="200"/>
      <w:contextualSpacing/>
      <w:jc w:val="both"/>
    </w:pPr>
    <w:rPr>
      <w:rFonts w:eastAsia="宋体"/>
      <w:kern w:val="2"/>
      <w:sz w:val="21"/>
    </w:rPr>
  </w:style>
  <w:style w:type="paragraph" w:styleId="3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hint="eastAsia" w:ascii="宋体" w:hAnsi="宋体" w:eastAsia="宋体"/>
    </w:rPr>
  </w:style>
  <w:style w:type="paragraph" w:styleId="40">
    <w:name w:val="Normal (Web)"/>
    <w:basedOn w:val="1"/>
    <w:qFormat/>
    <w:uiPriority w:val="0"/>
    <w:pPr>
      <w:adjustRightInd/>
      <w:snapToGrid/>
      <w:spacing w:before="100" w:beforeAutospacing="1" w:after="100" w:afterAutospacing="1"/>
    </w:pPr>
    <w:rPr>
      <w:rFonts w:ascii="宋体" w:hAnsi="宋体" w:eastAsia="宋体"/>
    </w:rPr>
  </w:style>
  <w:style w:type="paragraph" w:styleId="41">
    <w:name w:val="Title"/>
    <w:qFormat/>
    <w:uiPriority w:val="0"/>
    <w:pPr>
      <w:spacing w:before="240" w:after="240"/>
      <w:jc w:val="center"/>
    </w:pPr>
    <w:rPr>
      <w:rFonts w:ascii="Times New Roman" w:hAnsi="Times New Roman" w:eastAsia="宋体" w:cs="Times New Roman"/>
      <w:b/>
      <w:sz w:val="32"/>
      <w:lang w:val="en-US" w:eastAsia="zh-CN" w:bidi="ar-SA"/>
    </w:rPr>
  </w:style>
  <w:style w:type="paragraph" w:styleId="42">
    <w:name w:val="annotation subject"/>
    <w:basedOn w:val="16"/>
    <w:next w:val="16"/>
    <w:link w:val="80"/>
    <w:semiHidden/>
    <w:qFormat/>
    <w:uiPriority w:val="0"/>
    <w:rPr>
      <w:b/>
      <w:bCs/>
    </w:rPr>
  </w:style>
  <w:style w:type="paragraph" w:styleId="43">
    <w:name w:val="Body Text First Indent"/>
    <w:basedOn w:val="17"/>
    <w:next w:val="33"/>
    <w:qFormat/>
    <w:uiPriority w:val="0"/>
    <w:pPr>
      <w:spacing w:after="120"/>
      <w:ind w:firstLine="420" w:firstLineChars="100"/>
    </w:pPr>
    <w:rPr>
      <w:sz w:val="21"/>
    </w:rPr>
  </w:style>
  <w:style w:type="paragraph" w:styleId="44">
    <w:name w:val="Body Text First Indent 2"/>
    <w:basedOn w:val="18"/>
    <w:unhideWhenUsed/>
    <w:qFormat/>
    <w:uiPriority w:val="99"/>
    <w:pPr>
      <w:ind w:firstLine="420" w:firstLineChars="200"/>
    </w:p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qFormat/>
    <w:uiPriority w:val="0"/>
    <w:rPr>
      <w:b/>
      <w:bCs/>
    </w:rPr>
  </w:style>
  <w:style w:type="character" w:styleId="49">
    <w:name w:val="page number"/>
    <w:qFormat/>
    <w:uiPriority w:val="0"/>
  </w:style>
  <w:style w:type="character" w:styleId="50">
    <w:name w:val="FollowedHyperlink"/>
    <w:qFormat/>
    <w:uiPriority w:val="0"/>
    <w:rPr>
      <w:color w:val="0000CC"/>
      <w:u w:val="none"/>
    </w:rPr>
  </w:style>
  <w:style w:type="character" w:styleId="51">
    <w:name w:val="Emphasis"/>
    <w:qFormat/>
    <w:uiPriority w:val="20"/>
    <w:rPr>
      <w:i/>
      <w:iCs/>
    </w:rPr>
  </w:style>
  <w:style w:type="character" w:styleId="52">
    <w:name w:val="HTML Definition"/>
    <w:unhideWhenUsed/>
    <w:qFormat/>
    <w:uiPriority w:val="99"/>
    <w:rPr>
      <w:i/>
    </w:rPr>
  </w:style>
  <w:style w:type="character" w:styleId="53">
    <w:name w:val="Hyperlink"/>
    <w:qFormat/>
    <w:uiPriority w:val="99"/>
    <w:rPr>
      <w:color w:val="0000CC"/>
      <w:u w:val="none"/>
    </w:rPr>
  </w:style>
  <w:style w:type="character" w:styleId="54">
    <w:name w:val="HTML Code"/>
    <w:unhideWhenUsed/>
    <w:qFormat/>
    <w:uiPriority w:val="99"/>
    <w:rPr>
      <w:rFonts w:ascii="Consolas" w:hAnsi="Consolas" w:eastAsia="Consolas" w:cs="Consolas"/>
      <w:sz w:val="21"/>
      <w:szCs w:val="21"/>
    </w:rPr>
  </w:style>
  <w:style w:type="character" w:styleId="55">
    <w:name w:val="annotation reference"/>
    <w:qFormat/>
    <w:uiPriority w:val="99"/>
    <w:rPr>
      <w:sz w:val="21"/>
      <w:szCs w:val="21"/>
    </w:rPr>
  </w:style>
  <w:style w:type="character" w:styleId="56">
    <w:name w:val="HTML Keyboard"/>
    <w:unhideWhenUsed/>
    <w:qFormat/>
    <w:uiPriority w:val="99"/>
    <w:rPr>
      <w:rFonts w:hint="default" w:ascii="Consolas" w:hAnsi="Consolas" w:eastAsia="Consolas" w:cs="Consolas"/>
      <w:sz w:val="21"/>
      <w:szCs w:val="21"/>
    </w:rPr>
  </w:style>
  <w:style w:type="character" w:styleId="57">
    <w:name w:val="HTML Sample"/>
    <w:unhideWhenUsed/>
    <w:qFormat/>
    <w:uiPriority w:val="99"/>
    <w:rPr>
      <w:rFonts w:hint="default" w:ascii="Consolas" w:hAnsi="Consolas" w:eastAsia="Consolas" w:cs="Consolas"/>
      <w:sz w:val="21"/>
      <w:szCs w:val="21"/>
    </w:rPr>
  </w:style>
  <w:style w:type="character" w:customStyle="1" w:styleId="58">
    <w:name w:val="标题 1 Char"/>
    <w:link w:val="2"/>
    <w:qFormat/>
    <w:uiPriority w:val="0"/>
    <w:rPr>
      <w:rFonts w:ascii="黑体" w:hAnsi="Times New Roman" w:eastAsia="黑体" w:cs="Times New Roman"/>
      <w:sz w:val="36"/>
      <w:szCs w:val="20"/>
    </w:rPr>
  </w:style>
  <w:style w:type="character" w:customStyle="1" w:styleId="59">
    <w:name w:val="标题 2 Char1"/>
    <w:link w:val="3"/>
    <w:qFormat/>
    <w:uiPriority w:val="0"/>
    <w:rPr>
      <w:rFonts w:ascii="Arial" w:hAnsi="Arial" w:eastAsia="黑体" w:cs="Times New Roman"/>
      <w:bCs/>
      <w:sz w:val="32"/>
      <w:szCs w:val="32"/>
    </w:rPr>
  </w:style>
  <w:style w:type="character" w:customStyle="1" w:styleId="60">
    <w:name w:val="标题 3 Char"/>
    <w:link w:val="4"/>
    <w:qFormat/>
    <w:uiPriority w:val="0"/>
    <w:rPr>
      <w:rFonts w:ascii="宋体" w:hAnsi="宋体" w:eastAsia="宋体" w:cs="Times New Roman"/>
      <w:bCs/>
      <w:sz w:val="30"/>
      <w:szCs w:val="32"/>
    </w:rPr>
  </w:style>
  <w:style w:type="character" w:customStyle="1" w:styleId="61">
    <w:name w:val="标题 4 Char"/>
    <w:link w:val="5"/>
    <w:qFormat/>
    <w:uiPriority w:val="0"/>
    <w:rPr>
      <w:rFonts w:ascii="Cambria" w:hAnsi="Cambria" w:eastAsia="宋体" w:cs="Times New Roman"/>
      <w:b/>
      <w:bCs/>
      <w:kern w:val="2"/>
      <w:sz w:val="28"/>
      <w:szCs w:val="28"/>
    </w:rPr>
  </w:style>
  <w:style w:type="character" w:customStyle="1" w:styleId="62">
    <w:name w:val="标题 5 Char"/>
    <w:link w:val="6"/>
    <w:qFormat/>
    <w:uiPriority w:val="0"/>
    <w:rPr>
      <w:rFonts w:ascii="Times New Roman" w:hAnsi="Times New Roman" w:eastAsia="宋体" w:cs="Times New Roman"/>
      <w:b/>
      <w:bCs/>
      <w:kern w:val="2"/>
      <w:sz w:val="28"/>
      <w:szCs w:val="28"/>
    </w:rPr>
  </w:style>
  <w:style w:type="character" w:customStyle="1" w:styleId="63">
    <w:name w:val="标题 6 Char"/>
    <w:link w:val="7"/>
    <w:qFormat/>
    <w:uiPriority w:val="0"/>
    <w:rPr>
      <w:rFonts w:ascii="Arial" w:hAnsi="Arial" w:eastAsia="黑体" w:cs="Times New Roman"/>
      <w:b/>
      <w:bCs/>
      <w:sz w:val="24"/>
      <w:szCs w:val="24"/>
    </w:rPr>
  </w:style>
  <w:style w:type="character" w:customStyle="1" w:styleId="64">
    <w:name w:val="标题 7 Char"/>
    <w:link w:val="8"/>
    <w:qFormat/>
    <w:uiPriority w:val="0"/>
    <w:rPr>
      <w:rFonts w:ascii="Times New Roman" w:hAnsi="Times New Roman" w:eastAsia="宋体" w:cs="Times New Roman"/>
      <w:b/>
      <w:bCs/>
      <w:sz w:val="24"/>
      <w:szCs w:val="24"/>
    </w:rPr>
  </w:style>
  <w:style w:type="character" w:customStyle="1" w:styleId="65">
    <w:name w:val="标题 8 Char"/>
    <w:link w:val="9"/>
    <w:qFormat/>
    <w:uiPriority w:val="0"/>
    <w:rPr>
      <w:rFonts w:ascii="Arial" w:hAnsi="Arial" w:eastAsia="黑体" w:cs="Times New Roman"/>
      <w:sz w:val="24"/>
      <w:szCs w:val="24"/>
    </w:rPr>
  </w:style>
  <w:style w:type="character" w:customStyle="1" w:styleId="66">
    <w:name w:val="标题 9 Char"/>
    <w:link w:val="10"/>
    <w:qFormat/>
    <w:uiPriority w:val="0"/>
    <w:rPr>
      <w:rFonts w:ascii="Arial" w:hAnsi="Arial" w:eastAsia="黑体" w:cs="Times New Roman"/>
      <w:sz w:val="21"/>
      <w:szCs w:val="21"/>
    </w:rPr>
  </w:style>
  <w:style w:type="character" w:customStyle="1" w:styleId="67">
    <w:name w:val="正文缩进 Char"/>
    <w:link w:val="14"/>
    <w:qFormat/>
    <w:uiPriority w:val="0"/>
    <w:rPr>
      <w:kern w:val="2"/>
      <w:sz w:val="21"/>
    </w:rPr>
  </w:style>
  <w:style w:type="character" w:customStyle="1" w:styleId="68">
    <w:name w:val="文档结构图 Char"/>
    <w:link w:val="15"/>
    <w:semiHidden/>
    <w:qFormat/>
    <w:uiPriority w:val="0"/>
    <w:rPr>
      <w:rFonts w:ascii="Times New Roman" w:hAnsi="Times New Roman" w:eastAsia="宋体" w:cs="Times New Roman"/>
      <w:kern w:val="2"/>
      <w:sz w:val="21"/>
      <w:szCs w:val="24"/>
      <w:shd w:val="clear" w:color="auto" w:fill="000080"/>
    </w:rPr>
  </w:style>
  <w:style w:type="character" w:customStyle="1" w:styleId="69">
    <w:name w:val="批注文字 Char"/>
    <w:link w:val="16"/>
    <w:qFormat/>
    <w:uiPriority w:val="0"/>
    <w:rPr>
      <w:rFonts w:ascii="Times New Roman" w:hAnsi="Times New Roman" w:eastAsia="宋体" w:cs="Times New Roman"/>
      <w:kern w:val="2"/>
      <w:sz w:val="21"/>
      <w:szCs w:val="24"/>
    </w:rPr>
  </w:style>
  <w:style w:type="character" w:customStyle="1" w:styleId="70">
    <w:name w:val="正文文本 Char"/>
    <w:link w:val="17"/>
    <w:qFormat/>
    <w:uiPriority w:val="0"/>
    <w:rPr>
      <w:rFonts w:ascii="Times New Roman" w:hAnsi="Times New Roman" w:eastAsia="宋体" w:cs="Times New Roman"/>
      <w:kern w:val="2"/>
      <w:sz w:val="52"/>
      <w:szCs w:val="24"/>
    </w:rPr>
  </w:style>
  <w:style w:type="character" w:customStyle="1" w:styleId="71">
    <w:name w:val="正文文本缩进 Char"/>
    <w:link w:val="18"/>
    <w:qFormat/>
    <w:uiPriority w:val="0"/>
    <w:rPr>
      <w:rFonts w:ascii="宋体" w:hAnsi="宋体" w:eastAsia="宋体" w:cs="Courier New"/>
      <w:spacing w:val="2"/>
      <w:kern w:val="2"/>
      <w:sz w:val="21"/>
      <w:szCs w:val="24"/>
    </w:rPr>
  </w:style>
  <w:style w:type="character" w:customStyle="1" w:styleId="72">
    <w:name w:val="纯文本 Char"/>
    <w:link w:val="23"/>
    <w:qFormat/>
    <w:uiPriority w:val="0"/>
    <w:rPr>
      <w:rFonts w:ascii="宋体" w:hAnsi="Courier New" w:eastAsia="宋体" w:cs="Courier New"/>
      <w:sz w:val="21"/>
      <w:szCs w:val="21"/>
    </w:rPr>
  </w:style>
  <w:style w:type="character" w:customStyle="1" w:styleId="73">
    <w:name w:val="日期 Char"/>
    <w:link w:val="25"/>
    <w:qFormat/>
    <w:uiPriority w:val="0"/>
    <w:rPr>
      <w:rFonts w:ascii="Times New Roman" w:hAnsi="Times New Roman" w:eastAsia="宋体" w:cs="Times New Roman"/>
      <w:kern w:val="2"/>
      <w:sz w:val="21"/>
      <w:szCs w:val="24"/>
    </w:rPr>
  </w:style>
  <w:style w:type="character" w:customStyle="1" w:styleId="74">
    <w:name w:val="正文文本缩进 2 Char"/>
    <w:link w:val="26"/>
    <w:qFormat/>
    <w:uiPriority w:val="0"/>
    <w:rPr>
      <w:rFonts w:ascii="Times New Roman" w:hAnsi="Times New Roman" w:eastAsia="宋体" w:cs="Times New Roman"/>
      <w:kern w:val="2"/>
      <w:sz w:val="21"/>
      <w:szCs w:val="24"/>
    </w:rPr>
  </w:style>
  <w:style w:type="character" w:customStyle="1" w:styleId="75">
    <w:name w:val="批注框文本 Char"/>
    <w:link w:val="27"/>
    <w:qFormat/>
    <w:uiPriority w:val="0"/>
    <w:rPr>
      <w:rFonts w:ascii="Times New Roman" w:hAnsi="Times New Roman" w:eastAsia="宋体" w:cs="Times New Roman"/>
      <w:kern w:val="2"/>
      <w:sz w:val="18"/>
      <w:szCs w:val="18"/>
    </w:rPr>
  </w:style>
  <w:style w:type="character" w:customStyle="1" w:styleId="76">
    <w:name w:val="页脚 Char"/>
    <w:link w:val="28"/>
    <w:semiHidden/>
    <w:qFormat/>
    <w:uiPriority w:val="99"/>
    <w:rPr>
      <w:rFonts w:ascii="Tahoma" w:hAnsi="Tahoma"/>
      <w:sz w:val="18"/>
      <w:szCs w:val="18"/>
    </w:rPr>
  </w:style>
  <w:style w:type="character" w:customStyle="1" w:styleId="77">
    <w:name w:val="页眉 Char"/>
    <w:link w:val="29"/>
    <w:semiHidden/>
    <w:qFormat/>
    <w:uiPriority w:val="99"/>
    <w:rPr>
      <w:rFonts w:ascii="Tahoma" w:hAnsi="Tahoma"/>
      <w:sz w:val="18"/>
      <w:szCs w:val="18"/>
    </w:rPr>
  </w:style>
  <w:style w:type="character" w:customStyle="1" w:styleId="78">
    <w:name w:val="正文文本缩进 3 Char"/>
    <w:link w:val="34"/>
    <w:qFormat/>
    <w:uiPriority w:val="0"/>
    <w:rPr>
      <w:rFonts w:ascii="宋体" w:hAnsi="Courier New" w:eastAsia="宋体" w:cs="Courier New"/>
      <w:kern w:val="2"/>
      <w:sz w:val="21"/>
      <w:szCs w:val="24"/>
    </w:rPr>
  </w:style>
  <w:style w:type="character" w:customStyle="1" w:styleId="79">
    <w:name w:val="正文文本 2 Char"/>
    <w:link w:val="37"/>
    <w:qFormat/>
    <w:uiPriority w:val="0"/>
    <w:rPr>
      <w:rFonts w:ascii="Times New Roman" w:hAnsi="Times New Roman" w:eastAsia="宋体" w:cs="Times New Roman"/>
      <w:kern w:val="2"/>
      <w:sz w:val="21"/>
      <w:szCs w:val="24"/>
    </w:rPr>
  </w:style>
  <w:style w:type="character" w:customStyle="1" w:styleId="80">
    <w:name w:val="批注主题 Char"/>
    <w:link w:val="42"/>
    <w:semiHidden/>
    <w:qFormat/>
    <w:uiPriority w:val="0"/>
    <w:rPr>
      <w:rFonts w:ascii="Times New Roman" w:hAnsi="Times New Roman" w:eastAsia="宋体" w:cs="Times New Roman"/>
      <w:b/>
      <w:bCs/>
      <w:kern w:val="2"/>
      <w:sz w:val="21"/>
      <w:szCs w:val="24"/>
    </w:rPr>
  </w:style>
  <w:style w:type="paragraph" w:customStyle="1" w:styleId="81">
    <w:name w:val="Title1"/>
    <w:basedOn w:val="1"/>
    <w:next w:val="1"/>
    <w:qFormat/>
    <w:uiPriority w:val="0"/>
    <w:pPr>
      <w:jc w:val="center"/>
      <w:outlineLvl w:val="0"/>
    </w:pPr>
    <w:rPr>
      <w:rFonts w:ascii="Calibri Light" w:hAnsi="Calibri Light" w:eastAsia="Arial Unicode MS"/>
      <w:b/>
    </w:rPr>
  </w:style>
  <w:style w:type="paragraph" w:customStyle="1" w:styleId="82">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83">
    <w:name w:val="tag-type1"/>
    <w:qFormat/>
    <w:uiPriority w:val="0"/>
    <w:rPr>
      <w:color w:val="FFFFFF"/>
      <w:sz w:val="18"/>
      <w:szCs w:val="18"/>
      <w:shd w:val="clear" w:color="auto" w:fill="317FFD"/>
    </w:rPr>
  </w:style>
  <w:style w:type="character" w:customStyle="1" w:styleId="84">
    <w:name w:val="last-child6"/>
    <w:qFormat/>
    <w:uiPriority w:val="0"/>
  </w:style>
  <w:style w:type="character" w:customStyle="1" w:styleId="85">
    <w:name w:val="样式 标题 2 Char"/>
    <w:link w:val="86"/>
    <w:qFormat/>
    <w:uiPriority w:val="0"/>
  </w:style>
  <w:style w:type="paragraph" w:customStyle="1" w:styleId="86">
    <w:name w:val="样式 标题 2"/>
    <w:basedOn w:val="3"/>
    <w:link w:val="85"/>
    <w:qFormat/>
    <w:uiPriority w:val="0"/>
  </w:style>
  <w:style w:type="character" w:customStyle="1" w:styleId="87">
    <w:name w:val="last-child9"/>
    <w:qFormat/>
    <w:uiPriority w:val="0"/>
  </w:style>
  <w:style w:type="character" w:customStyle="1" w:styleId="88">
    <w:name w:val="ant-select-tree-switcher"/>
    <w:qFormat/>
    <w:uiPriority w:val="0"/>
  </w:style>
  <w:style w:type="character" w:customStyle="1" w:styleId="89">
    <w:name w:val="ant-select-tree-iconele"/>
    <w:qFormat/>
    <w:uiPriority w:val="0"/>
  </w:style>
  <w:style w:type="character" w:customStyle="1" w:styleId="90">
    <w:name w:val="all-fit-info"/>
    <w:qFormat/>
    <w:uiPriority w:val="0"/>
    <w:rPr>
      <w:color w:val="939393"/>
    </w:rPr>
  </w:style>
  <w:style w:type="character" w:customStyle="1" w:styleId="91">
    <w:name w:val="ant-badge-status-dot2"/>
    <w:qFormat/>
    <w:uiPriority w:val="0"/>
    <w:rPr>
      <w:shd w:val="clear" w:color="auto" w:fill="FFFFFF"/>
    </w:rPr>
  </w:style>
  <w:style w:type="character" w:customStyle="1" w:styleId="92">
    <w:name w:val="ant-tree-icon_loading"/>
    <w:qFormat/>
    <w:uiPriority w:val="0"/>
    <w:rPr>
      <w:shd w:val="clear" w:color="auto" w:fill="FFFFFF"/>
    </w:rPr>
  </w:style>
  <w:style w:type="character" w:customStyle="1" w:styleId="93">
    <w:name w:val="current"/>
    <w:qFormat/>
    <w:uiPriority w:val="0"/>
    <w:rPr>
      <w:color w:val="00C1DE"/>
    </w:rPr>
  </w:style>
  <w:style w:type="character" w:customStyle="1" w:styleId="94">
    <w:name w:val="bds_more1"/>
    <w:qFormat/>
    <w:uiPriority w:val="0"/>
  </w:style>
  <w:style w:type="character" w:customStyle="1" w:styleId="95">
    <w:name w:val="fontstyle31"/>
    <w:qFormat/>
    <w:uiPriority w:val="0"/>
    <w:rPr>
      <w:rFonts w:hint="default" w:ascii="Times New Roman" w:hAnsi="Times New Roman" w:cs="Times New Roman"/>
      <w:color w:val="000000"/>
      <w:sz w:val="22"/>
      <w:szCs w:val="22"/>
    </w:rPr>
  </w:style>
  <w:style w:type="character" w:customStyle="1" w:styleId="96">
    <w:name w:val="fontstyle01"/>
    <w:qFormat/>
    <w:uiPriority w:val="0"/>
    <w:rPr>
      <w:rFonts w:hint="eastAsia" w:ascii="宋体" w:hAnsi="宋体" w:eastAsia="宋体"/>
      <w:color w:val="000000"/>
      <w:sz w:val="22"/>
      <w:szCs w:val="22"/>
    </w:rPr>
  </w:style>
  <w:style w:type="character" w:customStyle="1" w:styleId="97">
    <w:name w:val="last-child7"/>
    <w:qFormat/>
    <w:uiPriority w:val="0"/>
  </w:style>
  <w:style w:type="character" w:customStyle="1" w:styleId="98">
    <w:name w:val="fontstyle21"/>
    <w:qFormat/>
    <w:uiPriority w:val="0"/>
    <w:rPr>
      <w:rFonts w:hint="default" w:ascii="Times New Roman" w:hAnsi="Times New Roman" w:cs="Times New Roman"/>
      <w:b/>
      <w:bCs/>
      <w:color w:val="000000"/>
      <w:sz w:val="22"/>
      <w:szCs w:val="22"/>
    </w:rPr>
  </w:style>
  <w:style w:type="character" w:customStyle="1" w:styleId="99">
    <w:name w:val="ant-form-item-children1"/>
    <w:qFormat/>
    <w:uiPriority w:val="0"/>
  </w:style>
  <w:style w:type="character" w:customStyle="1" w:styleId="100">
    <w:name w:val="last-child8"/>
    <w:qFormat/>
    <w:uiPriority w:val="0"/>
  </w:style>
  <w:style w:type="character" w:customStyle="1" w:styleId="101">
    <w:name w:val="纯文本 Char2"/>
    <w:qFormat/>
    <w:uiPriority w:val="99"/>
    <w:rPr>
      <w:rFonts w:ascii="宋体" w:hAnsi="Courier New" w:eastAsia="宋体"/>
      <w:kern w:val="2"/>
      <w:sz w:val="21"/>
    </w:rPr>
  </w:style>
  <w:style w:type="character" w:customStyle="1" w:styleId="102">
    <w:name w:val="bds_nopic"/>
    <w:qFormat/>
    <w:uiPriority w:val="0"/>
  </w:style>
  <w:style w:type="character" w:customStyle="1" w:styleId="103">
    <w:name w:val="temp"/>
    <w:qFormat/>
    <w:uiPriority w:val="0"/>
  </w:style>
  <w:style w:type="character" w:customStyle="1" w:styleId="104">
    <w:name w:val="content8"/>
    <w:qFormat/>
    <w:uiPriority w:val="0"/>
  </w:style>
  <w:style w:type="character" w:customStyle="1" w:styleId="105">
    <w:name w:val="ant-tree-iconele"/>
    <w:qFormat/>
    <w:uiPriority w:val="0"/>
  </w:style>
  <w:style w:type="character" w:customStyle="1" w:styleId="106">
    <w:name w:val="纯文本 Char1"/>
    <w:qFormat/>
    <w:uiPriority w:val="0"/>
    <w:rPr>
      <w:rFonts w:ascii="宋体" w:hAnsi="Courier New" w:eastAsia="宋体"/>
      <w:kern w:val="2"/>
      <w:sz w:val="21"/>
    </w:rPr>
  </w:style>
  <w:style w:type="character" w:customStyle="1" w:styleId="107">
    <w:name w:val="current1"/>
    <w:qFormat/>
    <w:uiPriority w:val="0"/>
    <w:rPr>
      <w:color w:val="00C1DE"/>
    </w:rPr>
  </w:style>
  <w:style w:type="character" w:customStyle="1" w:styleId="108">
    <w:name w:val="last-of-type"/>
    <w:qFormat/>
    <w:uiPriority w:val="0"/>
    <w:rPr>
      <w:color w:val="FF4A44"/>
      <w:sz w:val="27"/>
      <w:szCs w:val="27"/>
    </w:rPr>
  </w:style>
  <w:style w:type="character" w:customStyle="1" w:styleId="109">
    <w:name w:val="all-fit-info2"/>
    <w:qFormat/>
    <w:uiPriority w:val="0"/>
    <w:rPr>
      <w:color w:val="939393"/>
    </w:rPr>
  </w:style>
  <w:style w:type="character" w:customStyle="1" w:styleId="110">
    <w:name w:val="ant-select-tree-checkbox"/>
    <w:qFormat/>
    <w:uiPriority w:val="0"/>
  </w:style>
  <w:style w:type="character" w:customStyle="1" w:styleId="111">
    <w:name w:val="bds_nopic2"/>
    <w:qFormat/>
    <w:uiPriority w:val="0"/>
  </w:style>
  <w:style w:type="character" w:customStyle="1" w:styleId="112">
    <w:name w:val="label2"/>
    <w:qFormat/>
    <w:uiPriority w:val="0"/>
  </w:style>
  <w:style w:type="character" w:customStyle="1" w:styleId="113">
    <w:name w:val="tag-type"/>
    <w:qFormat/>
    <w:uiPriority w:val="0"/>
    <w:rPr>
      <w:color w:val="FFFFFF"/>
      <w:sz w:val="18"/>
      <w:szCs w:val="18"/>
      <w:shd w:val="clear" w:color="auto" w:fill="317FFD"/>
    </w:rPr>
  </w:style>
  <w:style w:type="character" w:customStyle="1" w:styleId="114">
    <w:name w:val="Char Char2"/>
    <w:qFormat/>
    <w:uiPriority w:val="0"/>
    <w:rPr>
      <w:rFonts w:ascii="宋体" w:hAnsi="Courier New" w:eastAsia="宋体" w:cs="Courier New"/>
      <w:szCs w:val="21"/>
    </w:rPr>
  </w:style>
  <w:style w:type="character" w:customStyle="1" w:styleId="115">
    <w:name w:val="bds_nopic1"/>
    <w:qFormat/>
    <w:uiPriority w:val="0"/>
  </w:style>
  <w:style w:type="character" w:customStyle="1" w:styleId="116">
    <w:name w:val="样式 标题 3 + 五号 黑色 Char"/>
    <w:link w:val="117"/>
    <w:qFormat/>
    <w:uiPriority w:val="0"/>
    <w:rPr>
      <w:rFonts w:ascii="宋体" w:hAnsi="宋体"/>
      <w:bCs/>
      <w:color w:val="000000"/>
      <w:sz w:val="28"/>
      <w:szCs w:val="32"/>
    </w:rPr>
  </w:style>
  <w:style w:type="paragraph" w:customStyle="1" w:styleId="117">
    <w:name w:val="样式 标题 3 + 五号 黑色"/>
    <w:basedOn w:val="4"/>
    <w:link w:val="116"/>
    <w:qFormat/>
    <w:uiPriority w:val="0"/>
    <w:rPr>
      <w:color w:val="000000"/>
      <w:sz w:val="28"/>
    </w:rPr>
  </w:style>
  <w:style w:type="character" w:customStyle="1" w:styleId="118">
    <w:name w:val="all-fit-info1"/>
    <w:qFormat/>
    <w:uiPriority w:val="0"/>
    <w:rPr>
      <w:color w:val="939393"/>
    </w:rPr>
  </w:style>
  <w:style w:type="character" w:customStyle="1" w:styleId="119">
    <w:name w:val="info-label"/>
    <w:qFormat/>
    <w:uiPriority w:val="0"/>
    <w:rPr>
      <w:b/>
    </w:rPr>
  </w:style>
  <w:style w:type="character" w:customStyle="1" w:styleId="120">
    <w:name w:val="标题 2 Char"/>
    <w:qFormat/>
    <w:uiPriority w:val="0"/>
    <w:rPr>
      <w:rFonts w:ascii="Cambria" w:hAnsi="Cambria" w:eastAsia="宋体" w:cs="Times New Roman"/>
      <w:b/>
      <w:bCs/>
      <w:sz w:val="32"/>
      <w:szCs w:val="32"/>
    </w:rPr>
  </w:style>
  <w:style w:type="character" w:customStyle="1" w:styleId="121">
    <w:name w:val="ant-tree-checkbox"/>
    <w:qFormat/>
    <w:uiPriority w:val="0"/>
  </w:style>
  <w:style w:type="character" w:customStyle="1" w:styleId="122">
    <w:name w:val="普通文字 Char Char2"/>
    <w:qFormat/>
    <w:uiPriority w:val="0"/>
    <w:rPr>
      <w:rFonts w:ascii="宋体" w:hAnsi="宋体"/>
      <w:kern w:val="1"/>
      <w:sz w:val="21"/>
      <w:lang w:eastAsia="ar-SA"/>
    </w:rPr>
  </w:style>
  <w:style w:type="character" w:customStyle="1" w:styleId="123">
    <w:name w:val="first-child2"/>
    <w:qFormat/>
    <w:uiPriority w:val="0"/>
  </w:style>
  <w:style w:type="character" w:customStyle="1" w:styleId="124">
    <w:name w:val="info-content"/>
    <w:qFormat/>
    <w:uiPriority w:val="0"/>
    <w:rPr>
      <w:color w:val="808080"/>
    </w:rPr>
  </w:style>
  <w:style w:type="character" w:customStyle="1" w:styleId="125">
    <w:name w:val="ant-tree-switcher"/>
    <w:qFormat/>
    <w:uiPriority w:val="0"/>
  </w:style>
  <w:style w:type="character" w:customStyle="1" w:styleId="126">
    <w:name w:val="bds_more"/>
    <w:qFormat/>
    <w:uiPriority w:val="0"/>
    <w:rPr>
      <w:rFonts w:hint="eastAsia" w:ascii="宋体" w:hAnsi="宋体" w:eastAsia="宋体" w:cs="宋体"/>
    </w:rPr>
  </w:style>
  <w:style w:type="character" w:customStyle="1" w:styleId="127">
    <w:name w:val="apple-converted-space"/>
    <w:qFormat/>
    <w:uiPriority w:val="0"/>
  </w:style>
  <w:style w:type="character" w:customStyle="1" w:styleId="128">
    <w:name w:val="change-camera-place"/>
    <w:qFormat/>
    <w:uiPriority w:val="0"/>
    <w:rPr>
      <w:color w:val="3177FD"/>
    </w:rPr>
  </w:style>
  <w:style w:type="character" w:customStyle="1" w:styleId="129">
    <w:name w:val="标题 2 Char Char"/>
    <w:qFormat/>
    <w:uiPriority w:val="0"/>
    <w:rPr>
      <w:rFonts w:ascii="Arial" w:hAnsi="Arial" w:eastAsia="黑体"/>
      <w:bCs/>
      <w:sz w:val="32"/>
      <w:szCs w:val="32"/>
      <w:lang w:val="en-US" w:eastAsia="zh-CN" w:bidi="ar-SA"/>
    </w:rPr>
  </w:style>
  <w:style w:type="character" w:customStyle="1" w:styleId="130">
    <w:name w:val="bds_more2"/>
    <w:qFormat/>
    <w:uiPriority w:val="0"/>
  </w:style>
  <w:style w:type="paragraph" w:customStyle="1" w:styleId="131">
    <w:name w:val="BodyText"/>
    <w:basedOn w:val="1"/>
    <w:next w:val="132"/>
    <w:qFormat/>
    <w:uiPriority w:val="0"/>
    <w:pPr>
      <w:textAlignment w:val="baseline"/>
    </w:pPr>
    <w:rPr>
      <w:rFonts w:ascii="宋体" w:hAnsi="宋体" w:eastAsia="宋体"/>
    </w:rPr>
  </w:style>
  <w:style w:type="paragraph" w:customStyle="1" w:styleId="132">
    <w:name w:val="UserStyle_0"/>
    <w:next w:val="1"/>
    <w:qFormat/>
    <w:uiPriority w:val="0"/>
    <w:pPr>
      <w:spacing w:line="360" w:lineRule="auto"/>
      <w:jc w:val="both"/>
      <w:textAlignment w:val="baseline"/>
    </w:pPr>
    <w:rPr>
      <w:rFonts w:ascii="黑体" w:hAnsi="Times New Roman" w:eastAsia="黑体" w:cs="Times New Roman"/>
      <w:sz w:val="21"/>
      <w:szCs w:val="22"/>
      <w:lang w:val="en-US" w:eastAsia="zh-CN" w:bidi="ar-SA"/>
    </w:rPr>
  </w:style>
  <w:style w:type="paragraph" w:customStyle="1" w:styleId="133">
    <w:name w:val="图"/>
    <w:basedOn w:val="1"/>
    <w:qFormat/>
    <w:uiPriority w:val="0"/>
    <w:pPr>
      <w:keepNext/>
      <w:widowControl w:val="0"/>
      <w:spacing w:before="60" w:after="60" w:line="300" w:lineRule="auto"/>
      <w:jc w:val="center"/>
    </w:pPr>
    <w:rPr>
      <w:rFonts w:eastAsia="宋体"/>
      <w:spacing w:val="20"/>
      <w:szCs w:val="20"/>
    </w:rPr>
  </w:style>
  <w:style w:type="paragraph" w:customStyle="1" w:styleId="134">
    <w:name w:val="首行缩进"/>
    <w:basedOn w:val="1"/>
    <w:qFormat/>
    <w:uiPriority w:val="0"/>
    <w:pPr>
      <w:ind w:firstLine="480" w:firstLineChars="200"/>
    </w:pPr>
    <w:rPr>
      <w:rFonts w:eastAsia="宋体"/>
      <w:lang w:val="zh-CN"/>
    </w:rPr>
  </w:style>
  <w:style w:type="paragraph" w:customStyle="1" w:styleId="135">
    <w:name w:val="_Style 32"/>
    <w:basedOn w:val="1"/>
    <w:qFormat/>
    <w:uiPriority w:val="0"/>
    <w:pPr>
      <w:widowControl w:val="0"/>
      <w:adjustRightInd/>
      <w:snapToGrid/>
      <w:spacing w:after="0"/>
      <w:jc w:val="both"/>
    </w:pPr>
    <w:rPr>
      <w:rFonts w:eastAsia="宋体"/>
      <w:szCs w:val="20"/>
    </w:rPr>
  </w:style>
  <w:style w:type="paragraph" w:customStyle="1" w:styleId="136">
    <w:name w:val="Char"/>
    <w:basedOn w:val="1"/>
    <w:qFormat/>
    <w:uiPriority w:val="0"/>
    <w:pPr>
      <w:adjustRightInd/>
      <w:snapToGrid/>
      <w:spacing w:after="0" w:line="500" w:lineRule="exact"/>
      <w:jc w:val="both"/>
      <w:outlineLvl w:val="2"/>
    </w:pPr>
    <w:rPr>
      <w:rFonts w:ascii="黑体" w:hAnsi="Verdana" w:eastAsia="黑体" w:cs="黑体"/>
      <w:sz w:val="28"/>
      <w:szCs w:val="28"/>
      <w:lang w:eastAsia="en-US"/>
    </w:rPr>
  </w:style>
  <w:style w:type="paragraph" w:customStyle="1" w:styleId="137">
    <w:name w:val="标题 2_0"/>
    <w:basedOn w:val="138"/>
    <w:next w:val="138"/>
    <w:unhideWhenUsed/>
    <w:qFormat/>
    <w:uiPriority w:val="0"/>
    <w:pPr>
      <w:keepNext/>
      <w:keepLines/>
      <w:spacing w:before="260" w:after="260" w:line="416" w:lineRule="auto"/>
      <w:outlineLvl w:val="1"/>
    </w:pPr>
    <w:rPr>
      <w:rFonts w:ascii="Cambria" w:hAnsi="Cambria"/>
      <w:b/>
      <w:bCs/>
      <w:sz w:val="32"/>
      <w:szCs w:val="32"/>
    </w:rPr>
  </w:style>
  <w:style w:type="paragraph" w:customStyle="1" w:styleId="138">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9">
    <w:name w:val="_Style 15"/>
    <w:next w:val="140"/>
    <w:qFormat/>
    <w:uiPriority w:val="1"/>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140">
    <w:name w:val="列出段落1"/>
    <w:qFormat/>
    <w:uiPriority w:val="34"/>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141">
    <w:name w:val="正文2"/>
    <w:qFormat/>
    <w:uiPriority w:val="0"/>
    <w:pPr>
      <w:widowControl w:val="0"/>
      <w:adjustRightInd w:val="0"/>
      <w:spacing w:before="156" w:line="360" w:lineRule="auto"/>
      <w:ind w:firstLine="510" w:firstLineChars="200"/>
      <w:jc w:val="both"/>
    </w:pPr>
    <w:rPr>
      <w:rFonts w:ascii="Times New Roman" w:hAnsi="Times New Roman" w:eastAsia="宋体" w:cs="Times New Roman"/>
      <w:sz w:val="24"/>
      <w:lang w:val="en-US" w:eastAsia="zh-CN" w:bidi="ar-SA"/>
    </w:rPr>
  </w:style>
  <w:style w:type="paragraph" w:customStyle="1" w:styleId="142">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3">
    <w:name w:val="1"/>
    <w:basedOn w:val="1"/>
    <w:next w:val="23"/>
    <w:qFormat/>
    <w:uiPriority w:val="0"/>
    <w:pPr>
      <w:widowControl w:val="0"/>
      <w:adjustRightInd/>
      <w:snapToGrid/>
      <w:spacing w:after="0"/>
      <w:jc w:val="both"/>
    </w:pPr>
    <w:rPr>
      <w:rFonts w:ascii="宋体" w:hAnsi="Courier New" w:eastAsia="宋体"/>
      <w:kern w:val="2"/>
      <w:sz w:val="21"/>
      <w:szCs w:val="20"/>
    </w:rPr>
  </w:style>
  <w:style w:type="paragraph" w:customStyle="1" w:styleId="144">
    <w:name w:val="Char1"/>
    <w:basedOn w:val="1"/>
    <w:qFormat/>
    <w:uiPriority w:val="0"/>
    <w:pPr>
      <w:adjustRightInd/>
      <w:snapToGrid/>
      <w:spacing w:after="160" w:line="240" w:lineRule="exact"/>
    </w:pPr>
    <w:rPr>
      <w:rFonts w:ascii="Verdana" w:hAnsi="Verdana" w:eastAsia="宋体"/>
      <w:sz w:val="21"/>
      <w:szCs w:val="20"/>
      <w:lang w:eastAsia="en-US"/>
    </w:rPr>
  </w:style>
  <w:style w:type="paragraph" w:customStyle="1" w:styleId="145">
    <w:name w:val="_Style 144"/>
    <w:basedOn w:val="1"/>
    <w:next w:val="1"/>
    <w:qFormat/>
    <w:uiPriority w:val="0"/>
    <w:pPr>
      <w:pBdr>
        <w:bottom w:val="single" w:color="auto" w:sz="6" w:space="1"/>
      </w:pBdr>
      <w:jc w:val="center"/>
    </w:pPr>
    <w:rPr>
      <w:rFonts w:ascii="Arial" w:eastAsia="宋体"/>
      <w:vanish/>
      <w:sz w:val="16"/>
    </w:rPr>
  </w:style>
  <w:style w:type="paragraph" w:customStyle="1" w:styleId="146">
    <w:name w:val="Char Char Char Char Char Char Char Char Char Char Char Char Char Char Char Char"/>
    <w:basedOn w:val="1"/>
    <w:qFormat/>
    <w:uiPriority w:val="0"/>
    <w:pPr>
      <w:widowControl w:val="0"/>
      <w:tabs>
        <w:tab w:val="left" w:pos="360"/>
      </w:tabs>
      <w:adjustRightInd/>
      <w:snapToGrid/>
      <w:spacing w:after="0"/>
      <w:jc w:val="both"/>
    </w:pPr>
    <w:rPr>
      <w:rFonts w:eastAsia="宋体"/>
      <w:kern w:val="2"/>
    </w:rPr>
  </w:style>
  <w:style w:type="paragraph" w:customStyle="1" w:styleId="147">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8">
    <w:name w:val="reader-word-layer"/>
    <w:basedOn w:val="1"/>
    <w:qFormat/>
    <w:uiPriority w:val="0"/>
    <w:pPr>
      <w:adjustRightInd/>
      <w:snapToGrid/>
      <w:spacing w:before="100" w:beforeAutospacing="1" w:after="100" w:afterAutospacing="1"/>
    </w:pPr>
    <w:rPr>
      <w:rFonts w:ascii="宋体" w:hAnsi="宋体" w:eastAsia="宋体" w:cs="宋体"/>
    </w:rPr>
  </w:style>
  <w:style w:type="paragraph" w:customStyle="1" w:styleId="149">
    <w:name w:val="样式5"/>
    <w:basedOn w:val="1"/>
    <w:qFormat/>
    <w:uiPriority w:val="0"/>
    <w:pPr>
      <w:widowControl w:val="0"/>
      <w:adjustRightInd/>
      <w:snapToGrid/>
      <w:spacing w:after="0" w:line="440" w:lineRule="exact"/>
      <w:jc w:val="both"/>
    </w:pPr>
    <w:rPr>
      <w:rFonts w:ascii="汉仪中宋简" w:hAnsi="宋体" w:eastAsia="黑体"/>
      <w:kern w:val="2"/>
      <w:sz w:val="28"/>
      <w:szCs w:val="21"/>
    </w:rPr>
  </w:style>
  <w:style w:type="paragraph" w:customStyle="1" w:styleId="150">
    <w:name w:val="_Style 149"/>
    <w:basedOn w:val="1"/>
    <w:next w:val="1"/>
    <w:qFormat/>
    <w:uiPriority w:val="0"/>
    <w:pPr>
      <w:pBdr>
        <w:top w:val="single" w:color="auto" w:sz="6" w:space="1"/>
      </w:pBdr>
      <w:jc w:val="center"/>
    </w:pPr>
    <w:rPr>
      <w:rFonts w:ascii="Arial" w:eastAsia="宋体"/>
      <w:vanish/>
      <w:sz w:val="16"/>
    </w:rPr>
  </w:style>
  <w:style w:type="paragraph" w:customStyle="1" w:styleId="151">
    <w:name w:val="样式17"/>
    <w:basedOn w:val="1"/>
    <w:qFormat/>
    <w:uiPriority w:val="0"/>
    <w:pPr>
      <w:widowControl w:val="0"/>
      <w:adjustRightInd/>
      <w:snapToGrid/>
      <w:spacing w:after="0" w:line="500" w:lineRule="exact"/>
      <w:ind w:firstLine="200" w:firstLineChars="200"/>
      <w:jc w:val="both"/>
    </w:pPr>
    <w:rPr>
      <w:rFonts w:ascii="汉仪中宋简" w:hAnsi="宋体" w:eastAsia="汉仪字典宋简"/>
      <w:b/>
      <w:spacing w:val="2"/>
      <w:kern w:val="2"/>
      <w:szCs w:val="20"/>
    </w:rPr>
  </w:style>
  <w:style w:type="paragraph" w:customStyle="1" w:styleId="152">
    <w:name w:val="Char Char Char Char"/>
    <w:basedOn w:val="15"/>
    <w:qFormat/>
    <w:uiPriority w:val="0"/>
    <w:rPr>
      <w:rFonts w:ascii="宋体" w:hAnsi="Courier New"/>
      <w:szCs w:val="20"/>
    </w:rPr>
  </w:style>
  <w:style w:type="paragraph" w:customStyle="1" w:styleId="153">
    <w:name w:val="列出段落2"/>
    <w:basedOn w:val="1"/>
    <w:qFormat/>
    <w:uiPriority w:val="99"/>
    <w:pPr>
      <w:widowControl w:val="0"/>
      <w:adjustRightInd/>
      <w:snapToGrid/>
      <w:spacing w:after="0"/>
      <w:ind w:firstLine="420" w:firstLineChars="200"/>
      <w:jc w:val="both"/>
    </w:pPr>
    <w:rPr>
      <w:rFonts w:eastAsia="宋体"/>
      <w:kern w:val="2"/>
      <w:sz w:val="21"/>
    </w:rPr>
  </w:style>
  <w:style w:type="paragraph" w:customStyle="1" w:styleId="154">
    <w:name w:val="默认段落字体 Para Char Char Char Char Char Char Char Char Char1 Char Char Char Char"/>
    <w:basedOn w:val="1"/>
    <w:qFormat/>
    <w:uiPriority w:val="0"/>
    <w:rPr>
      <w:rFonts w:ascii="Tahoma" w:hAnsi="Tahoma"/>
      <w:szCs w:val="20"/>
    </w:rPr>
  </w:style>
  <w:style w:type="paragraph" w:customStyle="1" w:styleId="155">
    <w:name w:val="样式 样式 样式 样式 汉仪中宋简 (符号) 宋体 首行缩进:  2 字符 + 首行缩进:  2 字符 + 首行缩进:  2 字..."/>
    <w:basedOn w:val="1"/>
    <w:qFormat/>
    <w:uiPriority w:val="0"/>
    <w:pPr>
      <w:widowControl w:val="0"/>
      <w:adjustRightInd/>
      <w:snapToGrid/>
      <w:spacing w:after="0" w:line="440" w:lineRule="exact"/>
      <w:ind w:firstLine="488" w:firstLineChars="200"/>
      <w:jc w:val="both"/>
    </w:pPr>
    <w:rPr>
      <w:rFonts w:ascii="汉仪中宋简" w:hAnsi="宋体" w:eastAsia="汉仪字典宋简"/>
      <w:b/>
      <w:spacing w:val="2"/>
      <w:kern w:val="2"/>
      <w:szCs w:val="20"/>
    </w:rPr>
  </w:style>
  <w:style w:type="paragraph" w:customStyle="1" w:styleId="156">
    <w:name w:val="Char Char Char Char Char Char2 Char"/>
    <w:basedOn w:val="1"/>
    <w:qFormat/>
    <w:uiPriority w:val="0"/>
    <w:pPr>
      <w:widowControl w:val="0"/>
      <w:adjustRightInd/>
      <w:snapToGrid/>
      <w:spacing w:after="0" w:line="360" w:lineRule="auto"/>
      <w:ind w:firstLine="200" w:firstLineChars="200"/>
      <w:jc w:val="both"/>
    </w:pPr>
    <w:rPr>
      <w:rFonts w:ascii="宋体" w:hAnsi="宋体" w:eastAsia="宋体" w:cs="宋体"/>
      <w:kern w:val="2"/>
    </w:rPr>
  </w:style>
  <w:style w:type="paragraph" w:customStyle="1" w:styleId="157">
    <w:name w:val="样式3"/>
    <w:basedOn w:val="23"/>
    <w:qFormat/>
    <w:uiPriority w:val="0"/>
    <w:pPr>
      <w:adjustRightInd w:val="0"/>
      <w:spacing w:line="0" w:lineRule="atLeast"/>
      <w:textAlignment w:val="baseline"/>
      <w:outlineLvl w:val="0"/>
    </w:pPr>
    <w:rPr>
      <w:sz w:val="28"/>
    </w:rPr>
  </w:style>
  <w:style w:type="paragraph" w:customStyle="1" w:styleId="158">
    <w:name w:val="正文1"/>
    <w:qFormat/>
    <w:uiPriority w:val="0"/>
    <w:rPr>
      <w:rFonts w:ascii="Times New Roman" w:hAnsi="Times New Roman" w:eastAsia="Times New Roman" w:cs="Times New Roman"/>
      <w:sz w:val="24"/>
      <w:szCs w:val="24"/>
      <w:lang w:val="en-US" w:eastAsia="zh-CN" w:bidi="ar-SA"/>
    </w:rPr>
  </w:style>
  <w:style w:type="paragraph" w:customStyle="1" w:styleId="159">
    <w:name w:val="样式 样式16 + 首行缩进:  2 字符"/>
    <w:basedOn w:val="1"/>
    <w:qFormat/>
    <w:uiPriority w:val="0"/>
    <w:pPr>
      <w:widowControl w:val="0"/>
      <w:adjustRightInd/>
      <w:snapToGrid/>
      <w:spacing w:after="0" w:line="400" w:lineRule="exact"/>
      <w:ind w:firstLine="200" w:firstLineChars="200"/>
      <w:jc w:val="both"/>
    </w:pPr>
    <w:rPr>
      <w:rFonts w:ascii="汉仪中宋简" w:hAnsi="宋体" w:eastAsia="汉仪字典宋简"/>
      <w:b/>
      <w:bCs/>
      <w:spacing w:val="2"/>
      <w:kern w:val="2"/>
      <w:szCs w:val="20"/>
    </w:rPr>
  </w:style>
  <w:style w:type="paragraph" w:customStyle="1" w:styleId="160">
    <w:name w:val="Char1 Char Char Char"/>
    <w:basedOn w:val="1"/>
    <w:qFormat/>
    <w:uiPriority w:val="0"/>
    <w:pPr>
      <w:widowControl w:val="0"/>
      <w:adjustRightInd/>
      <w:snapToGrid/>
      <w:spacing w:after="0"/>
      <w:ind w:left="420" w:hanging="420"/>
      <w:jc w:val="both"/>
    </w:pPr>
    <w:rPr>
      <w:rFonts w:eastAsia="宋体"/>
      <w:kern w:val="2"/>
    </w:rPr>
  </w:style>
  <w:style w:type="paragraph" w:customStyle="1" w:styleId="161">
    <w:name w:val="Char Char Char2 Char"/>
    <w:basedOn w:val="1"/>
    <w:qFormat/>
    <w:uiPriority w:val="0"/>
    <w:pPr>
      <w:widowControl w:val="0"/>
      <w:tabs>
        <w:tab w:val="left" w:pos="815"/>
      </w:tabs>
      <w:adjustRightInd/>
      <w:snapToGrid/>
      <w:spacing w:after="0"/>
      <w:ind w:left="815" w:hanging="360"/>
      <w:jc w:val="both"/>
    </w:pPr>
    <w:rPr>
      <w:rFonts w:eastAsia="宋体"/>
      <w:kern w:val="2"/>
      <w:sz w:val="21"/>
    </w:rPr>
  </w:style>
  <w:style w:type="paragraph" w:customStyle="1" w:styleId="162">
    <w:name w:val="列表段落1"/>
    <w:basedOn w:val="1"/>
    <w:qFormat/>
    <w:uiPriority w:val="34"/>
    <w:pPr>
      <w:ind w:firstLine="420" w:firstLineChars="200"/>
    </w:pPr>
  </w:style>
  <w:style w:type="paragraph" w:customStyle="1" w:styleId="163">
    <w:name w:val="标题 1_0"/>
    <w:basedOn w:val="1"/>
    <w:next w:val="1"/>
    <w:qFormat/>
    <w:uiPriority w:val="0"/>
    <w:pPr>
      <w:keepNext/>
      <w:keepLines/>
      <w:spacing w:line="360" w:lineRule="auto"/>
      <w:outlineLvl w:val="0"/>
    </w:pPr>
    <w:rPr>
      <w:rFonts w:eastAsia="黑体"/>
      <w:b/>
      <w:bCs/>
      <w:kern w:val="44"/>
      <w:sz w:val="32"/>
      <w:szCs w:val="44"/>
    </w:rPr>
  </w:style>
  <w:style w:type="paragraph" w:customStyle="1" w:styleId="164">
    <w:name w:val="Char Char2 Char Char Char Char Char Char Char Char Char Char Char Char"/>
    <w:basedOn w:val="1"/>
    <w:qFormat/>
    <w:uiPriority w:val="0"/>
    <w:pPr>
      <w:widowControl w:val="0"/>
      <w:adjustRightInd/>
      <w:snapToGrid/>
      <w:spacing w:after="0"/>
      <w:jc w:val="both"/>
    </w:pPr>
    <w:rPr>
      <w:rFonts w:eastAsia="宋体"/>
      <w:kern w:val="2"/>
      <w:szCs w:val="20"/>
    </w:rPr>
  </w:style>
  <w:style w:type="paragraph" w:customStyle="1" w:styleId="165">
    <w:name w:val="Char Char1 Char Char Char"/>
    <w:basedOn w:val="1"/>
    <w:qFormat/>
    <w:uiPriority w:val="0"/>
    <w:pPr>
      <w:widowControl w:val="0"/>
      <w:adjustRightInd/>
      <w:snapToGrid/>
      <w:spacing w:after="0"/>
      <w:jc w:val="both"/>
    </w:pPr>
    <w:rPr>
      <w:rFonts w:eastAsia="宋体"/>
      <w:sz w:val="20"/>
      <w:szCs w:val="20"/>
    </w:rPr>
  </w:style>
  <w:style w:type="paragraph" w:customStyle="1" w:styleId="166">
    <w:name w:val="默认段落字体 Para Char Char Char Char Char Char Char Char Char1 Char"/>
    <w:basedOn w:val="15"/>
    <w:qFormat/>
    <w:uiPriority w:val="0"/>
    <w:pPr>
      <w:adjustRightInd w:val="0"/>
      <w:spacing w:line="436" w:lineRule="exact"/>
      <w:ind w:left="357"/>
      <w:jc w:val="left"/>
      <w:outlineLvl w:val="3"/>
    </w:pPr>
    <w:rPr>
      <w:shd w:val="clear" w:color="auto" w:fill="000080"/>
    </w:rPr>
  </w:style>
  <w:style w:type="paragraph" w:customStyle="1" w:styleId="167">
    <w:name w:val="Div_MsoNormal ParagraphIndent"/>
    <w:basedOn w:val="158"/>
    <w:qFormat/>
    <w:uiPriority w:val="0"/>
    <w:rPr>
      <w:rFonts w:ascii="宋体" w:hAnsi="宋体" w:eastAsia="宋体" w:cs="宋体"/>
      <w:sz w:val="21"/>
    </w:rPr>
  </w:style>
  <w:style w:type="paragraph" w:customStyle="1" w:styleId="168">
    <w:name w:val="Normal1"/>
    <w:qFormat/>
    <w:uiPriority w:val="0"/>
    <w:pPr>
      <w:jc w:val="both"/>
    </w:pPr>
    <w:rPr>
      <w:rFonts w:ascii="Times New Roman" w:hAnsi="Times New Roman" w:eastAsia="宋体" w:cs="Times New Roman"/>
      <w:kern w:val="2"/>
      <w:sz w:val="21"/>
      <w:lang w:val="en-US" w:eastAsia="zh-CN" w:bidi="ar-SA"/>
    </w:rPr>
  </w:style>
  <w:style w:type="paragraph" w:customStyle="1" w:styleId="169">
    <w:name w:val="修订1"/>
    <w:qFormat/>
    <w:uiPriority w:val="0"/>
    <w:rPr>
      <w:rFonts w:ascii="Times New Roman" w:hAnsi="Times New Roman" w:eastAsia="宋体" w:cs="Times New Roman"/>
      <w:kern w:val="2"/>
      <w:sz w:val="21"/>
      <w:szCs w:val="24"/>
      <w:lang w:val="en-US" w:eastAsia="zh-CN" w:bidi="ar-SA"/>
    </w:rPr>
  </w:style>
  <w:style w:type="paragraph" w:customStyle="1" w:styleId="170">
    <w:name w:val="msolistparagraph"/>
    <w:basedOn w:val="1"/>
    <w:qFormat/>
    <w:uiPriority w:val="0"/>
    <w:pPr>
      <w:widowControl w:val="0"/>
      <w:spacing w:after="0"/>
      <w:ind w:firstLine="420" w:firstLineChars="200"/>
      <w:jc w:val="both"/>
    </w:pPr>
    <w:rPr>
      <w:rFonts w:ascii="Calibri" w:hAnsi="Calibri" w:eastAsia="宋体"/>
      <w:kern w:val="2"/>
      <w:sz w:val="21"/>
      <w:szCs w:val="22"/>
    </w:rPr>
  </w:style>
  <w:style w:type="paragraph" w:customStyle="1" w:styleId="171">
    <w:name w:val="标题 41"/>
    <w:basedOn w:val="1"/>
    <w:next w:val="1"/>
    <w:qFormat/>
    <w:uiPriority w:val="0"/>
    <w:pPr>
      <w:keepNext/>
      <w:keepLines/>
      <w:widowControl w:val="0"/>
      <w:spacing w:after="0" w:line="360" w:lineRule="auto"/>
      <w:jc w:val="both"/>
      <w:outlineLvl w:val="3"/>
    </w:pPr>
    <w:rPr>
      <w:rFonts w:ascii="Arial" w:hAnsi="Arial"/>
      <w:b/>
      <w:sz w:val="20"/>
      <w:szCs w:val="28"/>
    </w:rPr>
  </w:style>
  <w:style w:type="paragraph" w:customStyle="1" w:styleId="172">
    <w:name w:val="Normal_2"/>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73">
    <w:name w:val="无"/>
    <w:qFormat/>
    <w:uiPriority w:val="0"/>
  </w:style>
  <w:style w:type="paragraph" w:customStyle="1" w:styleId="174">
    <w:name w:val="Heading2"/>
    <w:basedOn w:val="1"/>
    <w:next w:val="1"/>
    <w:qFormat/>
    <w:uiPriority w:val="0"/>
    <w:pPr>
      <w:keepNext/>
      <w:keepLines/>
      <w:spacing w:before="260" w:after="260" w:line="416" w:lineRule="auto"/>
    </w:pPr>
    <w:rPr>
      <w:rFonts w:ascii="Arial" w:hAnsi="Arial" w:eastAsia="黑体"/>
      <w:b/>
      <w:bCs/>
      <w:sz w:val="32"/>
      <w:szCs w:val="32"/>
    </w:rPr>
  </w:style>
  <w:style w:type="table" w:customStyle="1" w:styleId="175">
    <w:name w:val="Table Normal"/>
    <w:unhideWhenUsed/>
    <w:qFormat/>
    <w:uiPriority w:val="0"/>
    <w:tblPr>
      <w:tblCellMar>
        <w:top w:w="0" w:type="dxa"/>
        <w:left w:w="0" w:type="dxa"/>
        <w:bottom w:w="0" w:type="dxa"/>
        <w:right w:w="0" w:type="dxa"/>
      </w:tblCellMar>
    </w:tblPr>
  </w:style>
  <w:style w:type="paragraph" w:customStyle="1" w:styleId="176">
    <w:name w:val="Table Text"/>
    <w:basedOn w:val="1"/>
    <w:semiHidden/>
    <w:qFormat/>
    <w:uiPriority w:val="0"/>
    <w:rPr>
      <w:rFonts w:ascii="Arial" w:hAnsi="Arial" w:eastAsia="Arial" w:cs="Arial"/>
      <w:sz w:val="21"/>
      <w:szCs w:val="21"/>
      <w:lang w:eastAsia="en-US"/>
    </w:rPr>
  </w:style>
  <w:style w:type="character" w:customStyle="1" w:styleId="177">
    <w:name w:val="font01"/>
    <w:basedOn w:val="47"/>
    <w:qFormat/>
    <w:uiPriority w:val="0"/>
    <w:rPr>
      <w:rFonts w:hint="default" w:ascii="Arial" w:hAnsi="Arial" w:cs="Arial"/>
      <w:color w:val="000000"/>
      <w:sz w:val="20"/>
      <w:szCs w:val="20"/>
      <w:u w:val="none"/>
    </w:rPr>
  </w:style>
  <w:style w:type="character" w:customStyle="1" w:styleId="178">
    <w:name w:val="font11"/>
    <w:basedOn w:val="47"/>
    <w:qFormat/>
    <w:uiPriority w:val="0"/>
    <w:rPr>
      <w:rFonts w:hint="eastAsia" w:ascii="宋体" w:hAnsi="宋体" w:eastAsia="宋体" w:cs="宋体"/>
      <w:color w:val="000000"/>
      <w:sz w:val="21"/>
      <w:szCs w:val="21"/>
      <w:u w:val="none"/>
    </w:rPr>
  </w:style>
  <w:style w:type="paragraph" w:customStyle="1" w:styleId="179">
    <w:name w:val="正文缩进1"/>
    <w:basedOn w:val="1"/>
    <w:next w:val="18"/>
    <w:qFormat/>
    <w:uiPriority w:val="99"/>
    <w:pPr>
      <w:autoSpaceDE w:val="0"/>
      <w:autoSpaceDN w:val="0"/>
      <w:spacing w:after="120" w:line="360" w:lineRule="auto"/>
      <w:ind w:left="420" w:leftChars="200" w:firstLine="480" w:firstLineChars="200"/>
    </w:pPr>
    <w:rPr>
      <w:szCs w:val="21"/>
    </w:rPr>
  </w:style>
  <w:style w:type="paragraph" w:customStyle="1" w:styleId="180">
    <w:name w:val="修订2"/>
    <w:hidden/>
    <w:semiHidden/>
    <w:qFormat/>
    <w:uiPriority w:val="99"/>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143</Pages>
  <Words>5593</Words>
  <Characters>6364</Characters>
  <Lines>737</Lines>
  <Paragraphs>207</Paragraphs>
  <TotalTime>40</TotalTime>
  <ScaleCrop>false</ScaleCrop>
  <LinksUpToDate>false</LinksUpToDate>
  <CharactersWithSpaces>6486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2024-12-21T13:56:00Z</dcterms:created>
  <dc:creator>Administrator</dc:creator>
  <cp:lastModifiedBy>123456</cp:lastModifiedBy>
  <cp:lastPrinted>2023-03-15T11:06:00Z</cp:lastPrinted>
  <dcterms:modified xsi:type="dcterms:W3CDTF">2026-08-28T07:56:24Z</dcterms:modified>
  <dc:title>广西桂水工程咨询有限公司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C44A3C7FE246490FAE0DDE30C3EC713F_13</vt:lpwstr>
  </property>
  <property fmtid="{D5CDD505-2E9C-101B-9397-08002B2CF9AE}" pid="4" name="commondata">
    <vt:lpwstr>eyJoZGlkIjoiZjg4YTUzMTJkZDM5ZTZmYzUxZDVhNmM2MTQ3N2Y4MzUifQ==</vt:lpwstr>
  </property>
  <property fmtid="{D5CDD505-2E9C-101B-9397-08002B2CF9AE}" pid="5" name="MSIP_Label_ff6dbec8-95a8-4638-9f5f-bd076536645c_Enabled">
    <vt:lpwstr>true</vt:lpwstr>
  </property>
  <property fmtid="{D5CDD505-2E9C-101B-9397-08002B2CF9AE}" pid="6" name="MSIP_Label_ff6dbec8-95a8-4638-9f5f-bd076536645c_SetDate">
    <vt:lpwstr>2023-04-13T12:58:29Z</vt:lpwstr>
  </property>
  <property fmtid="{D5CDD505-2E9C-101B-9397-08002B2CF9AE}" pid="7" name="MSIP_Label_ff6dbec8-95a8-4638-9f5f-bd076536645c_Method">
    <vt:lpwstr>Standard</vt:lpwstr>
  </property>
  <property fmtid="{D5CDD505-2E9C-101B-9397-08002B2CF9AE}" pid="8" name="MSIP_Label_ff6dbec8-95a8-4638-9f5f-bd076536645c_Name">
    <vt:lpwstr>Restricted - Default</vt:lpwstr>
  </property>
  <property fmtid="{D5CDD505-2E9C-101B-9397-08002B2CF9AE}" pid="9" name="MSIP_Label_ff6dbec8-95a8-4638-9f5f-bd076536645c_SiteId">
    <vt:lpwstr>5dbf1add-202a-4b8d-815b-bf0fb024e033</vt:lpwstr>
  </property>
  <property fmtid="{D5CDD505-2E9C-101B-9397-08002B2CF9AE}" pid="10" name="MSIP_Label_ff6dbec8-95a8-4638-9f5f-bd076536645c_ActionId">
    <vt:lpwstr>bcf099f8-ed7c-4505-a6da-89d8dc14cc23</vt:lpwstr>
  </property>
  <property fmtid="{D5CDD505-2E9C-101B-9397-08002B2CF9AE}" pid="11" name="MSIP_Label_ff6dbec8-95a8-4638-9f5f-bd076536645c_ContentBits">
    <vt:lpwstr>0</vt:lpwstr>
  </property>
  <property fmtid="{D5CDD505-2E9C-101B-9397-08002B2CF9AE}" pid="12" name="KSOTemplateDocerSaveRecord">
    <vt:lpwstr>eyJoZGlkIjoiZjVhNGJiMWVmZTg4ZjFhYWZhYWFiMzBkODkwYWRkZmUiLCJ1c2VySWQiOiIyNzE1Njc5MDAifQ==</vt:lpwstr>
  </property>
</Properties>
</file>