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03566">
      <w:pPr>
        <w:spacing w:before="156" w:line="360" w:lineRule="auto"/>
        <w:jc w:val="center"/>
        <w:rPr>
          <w:rFonts w:hint="eastAsia" w:ascii="宋体" w:hAnsi="宋体" w:eastAsia="宋体" w:cs="宋体"/>
          <w:color w:val="auto"/>
          <w:sz w:val="52"/>
          <w:szCs w:val="52"/>
          <w:highlight w:val="none"/>
          <w:lang w:eastAsia="zh-CN"/>
        </w:rPr>
      </w:pPr>
    </w:p>
    <w:p w14:paraId="1B2CF60C">
      <w:pPr>
        <w:spacing w:before="156" w:line="360" w:lineRule="auto"/>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96"/>
          <w:szCs w:val="96"/>
          <w:highlight w:val="none"/>
        </w:rPr>
        <w:t>竞争性谈判文件</w:t>
      </w:r>
    </w:p>
    <w:p w14:paraId="1ED35015">
      <w:pPr>
        <w:spacing w:before="312" w:after="156" w:line="360"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（全流程电子化评标）</w:t>
      </w:r>
    </w:p>
    <w:p w14:paraId="1F32B42B">
      <w:pPr>
        <w:spacing w:line="360" w:lineRule="auto"/>
        <w:rPr>
          <w:rFonts w:hint="eastAsia" w:ascii="宋体" w:hAnsi="宋体" w:eastAsia="宋体" w:cs="宋体"/>
          <w:b/>
          <w:color w:val="auto"/>
          <w:sz w:val="32"/>
          <w:szCs w:val="32"/>
          <w:highlight w:val="none"/>
        </w:rPr>
      </w:pPr>
    </w:p>
    <w:p w14:paraId="039B0BDD">
      <w:pPr>
        <w:spacing w:line="360" w:lineRule="auto"/>
        <w:jc w:val="center"/>
        <w:rPr>
          <w:rFonts w:hint="eastAsia" w:ascii="宋体" w:hAnsi="宋体" w:eastAsia="宋体" w:cs="宋体"/>
          <w:b/>
          <w:color w:val="auto"/>
          <w:sz w:val="32"/>
          <w:szCs w:val="32"/>
          <w:highlight w:val="none"/>
        </w:rPr>
      </w:pPr>
    </w:p>
    <w:p w14:paraId="0C7E7335">
      <w:pPr>
        <w:spacing w:before="50" w:after="120" w:line="360" w:lineRule="auto"/>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项目名称：</w:t>
      </w:r>
      <w:r>
        <w:rPr>
          <w:rFonts w:hint="eastAsia" w:hAnsi="宋体" w:cs="宋体"/>
          <w:b/>
          <w:color w:val="auto"/>
          <w:sz w:val="30"/>
          <w:szCs w:val="72"/>
          <w:lang w:eastAsia="zh-CN"/>
        </w:rPr>
        <w:t>2026年金秀瑶族自治县扩大学前教育资源设备采购（重）</w:t>
      </w:r>
    </w:p>
    <w:p w14:paraId="04E3CFA0">
      <w:pPr>
        <w:spacing w:before="156" w:line="360" w:lineRule="auto"/>
        <w:ind w:firstLine="1145"/>
        <w:rPr>
          <w:rFonts w:hint="eastAsia" w:ascii="宋体" w:hAnsi="宋体" w:eastAsia="宋体" w:cs="宋体"/>
          <w:b/>
          <w:color w:val="auto"/>
          <w:sz w:val="30"/>
          <w:szCs w:val="48"/>
          <w:highlight w:val="none"/>
          <w:lang w:val="en-US" w:eastAsia="zh-CN"/>
        </w:rPr>
      </w:pPr>
      <w:r>
        <w:rPr>
          <w:rFonts w:hint="eastAsia" w:ascii="宋体" w:hAnsi="宋体" w:eastAsia="宋体" w:cs="宋体"/>
          <w:b/>
          <w:bCs/>
          <w:color w:val="auto"/>
          <w:sz w:val="30"/>
          <w:szCs w:val="30"/>
          <w:highlight w:val="none"/>
        </w:rPr>
        <w:t>项目编号：</w:t>
      </w:r>
      <w:r>
        <w:rPr>
          <w:rFonts w:hint="eastAsia" w:ascii="宋体" w:hAnsi="宋体" w:eastAsia="宋体" w:cs="宋体"/>
          <w:b/>
          <w:bCs/>
          <w:color w:val="auto"/>
          <w:sz w:val="30"/>
          <w:szCs w:val="30"/>
          <w:highlight w:val="none"/>
          <w:lang w:eastAsia="zh-CN"/>
        </w:rPr>
        <w:t xml:space="preserve"> LBZC2026-J1-240083-GXGS</w:t>
      </w:r>
    </w:p>
    <w:p w14:paraId="7E29D09E">
      <w:pPr>
        <w:spacing w:before="50" w:after="120" w:line="360" w:lineRule="auto"/>
        <w:ind w:firstLine="1125"/>
        <w:rPr>
          <w:rFonts w:hint="eastAsia" w:ascii="宋体" w:hAnsi="宋体" w:eastAsia="宋体" w:cs="宋体"/>
          <w:b/>
          <w:bCs/>
          <w:color w:val="auto"/>
          <w:sz w:val="30"/>
          <w:szCs w:val="30"/>
          <w:highlight w:val="none"/>
          <w:lang w:val="zh-CN" w:eastAsia="zh-CN"/>
        </w:rPr>
      </w:pPr>
    </w:p>
    <w:p w14:paraId="62B69E7C">
      <w:pPr>
        <w:spacing w:before="50" w:after="120" w:line="360" w:lineRule="auto"/>
        <w:ind w:firstLine="1125"/>
        <w:rPr>
          <w:rFonts w:hint="eastAsia" w:ascii="宋体" w:hAnsi="宋体" w:eastAsia="宋体" w:cs="宋体"/>
          <w:b/>
          <w:bCs/>
          <w:color w:val="auto"/>
          <w:sz w:val="30"/>
          <w:szCs w:val="30"/>
          <w:highlight w:val="none"/>
          <w:lang w:val="zh-CN" w:eastAsia="zh-CN"/>
        </w:rPr>
      </w:pPr>
    </w:p>
    <w:p w14:paraId="476CDA58">
      <w:pPr>
        <w:spacing w:before="50" w:after="120" w:line="360" w:lineRule="auto"/>
        <w:ind w:firstLine="1125"/>
        <w:rPr>
          <w:rFonts w:hint="eastAsia" w:ascii="宋体" w:hAnsi="宋体" w:eastAsia="宋体" w:cs="宋体"/>
          <w:b/>
          <w:bCs/>
          <w:color w:val="auto"/>
          <w:sz w:val="30"/>
          <w:szCs w:val="30"/>
          <w:highlight w:val="none"/>
          <w:lang w:val="zh-CN" w:eastAsia="zh-CN"/>
        </w:rPr>
      </w:pPr>
    </w:p>
    <w:p w14:paraId="12DB475F">
      <w:pPr>
        <w:spacing w:before="50" w:after="120" w:line="360" w:lineRule="auto"/>
        <w:ind w:firstLine="1125"/>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 xml:space="preserve">采 购 人：金秀瑶族自治县教育体育局 </w:t>
      </w:r>
      <w:r>
        <w:rPr>
          <w:rFonts w:hint="eastAsia" w:ascii="宋体" w:hAnsi="宋体" w:eastAsia="宋体" w:cs="宋体"/>
          <w:b/>
          <w:bCs/>
          <w:color w:val="auto"/>
          <w:sz w:val="30"/>
          <w:szCs w:val="30"/>
          <w:highlight w:val="none"/>
          <w:lang w:val="en-US" w:eastAsia="zh-CN"/>
        </w:rPr>
        <w:t xml:space="preserve"> </w:t>
      </w:r>
    </w:p>
    <w:p w14:paraId="6EC8899F">
      <w:pPr>
        <w:spacing w:before="50" w:after="120" w:line="360" w:lineRule="auto"/>
        <w:ind w:firstLine="1125"/>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采购代理机构：广西桂盛项目管理有限公司</w:t>
      </w:r>
    </w:p>
    <w:p w14:paraId="7FB15D74">
      <w:pPr>
        <w:spacing w:line="360" w:lineRule="auto"/>
        <w:ind w:firstLine="1928" w:firstLineChars="600"/>
        <w:jc w:val="both"/>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2026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9</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lang w:val="en-US" w:eastAsia="zh-CN"/>
        </w:rPr>
        <w:t>10</w:t>
      </w:r>
      <w:r>
        <w:rPr>
          <w:rFonts w:hint="eastAsia" w:ascii="宋体" w:hAnsi="宋体" w:eastAsia="宋体" w:cs="宋体"/>
          <w:b/>
          <w:color w:val="auto"/>
          <w:sz w:val="32"/>
          <w:szCs w:val="32"/>
          <w:highlight w:val="none"/>
        </w:rPr>
        <w:t>日</w:t>
      </w:r>
    </w:p>
    <w:p w14:paraId="5087943F">
      <w:pPr>
        <w:ind w:firstLine="803"/>
        <w:jc w:val="center"/>
        <w:rPr>
          <w:rFonts w:hint="eastAsia" w:ascii="宋体" w:hAnsi="宋体" w:eastAsia="宋体" w:cs="宋体"/>
          <w:b/>
          <w:color w:val="auto"/>
          <w:sz w:val="32"/>
          <w:szCs w:val="32"/>
          <w:highlight w:val="none"/>
          <w:lang w:val="zh-CN" w:eastAsia="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sectPr>
      </w:pPr>
    </w:p>
    <w:p w14:paraId="4B0EDDC6">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73F5D372">
      <w:pPr>
        <w:spacing w:line="400" w:lineRule="exact"/>
        <w:jc w:val="center"/>
        <w:rPr>
          <w:rFonts w:hint="eastAsia" w:ascii="宋体" w:hAnsi="宋体" w:eastAsia="宋体" w:cs="宋体"/>
          <w:b/>
          <w:color w:val="auto"/>
          <w:sz w:val="44"/>
          <w:szCs w:val="44"/>
          <w:highlight w:val="none"/>
        </w:rPr>
      </w:pPr>
    </w:p>
    <w:p w14:paraId="07835F86">
      <w:pPr>
        <w:pStyle w:val="32"/>
        <w:tabs>
          <w:tab w:val="right" w:leader="dot" w:pos="8879"/>
        </w:tabs>
        <w:rPr>
          <w:rFonts w:hint="eastAsia" w:ascii="宋体" w:hAnsi="宋体" w:eastAsia="宋体" w:cs="宋体"/>
          <w:b/>
          <w:bCs w:val="0"/>
          <w:color w:val="auto"/>
          <w:sz w:val="28"/>
          <w:szCs w:val="28"/>
          <w:highlight w:val="none"/>
        </w:rPr>
      </w:pPr>
    </w:p>
    <w:p w14:paraId="2F6B6A02">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val="0"/>
          <w:color w:val="auto"/>
          <w:sz w:val="24"/>
          <w:szCs w:val="24"/>
          <w:highlight w:val="none"/>
        </w:rPr>
        <w:fldChar w:fldCharType="begin"/>
      </w:r>
      <w:r>
        <w:rPr>
          <w:rFonts w:hint="eastAsia" w:ascii="宋体" w:hAnsi="宋体" w:eastAsia="宋体" w:cs="宋体"/>
          <w:b/>
          <w:bCs w:val="0"/>
          <w:color w:val="auto"/>
          <w:sz w:val="24"/>
          <w:szCs w:val="24"/>
          <w:highlight w:val="none"/>
        </w:rPr>
        <w:instrText xml:space="preserve">TOC \o "1-1" \h \u </w:instrText>
      </w:r>
      <w:r>
        <w:rPr>
          <w:rFonts w:hint="eastAsia" w:ascii="宋体" w:hAnsi="宋体" w:eastAsia="宋体" w:cs="宋体"/>
          <w:b/>
          <w:bCs w:val="0"/>
          <w:color w:val="auto"/>
          <w:sz w:val="24"/>
          <w:szCs w:val="24"/>
          <w:highlight w:val="none"/>
        </w:rPr>
        <w:fldChar w:fldCharType="separate"/>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第一章 竞争性谈判公告</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C417FDC">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第二章 采购需求</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E68BCBE">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第三章 供应商须知</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34</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282AD6A9">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第四章 评审程序、评审方法和成交标准</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54</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5446C856">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第五章 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60</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1A9139D3">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第六章 合同文本</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93</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11D45949">
      <w:pPr>
        <w:pStyle w:val="32"/>
        <w:tabs>
          <w:tab w:val="right" w:leader="dot" w:pos="8879"/>
        </w:tabs>
        <w:spacing w:line="480" w:lineRule="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第七章 质疑、投诉材料格式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101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DB14C47">
      <w:pPr>
        <w:spacing w:line="48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rPr>
        <w:fldChar w:fldCharType="end"/>
      </w:r>
    </w:p>
    <w:p w14:paraId="2B8D22EF">
      <w:pPr>
        <w:spacing w:line="400" w:lineRule="exact"/>
        <w:jc w:val="center"/>
        <w:rPr>
          <w:rFonts w:hint="eastAsia" w:ascii="宋体" w:hAnsi="宋体" w:eastAsia="宋体" w:cs="宋体"/>
          <w:b/>
          <w:color w:val="auto"/>
          <w:sz w:val="32"/>
          <w:szCs w:val="32"/>
          <w:highlight w:val="none"/>
        </w:rPr>
      </w:pPr>
    </w:p>
    <w:p w14:paraId="1725A83F">
      <w:pPr>
        <w:spacing w:line="400" w:lineRule="exact"/>
        <w:jc w:val="center"/>
        <w:rPr>
          <w:rFonts w:hint="eastAsia" w:ascii="宋体" w:hAnsi="宋体" w:eastAsia="宋体" w:cs="宋体"/>
          <w:b/>
          <w:color w:val="auto"/>
          <w:sz w:val="32"/>
          <w:szCs w:val="32"/>
          <w:highlight w:val="none"/>
        </w:rPr>
      </w:pPr>
    </w:p>
    <w:p w14:paraId="164F2159">
      <w:pPr>
        <w:spacing w:line="400" w:lineRule="exact"/>
        <w:rPr>
          <w:rFonts w:hint="eastAsia" w:ascii="宋体" w:hAnsi="宋体" w:eastAsia="宋体" w:cs="宋体"/>
          <w:b/>
          <w:color w:val="auto"/>
          <w:sz w:val="32"/>
          <w:szCs w:val="32"/>
          <w:highlight w:val="none"/>
        </w:rPr>
        <w:sectPr>
          <w:footerReference r:id="rId8" w:type="first"/>
          <w:footerReference r:id="rId7" w:type="default"/>
          <w:pgSz w:w="11906" w:h="16838"/>
          <w:pgMar w:top="1440" w:right="1440" w:bottom="1440" w:left="1587" w:header="851" w:footer="992" w:gutter="0"/>
          <w:cols w:space="720" w:num="1"/>
          <w:titlePg/>
        </w:sectPr>
      </w:pPr>
    </w:p>
    <w:p w14:paraId="2D1B4F3A">
      <w:pPr>
        <w:keepNext/>
        <w:keepLines/>
        <w:spacing w:before="340" w:after="330" w:line="400" w:lineRule="exact"/>
        <w:jc w:val="center"/>
        <w:outlineLvl w:val="0"/>
        <w:rPr>
          <w:rFonts w:hint="eastAsia" w:ascii="宋体" w:hAnsi="宋体" w:eastAsia="宋体" w:cs="宋体"/>
          <w:b/>
          <w:bCs/>
          <w:color w:val="auto"/>
          <w:sz w:val="44"/>
          <w:szCs w:val="44"/>
          <w:highlight w:val="none"/>
          <w:lang w:val="zh-CN" w:eastAsia="zh-CN"/>
        </w:rPr>
      </w:pPr>
      <w:bookmarkStart w:id="0" w:name="_Toc80205920"/>
      <w:bookmarkStart w:id="1" w:name="_Toc21558"/>
      <w:bookmarkStart w:id="2" w:name="_Toc6626"/>
      <w:bookmarkStart w:id="3" w:name="_Toc32002"/>
      <w:bookmarkStart w:id="4" w:name="_Toc21011"/>
      <w:bookmarkStart w:id="5" w:name="_Toc28468"/>
      <w:bookmarkStart w:id="6" w:name="_Toc7085"/>
      <w:bookmarkStart w:id="7" w:name="_Toc15375"/>
      <w:bookmarkStart w:id="8" w:name="_Toc2567"/>
      <w:r>
        <w:rPr>
          <w:rFonts w:hint="eastAsia" w:ascii="宋体" w:hAnsi="宋体" w:eastAsia="宋体" w:cs="宋体"/>
          <w:b/>
          <w:bCs/>
          <w:color w:val="auto"/>
          <w:sz w:val="44"/>
          <w:szCs w:val="44"/>
          <w:highlight w:val="none"/>
          <w:lang w:val="zh-CN" w:eastAsia="zh-CN"/>
        </w:rPr>
        <w:t>第一章 竞争性谈判公告</w:t>
      </w:r>
      <w:bookmarkEnd w:id="0"/>
      <w:bookmarkEnd w:id="1"/>
      <w:bookmarkEnd w:id="2"/>
      <w:bookmarkEnd w:id="3"/>
      <w:bookmarkEnd w:id="4"/>
      <w:bookmarkEnd w:id="5"/>
      <w:bookmarkEnd w:id="6"/>
      <w:bookmarkEnd w:id="7"/>
      <w:bookmarkEnd w:id="8"/>
      <w:bookmarkStart w:id="9" w:name="_Toc35393629"/>
      <w:bookmarkStart w:id="10" w:name="_Toc28359012"/>
      <w:bookmarkStart w:id="11" w:name="_Toc28359089"/>
      <w:bookmarkStart w:id="12" w:name="_Toc35393798"/>
      <w:bookmarkStart w:id="13" w:name="_Toc44229878"/>
      <w:bookmarkStart w:id="14" w:name="_Toc35393792"/>
      <w:bookmarkStart w:id="15" w:name="_Toc35393623"/>
      <w:bookmarkStart w:id="16" w:name="_Toc28359081"/>
      <w:bookmarkStart w:id="17" w:name="_Toc28359004"/>
    </w:p>
    <w:tbl>
      <w:tblPr>
        <w:tblStyle w:val="45"/>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4A22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4111C50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7D2BF1EE">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2026年金秀瑶族自治县扩大学前教育资源设备采购（重）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采购项目的潜在供应商应在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8"/>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）获取</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文件，并于</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16</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10</w:t>
            </w: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00</w:t>
            </w:r>
            <w:r>
              <w:rPr>
                <w:rFonts w:hint="eastAsia" w:ascii="宋体" w:hAnsi="宋体" w:cs="宋体"/>
                <w:color w:val="auto"/>
                <w:szCs w:val="21"/>
                <w:highlight w:val="none"/>
              </w:rPr>
              <w:t>（北京时间）</w:t>
            </w:r>
            <w:r>
              <w:rPr>
                <w:rFonts w:hint="eastAsia" w:ascii="宋体" w:hAnsi="宋体" w:eastAsia="宋体" w:cs="宋体"/>
                <w:color w:val="auto"/>
                <w:szCs w:val="21"/>
                <w:highlight w:val="none"/>
              </w:rPr>
              <w:t>前提交响应文件。</w:t>
            </w:r>
          </w:p>
        </w:tc>
      </w:tr>
    </w:tbl>
    <w:p w14:paraId="628C4486">
      <w:pPr>
        <w:rPr>
          <w:rFonts w:hint="eastAsia" w:ascii="宋体" w:hAnsi="宋体" w:eastAsia="宋体" w:cs="宋体"/>
          <w:color w:val="auto"/>
          <w:szCs w:val="24"/>
          <w:highlight w:val="none"/>
        </w:rPr>
      </w:pPr>
    </w:p>
    <w:p w14:paraId="52719FE9">
      <w:pPr>
        <w:spacing w:line="360" w:lineRule="auto"/>
        <w:ind w:firstLine="480"/>
        <w:rPr>
          <w:rFonts w:hint="eastAsia" w:ascii="宋体" w:hAnsi="宋体" w:eastAsia="宋体" w:cs="宋体"/>
          <w:color w:val="auto"/>
          <w:szCs w:val="24"/>
          <w:highlight w:val="none"/>
        </w:rPr>
      </w:pPr>
      <w:r>
        <w:rPr>
          <w:rFonts w:hint="eastAsia" w:ascii="宋体" w:hAnsi="宋体" w:eastAsia="宋体" w:cs="宋体"/>
          <w:bCs/>
          <w:color w:val="auto"/>
          <w:sz w:val="24"/>
          <w:szCs w:val="24"/>
          <w:highlight w:val="none"/>
        </w:rPr>
        <w:t>一、项目基本情况</w:t>
      </w:r>
      <w:bookmarkEnd w:id="9"/>
      <w:bookmarkEnd w:id="10"/>
      <w:bookmarkEnd w:id="11"/>
      <w:bookmarkEnd w:id="12"/>
      <w:bookmarkEnd w:id="13"/>
    </w:p>
    <w:p w14:paraId="0028952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 xml:space="preserve"> LBZC2026-J1-240083-GXGS</w:t>
      </w:r>
      <w:r>
        <w:rPr>
          <w:rFonts w:hint="eastAsia" w:ascii="宋体" w:hAnsi="宋体" w:eastAsia="宋体" w:cs="宋体"/>
          <w:color w:val="auto"/>
          <w:szCs w:val="21"/>
          <w:highlight w:val="none"/>
        </w:rPr>
        <w:tab/>
      </w:r>
    </w:p>
    <w:p w14:paraId="3A8D629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2026年金秀瑶族自治县扩大学前教育资源设备采购（重）</w:t>
      </w:r>
      <w:r>
        <w:rPr>
          <w:rFonts w:hint="eastAsia" w:ascii="宋体" w:hAnsi="宋体" w:eastAsia="宋体" w:cs="宋体"/>
          <w:color w:val="auto"/>
          <w:szCs w:val="21"/>
          <w:highlight w:val="none"/>
        </w:rPr>
        <w:t xml:space="preserve"> </w:t>
      </w:r>
    </w:p>
    <w:p w14:paraId="0141FBC3">
      <w:pPr>
        <w:pStyle w:val="44"/>
        <w:ind w:left="0" w:leftChars="0" w:firstLine="420" w:firstLineChars="200"/>
        <w:rPr>
          <w:color w:val="auto"/>
          <w:highlight w:val="none"/>
        </w:rPr>
      </w:pPr>
      <w:r>
        <w:rPr>
          <w:rFonts w:hint="eastAsia" w:ascii="宋体" w:hAnsi="宋体"/>
          <w:color w:val="auto"/>
          <w:szCs w:val="21"/>
          <w:highlight w:val="none"/>
          <w:lang w:val="en-US" w:eastAsia="zh-CN"/>
        </w:rPr>
        <w:t>采购方式：竞争性谈判</w:t>
      </w:r>
    </w:p>
    <w:p w14:paraId="32188D63">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预算</w:t>
      </w:r>
      <w:r>
        <w:rPr>
          <w:rFonts w:hint="eastAsia" w:ascii="宋体" w:hAnsi="宋体" w:eastAsia="宋体" w:cs="宋体"/>
          <w:color w:val="auto"/>
          <w:szCs w:val="21"/>
          <w:highlight w:val="none"/>
          <w:lang w:val="en-US" w:eastAsia="zh-CN"/>
        </w:rPr>
        <w:t>总</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：人民币壹佰壹拾陆万零贰佰元整（¥1160200.00元）</w:t>
      </w:r>
    </w:p>
    <w:p w14:paraId="313BA2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4C11FCEC">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标项名称：</w:t>
      </w:r>
      <w:r>
        <w:rPr>
          <w:rFonts w:hint="eastAsia" w:ascii="宋体" w:hAnsi="宋体" w:eastAsia="宋体" w:cs="宋体"/>
          <w:color w:val="auto"/>
          <w:szCs w:val="21"/>
          <w:highlight w:val="none"/>
          <w:lang w:eastAsia="zh-CN"/>
        </w:rPr>
        <w:t>2026年金秀瑶族自治县扩大学前教育资源设备采购（重）</w:t>
      </w:r>
    </w:p>
    <w:p w14:paraId="310906D3">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数量：1批</w:t>
      </w:r>
    </w:p>
    <w:p w14:paraId="7833301F">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预算金额（元）：人民币壹佰壹拾陆万零贰佰元整（¥1160200.00元）</w:t>
      </w:r>
    </w:p>
    <w:p w14:paraId="65EF7E4E">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rPr>
        <w:t>简要规格描述或项目基本概况介绍、用途：</w:t>
      </w:r>
      <w:r>
        <w:rPr>
          <w:rFonts w:hint="eastAsia" w:ascii="宋体" w:hAnsi="宋体" w:eastAsia="宋体" w:cs="宋体"/>
          <w:i w:val="0"/>
          <w:iCs w:val="0"/>
          <w:caps w:val="0"/>
          <w:color w:val="auto"/>
          <w:spacing w:val="0"/>
          <w:sz w:val="21"/>
          <w:szCs w:val="21"/>
          <w:highlight w:val="none"/>
          <w:shd w:val="clear" w:color="auto"/>
          <w:lang w:val="en-US" w:eastAsia="zh-CN"/>
        </w:rPr>
        <w:t>详见采购需求。</w:t>
      </w:r>
    </w:p>
    <w:p w14:paraId="02F2881E">
      <w:pPr>
        <w:spacing w:line="360" w:lineRule="auto"/>
        <w:ind w:firstLine="420"/>
        <w:rPr>
          <w:rFonts w:hint="eastAsia" w:ascii="宋体" w:hAnsi="宋体" w:eastAsia="宋体" w:cs="宋体"/>
          <w:color w:val="auto"/>
          <w:szCs w:val="22"/>
          <w:highlight w:val="none"/>
        </w:rPr>
      </w:pPr>
      <w:r>
        <w:rPr>
          <w:rFonts w:hint="eastAsia" w:ascii="宋体" w:hAnsi="宋体" w:eastAsia="宋体" w:cs="宋体"/>
          <w:color w:val="auto"/>
          <w:szCs w:val="22"/>
          <w:highlight w:val="none"/>
        </w:rPr>
        <w:t>最高限价（如有）</w:t>
      </w:r>
      <w:r>
        <w:rPr>
          <w:rFonts w:hint="eastAsia" w:ascii="宋体" w:hAnsi="宋体" w:eastAsia="宋体" w:cs="宋体"/>
          <w:color w:val="auto"/>
          <w:szCs w:val="22"/>
          <w:highlight w:val="none"/>
          <w:lang w:eastAsia="zh-CN"/>
        </w:rPr>
        <w:t>：</w:t>
      </w:r>
      <w:r>
        <w:rPr>
          <w:rFonts w:hint="eastAsia" w:ascii="宋体" w:hAnsi="宋体" w:eastAsia="宋体" w:cs="宋体"/>
          <w:color w:val="auto"/>
          <w:szCs w:val="21"/>
          <w:highlight w:val="none"/>
          <w:lang w:val="en-US" w:eastAsia="zh-CN"/>
        </w:rPr>
        <w:t>人民币壹佰壹拾陆万零贰佰元整（¥1160200.00元）</w:t>
      </w:r>
    </w:p>
    <w:p w14:paraId="7465D16D">
      <w:pPr>
        <w:spacing w:line="360" w:lineRule="auto"/>
        <w:ind w:firstLine="420"/>
        <w:rPr>
          <w:rFonts w:hint="eastAsia" w:ascii="宋体" w:hAnsi="宋体" w:eastAsia="宋体" w:cs="宋体"/>
          <w:color w:val="auto"/>
          <w:szCs w:val="22"/>
          <w:highlight w:val="none"/>
        </w:rPr>
      </w:pPr>
      <w:r>
        <w:rPr>
          <w:rFonts w:hint="eastAsia" w:ascii="宋体" w:hAnsi="宋体" w:eastAsia="宋体" w:cs="宋体"/>
          <w:color w:val="auto"/>
          <w:szCs w:val="22"/>
          <w:highlight w:val="none"/>
        </w:rPr>
        <w:t>合同履行期限：</w:t>
      </w:r>
      <w:r>
        <w:rPr>
          <w:rFonts w:hint="eastAsia"/>
          <w:color w:val="auto"/>
        </w:rPr>
        <w:t>自签订合同之日起 30 日内安装调试培训完毕，验收合格并交付使用。</w:t>
      </w:r>
    </w:p>
    <w:p w14:paraId="7233CECB">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szCs w:val="22"/>
          <w:highlight w:val="none"/>
        </w:rPr>
        <w:t>本项目（</w:t>
      </w:r>
      <w:r>
        <w:rPr>
          <w:rFonts w:hint="eastAsia" w:ascii="宋体" w:hAnsi="宋体" w:eastAsia="宋体" w:cs="宋体"/>
          <w:i w:val="0"/>
          <w:iCs w:val="0"/>
          <w:color w:val="auto"/>
          <w:szCs w:val="22"/>
          <w:highlight w:val="none"/>
        </w:rPr>
        <w:t>是/否</w:t>
      </w:r>
      <w:r>
        <w:rPr>
          <w:rFonts w:hint="eastAsia" w:ascii="宋体" w:hAnsi="宋体" w:eastAsia="宋体" w:cs="宋体"/>
          <w:color w:val="auto"/>
          <w:szCs w:val="22"/>
          <w:highlight w:val="none"/>
        </w:rPr>
        <w:t>）接受联合体</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否</w:t>
      </w:r>
    </w:p>
    <w:p w14:paraId="310C4B07">
      <w:pPr>
        <w:spacing w:line="360" w:lineRule="auto"/>
        <w:ind w:firstLine="482"/>
        <w:rPr>
          <w:rFonts w:hint="eastAsia" w:ascii="宋体" w:hAnsi="宋体" w:eastAsia="宋体" w:cs="宋体"/>
          <w:bCs/>
          <w:color w:val="auto"/>
          <w:sz w:val="24"/>
          <w:szCs w:val="24"/>
          <w:highlight w:val="none"/>
          <w:lang w:eastAsia="zh-CN"/>
        </w:rPr>
      </w:pPr>
      <w:bookmarkStart w:id="18" w:name="_Toc35393630"/>
      <w:bookmarkStart w:id="19" w:name="_Toc28359090"/>
      <w:bookmarkStart w:id="20" w:name="_Toc35393799"/>
      <w:bookmarkStart w:id="21" w:name="_Toc28359013"/>
      <w:bookmarkStart w:id="22" w:name="_Toc44229879"/>
      <w:r>
        <w:rPr>
          <w:rFonts w:hint="eastAsia" w:ascii="宋体" w:hAnsi="宋体" w:eastAsia="宋体" w:cs="宋体"/>
          <w:b/>
          <w:color w:val="auto"/>
          <w:sz w:val="24"/>
          <w:szCs w:val="24"/>
          <w:highlight w:val="none"/>
        </w:rPr>
        <w:t>二、</w:t>
      </w:r>
      <w:r>
        <w:rPr>
          <w:rFonts w:hint="eastAsia" w:ascii="宋体" w:hAnsi="宋体" w:eastAsia="宋体" w:cs="宋体"/>
          <w:b/>
          <w:color w:val="auto"/>
          <w:sz w:val="24"/>
          <w:szCs w:val="24"/>
          <w:highlight w:val="none"/>
          <w:lang w:eastAsia="zh-CN"/>
        </w:rPr>
        <w:t>申请人</w:t>
      </w:r>
      <w:r>
        <w:rPr>
          <w:rFonts w:hint="eastAsia" w:ascii="宋体" w:hAnsi="宋体" w:eastAsia="宋体" w:cs="宋体"/>
          <w:b/>
          <w:color w:val="auto"/>
          <w:sz w:val="24"/>
          <w:szCs w:val="24"/>
          <w:highlight w:val="none"/>
        </w:rPr>
        <w:t>的资格</w:t>
      </w:r>
      <w:bookmarkEnd w:id="18"/>
      <w:bookmarkEnd w:id="19"/>
      <w:bookmarkEnd w:id="20"/>
      <w:bookmarkEnd w:id="21"/>
      <w:bookmarkEnd w:id="22"/>
      <w:r>
        <w:rPr>
          <w:rFonts w:hint="eastAsia" w:ascii="宋体" w:hAnsi="宋体" w:eastAsia="宋体" w:cs="宋体"/>
          <w:b/>
          <w:color w:val="auto"/>
          <w:sz w:val="24"/>
          <w:szCs w:val="24"/>
          <w:highlight w:val="none"/>
          <w:lang w:eastAsia="zh-CN"/>
        </w:rPr>
        <w:t>要求</w:t>
      </w:r>
    </w:p>
    <w:p w14:paraId="7EFE591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满足《中华人民共和国政府采购法》第二十二条规定；</w:t>
      </w:r>
    </w:p>
    <w:p w14:paraId="77D0A358">
      <w:pPr>
        <w:pageBreakBefore w:val="0"/>
        <w:widowControl w:val="0"/>
        <w:overflowPunct/>
        <w:topLinePunct w:val="0"/>
        <w:bidi w:val="0"/>
        <w:spacing w:line="400" w:lineRule="exact"/>
        <w:ind w:firstLine="420" w:firstLineChars="200"/>
        <w:rPr>
          <w:rFonts w:hint="eastAsia" w:ascii="Times New Roman" w:hAnsi="Times New Roman" w:eastAsia="宋体" w:cs="Times New Roman"/>
          <w:b/>
          <w:bCs/>
          <w:color w:val="auto"/>
          <w:sz w:val="21"/>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落实政府采购政策需满足的资格要求：本项目属于部分预留份额专门面向中小企业采购的项目，预留本项目预算金额的 44.13%专门面向中小企业采购</w:t>
      </w:r>
      <w:r>
        <w:rPr>
          <w:rFonts w:hint="eastAsia" w:ascii="宋体" w:hAnsi="宋体" w:eastAsia="宋体" w:cs="宋体"/>
          <w:color w:val="auto"/>
          <w:szCs w:val="21"/>
          <w:highlight w:val="none"/>
          <w:lang w:eastAsia="zh-CN"/>
        </w:rPr>
        <w:t>，预留份额部分货物制造商应为中小企业或监狱企业或残疾人福利性单位。</w:t>
      </w:r>
    </w:p>
    <w:p w14:paraId="25C735E7">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本项目的特定资格要求：</w:t>
      </w:r>
      <w:r>
        <w:rPr>
          <w:rFonts w:hint="eastAsia" w:ascii="宋体" w:hAnsi="宋体" w:eastAsia="宋体" w:cs="宋体"/>
          <w:i w:val="0"/>
          <w:iCs w:val="0"/>
          <w:color w:val="auto"/>
          <w:szCs w:val="21"/>
          <w:highlight w:val="none"/>
          <w:u w:val="none"/>
          <w:lang w:val="en-US" w:eastAsia="zh-CN"/>
        </w:rPr>
        <w:t>无。</w:t>
      </w:r>
    </w:p>
    <w:p w14:paraId="30CC54A3">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文件</w:t>
      </w:r>
      <w:bookmarkEnd w:id="14"/>
      <w:bookmarkEnd w:id="15"/>
      <w:bookmarkEnd w:id="16"/>
      <w:bookmarkEnd w:id="17"/>
    </w:p>
    <w:p w14:paraId="283796F2">
      <w:pPr>
        <w:spacing w:line="360" w:lineRule="auto"/>
        <w:ind w:firstLine="540"/>
        <w:rPr>
          <w:rFonts w:hint="eastAsia" w:ascii="宋体" w:hAnsi="宋体" w:eastAsia="宋体" w:cs="宋体"/>
          <w:bCs/>
          <w:color w:val="auto"/>
          <w:szCs w:val="21"/>
          <w:highlight w:val="none"/>
        </w:rPr>
      </w:pPr>
      <w:bookmarkStart w:id="23" w:name="_Toc35393793"/>
      <w:bookmarkStart w:id="24" w:name="_Toc28359005"/>
      <w:bookmarkStart w:id="25" w:name="_Toc35393624"/>
      <w:bookmarkStart w:id="26" w:name="_Toc28359082"/>
      <w:r>
        <w:rPr>
          <w:rFonts w:hint="eastAsia" w:ascii="宋体" w:hAnsi="宋体" w:eastAsia="宋体" w:cs="宋体"/>
          <w:bCs/>
          <w:color w:val="auto"/>
          <w:szCs w:val="21"/>
          <w:highlight w:val="none"/>
        </w:rPr>
        <w:t>时间：</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10</w:t>
      </w:r>
      <w:r>
        <w:rPr>
          <w:rFonts w:hint="eastAsia" w:ascii="宋体" w:hAnsi="宋体" w:eastAsia="宋体" w:cs="宋体"/>
          <w:bCs/>
          <w:color w:val="auto"/>
          <w:szCs w:val="21"/>
          <w:highlight w:val="none"/>
        </w:rPr>
        <w:t>日至</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15</w:t>
      </w:r>
      <w:r>
        <w:rPr>
          <w:rFonts w:hint="eastAsia" w:ascii="宋体" w:hAnsi="宋体" w:eastAsia="宋体" w:cs="宋体"/>
          <w:bCs/>
          <w:color w:val="auto"/>
          <w:szCs w:val="21"/>
          <w:highlight w:val="none"/>
        </w:rPr>
        <w:t>日，每天上午</w:t>
      </w:r>
      <w:r>
        <w:rPr>
          <w:rFonts w:hint="eastAsia" w:ascii="宋体" w:hAnsi="宋体" w:eastAsia="宋体" w:cs="宋体"/>
          <w:color w:val="auto"/>
          <w:szCs w:val="21"/>
          <w:highlight w:val="none"/>
        </w:rPr>
        <w:t>00:00至12:00</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下午12:00至23:59</w:t>
      </w:r>
      <w:r>
        <w:rPr>
          <w:rFonts w:hint="eastAsia" w:ascii="宋体" w:hAnsi="宋体" w:eastAsia="宋体" w:cs="宋体"/>
          <w:bCs/>
          <w:color w:val="auto"/>
          <w:szCs w:val="21"/>
          <w:highlight w:val="none"/>
        </w:rPr>
        <w:t>（北京时间，法定节假日除外）</w:t>
      </w:r>
    </w:p>
    <w:p w14:paraId="5D2C9163">
      <w:pPr>
        <w:spacing w:line="360" w:lineRule="auto"/>
        <w:ind w:firstLine="54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地点：</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8"/>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w:t>
      </w:r>
    </w:p>
    <w:p w14:paraId="75265F8B">
      <w:pPr>
        <w:spacing w:line="360" w:lineRule="auto"/>
        <w:ind w:firstLine="420"/>
        <w:rPr>
          <w:rFonts w:hint="eastAsia"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w:t>
      </w:r>
      <w:r>
        <w:rPr>
          <w:rFonts w:hint="eastAsia" w:ascii="宋体" w:hAnsi="宋体" w:eastAsia="宋体" w:cs="宋体"/>
          <w:color w:val="auto"/>
          <w:szCs w:val="21"/>
          <w:highlight w:val="none"/>
          <w:lang w:eastAsia="zh-CN"/>
        </w:rPr>
        <w:t>潜在</w:t>
      </w:r>
      <w:r>
        <w:rPr>
          <w:rFonts w:hint="eastAsia" w:ascii="宋体" w:hAnsi="宋体" w:eastAsia="宋体" w:cs="宋体"/>
          <w:color w:val="auto"/>
          <w:szCs w:val="21"/>
          <w:highlight w:val="none"/>
        </w:rPr>
        <w:t>供应商可自行在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8"/>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-项目采购-获取采购文件-找到本项目-点击“申请获取采购文件”），</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制作需要基于</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获取的采购文件编制。</w:t>
      </w:r>
    </w:p>
    <w:p w14:paraId="2D91FEB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w:t>
      </w:r>
      <w:r>
        <w:rPr>
          <w:rFonts w:hint="eastAsia" w:ascii="宋体" w:hAnsi="宋体" w:eastAsia="宋体" w:cs="宋体"/>
          <w:color w:val="auto"/>
          <w:szCs w:val="21"/>
          <w:highlight w:val="none"/>
          <w:lang w:eastAsia="zh-CN"/>
        </w:rPr>
        <w:t>人民币</w:t>
      </w:r>
      <w:r>
        <w:rPr>
          <w:rFonts w:hint="eastAsia" w:ascii="宋体" w:hAnsi="宋体" w:eastAsia="宋体" w:cs="宋体"/>
          <w:color w:val="auto"/>
          <w:szCs w:val="21"/>
          <w:highlight w:val="none"/>
        </w:rPr>
        <w:t>0元。</w:t>
      </w:r>
    </w:p>
    <w:p w14:paraId="6B4B0B7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bookmarkEnd w:id="23"/>
      <w:bookmarkEnd w:id="24"/>
      <w:bookmarkEnd w:id="25"/>
      <w:bookmarkEnd w:id="26"/>
      <w:r>
        <w:rPr>
          <w:rFonts w:hint="eastAsia" w:ascii="宋体" w:hAnsi="宋体" w:eastAsia="宋体" w:cs="宋体"/>
          <w:b/>
          <w:bCs/>
          <w:color w:val="auto"/>
          <w:sz w:val="24"/>
          <w:szCs w:val="24"/>
          <w:highlight w:val="none"/>
        </w:rPr>
        <w:t>响应文件提交</w:t>
      </w:r>
    </w:p>
    <w:p w14:paraId="3E3DA3EC">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首次响应文件提交截止时间</w:t>
      </w:r>
      <w:r>
        <w:rPr>
          <w:rFonts w:hint="eastAsia" w:ascii="宋体" w:hAnsi="宋体" w:eastAsia="宋体" w:cs="宋体"/>
          <w:color w:val="auto"/>
          <w:szCs w:val="21"/>
          <w:highlight w:val="none"/>
          <w:lang w:eastAsia="zh-CN"/>
        </w:rPr>
        <w:t>：</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16</w:t>
      </w:r>
      <w:r>
        <w:rPr>
          <w:rFonts w:hint="eastAsia" w:ascii="宋体" w:hAnsi="宋体" w:eastAsia="宋体" w:cs="宋体"/>
          <w:bCs/>
          <w:color w:val="auto"/>
          <w:szCs w:val="21"/>
          <w:highlight w:val="none"/>
        </w:rPr>
        <w:t>日</w:t>
      </w:r>
      <w:r>
        <w:rPr>
          <w:rFonts w:hint="eastAsia" w:ascii="宋体" w:hAnsi="宋体" w:eastAsia="宋体" w:cs="宋体"/>
          <w:bCs/>
          <w:color w:val="auto"/>
          <w:szCs w:val="21"/>
          <w:highlight w:val="none"/>
          <w:lang w:val="en-US" w:eastAsia="zh-CN"/>
        </w:rPr>
        <w:t>10</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00</w:t>
      </w:r>
      <w:r>
        <w:rPr>
          <w:rFonts w:hint="eastAsia" w:ascii="宋体" w:hAnsi="宋体" w:eastAsia="宋体" w:cs="宋体"/>
          <w:bCs/>
          <w:color w:val="auto"/>
          <w:szCs w:val="21"/>
          <w:highlight w:val="none"/>
        </w:rPr>
        <w:t>（北京时间）</w:t>
      </w:r>
    </w:p>
    <w:p w14:paraId="04FD06F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首次响应文件提交地点：</w:t>
      </w:r>
      <w:r>
        <w:rPr>
          <w:rFonts w:hint="eastAsia" w:ascii="宋体" w:hAnsi="宋体" w:eastAsia="宋体" w:cs="宋体"/>
          <w:color w:val="auto"/>
          <w:szCs w:val="21"/>
          <w:highlight w:val="none"/>
          <w:lang w:eastAsia="zh-CN"/>
        </w:rPr>
        <w:t>广西政府采购云平台（https://www.gcy.zfcg.gxzf.gov.cn/）</w:t>
      </w:r>
    </w:p>
    <w:p w14:paraId="6093291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五、开启（首次响应文件开启时间）</w:t>
      </w:r>
      <w:bookmarkStart w:id="173" w:name="_GoBack"/>
      <w:bookmarkEnd w:id="173"/>
    </w:p>
    <w:p w14:paraId="434CE74A">
      <w:pPr>
        <w:spacing w:line="360" w:lineRule="auto"/>
        <w:ind w:firstLine="630"/>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时间：</w:t>
      </w:r>
      <w:bookmarkStart w:id="27" w:name="PO_3000001871_PM015_2"/>
      <w:r>
        <w:rPr>
          <w:rFonts w:hint="eastAsia" w:ascii="宋体" w:hAnsi="宋体" w:eastAsia="宋体" w:cs="宋体"/>
          <w:bCs/>
          <w:color w:val="auto"/>
          <w:szCs w:val="21"/>
          <w:highlight w:val="none"/>
          <w:lang w:val="en-US" w:eastAsia="zh-CN"/>
        </w:rPr>
        <w:t>2026年9月16日10:00（北</w:t>
      </w:r>
      <w:r>
        <w:rPr>
          <w:rFonts w:hint="eastAsia" w:ascii="宋体" w:hAnsi="宋体" w:eastAsia="宋体" w:cs="宋体"/>
          <w:bCs/>
          <w:color w:val="auto"/>
          <w:szCs w:val="21"/>
          <w:highlight w:val="none"/>
        </w:rPr>
        <w:t>京时间）</w:t>
      </w:r>
      <w:bookmarkEnd w:id="27"/>
      <w:r>
        <w:rPr>
          <w:rFonts w:hint="eastAsia" w:ascii="宋体" w:hAnsi="宋体" w:eastAsia="宋体" w:cs="宋体"/>
          <w:color w:val="auto"/>
          <w:szCs w:val="21"/>
          <w:highlight w:val="none"/>
        </w:rPr>
        <w:t>后</w:t>
      </w:r>
    </w:p>
    <w:p w14:paraId="1E3B9AC4">
      <w:pPr>
        <w:spacing w:line="360" w:lineRule="auto"/>
        <w:ind w:firstLine="482"/>
        <w:rPr>
          <w:rFonts w:hint="default" w:ascii="宋体" w:hAnsi="宋体" w:eastAsia="宋体" w:cs="宋体"/>
          <w:color w:val="auto"/>
          <w:szCs w:val="21"/>
          <w:highlight w:val="none"/>
        </w:rPr>
      </w:pPr>
      <w:bookmarkStart w:id="28" w:name="_Toc35393794"/>
      <w:bookmarkStart w:id="29" w:name="_Toc35393625"/>
      <w:bookmarkStart w:id="30" w:name="_Toc28359007"/>
      <w:bookmarkStart w:id="31" w:name="_Toc28359084"/>
      <w:r>
        <w:rPr>
          <w:rFonts w:hint="eastAsia" w:ascii="宋体" w:hAnsi="宋体" w:eastAsia="宋体" w:cs="宋体"/>
          <w:color w:val="auto"/>
          <w:szCs w:val="21"/>
          <w:highlight w:val="none"/>
        </w:rPr>
        <w:t>地点：</w:t>
      </w:r>
      <w:r>
        <w:rPr>
          <w:rFonts w:hint="default" w:ascii="宋体" w:hAnsi="宋体" w:eastAsia="宋体" w:cs="宋体"/>
          <w:color w:val="auto"/>
          <w:szCs w:val="21"/>
          <w:highlight w:val="none"/>
        </w:rPr>
        <w:t>兴宾区来宾市红水河大道331号开标室一（开标位</w:t>
      </w:r>
      <w:r>
        <w:rPr>
          <w:rFonts w:hint="eastAsia" w:ascii="宋体" w:hAnsi="宋体" w:eastAsia="宋体" w:cs="宋体"/>
          <w:color w:val="auto"/>
          <w:szCs w:val="21"/>
          <w:highlight w:val="none"/>
          <w:lang w:val="en-US" w:eastAsia="zh-CN"/>
        </w:rPr>
        <w:t>2</w:t>
      </w:r>
      <w:r>
        <w:rPr>
          <w:rFonts w:hint="default" w:ascii="宋体" w:hAnsi="宋体" w:eastAsia="宋体" w:cs="宋体"/>
          <w:color w:val="auto"/>
          <w:szCs w:val="21"/>
          <w:highlight w:val="none"/>
        </w:rPr>
        <w:t>）</w:t>
      </w:r>
    </w:p>
    <w:p w14:paraId="450B9CB7">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bookmarkEnd w:id="28"/>
      <w:bookmarkEnd w:id="29"/>
      <w:bookmarkEnd w:id="30"/>
      <w:bookmarkEnd w:id="31"/>
    </w:p>
    <w:p w14:paraId="7D10D41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自本公告发布之日起3个工作日。</w:t>
      </w:r>
    </w:p>
    <w:p w14:paraId="39A019D3">
      <w:pPr>
        <w:spacing w:line="360" w:lineRule="auto"/>
        <w:ind w:firstLine="482"/>
        <w:rPr>
          <w:rFonts w:hint="eastAsia" w:ascii="宋体" w:hAnsi="宋体" w:eastAsia="宋体" w:cs="宋体"/>
          <w:b/>
          <w:bCs/>
          <w:color w:val="auto"/>
          <w:sz w:val="24"/>
          <w:szCs w:val="24"/>
          <w:highlight w:val="none"/>
        </w:rPr>
      </w:pPr>
      <w:bookmarkStart w:id="32" w:name="_Toc35393626"/>
      <w:bookmarkStart w:id="33" w:name="_Toc35393795"/>
      <w:r>
        <w:rPr>
          <w:rFonts w:hint="eastAsia" w:ascii="宋体" w:hAnsi="宋体" w:eastAsia="宋体" w:cs="宋体"/>
          <w:b/>
          <w:bCs/>
          <w:color w:val="auto"/>
          <w:sz w:val="24"/>
          <w:szCs w:val="24"/>
          <w:highlight w:val="none"/>
        </w:rPr>
        <w:t>七、其他补充事宜</w:t>
      </w:r>
      <w:bookmarkEnd w:id="32"/>
      <w:bookmarkEnd w:id="33"/>
    </w:p>
    <w:p w14:paraId="180BB920">
      <w:pPr>
        <w:spacing w:line="360" w:lineRule="auto"/>
        <w:ind w:firstLine="420"/>
        <w:rPr>
          <w:rFonts w:hint="eastAsia"/>
          <w:color w:val="auto"/>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谈判保证金：</w:t>
      </w:r>
      <w:r>
        <w:rPr>
          <w:rFonts w:hint="eastAsia" w:ascii="宋体" w:hAnsi="宋体" w:eastAsia="宋体" w:cs="宋体"/>
          <w:b/>
          <w:bCs/>
          <w:color w:val="auto"/>
          <w:szCs w:val="21"/>
          <w:highlight w:val="none"/>
          <w:lang w:eastAsia="zh-CN"/>
        </w:rPr>
        <w:t>本项目</w:t>
      </w:r>
      <w:r>
        <w:rPr>
          <w:rFonts w:hint="eastAsia" w:ascii="宋体" w:hAnsi="宋体" w:eastAsia="宋体" w:cs="宋体"/>
          <w:b/>
          <w:bCs/>
          <w:color w:val="auto"/>
          <w:szCs w:val="21"/>
          <w:highlight w:val="none"/>
          <w:lang w:val="en-US" w:eastAsia="zh-CN"/>
        </w:rPr>
        <w:t>不</w:t>
      </w:r>
      <w:r>
        <w:rPr>
          <w:rFonts w:hint="eastAsia" w:ascii="宋体" w:hAnsi="宋体" w:eastAsia="宋体" w:cs="宋体"/>
          <w:b/>
          <w:bCs/>
          <w:color w:val="auto"/>
          <w:szCs w:val="21"/>
          <w:highlight w:val="none"/>
          <w:lang w:eastAsia="zh-CN"/>
        </w:rPr>
        <w:t>需要缴</w:t>
      </w:r>
      <w:r>
        <w:rPr>
          <w:rFonts w:hint="eastAsia" w:ascii="宋体" w:hAnsi="宋体" w:eastAsia="宋体" w:cs="宋体"/>
          <w:b/>
          <w:bCs/>
          <w:color w:val="auto"/>
          <w:szCs w:val="21"/>
          <w:highlight w:val="none"/>
        </w:rPr>
        <w:t>纳</w:t>
      </w:r>
      <w:r>
        <w:rPr>
          <w:rFonts w:hint="eastAsia" w:ascii="宋体" w:hAnsi="宋体" w:eastAsia="宋体" w:cs="宋体"/>
          <w:b/>
          <w:bCs/>
          <w:color w:val="auto"/>
          <w:szCs w:val="21"/>
          <w:highlight w:val="none"/>
          <w:lang w:eastAsia="zh-CN"/>
        </w:rPr>
        <w:t>谈判保证金。</w:t>
      </w:r>
    </w:p>
    <w:p w14:paraId="401E7B46">
      <w:pPr>
        <w:spacing w:line="360" w:lineRule="auto"/>
        <w:ind w:firstLine="420"/>
        <w:rPr>
          <w:rFonts w:hint="eastAsia" w:ascii="宋体" w:hAnsi="宋体" w:eastAsia="宋体" w:cs="宋体"/>
          <w:color w:val="auto"/>
          <w:szCs w:val="21"/>
          <w:highlight w:val="none"/>
          <w:lang w:eastAsia="zh-CN"/>
        </w:rPr>
      </w:pPr>
      <w:bookmarkStart w:id="34" w:name="_Hlk37429585"/>
      <w:bookmarkStart w:id="35" w:name="_Hlk37429595"/>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网上查询地址</w:t>
      </w:r>
      <w:r>
        <w:rPr>
          <w:rFonts w:hint="eastAsia" w:ascii="宋体" w:hAnsi="宋体" w:eastAsia="宋体" w:cs="宋体"/>
          <w:color w:val="auto"/>
          <w:szCs w:val="21"/>
          <w:highlight w:val="none"/>
          <w:lang w:eastAsia="zh-CN"/>
        </w:rPr>
        <w:t>：</w:t>
      </w:r>
      <w:bookmarkEnd w:id="34"/>
      <w:bookmarkEnd w:id="35"/>
    </w:p>
    <w:p w14:paraId="72EF033C">
      <w:pPr>
        <w:spacing w:line="360" w:lineRule="auto"/>
        <w:ind w:firstLine="420"/>
        <w:rPr>
          <w:rFonts w:hint="eastAsia" w:ascii="宋体" w:hAnsi="宋体" w:eastAsia="宋体" w:cs="宋体"/>
          <w:color w:val="auto"/>
          <w:szCs w:val="21"/>
          <w:highlight w:val="none"/>
          <w:lang w:val="en-US" w:eastAsia="zh-CN"/>
        </w:rPr>
      </w:pPr>
      <w:bookmarkStart w:id="36" w:name="_Hlk37429674"/>
      <w:r>
        <w:rPr>
          <w:rFonts w:hint="eastAsia" w:ascii="宋体" w:hAnsi="宋体" w:eastAsia="宋体" w:cs="宋体"/>
          <w:color w:val="auto"/>
          <w:szCs w:val="21"/>
          <w:highlight w:val="none"/>
          <w:lang w:val="en-US" w:eastAsia="zh-CN"/>
        </w:rPr>
        <w:t xml:space="preserve">中国政府采购网（www.ccgp.gov.cn）、广西政府采购网（http://www.ccgp-guangxi.gov.cn/）、全国公共资源交易平台(广西.来宾)（ggzy.jgswj.gxzf.gov.cn/lbggzy/）。   </w:t>
      </w:r>
    </w:p>
    <w:p w14:paraId="36FEC35E">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本项目需要落实的政府采购政策</w:t>
      </w:r>
      <w:r>
        <w:rPr>
          <w:rFonts w:hint="eastAsia" w:ascii="宋体" w:hAnsi="宋体" w:eastAsia="宋体" w:cs="宋体"/>
          <w:color w:val="auto"/>
          <w:szCs w:val="21"/>
          <w:highlight w:val="none"/>
          <w:lang w:eastAsia="zh-CN"/>
        </w:rPr>
        <w:t>：</w:t>
      </w:r>
    </w:p>
    <w:p w14:paraId="6085655F">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（1）政府采购促进中小企业发展。</w:t>
      </w:r>
    </w:p>
    <w:p w14:paraId="0E7179BE">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（2）政府采购支持采用本国产品的政策。</w:t>
      </w:r>
    </w:p>
    <w:p w14:paraId="281D19C8">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（3）强制采购节能产品；优先采购节能产品、环境标志产品。</w:t>
      </w:r>
    </w:p>
    <w:p w14:paraId="2F0CF46C">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（4）政府采购促进残疾人就业政策。</w:t>
      </w:r>
    </w:p>
    <w:p w14:paraId="4AC6BFA4">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（5）政府采购支持监狱企业发展。</w:t>
      </w:r>
    </w:p>
    <w:p w14:paraId="65947B3B">
      <w:pPr>
        <w:spacing w:line="360" w:lineRule="auto"/>
        <w:ind w:firstLine="315"/>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（6）在</w:t>
      </w:r>
      <w:r>
        <w:rPr>
          <w:rFonts w:hint="eastAsia" w:ascii="宋体" w:hAnsi="宋体" w:eastAsia="宋体" w:cs="宋体"/>
          <w:i w:val="0"/>
          <w:iCs w:val="0"/>
          <w:caps w:val="0"/>
          <w:color w:val="auto"/>
          <w:spacing w:val="0"/>
          <w:sz w:val="21"/>
          <w:szCs w:val="21"/>
          <w:highlight w:val="none"/>
          <w:shd w:val="clear" w:color="auto"/>
          <w:lang w:val="en-US" w:bidi="ar-SA"/>
        </w:rPr>
        <w:t>政府采购中实施本国产品标准及相关政策</w:t>
      </w:r>
      <w:r>
        <w:rPr>
          <w:rFonts w:hint="eastAsia" w:ascii="宋体" w:hAnsi="宋体" w:eastAsia="宋体" w:cs="宋体"/>
          <w:i w:val="0"/>
          <w:iCs w:val="0"/>
          <w:caps w:val="0"/>
          <w:color w:val="auto"/>
          <w:spacing w:val="0"/>
          <w:sz w:val="21"/>
          <w:szCs w:val="21"/>
          <w:highlight w:val="none"/>
          <w:shd w:val="clear" w:color="auto"/>
          <w:lang w:val="en-US" w:eastAsia="zh-CN" w:bidi="ar-SA"/>
        </w:rPr>
        <w:t>。</w:t>
      </w:r>
      <w:bookmarkEnd w:id="36"/>
    </w:p>
    <w:p w14:paraId="235F919C">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35E2E53">
      <w:pPr>
        <w:spacing w:line="360" w:lineRule="auto"/>
        <w:ind w:firstLine="420"/>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p w14:paraId="002DB338">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在线</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szCs w:val="21"/>
          <w:highlight w:val="none"/>
          <w:lang w:eastAsia="zh-CN"/>
        </w:rPr>
        <w:t>：</w:t>
      </w:r>
    </w:p>
    <w:p w14:paraId="29E8340C">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8"/>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w:t>
      </w:r>
      <w:r>
        <w:rPr>
          <w:rFonts w:hint="eastAsia"/>
          <w:color w:val="auto"/>
          <w:lang w:val="en-US" w:eastAsia="zh-CN"/>
        </w:rPr>
        <w:t>服务</w:t>
      </w:r>
      <w:r>
        <w:rPr>
          <w:rFonts w:hint="eastAsia" w:ascii="宋体" w:hAnsi="宋体" w:eastAsia="宋体" w:cs="宋体"/>
          <w:i w:val="0"/>
          <w:caps w:val="0"/>
          <w:color w:val="auto"/>
          <w:spacing w:val="0"/>
          <w:sz w:val="21"/>
          <w:szCs w:val="21"/>
          <w:highlight w:val="none"/>
        </w:rPr>
        <w:t>—下载专区</w:t>
      </w:r>
      <w:r>
        <w:rPr>
          <w:rFonts w:hint="eastAsia" w:ascii="宋体" w:hAnsi="宋体" w:eastAsia="宋体" w:cs="宋体"/>
          <w:color w:val="auto"/>
          <w:szCs w:val="21"/>
          <w:highlight w:val="none"/>
        </w:rPr>
        <w:t>），并按照本项目采购文件和</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的要求编制、加密后在</w:t>
      </w:r>
      <w:r>
        <w:rPr>
          <w:rFonts w:hint="eastAsia" w:ascii="宋体" w:hAnsi="宋体" w:eastAsia="宋体" w:cs="宋体"/>
          <w:color w:val="auto"/>
          <w:szCs w:val="21"/>
          <w:highlight w:val="none"/>
          <w:lang w:val="en-US" w:eastAsia="zh-CN"/>
        </w:rPr>
        <w:t>响应文件提交</w:t>
      </w:r>
      <w:r>
        <w:rPr>
          <w:rFonts w:hint="eastAsia" w:ascii="宋体" w:hAnsi="宋体" w:eastAsia="宋体" w:cs="宋体"/>
          <w:color w:val="auto"/>
          <w:szCs w:val="21"/>
          <w:highlight w:val="none"/>
        </w:rPr>
        <w:t>截止时间前通过网络上传至</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w:t>
      </w:r>
    </w:p>
    <w:p w14:paraId="1C488AA7">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w:t>
      </w:r>
      <w:r>
        <w:rPr>
          <w:rFonts w:hint="eastAsia" w:ascii="宋体" w:hAnsi="宋体" w:eastAsia="宋体" w:cs="宋体"/>
          <w:color w:val="auto"/>
          <w:szCs w:val="21"/>
          <w:highlight w:val="none"/>
          <w:lang w:eastAsia="zh-CN"/>
        </w:rPr>
        <w:t>首次响应文件提交</w:t>
      </w:r>
      <w:r>
        <w:rPr>
          <w:rFonts w:hint="eastAsia" w:ascii="宋体" w:hAnsi="宋体" w:eastAsia="宋体" w:cs="宋体"/>
          <w:color w:val="auto"/>
          <w:szCs w:val="21"/>
          <w:highlight w:val="none"/>
        </w:rPr>
        <w:t>截止时间前，完成电子交易平台上的CA数字证书办理及响应文件的提交。</w:t>
      </w:r>
    </w:p>
    <w:p w14:paraId="1D41F8AE">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A4EF329">
      <w:pPr>
        <w:spacing w:line="360" w:lineRule="auto"/>
        <w:ind w:firstLine="422"/>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u w:val="single"/>
        </w:rPr>
        <w:t>注：供应商应当在首次响应文件提交截止时间前完成</w:t>
      </w:r>
      <w:r>
        <w:rPr>
          <w:rFonts w:hint="eastAsia" w:ascii="宋体" w:hAnsi="宋体" w:eastAsia="宋体" w:cs="宋体"/>
          <w:b/>
          <w:bCs w:val="0"/>
          <w:color w:val="auto"/>
          <w:szCs w:val="21"/>
          <w:highlight w:val="none"/>
          <w:u w:val="single"/>
          <w:lang w:eastAsia="zh-CN"/>
        </w:rPr>
        <w:t>电子版响应文件</w:t>
      </w:r>
      <w:r>
        <w:rPr>
          <w:rFonts w:hint="eastAsia" w:ascii="宋体" w:hAnsi="宋体" w:eastAsia="宋体" w:cs="宋体"/>
          <w:b/>
          <w:bCs w:val="0"/>
          <w:color w:val="auto"/>
          <w:szCs w:val="21"/>
          <w:highlight w:val="none"/>
          <w:u w:val="single"/>
        </w:rPr>
        <w:t>的上传、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，响应文件提交截止时间前可以补充、修改或者撤回响应文件。补充或者修改响应文件的，应当先行撤回原文件，补充、修改后重新上传、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w:t>
      </w:r>
      <w:r>
        <w:rPr>
          <w:rFonts w:hint="eastAsia" w:ascii="宋体" w:hAnsi="宋体" w:eastAsia="宋体" w:cs="宋体"/>
          <w:b/>
          <w:color w:val="auto"/>
          <w:szCs w:val="21"/>
          <w:highlight w:val="none"/>
          <w:lang w:eastAsia="zh-CN"/>
        </w:rPr>
        <w:t>响应文件提交</w:t>
      </w:r>
      <w:r>
        <w:rPr>
          <w:rFonts w:hint="eastAsia" w:ascii="宋体" w:hAnsi="宋体" w:eastAsia="宋体" w:cs="宋体"/>
          <w:b/>
          <w:bCs w:val="0"/>
          <w:color w:val="auto"/>
          <w:szCs w:val="21"/>
          <w:highlight w:val="none"/>
          <w:u w:val="single"/>
        </w:rPr>
        <w:t>截止时间前未完成上传、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的，视为撤回响应文件。响应文件提交截止时间以后上传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的响应文件，</w:t>
      </w:r>
      <w:r>
        <w:rPr>
          <w:rFonts w:hint="eastAsia" w:ascii="宋体" w:hAnsi="宋体" w:eastAsia="宋体" w:cs="宋体"/>
          <w:b/>
          <w:bCs w:val="0"/>
          <w:color w:val="auto"/>
          <w:sz w:val="21"/>
          <w:szCs w:val="21"/>
          <w:highlight w:val="none"/>
          <w:u w:val="single"/>
          <w:lang w:val="en-US" w:eastAsia="zh-CN"/>
        </w:rPr>
        <w:t>广西政府采购云平台</w:t>
      </w:r>
      <w:r>
        <w:rPr>
          <w:rFonts w:hint="eastAsia" w:ascii="宋体" w:hAnsi="宋体" w:eastAsia="宋体" w:cs="宋体"/>
          <w:b/>
          <w:bCs w:val="0"/>
          <w:color w:val="auto"/>
          <w:szCs w:val="21"/>
          <w:highlight w:val="none"/>
          <w:u w:val="single"/>
        </w:rPr>
        <w:t>将予以拒收。</w:t>
      </w:r>
    </w:p>
    <w:p w14:paraId="455289F2">
      <w:pPr>
        <w:keepNext w:val="0"/>
        <w:keepLines w:val="0"/>
        <w:pageBreakBefore w:val="0"/>
        <w:widowControl/>
        <w:kinsoku/>
        <w:wordWrap w:val="0"/>
        <w:overflowPunct/>
        <w:topLinePunct w:val="0"/>
        <w:autoSpaceDE/>
        <w:autoSpaceDN/>
        <w:bidi w:val="0"/>
        <w:adjustRightInd/>
        <w:spacing w:line="360" w:lineRule="auto"/>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（4）CA证书在线解密：首次响应文件开启时，需要供应商携带制作响应文件时用来加密的有效数字证书（CA认证）登录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电子开标大厅现场按规定时间对加密的响应文件进行解密。</w:t>
      </w:r>
      <w:r>
        <w:rPr>
          <w:rFonts w:hint="eastAsia" w:hAnsi="宋体" w:cs="宋体"/>
          <w:color w:val="auto"/>
          <w:highlight w:val="none"/>
        </w:rPr>
        <w:t>若供应商在规定时间内无法解密或解密失败,请及时联系代理机构，代理机构与项目归属监督部门备案后告知供应商通过邮件传输递交电子备份响应文件(以通知时所告知的电子邮箱地址为准)，若供应商在规定时间内无法解密或解密失败且未提供电子备份响应文件的(包含提供的电子备份响应文件无效或无法解密的情况)，视为竞标无效。</w:t>
      </w:r>
    </w:p>
    <w:p w14:paraId="63A5B2E9">
      <w:pPr>
        <w:spacing w:line="360" w:lineRule="auto"/>
        <w:ind w:firstLine="420"/>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供应商需要在具备有摄像头及语音功能且互联网网络状况良好的电脑登录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远程开标大厅参与本次谈判，否则后果自负。</w:t>
      </w:r>
    </w:p>
    <w:p w14:paraId="343D6B0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若对项目采购电子交易系统操作有疑问，可登录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8"/>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），点击右侧咨询小采，获取采小蜜智能服务管家帮助，或拨打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服务热线</w:t>
      </w:r>
      <w:r>
        <w:rPr>
          <w:rFonts w:hint="eastAsia" w:ascii="宋体" w:hAnsi="宋体" w:eastAsia="宋体" w:cs="宋体"/>
          <w:color w:val="auto"/>
          <w:szCs w:val="21"/>
          <w:highlight w:val="none"/>
          <w:lang w:val="en-US" w:eastAsia="zh-CN"/>
        </w:rPr>
        <w:t>95763</w:t>
      </w:r>
      <w:r>
        <w:rPr>
          <w:rFonts w:hint="eastAsia" w:ascii="宋体" w:hAnsi="宋体" w:eastAsia="宋体" w:cs="宋体"/>
          <w:color w:val="auto"/>
          <w:szCs w:val="21"/>
          <w:highlight w:val="none"/>
        </w:rPr>
        <w:t>获取热线服务帮助。</w:t>
      </w:r>
    </w:p>
    <w:p w14:paraId="4F7AF600">
      <w:pPr>
        <w:pStyle w:val="29"/>
        <w:spacing w:line="360" w:lineRule="auto"/>
        <w:ind w:firstLine="4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14:paraId="6B6F77AB">
      <w:pPr>
        <w:spacing w:line="360" w:lineRule="auto"/>
        <w:ind w:firstLine="482"/>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rPr>
        <w:t>八、凡对本次采购提出询问，请按以下方式联系</w:t>
      </w:r>
      <w:r>
        <w:rPr>
          <w:rFonts w:hint="eastAsia" w:ascii="宋体" w:hAnsi="宋体" w:eastAsia="宋体" w:cs="宋体"/>
          <w:b/>
          <w:color w:val="auto"/>
          <w:sz w:val="24"/>
          <w:szCs w:val="24"/>
          <w:highlight w:val="none"/>
          <w:lang w:eastAsia="zh-CN"/>
        </w:rPr>
        <w:t>。</w:t>
      </w:r>
    </w:p>
    <w:p w14:paraId="3C64C799">
      <w:pPr>
        <w:spacing w:line="360" w:lineRule="auto"/>
        <w:ind w:firstLine="73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79358EA1">
      <w:pPr>
        <w:spacing w:line="360" w:lineRule="auto"/>
        <w:ind w:left="1041" w:hanging="262"/>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金秀瑶族自治县教育体育局</w:t>
      </w:r>
    </w:p>
    <w:p w14:paraId="0E0928D2">
      <w:pPr>
        <w:spacing w:line="360" w:lineRule="auto"/>
        <w:ind w:left="1041" w:hanging="26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 址：广西来宾市金秀瑶族自治县金秀镇解放路 170号</w:t>
      </w:r>
    </w:p>
    <w:p w14:paraId="4D9AE29C">
      <w:pPr>
        <w:spacing w:line="360" w:lineRule="auto"/>
        <w:ind w:left="1041" w:hanging="262"/>
        <w:jc w:val="lef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联系方式</w:t>
      </w:r>
      <w:r>
        <w:rPr>
          <w:rFonts w:hint="eastAsia" w:ascii="宋体" w:hAnsi="宋体" w:eastAsia="宋体" w:cs="宋体"/>
          <w:color w:val="auto"/>
          <w:szCs w:val="21"/>
          <w:highlight w:val="none"/>
        </w:rPr>
        <w:t>：黄一帆，0772-6213631</w:t>
      </w:r>
    </w:p>
    <w:p w14:paraId="0E9F4F93">
      <w:pPr>
        <w:spacing w:line="360" w:lineRule="auto"/>
        <w:ind w:left="1041" w:hanging="26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4F40A04B">
      <w:pPr>
        <w:spacing w:line="360" w:lineRule="auto"/>
        <w:ind w:firstLine="73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名称：广西桂盛项目管理有限公司</w:t>
      </w:r>
    </w:p>
    <w:p w14:paraId="722FC67E">
      <w:pPr>
        <w:spacing w:line="360" w:lineRule="auto"/>
        <w:ind w:firstLine="73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地址：来宾市兴宾区红水河大道333号翠屏水坊9号楼201号</w:t>
      </w:r>
    </w:p>
    <w:p w14:paraId="5657B72F">
      <w:pPr>
        <w:spacing w:line="360" w:lineRule="auto"/>
        <w:ind w:firstLine="73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联系方式:0772-4201213</w:t>
      </w:r>
    </w:p>
    <w:p w14:paraId="4DCE70B6">
      <w:pPr>
        <w:spacing w:line="360" w:lineRule="auto"/>
        <w:ind w:firstLine="735"/>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6A0A0486">
      <w:pPr>
        <w:spacing w:line="360" w:lineRule="auto"/>
        <w:ind w:firstLine="735"/>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谭扬凌</w:t>
      </w:r>
    </w:p>
    <w:p w14:paraId="1C9B6C2E">
      <w:pPr>
        <w:spacing w:line="360" w:lineRule="auto"/>
        <w:ind w:firstLine="735"/>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val="en-US" w:eastAsia="zh-CN"/>
        </w:rPr>
        <w:t>0772-4201213</w:t>
      </w:r>
    </w:p>
    <w:p w14:paraId="441DAC11">
      <w:pPr>
        <w:rPr>
          <w:rFonts w:hint="eastAsia" w:ascii="宋体" w:hAnsi="宋体" w:eastAsia="宋体" w:cs="宋体"/>
          <w:color w:val="auto"/>
          <w:szCs w:val="21"/>
          <w:highlight w:val="none"/>
        </w:rPr>
      </w:pPr>
    </w:p>
    <w:p w14:paraId="7CEA637F">
      <w:pPr>
        <w:pStyle w:val="44"/>
        <w:rPr>
          <w:rFonts w:hint="eastAsia" w:ascii="宋体" w:hAnsi="宋体" w:eastAsia="宋体" w:cs="宋体"/>
          <w:color w:val="auto"/>
          <w:szCs w:val="21"/>
          <w:highlight w:val="none"/>
        </w:rPr>
      </w:pPr>
    </w:p>
    <w:p w14:paraId="2DB66709">
      <w:pPr>
        <w:rPr>
          <w:rFonts w:hint="eastAsia" w:ascii="宋体" w:hAnsi="宋体" w:eastAsia="宋体" w:cs="宋体"/>
          <w:b/>
          <w:color w:val="auto"/>
          <w:sz w:val="32"/>
          <w:szCs w:val="32"/>
          <w:highlight w:val="none"/>
          <w:lang w:val="zh-CN" w:eastAsia="zh-CN"/>
        </w:rPr>
      </w:pPr>
      <w:bookmarkStart w:id="37" w:name="_Toc21351"/>
      <w:bookmarkStart w:id="38" w:name="_Toc14086"/>
      <w:bookmarkStart w:id="39" w:name="_Toc30021"/>
      <w:bookmarkStart w:id="40" w:name="_Toc27517"/>
      <w:bookmarkStart w:id="41" w:name="_Toc80205921"/>
      <w:bookmarkStart w:id="42" w:name="_Toc30720"/>
      <w:bookmarkStart w:id="43" w:name="_Toc7676"/>
      <w:bookmarkStart w:id="44" w:name="_Toc16263"/>
      <w:bookmarkStart w:id="45" w:name="_Toc7360"/>
    </w:p>
    <w:p w14:paraId="45BAF94C">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pPr>
      <w:r>
        <w:rPr>
          <w:rFonts w:hint="eastAsia" w:ascii="宋体" w:hAnsi="宋体" w:eastAsia="宋体" w:cs="宋体"/>
          <w:b/>
          <w:color w:val="auto"/>
          <w:sz w:val="32"/>
          <w:szCs w:val="32"/>
          <w:highlight w:val="none"/>
          <w:lang w:val="zh-CN" w:eastAsia="zh-CN"/>
        </w:rPr>
        <w:t>第二章 采购需求</w:t>
      </w:r>
      <w:bookmarkEnd w:id="37"/>
      <w:bookmarkEnd w:id="38"/>
      <w:bookmarkEnd w:id="39"/>
      <w:bookmarkEnd w:id="40"/>
      <w:bookmarkEnd w:id="41"/>
      <w:bookmarkEnd w:id="42"/>
      <w:bookmarkEnd w:id="43"/>
      <w:bookmarkEnd w:id="44"/>
      <w:bookmarkEnd w:id="45"/>
    </w:p>
    <w:p w14:paraId="55284ED0">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27A1017F">
      <w:pPr>
        <w:spacing w:line="360"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4"/>
          <w:highlight w:val="none"/>
        </w:rPr>
        <w:t>1. 为落实政府采购政策需满足的要求</w:t>
      </w:r>
      <w:r>
        <w:rPr>
          <w:rFonts w:hint="eastAsia" w:ascii="宋体" w:hAnsi="宋体" w:eastAsia="宋体" w:cs="宋体"/>
          <w:color w:val="auto"/>
          <w:szCs w:val="24"/>
          <w:highlight w:val="none"/>
          <w:lang w:eastAsia="zh-CN"/>
        </w:rPr>
        <w:t>：</w:t>
      </w:r>
    </w:p>
    <w:p w14:paraId="36862DF8">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14:paraId="65A02818">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详见本章</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14:paraId="70A2F145">
      <w:pPr>
        <w:pStyle w:val="29"/>
        <w:spacing w:line="360" w:lineRule="auto"/>
        <w:ind w:firstLine="42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rPr>
        <w:t>2.</w:t>
      </w:r>
      <w:r>
        <w:rPr>
          <w:rFonts w:hint="eastAsia" w:ascii="宋体" w:hAnsi="宋体" w:eastAsia="宋体" w:cs="宋体"/>
          <w:b/>
          <w:bCs/>
          <w:color w:val="auto"/>
          <w:sz w:val="21"/>
          <w:szCs w:val="21"/>
          <w:highlight w:val="none"/>
          <w:lang w:val="en-US"/>
        </w:rPr>
        <w:t>采购需求中</w:t>
      </w:r>
      <w:r>
        <w:rPr>
          <w:rFonts w:hint="eastAsia" w:ascii="宋体" w:hAnsi="宋体" w:eastAsia="宋体" w:cs="宋体"/>
          <w:b/>
          <w:bCs/>
          <w:color w:val="auto"/>
          <w:sz w:val="21"/>
          <w:szCs w:val="21"/>
          <w:highlight w:val="none"/>
          <w:lang w:val="en-US" w:eastAsia="zh-CN"/>
        </w:rPr>
        <w:t>所有</w:t>
      </w:r>
      <w:r>
        <w:rPr>
          <w:rFonts w:hint="eastAsia" w:ascii="宋体" w:hAnsi="宋体" w:eastAsia="宋体" w:cs="宋体"/>
          <w:b/>
          <w:bCs/>
          <w:color w:val="auto"/>
          <w:sz w:val="21"/>
          <w:szCs w:val="21"/>
          <w:highlight w:val="none"/>
          <w:lang w:val="en-US"/>
        </w:rPr>
        <w:t>条款</w:t>
      </w:r>
      <w:r>
        <w:rPr>
          <w:rFonts w:hint="eastAsia" w:ascii="宋体" w:hAnsi="宋体" w:eastAsia="宋体" w:cs="宋体"/>
          <w:b/>
          <w:bCs/>
          <w:color w:val="auto"/>
          <w:sz w:val="21"/>
          <w:szCs w:val="21"/>
          <w:highlight w:val="none"/>
          <w:lang w:val="en-US" w:eastAsia="zh-CN"/>
        </w:rPr>
        <w:t>为实质性条款，不满足作</w:t>
      </w:r>
      <w:r>
        <w:rPr>
          <w:rFonts w:hint="eastAsia" w:ascii="宋体" w:hAnsi="宋体" w:eastAsia="宋体" w:cs="宋体"/>
          <w:b/>
          <w:bCs/>
          <w:color w:val="auto"/>
          <w:sz w:val="21"/>
          <w:szCs w:val="21"/>
          <w:highlight w:val="none"/>
          <w:lang w:val="en-US"/>
        </w:rPr>
        <w:t>无效响应处理</w:t>
      </w:r>
      <w:r>
        <w:rPr>
          <w:rFonts w:hint="eastAsia" w:ascii="宋体" w:hAnsi="宋体" w:cs="宋体"/>
          <w:b/>
          <w:bCs/>
          <w:color w:val="auto"/>
          <w:sz w:val="21"/>
          <w:szCs w:val="21"/>
          <w:highlight w:val="none"/>
          <w:lang w:val="en-US" w:eastAsia="zh-CN"/>
        </w:rPr>
        <w:t>。</w:t>
      </w:r>
    </w:p>
    <w:p w14:paraId="1B4B14EB">
      <w:pPr>
        <w:pStyle w:val="29"/>
        <w:spacing w:line="360" w:lineRule="auto"/>
        <w:ind w:firstLine="4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rPr>
        <w:t>.采购需求中出现的品牌、型号或者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仅起参考作用，不属于指定品牌、型号或者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的情形。</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rPr>
        <w:t>可参照或者选用其他相当的品牌、型号或者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替代，但选用的</w:t>
      </w:r>
      <w:r>
        <w:rPr>
          <w:rFonts w:hint="eastAsia" w:ascii="宋体" w:hAnsi="宋体" w:eastAsia="宋体" w:cs="宋体"/>
          <w:color w:val="auto"/>
          <w:sz w:val="21"/>
          <w:szCs w:val="21"/>
          <w:highlight w:val="none"/>
          <w:lang w:val="en-US" w:eastAsia="zh-CN"/>
        </w:rPr>
        <w:t>竞</w:t>
      </w:r>
      <w:r>
        <w:rPr>
          <w:rFonts w:hint="eastAsia" w:ascii="宋体" w:hAnsi="宋体" w:eastAsia="宋体" w:cs="宋体"/>
          <w:color w:val="auto"/>
          <w:sz w:val="21"/>
          <w:szCs w:val="21"/>
          <w:highlight w:val="none"/>
          <w:lang w:val="en-US"/>
        </w:rPr>
        <w:t>标产品</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lang w:val="en-US"/>
        </w:rPr>
        <w:t>参数</w:t>
      </w:r>
      <w:r>
        <w:rPr>
          <w:rFonts w:hint="eastAsia" w:ascii="宋体" w:hAnsi="宋体" w:eastAsia="宋体" w:cs="宋体"/>
          <w:color w:val="auto"/>
          <w:sz w:val="21"/>
          <w:szCs w:val="21"/>
          <w:highlight w:val="none"/>
          <w:lang w:val="en-US" w:eastAsia="zh-CN"/>
        </w:rPr>
        <w:t>及配置</w:t>
      </w:r>
      <w:r>
        <w:rPr>
          <w:rFonts w:hint="eastAsia" w:ascii="宋体" w:hAnsi="宋体" w:eastAsia="宋体" w:cs="宋体"/>
          <w:color w:val="auto"/>
          <w:sz w:val="21"/>
          <w:szCs w:val="21"/>
          <w:highlight w:val="none"/>
          <w:lang w:val="en-US"/>
        </w:rPr>
        <w:t>必须满足</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rPr>
        <w:t>要求。</w:t>
      </w:r>
    </w:p>
    <w:p w14:paraId="560DF0A3">
      <w:pPr>
        <w:spacing w:line="360" w:lineRule="auto"/>
        <w:ind w:firstLine="424"/>
        <w:jc w:val="left"/>
        <w:rPr>
          <w:rFonts w:hint="eastAsia" w:ascii="宋体" w:hAnsi="宋体" w:eastAsia="宋体" w:cs="宋体"/>
          <w:color w:val="auto"/>
          <w:highlight w:val="none"/>
        </w:rPr>
      </w:pPr>
      <w:bookmarkStart w:id="46" w:name="PO_3000001871_PM050"/>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必须对</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除了应接受有关部门的处罚外，还应依据《中华人民共和国民法典》的相关条款来</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赔偿。</w:t>
      </w:r>
    </w:p>
    <w:p w14:paraId="4FB6C36B">
      <w:pPr>
        <w:tabs>
          <w:tab w:val="left" w:pos="180"/>
          <w:tab w:val="left" w:pos="1620"/>
        </w:tabs>
        <w:spacing w:line="420" w:lineRule="exact"/>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highlight w:val="none"/>
        </w:rPr>
        <w:t>应对</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标内容所涉及的专利承担法律责任，并负责保护</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的利益不受任何损害。一切由于文字、商标、技术和软件专利授权引起的法律裁决、诉讼和赔偿费用均由</w:t>
      </w:r>
      <w:r>
        <w:rPr>
          <w:rFonts w:hint="eastAsia" w:ascii="宋体" w:hAnsi="宋体" w:eastAsia="宋体" w:cs="宋体"/>
          <w:color w:val="auto"/>
          <w:highlight w:val="none"/>
          <w:lang w:eastAsia="zh-CN"/>
        </w:rPr>
        <w:t>成交供应商</w:t>
      </w:r>
      <w:r>
        <w:rPr>
          <w:rFonts w:hint="eastAsia" w:ascii="宋体" w:hAnsi="宋体" w:eastAsia="宋体" w:cs="宋体"/>
          <w:color w:val="auto"/>
          <w:highlight w:val="none"/>
        </w:rPr>
        <w:t>负责。</w:t>
      </w:r>
    </w:p>
    <w:p w14:paraId="6364821B">
      <w:pPr>
        <w:tabs>
          <w:tab w:val="left" w:pos="180"/>
          <w:tab w:val="left" w:pos="1620"/>
        </w:tabs>
        <w:spacing w:line="420" w:lineRule="exact"/>
        <w:ind w:firstLine="420"/>
        <w:rPr>
          <w:rFonts w:hint="eastAsia" w:ascii="宋体" w:hAnsi="宋体" w:eastAsia="宋体" w:cs="宋体"/>
          <w:i/>
          <w:iCs/>
          <w:color w:val="auto"/>
          <w:highlight w:val="none"/>
          <w:u w:val="single"/>
          <w:lang w:val="en-US" w:eastAsia="zh-CN"/>
        </w:rPr>
      </w:pPr>
      <w:r>
        <w:rPr>
          <w:rFonts w:hint="eastAsia" w:ascii="宋体" w:hAnsi="宋体" w:eastAsia="宋体" w:cs="宋体"/>
          <w:color w:val="auto"/>
          <w:highlight w:val="none"/>
          <w:lang w:val="en-US" w:eastAsia="zh-CN"/>
        </w:rPr>
        <w:t>6.采购标的对应的中小企业划分标准所属行业名称：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工业  </w:t>
      </w:r>
      <w:r>
        <w:rPr>
          <w:rFonts w:hint="eastAsia" w:ascii="宋体" w:hAnsi="宋体" w:eastAsia="宋体" w:cs="宋体"/>
          <w:color w:val="auto"/>
          <w:highlight w:val="none"/>
          <w:u w:val="single"/>
          <w:lang w:val="en-US" w:eastAsia="zh-CN"/>
        </w:rPr>
        <w:t>。</w:t>
      </w:r>
    </w:p>
    <w:bookmarkEnd w:id="46"/>
    <w:p w14:paraId="2695532C">
      <w:pPr>
        <w:pStyle w:val="29"/>
        <w:rPr>
          <w:rFonts w:hint="eastAsia" w:ascii="宋体" w:hAnsi="宋体" w:eastAsia="宋体" w:cs="宋体"/>
          <w:i/>
          <w:iCs/>
          <w:color w:val="auto"/>
          <w:highlight w:val="none"/>
          <w:u w:val="single"/>
          <w:lang w:val="en-US" w:eastAsia="zh-CN"/>
        </w:rPr>
      </w:pPr>
    </w:p>
    <w:tbl>
      <w:tblPr>
        <w:tblStyle w:val="46"/>
        <w:tblpPr w:leftFromText="180" w:rightFromText="180" w:vertAnchor="text" w:horzAnchor="page" w:tblpX="537" w:tblpY="1222"/>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02"/>
        <w:gridCol w:w="5702"/>
        <w:gridCol w:w="708"/>
        <w:gridCol w:w="709"/>
        <w:gridCol w:w="1275"/>
      </w:tblGrid>
      <w:tr w14:paraId="791F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46629B99">
            <w:pPr>
              <w:rPr>
                <w:rFonts w:ascii="微软雅黑" w:hAnsi="微软雅黑" w:eastAsia="微软雅黑"/>
                <w:color w:val="auto"/>
                <w:sz w:val="18"/>
                <w:szCs w:val="18"/>
              </w:rPr>
            </w:pPr>
            <w:bookmarkStart w:id="47" w:name="PO_TDCUS_ITEM_PB_REQ_FILE_1_1"/>
            <w:r>
              <w:rPr>
                <w:rFonts w:hint="eastAsia" w:ascii="微软雅黑" w:hAnsi="微软雅黑" w:eastAsia="微软雅黑"/>
                <w:color w:val="auto"/>
                <w:sz w:val="18"/>
                <w:szCs w:val="18"/>
              </w:rPr>
              <w:t>序号</w:t>
            </w:r>
          </w:p>
        </w:tc>
        <w:tc>
          <w:tcPr>
            <w:tcW w:w="1102" w:type="dxa"/>
          </w:tcPr>
          <w:p w14:paraId="5F26EF4A">
            <w:pPr>
              <w:rPr>
                <w:rFonts w:ascii="微软雅黑" w:hAnsi="微软雅黑" w:eastAsia="微软雅黑"/>
                <w:color w:val="auto"/>
                <w:sz w:val="18"/>
                <w:szCs w:val="18"/>
              </w:rPr>
            </w:pPr>
            <w:r>
              <w:rPr>
                <w:rFonts w:hint="eastAsia" w:ascii="微软雅黑" w:hAnsi="微软雅黑" w:eastAsia="微软雅黑"/>
                <w:color w:val="auto"/>
                <w:sz w:val="18"/>
                <w:szCs w:val="18"/>
                <w:lang w:val="en-US" w:eastAsia="zh-CN"/>
              </w:rPr>
              <w:t>货物</w:t>
            </w:r>
            <w:r>
              <w:rPr>
                <w:rFonts w:hint="eastAsia" w:ascii="微软雅黑" w:hAnsi="微软雅黑" w:eastAsia="微软雅黑"/>
                <w:color w:val="auto"/>
                <w:sz w:val="18"/>
                <w:szCs w:val="18"/>
              </w:rPr>
              <w:t>名称</w:t>
            </w:r>
          </w:p>
        </w:tc>
        <w:tc>
          <w:tcPr>
            <w:tcW w:w="5702" w:type="dxa"/>
          </w:tcPr>
          <w:p w14:paraId="0E9F7A54">
            <w:pPr>
              <w:jc w:val="center"/>
              <w:rPr>
                <w:rFonts w:ascii="微软雅黑" w:hAnsi="微软雅黑" w:eastAsia="微软雅黑"/>
                <w:color w:val="auto"/>
                <w:sz w:val="18"/>
                <w:szCs w:val="18"/>
              </w:rPr>
            </w:pPr>
            <w:r>
              <w:rPr>
                <w:rFonts w:hint="eastAsia" w:ascii="微软雅黑" w:hAnsi="微软雅黑" w:eastAsia="微软雅黑"/>
                <w:color w:val="auto"/>
                <w:sz w:val="18"/>
                <w:szCs w:val="18"/>
              </w:rPr>
              <w:t>参数</w:t>
            </w:r>
          </w:p>
        </w:tc>
        <w:tc>
          <w:tcPr>
            <w:tcW w:w="708" w:type="dxa"/>
          </w:tcPr>
          <w:p w14:paraId="72FF942D">
            <w:pPr>
              <w:rPr>
                <w:rFonts w:ascii="微软雅黑" w:hAnsi="微软雅黑" w:eastAsia="微软雅黑"/>
                <w:color w:val="auto"/>
                <w:sz w:val="18"/>
                <w:szCs w:val="18"/>
              </w:rPr>
            </w:pPr>
            <w:r>
              <w:rPr>
                <w:rFonts w:hint="eastAsia" w:ascii="微软雅黑" w:hAnsi="微软雅黑" w:eastAsia="微软雅黑"/>
                <w:color w:val="auto"/>
                <w:sz w:val="18"/>
                <w:szCs w:val="18"/>
              </w:rPr>
              <w:t>数量</w:t>
            </w:r>
          </w:p>
        </w:tc>
        <w:tc>
          <w:tcPr>
            <w:tcW w:w="709" w:type="dxa"/>
          </w:tcPr>
          <w:p w14:paraId="724AD9A7">
            <w:pPr>
              <w:rPr>
                <w:rFonts w:ascii="微软雅黑" w:hAnsi="微软雅黑" w:eastAsia="微软雅黑"/>
                <w:color w:val="auto"/>
                <w:sz w:val="18"/>
                <w:szCs w:val="18"/>
              </w:rPr>
            </w:pPr>
            <w:r>
              <w:rPr>
                <w:rFonts w:hint="eastAsia" w:ascii="微软雅黑" w:hAnsi="微软雅黑" w:eastAsia="微软雅黑"/>
                <w:color w:val="auto"/>
                <w:sz w:val="18"/>
                <w:szCs w:val="18"/>
              </w:rPr>
              <w:t>单位</w:t>
            </w:r>
          </w:p>
        </w:tc>
        <w:tc>
          <w:tcPr>
            <w:tcW w:w="1275" w:type="dxa"/>
          </w:tcPr>
          <w:p w14:paraId="4B0128A2">
            <w:pPr>
              <w:rPr>
                <w:rFonts w:hint="eastAsia" w:ascii="微软雅黑" w:hAnsi="微软雅黑" w:eastAsia="微软雅黑"/>
                <w:color w:val="auto"/>
                <w:sz w:val="18"/>
                <w:szCs w:val="18"/>
                <w:lang w:val="en-US" w:eastAsia="zh-CN"/>
              </w:rPr>
            </w:pPr>
            <w:r>
              <w:rPr>
                <w:rFonts w:hint="eastAsia" w:ascii="微软雅黑" w:hAnsi="微软雅黑" w:eastAsia="微软雅黑"/>
                <w:color w:val="auto"/>
                <w:sz w:val="18"/>
                <w:szCs w:val="18"/>
              </w:rPr>
              <w:t>是否</w:t>
            </w:r>
            <w:r>
              <w:rPr>
                <w:rFonts w:hint="eastAsia" w:ascii="微软雅黑" w:hAnsi="微软雅黑" w:eastAsia="微软雅黑"/>
                <w:color w:val="auto"/>
                <w:sz w:val="18"/>
                <w:szCs w:val="18"/>
                <w:lang w:val="en-US" w:eastAsia="zh-CN"/>
              </w:rPr>
              <w:t>面向</w:t>
            </w:r>
            <w:r>
              <w:rPr>
                <w:rFonts w:hint="eastAsia" w:ascii="微软雅黑" w:hAnsi="微软雅黑" w:eastAsia="微软雅黑"/>
                <w:color w:val="auto"/>
                <w:sz w:val="18"/>
                <w:szCs w:val="18"/>
              </w:rPr>
              <w:t>中小企业</w:t>
            </w:r>
            <w:r>
              <w:rPr>
                <w:rFonts w:hint="eastAsia" w:ascii="微软雅黑" w:hAnsi="微软雅黑" w:eastAsia="微软雅黑"/>
                <w:color w:val="auto"/>
                <w:sz w:val="18"/>
                <w:szCs w:val="18"/>
                <w:lang w:val="en-US" w:eastAsia="zh-CN"/>
              </w:rPr>
              <w:t>预留</w:t>
            </w:r>
          </w:p>
        </w:tc>
      </w:tr>
      <w:tr w14:paraId="55F9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F7050B1">
            <w:pPr>
              <w:rPr>
                <w:rFonts w:ascii="微软雅黑" w:hAnsi="微软雅黑" w:eastAsia="微软雅黑"/>
                <w:color w:val="auto"/>
                <w:sz w:val="18"/>
                <w:szCs w:val="18"/>
              </w:rPr>
            </w:pPr>
            <w:r>
              <w:rPr>
                <w:rFonts w:hint="eastAsia" w:ascii="微软雅黑" w:hAnsi="微软雅黑" w:eastAsia="微软雅黑"/>
                <w:color w:val="auto"/>
                <w:sz w:val="18"/>
                <w:szCs w:val="18"/>
              </w:rPr>
              <w:t>1</w:t>
            </w:r>
          </w:p>
        </w:tc>
        <w:tc>
          <w:tcPr>
            <w:tcW w:w="1102" w:type="dxa"/>
          </w:tcPr>
          <w:p w14:paraId="4A9F6993">
            <w:pPr>
              <w:rPr>
                <w:rFonts w:ascii="微软雅黑" w:hAnsi="微软雅黑" w:eastAsia="微软雅黑"/>
                <w:color w:val="auto"/>
                <w:sz w:val="18"/>
                <w:szCs w:val="18"/>
              </w:rPr>
            </w:pPr>
            <w:r>
              <w:rPr>
                <w:rFonts w:hint="eastAsia" w:ascii="微软雅黑" w:hAnsi="微软雅黑" w:eastAsia="微软雅黑"/>
                <w:color w:val="auto"/>
                <w:sz w:val="18"/>
                <w:szCs w:val="18"/>
              </w:rPr>
              <w:t>教师机</w:t>
            </w:r>
          </w:p>
        </w:tc>
        <w:tc>
          <w:tcPr>
            <w:tcW w:w="5702" w:type="dxa"/>
          </w:tcPr>
          <w:p w14:paraId="4E3A17C1">
            <w:pPr>
              <w:rPr>
                <w:rFonts w:ascii="宋体" w:hAnsi="宋体" w:eastAsia="宋体"/>
                <w:color w:val="auto"/>
                <w:sz w:val="18"/>
                <w:szCs w:val="18"/>
              </w:rPr>
            </w:pPr>
            <w:r>
              <w:rPr>
                <w:rFonts w:hint="eastAsia" w:ascii="宋体" w:hAnsi="宋体" w:eastAsia="宋体"/>
                <w:color w:val="auto"/>
                <w:sz w:val="18"/>
                <w:szCs w:val="18"/>
              </w:rPr>
              <w:t>一、硬件部分：</w:t>
            </w:r>
          </w:p>
          <w:p w14:paraId="0F10ED16">
            <w:pPr>
              <w:pStyle w:val="230"/>
              <w:numPr>
                <w:ilvl w:val="0"/>
                <w:numId w:val="1"/>
              </w:numPr>
              <w:ind w:firstLineChars="0"/>
              <w:rPr>
                <w:color w:val="auto"/>
                <w:sz w:val="18"/>
                <w:szCs w:val="18"/>
              </w:rPr>
            </w:pPr>
            <w:r>
              <w:rPr>
                <w:rFonts w:hint="eastAsia"/>
                <w:color w:val="auto"/>
                <w:sz w:val="18"/>
                <w:szCs w:val="18"/>
              </w:rPr>
              <w:t>投标产品CPU须符合《台式计算机政府采购需求标准（2023年版）》要求，供货时须出具符合财政部、工业和信息化部联合发布的财库〔2023〕29号《台式计算机政府采购需求标准（2023年版）》要求的符合性证明。</w:t>
            </w:r>
          </w:p>
          <w:p w14:paraId="72769AB9">
            <w:pPr>
              <w:pStyle w:val="230"/>
              <w:numPr>
                <w:ilvl w:val="0"/>
                <w:numId w:val="1"/>
              </w:numPr>
              <w:ind w:firstLineChars="0"/>
              <w:rPr>
                <w:color w:val="auto"/>
                <w:sz w:val="18"/>
                <w:szCs w:val="18"/>
              </w:rPr>
            </w:pPr>
            <w:r>
              <w:rPr>
                <w:rFonts w:hint="eastAsia" w:ascii="宋体" w:hAnsi="宋体"/>
                <w:b/>
                <w:bCs/>
                <w:color w:val="auto"/>
                <w:sz w:val="18"/>
                <w:szCs w:val="18"/>
              </w:rPr>
              <w:t>★</w:t>
            </w:r>
            <w:r>
              <w:rPr>
                <w:rFonts w:hint="eastAsia"/>
                <w:color w:val="auto"/>
                <w:sz w:val="18"/>
                <w:szCs w:val="18"/>
              </w:rPr>
              <w:t>机箱：要求机箱容量≤14L，支持侧板挂环锁、Kensington锁。</w:t>
            </w:r>
          </w:p>
          <w:p w14:paraId="1EDC236B">
            <w:pPr>
              <w:pStyle w:val="230"/>
              <w:numPr>
                <w:ilvl w:val="0"/>
                <w:numId w:val="1"/>
              </w:numPr>
              <w:ind w:firstLineChars="0"/>
              <w:rPr>
                <w:color w:val="auto"/>
                <w:sz w:val="18"/>
                <w:szCs w:val="18"/>
              </w:rPr>
            </w:pPr>
            <w:r>
              <w:rPr>
                <w:rFonts w:hint="eastAsia"/>
                <w:color w:val="auto"/>
                <w:sz w:val="18"/>
                <w:szCs w:val="18"/>
              </w:rPr>
              <w:t>CPU处理器采用国产C86架构处理器，核心数≥8核，主频≥2.7GHz，二级缓存≥8MB。</w:t>
            </w:r>
          </w:p>
          <w:p w14:paraId="0522FBA0">
            <w:pPr>
              <w:pStyle w:val="230"/>
              <w:numPr>
                <w:ilvl w:val="0"/>
                <w:numId w:val="1"/>
              </w:numPr>
              <w:ind w:firstLineChars="0"/>
              <w:rPr>
                <w:color w:val="auto"/>
                <w:sz w:val="18"/>
                <w:szCs w:val="18"/>
              </w:rPr>
            </w:pPr>
            <w:r>
              <w:rPr>
                <w:rFonts w:hint="eastAsia"/>
                <w:color w:val="auto"/>
                <w:sz w:val="18"/>
                <w:szCs w:val="18"/>
              </w:rPr>
              <w:t>内存：配置≥16GB DDR4 UDIMM内存，配置≥2个内存插槽。</w:t>
            </w:r>
          </w:p>
          <w:p w14:paraId="34CAB9FF">
            <w:pPr>
              <w:pStyle w:val="230"/>
              <w:numPr>
                <w:ilvl w:val="0"/>
                <w:numId w:val="1"/>
              </w:numPr>
              <w:ind w:firstLineChars="0"/>
              <w:rPr>
                <w:color w:val="auto"/>
                <w:sz w:val="18"/>
                <w:szCs w:val="18"/>
              </w:rPr>
            </w:pPr>
            <w:r>
              <w:rPr>
                <w:rFonts w:hint="eastAsia"/>
                <w:color w:val="auto"/>
                <w:sz w:val="18"/>
                <w:szCs w:val="18"/>
              </w:rPr>
              <w:t>显卡：配置集成显卡，支持VGA+HDMI接口。</w:t>
            </w:r>
          </w:p>
          <w:p w14:paraId="38BADA6D">
            <w:pPr>
              <w:pStyle w:val="230"/>
              <w:numPr>
                <w:ilvl w:val="0"/>
                <w:numId w:val="1"/>
              </w:numPr>
              <w:ind w:firstLineChars="0"/>
              <w:rPr>
                <w:color w:val="auto"/>
                <w:sz w:val="18"/>
                <w:szCs w:val="18"/>
              </w:rPr>
            </w:pPr>
            <w:r>
              <w:rPr>
                <w:rFonts w:hint="eastAsia"/>
                <w:color w:val="auto"/>
                <w:sz w:val="18"/>
                <w:szCs w:val="18"/>
              </w:rPr>
              <w:t>硬盘：配置≥512GB M.2接口NVME协议SSD，支持1块3.5英寸机械硬盘扩展</w:t>
            </w:r>
          </w:p>
          <w:p w14:paraId="15AD47D9">
            <w:pPr>
              <w:pStyle w:val="230"/>
              <w:numPr>
                <w:ilvl w:val="0"/>
                <w:numId w:val="1"/>
              </w:numPr>
              <w:ind w:firstLineChars="0"/>
              <w:rPr>
                <w:color w:val="auto"/>
                <w:sz w:val="18"/>
                <w:szCs w:val="18"/>
              </w:rPr>
            </w:pPr>
            <w:r>
              <w:rPr>
                <w:rFonts w:hint="eastAsia"/>
                <w:color w:val="auto"/>
                <w:sz w:val="18"/>
                <w:szCs w:val="18"/>
              </w:rPr>
              <w:t>网络：1个RJ45 10/100/1000自适应以太网口</w:t>
            </w:r>
          </w:p>
          <w:p w14:paraId="3659F203">
            <w:pPr>
              <w:pStyle w:val="230"/>
              <w:numPr>
                <w:ilvl w:val="0"/>
                <w:numId w:val="1"/>
              </w:numPr>
              <w:ind w:firstLineChars="0"/>
              <w:rPr>
                <w:color w:val="auto"/>
                <w:sz w:val="18"/>
                <w:szCs w:val="18"/>
              </w:rPr>
            </w:pPr>
            <w:r>
              <w:rPr>
                <w:rFonts w:hint="eastAsia" w:ascii="宋体" w:hAnsi="宋体"/>
                <w:b/>
                <w:bCs/>
                <w:color w:val="auto"/>
                <w:sz w:val="18"/>
                <w:szCs w:val="18"/>
              </w:rPr>
              <w:t>★</w:t>
            </w:r>
            <w:r>
              <w:rPr>
                <w:rFonts w:hint="eastAsia"/>
                <w:color w:val="auto"/>
                <w:sz w:val="18"/>
                <w:szCs w:val="18"/>
              </w:rPr>
              <w:t>PCIE插槽数量≥3个；接口：前置USB3.0接口≥4个；后置USB3.0接口≥2个，USB2.0接口≥2个；音频接口：麦克风1个，耳机1个；后端2个Audio音频接口，</w:t>
            </w:r>
          </w:p>
          <w:p w14:paraId="05AAE0A3">
            <w:pPr>
              <w:pStyle w:val="230"/>
              <w:numPr>
                <w:ilvl w:val="0"/>
                <w:numId w:val="1"/>
              </w:numPr>
              <w:ind w:firstLineChars="0"/>
              <w:rPr>
                <w:color w:val="auto"/>
                <w:sz w:val="18"/>
                <w:szCs w:val="18"/>
              </w:rPr>
            </w:pPr>
            <w:r>
              <w:rPr>
                <w:rFonts w:hint="eastAsia"/>
                <w:color w:val="auto"/>
                <w:sz w:val="18"/>
                <w:szCs w:val="18"/>
              </w:rPr>
              <w:t>电源：电源功率≤200W。</w:t>
            </w:r>
          </w:p>
          <w:p w14:paraId="63E0A6BE">
            <w:pPr>
              <w:pStyle w:val="230"/>
              <w:numPr>
                <w:ilvl w:val="0"/>
                <w:numId w:val="1"/>
              </w:numPr>
              <w:ind w:firstLineChars="0"/>
              <w:rPr>
                <w:color w:val="auto"/>
                <w:sz w:val="18"/>
                <w:szCs w:val="18"/>
              </w:rPr>
            </w:pPr>
            <w:r>
              <w:rPr>
                <w:rFonts w:hint="eastAsia"/>
                <w:color w:val="auto"/>
                <w:sz w:val="18"/>
                <w:szCs w:val="18"/>
              </w:rPr>
              <w:t>键鼠：配置≥1套防水键盘及抗菌鼠标。</w:t>
            </w:r>
          </w:p>
          <w:p w14:paraId="67C6C40C">
            <w:pPr>
              <w:pStyle w:val="230"/>
              <w:numPr>
                <w:ilvl w:val="0"/>
                <w:numId w:val="1"/>
              </w:numPr>
              <w:ind w:firstLineChars="0"/>
              <w:rPr>
                <w:color w:val="auto"/>
                <w:sz w:val="18"/>
                <w:szCs w:val="18"/>
              </w:rPr>
            </w:pPr>
            <w:r>
              <w:rPr>
                <w:rFonts w:hint="eastAsia"/>
                <w:color w:val="auto"/>
                <w:sz w:val="18"/>
                <w:szCs w:val="18"/>
              </w:rPr>
              <w:t>显示器：配置与主机同品牌≥23.8寸LED显示器，原厂三年上门保修，分辨率≥1920*1080，刷新频率≥100Hz，对比度≥3000:1，视频接口VGA+HDMI，</w:t>
            </w:r>
          </w:p>
          <w:p w14:paraId="2D30AC48">
            <w:pPr>
              <w:pStyle w:val="230"/>
              <w:numPr>
                <w:ilvl w:val="0"/>
                <w:numId w:val="1"/>
              </w:numPr>
              <w:ind w:firstLineChars="0"/>
              <w:rPr>
                <w:color w:val="auto"/>
                <w:sz w:val="18"/>
                <w:szCs w:val="18"/>
              </w:rPr>
            </w:pPr>
            <w:r>
              <w:rPr>
                <w:rFonts w:hint="eastAsia"/>
                <w:color w:val="auto"/>
                <w:sz w:val="18"/>
                <w:szCs w:val="18"/>
              </w:rPr>
              <w:t>安全性： BIOS级USB屏蔽及智能USB数据保护：USB支持BIOS下接口开关，针对存储设备支持USB接口切换禁止访问模式/只读模式</w:t>
            </w:r>
          </w:p>
          <w:p w14:paraId="51DDE64E">
            <w:pPr>
              <w:pStyle w:val="230"/>
              <w:numPr>
                <w:ilvl w:val="0"/>
                <w:numId w:val="1"/>
              </w:numPr>
              <w:ind w:firstLineChars="0"/>
              <w:rPr>
                <w:color w:val="auto"/>
                <w:sz w:val="18"/>
                <w:szCs w:val="18"/>
              </w:rPr>
            </w:pPr>
            <w:r>
              <w:rPr>
                <w:rFonts w:hint="eastAsia"/>
                <w:color w:val="auto"/>
                <w:sz w:val="18"/>
                <w:szCs w:val="18"/>
              </w:rPr>
              <w:t>出厂预装正版国产操作系统（正版激活三年服务）。</w:t>
            </w:r>
          </w:p>
          <w:p w14:paraId="2933D2D4">
            <w:pPr>
              <w:rPr>
                <w:rFonts w:ascii="Times New Roman" w:hAnsi="Times New Roman"/>
                <w:b/>
                <w:bCs/>
                <w:color w:val="auto"/>
                <w:sz w:val="18"/>
                <w:szCs w:val="18"/>
              </w:rPr>
            </w:pPr>
            <w:r>
              <w:rPr>
                <w:rFonts w:hint="eastAsia" w:ascii="宋体" w:hAnsi="宋体" w:eastAsia="宋体"/>
                <w:b/>
                <w:bCs/>
                <w:color w:val="auto"/>
                <w:sz w:val="18"/>
                <w:szCs w:val="18"/>
              </w:rPr>
              <w:t>二、</w:t>
            </w:r>
            <w:r>
              <w:rPr>
                <w:rFonts w:hint="eastAsia" w:ascii="宋体" w:hAnsi="宋体"/>
                <w:b/>
                <w:bCs/>
                <w:color w:val="auto"/>
                <w:sz w:val="18"/>
                <w:szCs w:val="18"/>
              </w:rPr>
              <w:t>★正版办公软件（供货时须提供终端用户软件正版化授权证明）：</w:t>
            </w:r>
          </w:p>
          <w:p w14:paraId="1DA6B414">
            <w:pPr>
              <w:rPr>
                <w:color w:val="auto"/>
                <w:sz w:val="18"/>
                <w:szCs w:val="18"/>
              </w:rPr>
            </w:pPr>
            <w:r>
              <w:rPr>
                <w:rFonts w:hint="eastAsia"/>
                <w:color w:val="auto"/>
                <w:sz w:val="18"/>
                <w:szCs w:val="18"/>
              </w:rPr>
              <w:t>1、整体基础性能：</w:t>
            </w:r>
          </w:p>
          <w:p w14:paraId="27B33AA6">
            <w:pPr>
              <w:pStyle w:val="230"/>
              <w:numPr>
                <w:ilvl w:val="0"/>
                <w:numId w:val="2"/>
              </w:numPr>
              <w:ind w:firstLineChars="0"/>
              <w:rPr>
                <w:color w:val="auto"/>
                <w:sz w:val="18"/>
                <w:szCs w:val="18"/>
              </w:rPr>
            </w:pPr>
            <w:r>
              <w:rPr>
                <w:color w:val="auto"/>
                <w:sz w:val="18"/>
                <w:szCs w:val="18"/>
              </w:rPr>
              <w:t>投标产品提供运行在LINUX国产操作系统上运行的office办公软件产品，包含文字处理、表格计算、幻灯片演示三个组件。</w:t>
            </w:r>
          </w:p>
          <w:p w14:paraId="5E7FFBBF">
            <w:pPr>
              <w:pStyle w:val="230"/>
              <w:numPr>
                <w:ilvl w:val="0"/>
                <w:numId w:val="2"/>
              </w:numPr>
              <w:ind w:firstLineChars="0"/>
              <w:rPr>
                <w:color w:val="auto"/>
                <w:sz w:val="18"/>
                <w:szCs w:val="18"/>
              </w:rPr>
            </w:pPr>
            <w:r>
              <w:rPr>
                <w:color w:val="auto"/>
                <w:sz w:val="18"/>
                <w:szCs w:val="18"/>
              </w:rPr>
              <w:t>投标产品支持窗口多组件/整合两种显示模式，并且可以随意切换；整合模式下支持进行单窗口多标签的拆分与组合。（需提供有效证明文件或者截图进行证明）</w:t>
            </w:r>
          </w:p>
          <w:p w14:paraId="22C01633">
            <w:pPr>
              <w:pStyle w:val="230"/>
              <w:numPr>
                <w:ilvl w:val="0"/>
                <w:numId w:val="2"/>
              </w:numPr>
              <w:ind w:firstLineChars="0"/>
              <w:rPr>
                <w:color w:val="auto"/>
                <w:sz w:val="18"/>
                <w:szCs w:val="18"/>
              </w:rPr>
            </w:pPr>
            <w:r>
              <w:rPr>
                <w:color w:val="auto"/>
                <w:sz w:val="18"/>
                <w:szCs w:val="18"/>
              </w:rPr>
              <w:t>投标产品支持PDF类型文件阅读，办公人员能够在办公软件中打开PDF文件。</w:t>
            </w:r>
          </w:p>
          <w:p w14:paraId="1C809ED6">
            <w:pPr>
              <w:pStyle w:val="230"/>
              <w:numPr>
                <w:ilvl w:val="0"/>
                <w:numId w:val="2"/>
              </w:numPr>
              <w:ind w:firstLineChars="0"/>
              <w:rPr>
                <w:color w:val="auto"/>
                <w:sz w:val="18"/>
                <w:szCs w:val="18"/>
              </w:rPr>
            </w:pPr>
            <w:r>
              <w:rPr>
                <w:color w:val="auto"/>
                <w:sz w:val="18"/>
                <w:szCs w:val="18"/>
              </w:rPr>
              <w:t>文件格式要求：所投办公软件能生成.doc/docx/dot/wps/xls/xlsx/xlt/et/ppt/pptx/pps/dps等文件格式。（需提供有效证明文件或者截图进行证明）</w:t>
            </w:r>
          </w:p>
          <w:p w14:paraId="697C05C9">
            <w:pPr>
              <w:rPr>
                <w:color w:val="auto"/>
                <w:sz w:val="18"/>
                <w:szCs w:val="18"/>
              </w:rPr>
            </w:pPr>
            <w:r>
              <w:rPr>
                <w:rFonts w:hint="eastAsia"/>
                <w:color w:val="auto"/>
                <w:sz w:val="18"/>
                <w:szCs w:val="18"/>
              </w:rPr>
              <w:t>2、文字模块指标：</w:t>
            </w:r>
          </w:p>
          <w:p w14:paraId="1F6AE767">
            <w:pPr>
              <w:pStyle w:val="230"/>
              <w:numPr>
                <w:ilvl w:val="0"/>
                <w:numId w:val="3"/>
              </w:numPr>
              <w:ind w:firstLineChars="0"/>
              <w:rPr>
                <w:color w:val="auto"/>
                <w:sz w:val="18"/>
                <w:szCs w:val="18"/>
              </w:rPr>
            </w:pPr>
            <w:r>
              <w:rPr>
                <w:rFonts w:hint="eastAsia"/>
                <w:color w:val="auto"/>
                <w:sz w:val="18"/>
                <w:szCs w:val="18"/>
              </w:rPr>
              <w:t>文字模块支持截图取字功能，对截图和已有图片进行内容识别。</w:t>
            </w:r>
          </w:p>
          <w:p w14:paraId="114DB91D">
            <w:pPr>
              <w:pStyle w:val="230"/>
              <w:numPr>
                <w:ilvl w:val="0"/>
                <w:numId w:val="3"/>
              </w:numPr>
              <w:ind w:firstLineChars="0"/>
              <w:rPr>
                <w:color w:val="auto"/>
                <w:sz w:val="18"/>
                <w:szCs w:val="18"/>
              </w:rPr>
            </w:pPr>
            <w:r>
              <w:rPr>
                <w:rFonts w:hint="eastAsia"/>
                <w:color w:val="auto"/>
                <w:sz w:val="18"/>
                <w:szCs w:val="18"/>
              </w:rPr>
              <w:t>文字模块具有导航窗格，支持目录导航、章节导航、书签导航功能。</w:t>
            </w:r>
          </w:p>
          <w:p w14:paraId="7F98F22D">
            <w:pPr>
              <w:pStyle w:val="230"/>
              <w:numPr>
                <w:ilvl w:val="0"/>
                <w:numId w:val="3"/>
              </w:numPr>
              <w:ind w:firstLineChars="0"/>
              <w:rPr>
                <w:color w:val="auto"/>
                <w:sz w:val="18"/>
                <w:szCs w:val="18"/>
              </w:rPr>
            </w:pPr>
            <w:r>
              <w:rPr>
                <w:rFonts w:hint="eastAsia"/>
                <w:color w:val="auto"/>
                <w:sz w:val="18"/>
                <w:szCs w:val="18"/>
              </w:rPr>
              <w:t>文字模块支持智能目录功能，可以自动识别文档结构，实时调整文档目录；标题格式不用调整样式，也可智能自动生成目录。（需提供有效证明文件或者截图进行证明）</w:t>
            </w:r>
          </w:p>
          <w:p w14:paraId="2C3022E3">
            <w:pPr>
              <w:pStyle w:val="230"/>
              <w:numPr>
                <w:ilvl w:val="0"/>
                <w:numId w:val="3"/>
              </w:numPr>
              <w:ind w:firstLineChars="0"/>
              <w:rPr>
                <w:color w:val="auto"/>
                <w:sz w:val="18"/>
                <w:szCs w:val="18"/>
              </w:rPr>
            </w:pPr>
            <w:r>
              <w:rPr>
                <w:rFonts w:hint="eastAsia"/>
                <w:color w:val="auto"/>
                <w:sz w:val="18"/>
                <w:szCs w:val="18"/>
              </w:rPr>
              <w:t>文字模块提供横竖页工具，可以不插入分隔符即可随意新建横版或竖版空白页。</w:t>
            </w:r>
          </w:p>
          <w:p w14:paraId="0C81D774">
            <w:pPr>
              <w:rPr>
                <w:color w:val="auto"/>
                <w:sz w:val="18"/>
                <w:szCs w:val="18"/>
              </w:rPr>
            </w:pPr>
            <w:r>
              <w:rPr>
                <w:rFonts w:hint="eastAsia"/>
                <w:color w:val="auto"/>
                <w:sz w:val="18"/>
                <w:szCs w:val="18"/>
              </w:rPr>
              <w:t>3、表格模块指标：</w:t>
            </w:r>
          </w:p>
          <w:p w14:paraId="51D371DD">
            <w:pPr>
              <w:pStyle w:val="230"/>
              <w:numPr>
                <w:ilvl w:val="0"/>
                <w:numId w:val="4"/>
              </w:numPr>
              <w:ind w:firstLineChars="0"/>
              <w:rPr>
                <w:color w:val="auto"/>
                <w:sz w:val="18"/>
                <w:szCs w:val="18"/>
              </w:rPr>
            </w:pPr>
            <w:r>
              <w:rPr>
                <w:rFonts w:hint="eastAsia"/>
                <w:color w:val="auto"/>
                <w:sz w:val="18"/>
                <w:szCs w:val="18"/>
              </w:rPr>
              <w:t>表格模块支持在表格中一键插入求和、计数、平均值等常用公式。支持多列数据合并操作。支持单元格数据的循环引用。</w:t>
            </w:r>
          </w:p>
          <w:p w14:paraId="761852AF">
            <w:pPr>
              <w:pStyle w:val="230"/>
              <w:numPr>
                <w:ilvl w:val="0"/>
                <w:numId w:val="4"/>
              </w:numPr>
              <w:ind w:firstLineChars="0"/>
              <w:rPr>
                <w:color w:val="auto"/>
                <w:sz w:val="18"/>
                <w:szCs w:val="18"/>
              </w:rPr>
            </w:pPr>
            <w:r>
              <w:rPr>
                <w:rFonts w:hint="eastAsia"/>
                <w:color w:val="auto"/>
                <w:sz w:val="18"/>
                <w:szCs w:val="18"/>
              </w:rPr>
              <w:t>表格模块支持右键插入行数的手动输入，便于一次性插入多行。</w:t>
            </w:r>
          </w:p>
          <w:p w14:paraId="3D68867A">
            <w:pPr>
              <w:pStyle w:val="230"/>
              <w:numPr>
                <w:ilvl w:val="0"/>
                <w:numId w:val="4"/>
              </w:numPr>
              <w:ind w:firstLineChars="0"/>
              <w:rPr>
                <w:color w:val="auto"/>
                <w:sz w:val="18"/>
                <w:szCs w:val="18"/>
              </w:rPr>
            </w:pPr>
            <w:r>
              <w:rPr>
                <w:rFonts w:hint="eastAsia"/>
                <w:color w:val="auto"/>
                <w:sz w:val="18"/>
                <w:szCs w:val="18"/>
              </w:rPr>
              <w:t>表格模块支持筛选计数功能，让用户可以直观地了解当前内容所在列中出现的次数，并支持对计数结果进行导出，提高用户数据分析的便捷性。</w:t>
            </w:r>
          </w:p>
          <w:p w14:paraId="7CE6EEED">
            <w:pPr>
              <w:pStyle w:val="230"/>
              <w:numPr>
                <w:ilvl w:val="0"/>
                <w:numId w:val="4"/>
              </w:numPr>
              <w:ind w:firstLineChars="0"/>
              <w:rPr>
                <w:color w:val="auto"/>
                <w:sz w:val="18"/>
                <w:szCs w:val="18"/>
              </w:rPr>
            </w:pPr>
            <w:r>
              <w:rPr>
                <w:rFonts w:hint="eastAsia"/>
                <w:color w:val="auto"/>
                <w:sz w:val="18"/>
                <w:szCs w:val="18"/>
              </w:rPr>
              <w:t>表格模块支持表格的快速合并选择，支持教师用户一键选择合并居中、合并单元格、合并相同单元格、合并内容、取消合并单元格、拆分并填充内容。</w:t>
            </w:r>
          </w:p>
          <w:p w14:paraId="363F8E83">
            <w:pPr>
              <w:pStyle w:val="230"/>
              <w:numPr>
                <w:ilvl w:val="0"/>
                <w:numId w:val="4"/>
              </w:numPr>
              <w:ind w:firstLineChars="0"/>
              <w:rPr>
                <w:color w:val="auto"/>
                <w:sz w:val="18"/>
                <w:szCs w:val="18"/>
              </w:rPr>
            </w:pPr>
            <w:r>
              <w:rPr>
                <w:rFonts w:hint="eastAsia"/>
                <w:color w:val="auto"/>
                <w:sz w:val="18"/>
                <w:szCs w:val="18"/>
              </w:rPr>
              <w:t>表格模块在文本输入时，须能提供推荐列表，在教师输入内容即便不是首个字，也可以提供下拉推荐列表，帮助提高录入的速度和准确性。</w:t>
            </w:r>
          </w:p>
          <w:p w14:paraId="786A4CA7">
            <w:pPr>
              <w:pStyle w:val="230"/>
              <w:numPr>
                <w:ilvl w:val="0"/>
                <w:numId w:val="4"/>
              </w:numPr>
              <w:ind w:firstLineChars="0"/>
              <w:rPr>
                <w:color w:val="auto"/>
                <w:sz w:val="18"/>
                <w:szCs w:val="18"/>
              </w:rPr>
            </w:pPr>
            <w:r>
              <w:rPr>
                <w:rFonts w:hint="eastAsia"/>
                <w:color w:val="auto"/>
                <w:sz w:val="18"/>
                <w:szCs w:val="18"/>
              </w:rPr>
              <w:t>表格功能模块支持合并表格，提供一键式的批量合并表格功能，可以将多个工作表、多个工作簿、以及多个工作簿中的同名工作表进行数据智能合并。（需提供有效证明文件或者截图进行证明）</w:t>
            </w:r>
          </w:p>
          <w:p w14:paraId="641E7CD7">
            <w:pPr>
              <w:pStyle w:val="230"/>
              <w:numPr>
                <w:ilvl w:val="0"/>
                <w:numId w:val="4"/>
              </w:numPr>
              <w:ind w:firstLineChars="0"/>
              <w:rPr>
                <w:color w:val="auto"/>
                <w:sz w:val="18"/>
                <w:szCs w:val="18"/>
              </w:rPr>
            </w:pPr>
            <w:r>
              <w:rPr>
                <w:rFonts w:hint="eastAsia"/>
                <w:color w:val="auto"/>
                <w:sz w:val="18"/>
                <w:szCs w:val="18"/>
              </w:rPr>
              <w:t>表格功能模块支持</w:t>
            </w:r>
            <w:r>
              <w:rPr>
                <w:color w:val="auto"/>
                <w:sz w:val="18"/>
                <w:szCs w:val="18"/>
              </w:rPr>
              <w:t>“</w:t>
            </w:r>
            <w:r>
              <w:rPr>
                <w:rFonts w:hint="eastAsia"/>
                <w:color w:val="auto"/>
                <w:sz w:val="18"/>
                <w:szCs w:val="18"/>
              </w:rPr>
              <w:t>文件瘦身</w:t>
            </w:r>
            <w:r>
              <w:rPr>
                <w:color w:val="auto"/>
                <w:sz w:val="18"/>
                <w:szCs w:val="18"/>
              </w:rPr>
              <w:t>”</w:t>
            </w:r>
            <w:r>
              <w:rPr>
                <w:rFonts w:hint="eastAsia"/>
                <w:color w:val="auto"/>
                <w:sz w:val="18"/>
                <w:szCs w:val="18"/>
              </w:rPr>
              <w:t>功能。能够通过对对象、重复样式、空白单元格内容进行瘦身，减小文件体积。（需提供有效证明文件或者截图进行证明）</w:t>
            </w:r>
          </w:p>
          <w:p w14:paraId="1B5272C6">
            <w:pPr>
              <w:rPr>
                <w:color w:val="auto"/>
                <w:sz w:val="18"/>
                <w:szCs w:val="18"/>
              </w:rPr>
            </w:pPr>
            <w:r>
              <w:rPr>
                <w:rFonts w:hint="eastAsia"/>
                <w:color w:val="auto"/>
                <w:sz w:val="18"/>
                <w:szCs w:val="18"/>
              </w:rPr>
              <w:t>4、演示模块指标：</w:t>
            </w:r>
          </w:p>
          <w:p w14:paraId="627C5E13">
            <w:pPr>
              <w:pStyle w:val="230"/>
              <w:numPr>
                <w:ilvl w:val="0"/>
                <w:numId w:val="5"/>
              </w:numPr>
              <w:ind w:firstLineChars="0"/>
              <w:rPr>
                <w:color w:val="auto"/>
                <w:sz w:val="18"/>
                <w:szCs w:val="18"/>
              </w:rPr>
            </w:pPr>
            <w:r>
              <w:rPr>
                <w:rFonts w:hint="eastAsia"/>
                <w:color w:val="auto"/>
                <w:sz w:val="18"/>
                <w:szCs w:val="18"/>
              </w:rPr>
              <w:t>演示模块支持智能图形（SmartArt），至少满足多种图示类型，如层次结构、列表、循环、流程等图形类型。</w:t>
            </w:r>
          </w:p>
          <w:p w14:paraId="43783463">
            <w:pPr>
              <w:pStyle w:val="230"/>
              <w:numPr>
                <w:ilvl w:val="0"/>
                <w:numId w:val="5"/>
              </w:numPr>
              <w:ind w:firstLineChars="0"/>
              <w:rPr>
                <w:color w:val="auto"/>
                <w:sz w:val="18"/>
                <w:szCs w:val="18"/>
              </w:rPr>
            </w:pPr>
            <w:r>
              <w:rPr>
                <w:rFonts w:hint="eastAsia"/>
                <w:color w:val="auto"/>
                <w:sz w:val="18"/>
                <w:szCs w:val="18"/>
              </w:rPr>
              <w:t>演示支持幻灯片文件及相关媒体文件直接打包成文件夹。持将幻灯片背景另存为图片。</w:t>
            </w:r>
          </w:p>
          <w:p w14:paraId="079D6B1C">
            <w:pPr>
              <w:pStyle w:val="230"/>
              <w:numPr>
                <w:ilvl w:val="0"/>
                <w:numId w:val="5"/>
              </w:numPr>
              <w:ind w:firstLineChars="0"/>
              <w:rPr>
                <w:color w:val="auto"/>
                <w:sz w:val="18"/>
                <w:szCs w:val="18"/>
              </w:rPr>
            </w:pPr>
            <w:r>
              <w:rPr>
                <w:rFonts w:hint="eastAsia"/>
                <w:color w:val="auto"/>
                <w:sz w:val="18"/>
                <w:szCs w:val="18"/>
              </w:rPr>
              <w:t>演示模块支持将文档保存为视频格式和放映中录制视频。</w:t>
            </w:r>
          </w:p>
          <w:p w14:paraId="0E7B89B9">
            <w:pPr>
              <w:rPr>
                <w:color w:val="auto"/>
                <w:sz w:val="18"/>
                <w:szCs w:val="18"/>
              </w:rPr>
            </w:pPr>
            <w:r>
              <w:rPr>
                <w:rFonts w:hint="eastAsia"/>
                <w:color w:val="auto"/>
                <w:sz w:val="18"/>
                <w:szCs w:val="18"/>
              </w:rPr>
              <w:t>5、云端办公能力指标：</w:t>
            </w:r>
          </w:p>
          <w:p w14:paraId="082279F2">
            <w:pPr>
              <w:pStyle w:val="230"/>
              <w:numPr>
                <w:ilvl w:val="0"/>
                <w:numId w:val="6"/>
              </w:numPr>
              <w:ind w:firstLineChars="0"/>
              <w:rPr>
                <w:color w:val="auto"/>
                <w:sz w:val="18"/>
                <w:szCs w:val="18"/>
              </w:rPr>
            </w:pPr>
            <w:r>
              <w:rPr>
                <w:rFonts w:hint="eastAsia"/>
                <w:color w:val="auto"/>
                <w:sz w:val="18"/>
                <w:szCs w:val="18"/>
              </w:rPr>
              <w:t>支持提供公网云办公能力，支持通过网页、客户端、手机端等登陆教职工账号；支持切换个人账号、学校团队账号。支持登录学校团队账号时查看当前使用套餐版本，到期时间。</w:t>
            </w:r>
          </w:p>
          <w:p w14:paraId="06076337">
            <w:pPr>
              <w:pStyle w:val="230"/>
              <w:numPr>
                <w:ilvl w:val="0"/>
                <w:numId w:val="6"/>
              </w:numPr>
              <w:ind w:firstLineChars="0"/>
              <w:rPr>
                <w:color w:val="auto"/>
                <w:sz w:val="18"/>
                <w:szCs w:val="18"/>
              </w:rPr>
            </w:pPr>
            <w:r>
              <w:rPr>
                <w:rFonts w:hint="eastAsia"/>
                <w:color w:val="auto"/>
                <w:sz w:val="18"/>
                <w:szCs w:val="18"/>
              </w:rPr>
              <w:t>支持使用云办公过程中新建各类文档。包括但不限于：在线格式的智能文档、传统office文档、流脑图等应用文档。在线智能文档支持保存为word文档格式、PDF格式或者图片格式。</w:t>
            </w:r>
          </w:p>
          <w:p w14:paraId="162EC985">
            <w:pPr>
              <w:pStyle w:val="230"/>
              <w:numPr>
                <w:ilvl w:val="0"/>
                <w:numId w:val="6"/>
              </w:numPr>
              <w:ind w:firstLineChars="0"/>
              <w:rPr>
                <w:color w:val="auto"/>
                <w:sz w:val="18"/>
                <w:szCs w:val="18"/>
              </w:rPr>
            </w:pPr>
            <w:r>
              <w:rPr>
                <w:rFonts w:hint="eastAsia"/>
                <w:color w:val="auto"/>
                <w:sz w:val="18"/>
                <w:szCs w:val="18"/>
              </w:rPr>
              <w:t>支持创建编辑整理个人云文档，支持创建或加入学校各类文档团队，支持为重点关注的文档添加星标、标签、置顶、常用等。</w:t>
            </w:r>
          </w:p>
          <w:p w14:paraId="2EE26EBF">
            <w:pPr>
              <w:pStyle w:val="230"/>
              <w:numPr>
                <w:ilvl w:val="0"/>
                <w:numId w:val="6"/>
              </w:numPr>
              <w:ind w:firstLineChars="0"/>
              <w:rPr>
                <w:color w:val="auto"/>
                <w:sz w:val="18"/>
                <w:szCs w:val="18"/>
              </w:rPr>
            </w:pPr>
            <w:r>
              <w:rPr>
                <w:rFonts w:hint="eastAsia"/>
                <w:color w:val="auto"/>
                <w:sz w:val="18"/>
                <w:szCs w:val="18"/>
              </w:rPr>
              <w:t>支持在众多云文档中快速搜索，包括但不限于搜索：文件名、正文、创建者、类型、时间等。</w:t>
            </w:r>
          </w:p>
          <w:p w14:paraId="1948035A">
            <w:pPr>
              <w:pStyle w:val="230"/>
              <w:numPr>
                <w:ilvl w:val="0"/>
                <w:numId w:val="6"/>
              </w:numPr>
              <w:ind w:firstLineChars="0"/>
              <w:rPr>
                <w:color w:val="auto"/>
                <w:sz w:val="18"/>
                <w:szCs w:val="18"/>
              </w:rPr>
            </w:pPr>
            <w:r>
              <w:rPr>
                <w:rFonts w:hint="eastAsia"/>
                <w:color w:val="auto"/>
                <w:sz w:val="18"/>
                <w:szCs w:val="18"/>
              </w:rPr>
              <w:t>办公教师云文档空间具备≥50GB/人的存储容量，管理员可以根据教师使用情况进行空间大小分配，支持管理员查看空间使用报表，支持清理空间冗余。（需提供有效证明文件或者截图进行证明）</w:t>
            </w:r>
          </w:p>
          <w:p w14:paraId="6BD6C6DE">
            <w:pPr>
              <w:pStyle w:val="230"/>
              <w:numPr>
                <w:ilvl w:val="0"/>
                <w:numId w:val="6"/>
              </w:numPr>
              <w:ind w:firstLineChars="0"/>
              <w:rPr>
                <w:color w:val="auto"/>
                <w:sz w:val="18"/>
                <w:szCs w:val="18"/>
              </w:rPr>
            </w:pPr>
            <w:r>
              <w:rPr>
                <w:rFonts w:hint="eastAsia"/>
                <w:color w:val="auto"/>
                <w:sz w:val="18"/>
                <w:szCs w:val="18"/>
              </w:rPr>
              <w:t>支持云文档外链分享，分享过程中可以设置分享权限；支持查看具体文档的历史版本和协作记录，可以恢复历史版本；支持查看云文档最近改动情况。</w:t>
            </w:r>
          </w:p>
          <w:p w14:paraId="2220FC07">
            <w:pPr>
              <w:pStyle w:val="230"/>
              <w:numPr>
                <w:ilvl w:val="0"/>
                <w:numId w:val="6"/>
              </w:numPr>
              <w:ind w:firstLineChars="0"/>
              <w:rPr>
                <w:color w:val="auto"/>
                <w:sz w:val="18"/>
                <w:szCs w:val="18"/>
              </w:rPr>
            </w:pPr>
            <w:r>
              <w:rPr>
                <w:rFonts w:hint="eastAsia"/>
                <w:color w:val="auto"/>
                <w:sz w:val="18"/>
                <w:szCs w:val="18"/>
              </w:rPr>
              <w:t>支持云文档调用本地office客户端打开，支持office客户端编辑文档内容同步上云。（需提供有效证明文件或者截图进行证明）</w:t>
            </w:r>
          </w:p>
          <w:p w14:paraId="499A1538">
            <w:pPr>
              <w:pStyle w:val="230"/>
              <w:numPr>
                <w:ilvl w:val="0"/>
                <w:numId w:val="6"/>
              </w:numPr>
              <w:ind w:firstLineChars="0"/>
              <w:rPr>
                <w:color w:val="auto"/>
                <w:sz w:val="18"/>
                <w:szCs w:val="18"/>
              </w:rPr>
            </w:pPr>
            <w:r>
              <w:rPr>
                <w:rFonts w:hint="eastAsia"/>
                <w:color w:val="auto"/>
                <w:sz w:val="18"/>
                <w:szCs w:val="18"/>
              </w:rPr>
              <w:t>支持表单功能，可创建基础表单、考试、打卡、接龙等多种常用信息采集表，提供多种常用模板，并且支持链接、二维码、海报、微信、QQ等方式进行邀请填写，后台自动生成Excel表格和填报情况汇总。支持扫描纸质表格，自动生成电子表单的功能。</w:t>
            </w:r>
          </w:p>
          <w:p w14:paraId="789B6FDB">
            <w:pPr>
              <w:rPr>
                <w:color w:val="auto"/>
                <w:sz w:val="18"/>
                <w:szCs w:val="18"/>
              </w:rPr>
            </w:pPr>
            <w:r>
              <w:rPr>
                <w:rFonts w:hint="eastAsia"/>
                <w:color w:val="auto"/>
                <w:sz w:val="18"/>
                <w:szCs w:val="18"/>
              </w:rPr>
              <w:t>6、云后台管理指标：</w:t>
            </w:r>
          </w:p>
          <w:p w14:paraId="7F199180">
            <w:pPr>
              <w:pStyle w:val="230"/>
              <w:numPr>
                <w:ilvl w:val="0"/>
                <w:numId w:val="7"/>
              </w:numPr>
              <w:ind w:firstLineChars="0"/>
              <w:rPr>
                <w:color w:val="auto"/>
                <w:sz w:val="18"/>
                <w:szCs w:val="18"/>
              </w:rPr>
            </w:pPr>
            <w:r>
              <w:rPr>
                <w:rFonts w:hint="eastAsia"/>
                <w:color w:val="auto"/>
                <w:sz w:val="18"/>
                <w:szCs w:val="18"/>
              </w:rPr>
              <w:t>支持管理员后台查看管理功能，包括但不限于通讯录管理、安全管理、日志管理、审批管理、应用管理等；</w:t>
            </w:r>
          </w:p>
          <w:p w14:paraId="450E468D">
            <w:pPr>
              <w:pStyle w:val="230"/>
              <w:numPr>
                <w:ilvl w:val="0"/>
                <w:numId w:val="7"/>
              </w:numPr>
              <w:ind w:firstLineChars="0"/>
              <w:rPr>
                <w:color w:val="auto"/>
                <w:sz w:val="18"/>
                <w:szCs w:val="18"/>
              </w:rPr>
            </w:pPr>
            <w:r>
              <w:rPr>
                <w:rFonts w:hint="eastAsia"/>
                <w:color w:val="auto"/>
                <w:sz w:val="18"/>
                <w:szCs w:val="18"/>
              </w:rPr>
              <w:t>文档安全管理能力支持团队文档水印、团队文档分享范围管控设置、移动端安全使用设置。</w:t>
            </w:r>
          </w:p>
          <w:p w14:paraId="6A4CBBFB">
            <w:pPr>
              <w:pStyle w:val="230"/>
              <w:numPr>
                <w:ilvl w:val="0"/>
                <w:numId w:val="7"/>
              </w:numPr>
              <w:ind w:firstLineChars="0"/>
              <w:rPr>
                <w:color w:val="auto"/>
                <w:sz w:val="18"/>
                <w:szCs w:val="18"/>
              </w:rPr>
            </w:pPr>
            <w:r>
              <w:rPr>
                <w:rFonts w:hint="eastAsia"/>
                <w:color w:val="auto"/>
                <w:sz w:val="18"/>
                <w:szCs w:val="18"/>
              </w:rPr>
              <w:t>日志管理功能支持查看文档日志、团队日志、后台日志、登录日志，各类日志均可查看操作时间、操作人、操作详情，支持导出各类日志。</w:t>
            </w:r>
          </w:p>
          <w:p w14:paraId="43588F94">
            <w:pPr>
              <w:pStyle w:val="230"/>
              <w:numPr>
                <w:ilvl w:val="0"/>
                <w:numId w:val="7"/>
              </w:numPr>
              <w:ind w:firstLineChars="0"/>
              <w:rPr>
                <w:color w:val="auto"/>
                <w:sz w:val="18"/>
                <w:szCs w:val="18"/>
              </w:rPr>
            </w:pPr>
            <w:r>
              <w:rPr>
                <w:rFonts w:hint="eastAsia"/>
                <w:color w:val="auto"/>
                <w:sz w:val="18"/>
                <w:szCs w:val="18"/>
              </w:rPr>
              <w:t>审批管理支持成员审批，对于加入学校团队的教职工成员可以处理审批，查看申请时间，IP等信息。</w:t>
            </w:r>
          </w:p>
          <w:p w14:paraId="3C9146D0">
            <w:pPr>
              <w:pStyle w:val="230"/>
              <w:numPr>
                <w:ilvl w:val="0"/>
                <w:numId w:val="7"/>
              </w:numPr>
              <w:ind w:firstLineChars="0"/>
              <w:rPr>
                <w:color w:val="auto"/>
                <w:sz w:val="18"/>
                <w:szCs w:val="18"/>
              </w:rPr>
            </w:pPr>
            <w:r>
              <w:rPr>
                <w:rFonts w:hint="eastAsia"/>
                <w:color w:val="auto"/>
                <w:sz w:val="18"/>
                <w:szCs w:val="18"/>
              </w:rPr>
              <w:t>角色管理：根据不同的管理能力，创建不同角色，支持不同权限管理员，完成分权管理。（需提供有效证明文件或者截图进行证明）</w:t>
            </w:r>
          </w:p>
          <w:p w14:paraId="0017A73F">
            <w:pPr>
              <w:pStyle w:val="230"/>
              <w:numPr>
                <w:ilvl w:val="0"/>
                <w:numId w:val="7"/>
              </w:numPr>
              <w:ind w:firstLineChars="0"/>
              <w:rPr>
                <w:color w:val="auto"/>
                <w:sz w:val="18"/>
                <w:szCs w:val="18"/>
              </w:rPr>
            </w:pPr>
            <w:r>
              <w:rPr>
                <w:rFonts w:hint="eastAsia"/>
                <w:color w:val="auto"/>
                <w:sz w:val="18"/>
                <w:szCs w:val="18"/>
              </w:rPr>
              <w:t>应用管理支持，应用市场支持基础应用、自建应用、第三方应用的管理等功能。</w:t>
            </w:r>
          </w:p>
          <w:p w14:paraId="62CFD93B">
            <w:pPr>
              <w:rPr>
                <w:b/>
                <w:bCs/>
                <w:color w:val="auto"/>
                <w:sz w:val="18"/>
                <w:szCs w:val="18"/>
              </w:rPr>
            </w:pPr>
            <w:r>
              <w:rPr>
                <w:b/>
                <w:bCs/>
                <w:color w:val="auto"/>
                <w:sz w:val="18"/>
                <w:szCs w:val="18"/>
              </w:rPr>
              <w:t>三、</w:t>
            </w:r>
            <w:r>
              <w:rPr>
                <w:rFonts w:hint="eastAsia"/>
                <w:color w:val="auto"/>
                <w:sz w:val="18"/>
                <w:szCs w:val="18"/>
              </w:rPr>
              <w:t>AI素养平台系统</w:t>
            </w:r>
          </w:p>
          <w:p w14:paraId="1375B4F3">
            <w:pPr>
              <w:pStyle w:val="230"/>
              <w:numPr>
                <w:ilvl w:val="0"/>
                <w:numId w:val="8"/>
              </w:numPr>
              <w:ind w:firstLineChars="0"/>
              <w:rPr>
                <w:color w:val="auto"/>
                <w:sz w:val="18"/>
                <w:szCs w:val="18"/>
              </w:rPr>
            </w:pPr>
            <w:r>
              <w:rPr>
                <w:rFonts w:hint="eastAsia" w:ascii="宋体" w:hAnsi="宋体"/>
                <w:b/>
                <w:bCs/>
                <w:color w:val="auto"/>
                <w:sz w:val="18"/>
                <w:szCs w:val="18"/>
              </w:rPr>
              <w:t>★</w:t>
            </w:r>
            <w:r>
              <w:rPr>
                <w:rFonts w:hint="eastAsia"/>
                <w:color w:val="auto"/>
                <w:sz w:val="18"/>
                <w:szCs w:val="18"/>
              </w:rPr>
              <w:t>大模型接入功能：能接入DEEPSEEK R1 / QWEN3 / MOONSHOT等主流大模型API并运行（投标人于投标文件中必须提供所投产品满足本条技术要求的相关有效证明材料复印件（加盖供应商公章），证明材料可以是国家认可的第三方检验（测）机构出具的合格有效的检验（测）报告、官网截图、功能截图或产品彩页等）</w:t>
            </w:r>
          </w:p>
          <w:p w14:paraId="4A4FD314">
            <w:pPr>
              <w:pStyle w:val="230"/>
              <w:numPr>
                <w:ilvl w:val="0"/>
                <w:numId w:val="8"/>
              </w:numPr>
              <w:ind w:firstLineChars="0"/>
              <w:rPr>
                <w:color w:val="auto"/>
                <w:sz w:val="18"/>
                <w:szCs w:val="18"/>
              </w:rPr>
            </w:pPr>
            <w:r>
              <w:rPr>
                <w:rFonts w:hint="eastAsia" w:ascii="宋体" w:hAnsi="宋体"/>
                <w:b/>
                <w:bCs/>
                <w:color w:val="auto"/>
                <w:sz w:val="18"/>
                <w:szCs w:val="18"/>
              </w:rPr>
              <w:t>★</w:t>
            </w:r>
            <w:r>
              <w:rPr>
                <w:rFonts w:hint="eastAsia"/>
                <w:color w:val="auto"/>
                <w:sz w:val="18"/>
                <w:szCs w:val="18"/>
              </w:rPr>
              <w:t>大模型部署功能：能在私有云部署开源模型/自有大模型/微调大模型(GGUF格式)并满足随时调用的功能（投标人于投标文件中必须提供所投产品满足本条技术要求的相关有效证明材料复印件（加盖供应商公章），证明材料可以是国家认可的第三方检验（测）机构出具的合格有效的检验（测）报告、官网截图、功能截图或产品彩页等）</w:t>
            </w:r>
          </w:p>
          <w:p w14:paraId="049A5895">
            <w:pPr>
              <w:pStyle w:val="230"/>
              <w:numPr>
                <w:ilvl w:val="0"/>
                <w:numId w:val="8"/>
              </w:numPr>
              <w:ind w:firstLineChars="0"/>
              <w:rPr>
                <w:color w:val="auto"/>
                <w:sz w:val="18"/>
                <w:szCs w:val="18"/>
              </w:rPr>
            </w:pPr>
            <w:r>
              <w:rPr>
                <w:rFonts w:hint="eastAsia"/>
                <w:color w:val="auto"/>
                <w:sz w:val="18"/>
                <w:szCs w:val="18"/>
              </w:rPr>
              <w:t>大模型语音输入功能：能够直接使用内置的语音大模型实现语言到文字的识别和输出</w:t>
            </w:r>
          </w:p>
          <w:p w14:paraId="061F062B">
            <w:pPr>
              <w:pStyle w:val="230"/>
              <w:numPr>
                <w:ilvl w:val="0"/>
                <w:numId w:val="8"/>
              </w:numPr>
              <w:ind w:firstLineChars="0"/>
              <w:rPr>
                <w:color w:val="auto"/>
                <w:sz w:val="18"/>
                <w:szCs w:val="18"/>
              </w:rPr>
            </w:pPr>
            <w:r>
              <w:rPr>
                <w:rFonts w:hint="eastAsia"/>
                <w:color w:val="auto"/>
                <w:sz w:val="18"/>
                <w:szCs w:val="18"/>
              </w:rPr>
              <w:t>大模型竞技场模式：能够同时调用多个大模型就行竞赛，比较大模型的输出结果</w:t>
            </w:r>
          </w:p>
          <w:p w14:paraId="4814F68A">
            <w:pPr>
              <w:pStyle w:val="230"/>
              <w:numPr>
                <w:ilvl w:val="0"/>
                <w:numId w:val="8"/>
              </w:numPr>
              <w:ind w:firstLineChars="0"/>
              <w:rPr>
                <w:color w:val="auto"/>
                <w:sz w:val="18"/>
                <w:szCs w:val="18"/>
              </w:rPr>
            </w:pPr>
            <w:r>
              <w:rPr>
                <w:rFonts w:hint="eastAsia"/>
                <w:color w:val="auto"/>
                <w:sz w:val="18"/>
                <w:szCs w:val="18"/>
              </w:rPr>
              <w:t>大模型定制功能：能够使用系统提示词/知识库对基座模型进行调整和优化，实现智能体的定制和输出</w:t>
            </w:r>
          </w:p>
          <w:p w14:paraId="3A8A34EB">
            <w:pPr>
              <w:pStyle w:val="230"/>
              <w:numPr>
                <w:ilvl w:val="0"/>
                <w:numId w:val="8"/>
              </w:numPr>
              <w:ind w:firstLineChars="0"/>
              <w:rPr>
                <w:color w:val="auto"/>
                <w:sz w:val="18"/>
                <w:szCs w:val="18"/>
              </w:rPr>
            </w:pPr>
            <w:r>
              <w:rPr>
                <w:rFonts w:hint="eastAsia"/>
                <w:color w:val="auto"/>
                <w:sz w:val="18"/>
                <w:szCs w:val="18"/>
              </w:rPr>
              <w:t>大模型图形功能：能够在大模型对话过程中随时调用文生图功能\图生图\风格转绘\图像转3D盲盒功能，在同个框架内实现无缝衔接，支持调用大模型对提示词进行实时润色，功能支持自定义文生图大模型(CHECK POINT)，自定义文生图风格微调模型和模型强度（LORA），支持任意长宽比例的图像生成和像素比例的调整；</w:t>
            </w:r>
          </w:p>
          <w:p w14:paraId="458C8CED">
            <w:pPr>
              <w:pStyle w:val="230"/>
              <w:numPr>
                <w:ilvl w:val="0"/>
                <w:numId w:val="8"/>
              </w:numPr>
              <w:ind w:firstLineChars="0"/>
              <w:rPr>
                <w:color w:val="auto"/>
                <w:sz w:val="18"/>
                <w:szCs w:val="18"/>
              </w:rPr>
            </w:pPr>
            <w:r>
              <w:rPr>
                <w:rFonts w:hint="eastAsia"/>
                <w:color w:val="auto"/>
                <w:sz w:val="18"/>
                <w:szCs w:val="18"/>
              </w:rPr>
              <w:t>支持用户管理和内容管理:能够批量导入用户数据,监控用户生成数据,分享用户生成内容；</w:t>
            </w:r>
          </w:p>
          <w:p w14:paraId="294D927E">
            <w:pPr>
              <w:pStyle w:val="230"/>
              <w:numPr>
                <w:ilvl w:val="0"/>
                <w:numId w:val="8"/>
              </w:numPr>
              <w:ind w:firstLineChars="0"/>
              <w:rPr>
                <w:color w:val="auto"/>
                <w:sz w:val="18"/>
                <w:szCs w:val="18"/>
              </w:rPr>
            </w:pPr>
            <w:r>
              <w:rPr>
                <w:rFonts w:hint="eastAsia"/>
                <w:color w:val="auto"/>
                <w:sz w:val="18"/>
                <w:szCs w:val="18"/>
              </w:rPr>
              <w:t>支持使用大模型定制智能体:支持文生图\文生文\故事创作\人物设计\场景设计\教师备课功能</w:t>
            </w:r>
          </w:p>
          <w:p w14:paraId="56033E00">
            <w:pPr>
              <w:pStyle w:val="230"/>
              <w:numPr>
                <w:ilvl w:val="0"/>
                <w:numId w:val="8"/>
              </w:numPr>
              <w:ind w:firstLineChars="0"/>
              <w:rPr>
                <w:color w:val="auto"/>
                <w:sz w:val="18"/>
                <w:szCs w:val="18"/>
              </w:rPr>
            </w:pPr>
            <w:r>
              <w:rPr>
                <w:rFonts w:hint="eastAsia"/>
                <w:color w:val="auto"/>
                <w:sz w:val="18"/>
                <w:szCs w:val="18"/>
              </w:rPr>
              <w:t>支持文生音乐（中文歌曲/背景音乐）/文生视频/图生视频/图像放大/扩图/风格转绘/视频风格转绘/线稿上色/单角色参考生图/多角色参考生图/角色背景融合/AI视频音效等主流AIGC功能；</w:t>
            </w:r>
          </w:p>
          <w:p w14:paraId="19D3B80B">
            <w:pPr>
              <w:pStyle w:val="230"/>
              <w:numPr>
                <w:ilvl w:val="0"/>
                <w:numId w:val="8"/>
              </w:numPr>
              <w:ind w:firstLineChars="0"/>
              <w:rPr>
                <w:color w:val="auto"/>
                <w:sz w:val="18"/>
                <w:szCs w:val="18"/>
              </w:rPr>
            </w:pPr>
            <w:r>
              <w:rPr>
                <w:rFonts w:hint="eastAsia"/>
                <w:color w:val="auto"/>
                <w:sz w:val="18"/>
                <w:szCs w:val="18"/>
              </w:rPr>
              <w:t>支持COMFY UI / RUNNING HUB / LIBLIB API 模式的AI APP，可供系统级调用；</w:t>
            </w:r>
          </w:p>
          <w:p w14:paraId="0968A175">
            <w:pPr>
              <w:pStyle w:val="230"/>
              <w:numPr>
                <w:ilvl w:val="0"/>
                <w:numId w:val="8"/>
              </w:numPr>
              <w:ind w:firstLineChars="0"/>
              <w:rPr>
                <w:color w:val="auto"/>
                <w:sz w:val="18"/>
                <w:szCs w:val="18"/>
              </w:rPr>
            </w:pPr>
            <w:r>
              <w:rPr>
                <w:rFonts w:hint="eastAsia" w:ascii="宋体" w:hAnsi="宋体"/>
                <w:b/>
                <w:bCs/>
                <w:color w:val="auto"/>
                <w:sz w:val="18"/>
                <w:szCs w:val="18"/>
              </w:rPr>
              <w:t>★</w:t>
            </w:r>
            <w:r>
              <w:rPr>
                <w:rFonts w:hint="eastAsia"/>
                <w:color w:val="auto"/>
                <w:sz w:val="18"/>
                <w:szCs w:val="18"/>
              </w:rPr>
              <w:t>支持数字人功能,实现照片到数字人,视频到数字人的加工视频输出（投标人于投标文件中必须提供所投产品满足本条技术要求的相关有效证明材料复印件（加盖供应商公章），证明材料可以是国家认可的第三方检验（测）机构出具的合格有效的检验（测）报告、官网截图、功能截图或产品彩页等）</w:t>
            </w:r>
          </w:p>
          <w:p w14:paraId="7DA5A16C">
            <w:pPr>
              <w:pStyle w:val="230"/>
              <w:numPr>
                <w:ilvl w:val="0"/>
                <w:numId w:val="8"/>
              </w:numPr>
              <w:ind w:firstLineChars="0"/>
              <w:rPr>
                <w:color w:val="auto"/>
                <w:sz w:val="18"/>
                <w:szCs w:val="18"/>
              </w:rPr>
            </w:pPr>
            <w:r>
              <w:rPr>
                <w:rFonts w:hint="eastAsia" w:ascii="宋体" w:hAnsi="宋体"/>
                <w:b/>
                <w:bCs/>
                <w:color w:val="auto"/>
                <w:sz w:val="18"/>
                <w:szCs w:val="18"/>
              </w:rPr>
              <w:t>★</w:t>
            </w:r>
            <w:r>
              <w:rPr>
                <w:rFonts w:hint="eastAsia"/>
                <w:color w:val="auto"/>
                <w:sz w:val="18"/>
                <w:szCs w:val="18"/>
              </w:rPr>
              <w:t>支持真人声音克隆,支持视频AI配音（投标人于投标文件中必须提供所投产品满足本条技术要求的相关有效证明材料复印件（加盖供应商公章），证明材料可以是国家认可的第三方检验（测）机构出具的合格有效的检验（测）报告、官网截图、功能截图或产品彩页等）</w:t>
            </w:r>
          </w:p>
          <w:p w14:paraId="0C49C0AA">
            <w:pPr>
              <w:pStyle w:val="230"/>
              <w:numPr>
                <w:ilvl w:val="0"/>
                <w:numId w:val="8"/>
              </w:numPr>
              <w:ind w:firstLineChars="0"/>
              <w:rPr>
                <w:color w:val="auto"/>
                <w:sz w:val="18"/>
                <w:szCs w:val="18"/>
              </w:rPr>
            </w:pPr>
            <w:r>
              <w:rPr>
                <w:rFonts w:hint="eastAsia" w:ascii="宋体" w:hAnsi="宋体"/>
                <w:b/>
                <w:bCs/>
                <w:color w:val="auto"/>
                <w:sz w:val="18"/>
                <w:szCs w:val="18"/>
              </w:rPr>
              <w:t>★</w:t>
            </w:r>
            <w:r>
              <w:rPr>
                <w:rFonts w:hint="eastAsia"/>
                <w:color w:val="auto"/>
                <w:sz w:val="18"/>
                <w:szCs w:val="18"/>
              </w:rPr>
              <w:t>支持多人并发的可扩展算力系统,可根据用户数量进行弹性调整（投标人于投标文件中必须提供所投产品满足本条技术要求的相关有效证明材料复印件（加盖供应商公章），证明材料可以是国家认可的第三方检验（测）机构出具的合格有效的检验（测）报告、官网截图、功能截图或产品彩页等）</w:t>
            </w:r>
          </w:p>
          <w:p w14:paraId="64B559CA">
            <w:pPr>
              <w:pStyle w:val="230"/>
              <w:numPr>
                <w:ilvl w:val="0"/>
                <w:numId w:val="8"/>
              </w:numPr>
              <w:ind w:firstLineChars="0"/>
              <w:rPr>
                <w:color w:val="auto"/>
                <w:sz w:val="18"/>
                <w:szCs w:val="18"/>
              </w:rPr>
            </w:pPr>
            <w:r>
              <w:rPr>
                <w:rFonts w:hint="eastAsia"/>
                <w:color w:val="auto"/>
                <w:sz w:val="18"/>
                <w:szCs w:val="18"/>
              </w:rPr>
              <w:t>支持工作流托管模式，将大型工作流托管到主流AIGC平台；</w:t>
            </w:r>
          </w:p>
          <w:p w14:paraId="6A2DA6DC">
            <w:pPr>
              <w:pStyle w:val="230"/>
              <w:numPr>
                <w:ilvl w:val="0"/>
                <w:numId w:val="8"/>
              </w:numPr>
              <w:ind w:firstLineChars="0"/>
              <w:rPr>
                <w:color w:val="auto"/>
                <w:sz w:val="18"/>
                <w:szCs w:val="18"/>
              </w:rPr>
            </w:pPr>
            <w:r>
              <w:rPr>
                <w:rFonts w:hint="eastAsia"/>
                <w:color w:val="auto"/>
                <w:sz w:val="18"/>
                <w:szCs w:val="18"/>
              </w:rPr>
              <w:t>支持作品展示，支持人数字画廊；</w:t>
            </w:r>
          </w:p>
          <w:p w14:paraId="69D038D1">
            <w:pPr>
              <w:spacing w:line="276" w:lineRule="auto"/>
              <w:rPr>
                <w:rFonts w:ascii="宋体" w:hAnsi="宋体" w:eastAsia="宋体"/>
                <w:b/>
                <w:bCs/>
                <w:color w:val="auto"/>
                <w:sz w:val="18"/>
                <w:szCs w:val="18"/>
              </w:rPr>
            </w:pPr>
            <w:bookmarkStart w:id="48" w:name="OLE_LINK2"/>
            <w:r>
              <w:rPr>
                <w:rFonts w:hint="eastAsia"/>
                <w:b/>
                <w:bCs/>
                <w:color w:val="auto"/>
                <w:sz w:val="18"/>
                <w:szCs w:val="18"/>
              </w:rPr>
              <w:t>三、品质与服务</w:t>
            </w:r>
            <w:bookmarkEnd w:id="48"/>
            <w:r>
              <w:rPr>
                <w:rFonts w:hint="eastAsia"/>
                <w:b/>
                <w:bCs/>
                <w:color w:val="auto"/>
                <w:sz w:val="18"/>
                <w:szCs w:val="18"/>
              </w:rPr>
              <w:t>：</w:t>
            </w:r>
          </w:p>
          <w:p w14:paraId="4E3EDB29">
            <w:pPr>
              <w:pStyle w:val="230"/>
              <w:numPr>
                <w:ilvl w:val="0"/>
                <w:numId w:val="9"/>
              </w:numPr>
              <w:spacing w:line="276" w:lineRule="auto"/>
              <w:ind w:firstLineChars="0"/>
              <w:rPr>
                <w:rFonts w:ascii="宋体" w:hAnsi="宋体"/>
                <w:color w:val="auto"/>
                <w:sz w:val="18"/>
                <w:szCs w:val="18"/>
              </w:rPr>
            </w:pPr>
            <w:r>
              <w:rPr>
                <w:rFonts w:hint="eastAsia" w:ascii="宋体" w:hAnsi="宋体"/>
                <w:color w:val="auto"/>
                <w:sz w:val="18"/>
                <w:szCs w:val="18"/>
              </w:rPr>
              <w:t>针对产品提供原厂三年上门保修服务，当地市有专属的原厂售后服务网点（签订合同前提供售后服务官网链接和截图），官方网站或400电话可查询验证，有专属服务专线电话提供专业的7*24小时远程服务支持，全面支持客户使用过程中遇到的各类问题，提供现场支持以及故障部件修复或更换服务。</w:t>
            </w:r>
          </w:p>
          <w:p w14:paraId="5432D0D2">
            <w:pPr>
              <w:pStyle w:val="230"/>
              <w:numPr>
                <w:ilvl w:val="0"/>
                <w:numId w:val="9"/>
              </w:numPr>
              <w:spacing w:line="276" w:lineRule="auto"/>
              <w:ind w:firstLineChars="0"/>
              <w:rPr>
                <w:rFonts w:ascii="宋体" w:hAnsi="宋体"/>
                <w:color w:val="auto"/>
                <w:sz w:val="18"/>
                <w:szCs w:val="18"/>
              </w:rPr>
            </w:pPr>
            <w:r>
              <w:rPr>
                <w:rFonts w:hint="eastAsia" w:ascii="宋体" w:hAnsi="宋体"/>
                <w:color w:val="auto"/>
                <w:sz w:val="18"/>
                <w:szCs w:val="18"/>
              </w:rPr>
              <w:t>为确保货物质量及原厂品质，中标人在合同签订前必须提供本项目产品生产厂家的售后服务承诺函、技术参数确认函原件，否则采购人将有权不予验收通过。如技术参数确认函中所确认的参数与实际供货产品的参数不符，中标人与生产厂家须承担相关法律责任</w:t>
            </w:r>
          </w:p>
        </w:tc>
        <w:tc>
          <w:tcPr>
            <w:tcW w:w="708" w:type="dxa"/>
          </w:tcPr>
          <w:p w14:paraId="5E0D0F6A">
            <w:pPr>
              <w:rPr>
                <w:rFonts w:ascii="微软雅黑" w:hAnsi="微软雅黑" w:eastAsia="微软雅黑"/>
                <w:color w:val="auto"/>
                <w:sz w:val="18"/>
                <w:szCs w:val="18"/>
              </w:rPr>
            </w:pPr>
            <w:r>
              <w:rPr>
                <w:rFonts w:hint="eastAsia" w:ascii="微软雅黑" w:hAnsi="微软雅黑" w:eastAsia="微软雅黑"/>
                <w:color w:val="auto"/>
                <w:sz w:val="18"/>
                <w:szCs w:val="18"/>
              </w:rPr>
              <w:t>28</w:t>
            </w:r>
          </w:p>
        </w:tc>
        <w:tc>
          <w:tcPr>
            <w:tcW w:w="709" w:type="dxa"/>
          </w:tcPr>
          <w:p w14:paraId="07A32B9D">
            <w:pPr>
              <w:rPr>
                <w:rFonts w:ascii="微软雅黑" w:hAnsi="微软雅黑" w:eastAsia="微软雅黑"/>
                <w:color w:val="auto"/>
                <w:sz w:val="18"/>
                <w:szCs w:val="18"/>
              </w:rPr>
            </w:pPr>
            <w:r>
              <w:rPr>
                <w:rFonts w:hint="eastAsia" w:ascii="微软雅黑" w:hAnsi="微软雅黑" w:eastAsia="微软雅黑"/>
                <w:color w:val="auto"/>
                <w:sz w:val="18"/>
                <w:szCs w:val="18"/>
              </w:rPr>
              <w:t>台</w:t>
            </w:r>
          </w:p>
        </w:tc>
        <w:tc>
          <w:tcPr>
            <w:tcW w:w="1275" w:type="dxa"/>
          </w:tcPr>
          <w:p w14:paraId="58398FD6">
            <w:pPr>
              <w:rPr>
                <w:rFonts w:ascii="微软雅黑" w:hAnsi="微软雅黑" w:eastAsia="微软雅黑"/>
                <w:color w:val="auto"/>
                <w:sz w:val="18"/>
                <w:szCs w:val="18"/>
              </w:rPr>
            </w:pPr>
            <w:r>
              <w:rPr>
                <w:rFonts w:hint="eastAsia" w:ascii="微软雅黑" w:hAnsi="微软雅黑" w:eastAsia="微软雅黑"/>
                <w:color w:val="auto"/>
                <w:sz w:val="18"/>
                <w:szCs w:val="18"/>
              </w:rPr>
              <w:t>否</w:t>
            </w:r>
          </w:p>
        </w:tc>
      </w:tr>
      <w:tr w14:paraId="7B13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1FE67CE9">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2</w:t>
            </w:r>
          </w:p>
        </w:tc>
        <w:tc>
          <w:tcPr>
            <w:tcW w:w="1102" w:type="dxa"/>
          </w:tcPr>
          <w:p w14:paraId="1F4B1BC7">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教学一体机（一）</w:t>
            </w:r>
          </w:p>
        </w:tc>
        <w:tc>
          <w:tcPr>
            <w:tcW w:w="5702" w:type="dxa"/>
          </w:tcPr>
          <w:p w14:paraId="7E3D529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一、整机硬件及系统</w:t>
            </w:r>
          </w:p>
          <w:p w14:paraId="7A74899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（1）屏显设计</w:t>
            </w:r>
          </w:p>
          <w:p w14:paraId="17715C1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1、整机采用一体设计，外部无任何可见内部功能模块连接线。边角采用弧形设计，表面无尖锐边缘或凸起。</w:t>
            </w:r>
          </w:p>
          <w:p w14:paraId="56C049D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2、整机屏幕边缘采用金属圆角包边防护，整机背板采用金属材质，有效屏蔽内部电路器件辐射；防潮耐盐雾蚀锈，适应多种教学环境。</w:t>
            </w:r>
          </w:p>
          <w:p w14:paraId="270079A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★3、整机屏幕采用≥86英寸液晶显示器，整机采⽤超⾼清LED液晶屏，显示⽐例16:9，分辨率3840x2160，色域覆盖率（NTSC）≥72%，灰阶等级≥256级。</w:t>
            </w:r>
          </w:p>
          <w:p w14:paraId="0596690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4、采用全物理钢化玻璃，有效保护屏幕显示画面，采用防眩光玻璃，屏幕支持防眩光功能，钢化玻璃表面硬度≥9H。</w:t>
            </w:r>
          </w:p>
          <w:p w14:paraId="6F2D039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5、整机背光系统支持DC调光方式，多级亮度调节，支持白颜色背景下最暗亮度≤100nit，用于提升显示对比度。</w:t>
            </w:r>
          </w:p>
          <w:p w14:paraId="136B089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★6、整机屏幕蓝光占比（有害蓝光415～455nm能量综合）/（整体蓝光400～500nm能量综合）＜50%。（投标时须提供国家认可的第三方检测机构出具的关于该功能检测报告复印件）</w:t>
            </w:r>
          </w:p>
          <w:p w14:paraId="73BF777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7、支持自定义图像设置，可对对比度、屏幕色温、图像亮度、亮度范围、色彩空间调节设置。</w:t>
            </w:r>
          </w:p>
          <w:p w14:paraId="768BFF7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全通道支持纸质护眼模式，可实现画面纹理的实时调整；支持纸质纹理：牛皮纸、素描纸、宣纸、水彩纸、水纹纸；支持透明度调节；支持色温调节。（投标时须提供国家认可的第三方检测机构出具的关于该功能检测报告复印件）</w:t>
            </w:r>
          </w:p>
          <w:p w14:paraId="2EBF33A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（2）按键与接口设计</w:t>
            </w:r>
          </w:p>
          <w:p w14:paraId="2EF15B5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1、三合一电源按键，同一电源物理按键完成Android系统和Windows系统的开机、节能熄屏、关机操作；关机状态下按按键开机；开机状态下按按键实现节能熄屏/唤醒，长按按键实现关机。</w:t>
            </w:r>
          </w:p>
          <w:p w14:paraId="783A4D1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2、设备支持通过前置面板物理按键一键启动录屏功能，可将屏幕中显示的课件、音频内容与人声同时录制。</w:t>
            </w:r>
          </w:p>
          <w:p w14:paraId="7655237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具备≥6前置按键，可实现开关机、音量＋－、护眼、录屏、设置功能。整机前置按键支持自定义设置，可通过自定义设置实现前置面板功能按键一键启用任一全局小工具（批注、截屏、计时、降半屏、放大镜、倒数日、日历）、快捷开关（节能模式、纸质护眼模式、经典护眼模式、自动亮度模式）。（投标时须提供国家认可的第三方检测机构出具的关于该功能检测报告复印件）</w:t>
            </w:r>
          </w:p>
          <w:p w14:paraId="371309A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4、侧置输入接口具备≥2路HDMI、≥1路RS232（RJ45形态）、≥1路USB接口。</w:t>
            </w:r>
          </w:p>
          <w:p w14:paraId="04B55E7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5、侧置输出接口具备≥1路音频输出、≥1路触控USB输出。</w:t>
            </w:r>
          </w:p>
          <w:p w14:paraId="12F2FEB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6、前置输入接口≥3路USB接口（至少包含1路Type-C、2路USB），前置USB接口支持Android系统、Windows系统读取外接移动存储设备。</w:t>
            </w:r>
          </w:p>
          <w:p w14:paraId="6199557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7、支持通过Type-C接口U盘进行文件传输，兼容Type-C接口手机充电。</w:t>
            </w:r>
          </w:p>
          <w:p w14:paraId="25BBE20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（3）整机内置系统</w:t>
            </w:r>
          </w:p>
          <w:p w14:paraId="17452AC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★1、整机嵌入式系统版本≥Android 15，CPU≥8核，主频≥1.5GHz，内存≥2GB，存储空间≥32GB。（投标时须提供国家认可的第三方检测机构出具的关于该功能检测报告复印件）</w:t>
            </w:r>
          </w:p>
          <w:p w14:paraId="73599BB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2、嵌入式Android操作系统下，白板支持对已经书写的笔迹和形状和颜色进行更换。</w:t>
            </w:r>
          </w:p>
          <w:p w14:paraId="2E90EF9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3、在嵌入式系统下使用白板软件时，整机可自行调节屏幕亮度。</w:t>
            </w:r>
          </w:p>
          <w:p w14:paraId="0E9FFEC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4、嵌入式Android操作系统下，互动白板支持不同背景颜色，同时提供学科背景，如：五线谱、信纸、田字格、英文格、篮球和足球场地平面图。</w:t>
            </w:r>
          </w:p>
          <w:p w14:paraId="2A13CB6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种以上立体图形工具。（投标时须提供国家认可的第三方检测机构出具的关于该功能检测报告复印件）</w:t>
            </w:r>
          </w:p>
          <w:p w14:paraId="38CD765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（4）电脑模块</w:t>
            </w:r>
          </w:p>
          <w:p w14:paraId="12A8403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1、PC模块可抽拉式插入整机，可实现无单独接线的拔插，采用按压式卡扣，无需工具即可快速拆卸电脑模块。</w:t>
            </w:r>
          </w:p>
          <w:p w14:paraId="289CE87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2、搭载Intel 12代酷睿i5或以上配置CPU，内存：8 GB DDR4笔记本内存或以上配置。硬盘：256 GB SSD固态硬盘或以上配置。</w:t>
            </w:r>
          </w:p>
          <w:p w14:paraId="582F026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3、采用按压式卡扣，无需工具即可快速拆卸电脑模块。</w:t>
            </w:r>
          </w:p>
          <w:p w14:paraId="58C5C81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4、PC模块可抽拉式插入整机，可实现无单独接线的拔插。</w:t>
            </w:r>
          </w:p>
          <w:p w14:paraId="0B16AF4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5、具有独立非外拓展的视频输出接口：≥1路HDMI，具有独立非外拓展的电脑USB接口：至少具备3个USB3.0接口，3个USB2.0接口。</w:t>
            </w:r>
          </w:p>
          <w:p w14:paraId="4AB889A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（5）触摸技术设计</w:t>
            </w:r>
          </w:p>
          <w:p w14:paraId="52D907A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★1、采用红外触控技术，Windows系统和Android系统均支持≥50点触控及书写划线。（投标时须提供国家认可的第三方检测机构出具的关于该功能检测报告复印件）</w:t>
            </w:r>
          </w:p>
          <w:p w14:paraId="0009DC0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2、整机屏幕触摸有效识别高度不超过1.5mm，即触摸物体距离玻璃外表面高度不超过1.5mm时，触摸屏识别为点击操作。</w:t>
            </w:r>
          </w:p>
          <w:p w14:paraId="159587E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3、整机触控书写功能集成预测算法，支持多档预测速度可调节，在书写速度≥50cm/s，支持笔迹距离笔的距离小于20mm。</w:t>
            </w:r>
          </w:p>
          <w:p w14:paraId="46E66A1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4、整机书写触控延迟≤25ms。</w:t>
            </w:r>
          </w:p>
          <w:p w14:paraId="533AC5D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★5、整机支持提笔书写，在Windows系统下可实现无需点击任意功能入口，当检测到红外笔笔尖接触屏幕时，自动进入书写模式。（投标时须提供国家认可的第三方检测机构出具的关于该功能检测报告复印件）</w:t>
            </w:r>
          </w:p>
          <w:p w14:paraId="6E9410A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6、支持智能板擦功能，系统可根据触控物体的形状自动识别出实物板擦，可擦除电子白板中的内容，无需依赖外部电子设备。</w:t>
            </w:r>
          </w:p>
          <w:p w14:paraId="0CB0578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7、支持Windows 7、Windows 8、Windows 10、Windows11、Linux、Mac Os、UOS和麒麟系统外置电脑操作系统接入时，无需安装触摸驱动。</w:t>
            </w:r>
          </w:p>
          <w:p w14:paraId="3812C7F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触摸支持动态压力感应，支持无任何电子功能的普通书写笔在整机上书写或点压时，整机能感应压力变化，书写或点压过程笔迹呈现不同粗细。（投标时须提供国家认可的第三方检测机构出具的关于该功能检测报告复印件）</w:t>
            </w:r>
          </w:p>
          <w:p w14:paraId="4A79C075">
            <w:pPr>
              <w:widowControl/>
              <w:jc w:val="left"/>
              <w:textAlignment w:val="center"/>
              <w:rPr>
                <w:rFonts w:asciiTheme="minorEastAsia" w:hAnsiTheme="minorEastAsia" w:cstheme="minorEastAsia"/>
                <w:color w:val="auto"/>
                <w:sz w:val="18"/>
                <w:szCs w:val="18"/>
              </w:rPr>
            </w:pPr>
          </w:p>
          <w:p w14:paraId="7CF65E5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二、无线传输与互联</w:t>
            </w:r>
          </w:p>
          <w:p w14:paraId="6220046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1、整机无需外接无线网卡，在Windows系统下可实现Wi-Fi无线上网连接、AP无线热点发射和BT蓝牙连接功能。</w:t>
            </w:r>
          </w:p>
          <w:p w14:paraId="435C6C0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2、Wi-Fi和AP热点工作距离≥12m。</w:t>
            </w:r>
          </w:p>
          <w:p w14:paraId="389481E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★3、整机支持蓝牙Bluetooth 5.4标准，固件版本号HCI13.0/LMP13.0。（投标时须提供国家认可的第三方检测机构出具的关于该功能检测报告复印件）</w:t>
            </w:r>
          </w:p>
          <w:p w14:paraId="57B1FA9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14:paraId="4A6BD08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7AF7926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6、整机PC端支持主动发现蓝牙外设从而连接（无需整机进入发现模式），支持连接外部蓝牙音箱播放音频。</w:t>
            </w:r>
          </w:p>
          <w:p w14:paraId="5E1F058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7、整机无需外接无线网卡，在Windows系统下接入无线网络，切换到嵌入式Android系统下可直接实现无线上网功能，不需手动重复设置。</w:t>
            </w:r>
          </w:p>
          <w:p w14:paraId="4D4F815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8、Wi-Fi及AP热点支持频段2.4GHz/5GHz 。</w:t>
            </w:r>
          </w:p>
          <w:p w14:paraId="3BDDBF2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9、Wi-Fi制式支持IEEE 802.11 a/b/g/n/ac/ax；支持版本Wi-Fi6。</w:t>
            </w:r>
          </w:p>
          <w:p w14:paraId="21C4608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★10、整机内置双WiFi6无线网卡（不接受外接），在Android和Windows系统下，可实现Wi-Fi无线上网连接、AP无线热点发射。（投标时须提供国家认可的第三方检测机构出具的关于该功能检测报告复印件）</w:t>
            </w:r>
          </w:p>
          <w:p w14:paraId="192B2E6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内置双WiFi6无线网卡（不接受外接），在Android下支持无线设备同时连接数量≥32个，在Windows系统下支持无线设备同时连接≥8个。（投标时须提供国家认可的第三方检测机构出具的关于该功能检测报告复印件）</w:t>
            </w:r>
          </w:p>
          <w:p w14:paraId="4163FC60">
            <w:pPr>
              <w:widowControl/>
              <w:jc w:val="left"/>
              <w:textAlignment w:val="center"/>
              <w:rPr>
                <w:rFonts w:asciiTheme="minorEastAsia" w:hAnsiTheme="minorEastAsia" w:cstheme="minorEastAsia"/>
                <w:color w:val="auto"/>
                <w:sz w:val="18"/>
                <w:szCs w:val="18"/>
              </w:rPr>
            </w:pPr>
          </w:p>
          <w:p w14:paraId="5DEA018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三、音视频采集</w:t>
            </w:r>
          </w:p>
          <w:p w14:paraId="50D3680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★1、支持标准、听力、观影和AI空间感知音效模式，AI空间感知音效模式可通过内置麦克风采集教室物理环境声音，自动生成符合当前教室物理环境的频段、音量、音效。</w:t>
            </w:r>
          </w:p>
          <w:p w14:paraId="4F4A6CD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2、整机可选择高级音效设置，支持在左右声道平衡显示范围中进行更改。中低频段可选择调节范围125Hz～1kHz，高频段可选择调节范围 2kHz～16kHz，分贝可选择调节范围-12dB～12dB。（投标时须提供国家认可的第三方检测机构出具的关于该功能检测报告复印件）</w:t>
            </w:r>
          </w:p>
          <w:p w14:paraId="1C42A1A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3、整机上边框内置非独立式摄像头，摄像头数量≥5个。</w:t>
            </w:r>
          </w:p>
          <w:p w14:paraId="21C80B4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上边框内置非独立式四个智能拼接摄像头，视场角≥151度且水平视场角≥132度，支持拍摄有效像素数≥5200万的照片，支持拍摄8192×2772分辨率的视频，支持畸变矫正功能。（投标时须提供国家认可的第三方检测机构出具的关于该功能检测报告复印件）</w:t>
            </w:r>
          </w:p>
          <w:p w14:paraId="06CAC72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★5、整机上边框内置非独立式摄像头，摄像头数量≥5个，其中至少四个摄像头像素值均≥1300 万，同时输出至少3路视频流，同时支持课堂远程巡课、课堂教学数据采集、本地画面预览（拍照或视频录制）。（投标时须提供国家认可的第三方检测机构出具的关于该功能检测报告复印件）</w:t>
            </w:r>
          </w:p>
          <w:p w14:paraId="4B762B6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6、具备摄像头工作指示灯，摄像头运行时，有指示灯提示。</w:t>
            </w:r>
          </w:p>
          <w:p w14:paraId="541779F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7、整机扬声器在100%音量下，可做到1米处声压级≥92dB，10米处声压级≥82dB。</w:t>
            </w:r>
          </w:p>
          <w:p w14:paraId="530EDE0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内置2.2声道扬声器，位于设备上边框，顶置朝前发声，12W高音扬声器2个，上朝向30W中低音扬声器2个，最大功率≥84W。内置扬声器采用缝隙发声技术，喇叭采用槽式开口设计。（投标时须提供国家认可的第三方检测机构出具的关于该功能检测报告复印件）</w:t>
            </w:r>
          </w:p>
          <w:p w14:paraId="1F7EE7F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★9、整机内置非独立外扩展的8阵列麦克风，拾音角度≥180°，可用于对教室环境音频进行采集，拾音距离≥12m。（投标时须提供国家认可的第三方检测机构出具的关于该功能检测报告复印件）</w:t>
            </w:r>
          </w:p>
          <w:p w14:paraId="2F7C209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上边框内置非独立的广角高清摄像头，在距离整机1.7米情况下，且拍摄范围可以覆盖摄像头垂直法线左右距离大于等于4米，可以实现人脸识别。（投标时须提供国家认可的第三方检测机构出具的关于该功能检测报告复印件）</w:t>
            </w:r>
          </w:p>
          <w:p w14:paraId="006B780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11、整机上边框内置非独立式广角摄像头和智能拼接摄像头， 均支持 3D 降噪算法和数字宽动态范围成像WDR 技术，支持输出 MJPG、 H.264 视频格式。</w:t>
            </w:r>
          </w:p>
          <w:p w14:paraId="6BC3D27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★12、整机摄像头支持人脸识别、清点人数、随机抽人；识别所有学生，显示标记，然后随机抽选，同时显示标记不少于60人。（投标时须提供国家认可的第三方检测机构出具的关于该功能检测报告复印件）</w:t>
            </w:r>
          </w:p>
          <w:p w14:paraId="1E7BD3D8">
            <w:pPr>
              <w:widowControl/>
              <w:jc w:val="left"/>
              <w:textAlignment w:val="center"/>
              <w:rPr>
                <w:rFonts w:asciiTheme="minorEastAsia" w:hAnsiTheme="minorEastAsia" w:cstheme="minorEastAsia"/>
                <w:color w:val="auto"/>
                <w:sz w:val="18"/>
                <w:szCs w:val="18"/>
              </w:rPr>
            </w:pPr>
          </w:p>
          <w:p w14:paraId="0D8570B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四、侧边栏工具</w:t>
            </w:r>
          </w:p>
          <w:p w14:paraId="283BBFA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1、整机全通道侧边栏快捷菜单包含如下小工具：批注、降半屏、截屏、放大镜、倒计时、日历、聚光灯、秒表、冻屏、倒数日、答题、节拍器。</w:t>
            </w:r>
          </w:p>
          <w:p w14:paraId="3917C65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2、整机全通道侧边栏支持使用批注小工具进行批注讲解，可切换书写笔颜色、截屏保存批注内容、清屏，可根据手与屏幕的接触面积自动调整板擦工具的大小。</w:t>
            </w:r>
          </w:p>
          <w:p w14:paraId="6B72200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3、整机全通道侧边栏快捷菜单支持快捷调节音量、亮度，支持自动亮度模式，支持点击静音按钮静音。</w:t>
            </w:r>
          </w:p>
          <w:p w14:paraId="3382650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4、整机全通道侧边栏快捷菜单中可实时查看物联设备的连接情况，点击设备图标即可调出中控菜单进行管控。</w:t>
            </w:r>
          </w:p>
          <w:p w14:paraId="5878772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5、整机安卓和外接通道(2路HDMI)下侧边栏支持节拍器，支持设置节拍、轻重、节拍播放速度。全通道下可支持通过自定义按键调出该功能。</w:t>
            </w:r>
          </w:p>
          <w:p w14:paraId="4CEE68D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6、整机安卓和外接通道(2路HDMI)下侧边栏支持设置倒数日。</w:t>
            </w:r>
          </w:p>
          <w:p w14:paraId="7BEAD09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7、整机全通道侧边栏支持倒计时、正计时功能；倒计时，输入某特定时间值，可精确到秒，点击开始进入倒计时；正计时，点击开始计时便自动开始，并实时显示时间。</w:t>
            </w:r>
          </w:p>
          <w:p w14:paraId="349048D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8、整机全通道侧边栏支持放大选中区域内容，并可支持对未选中区域关灯处理，实现聚光灯效果。</w:t>
            </w:r>
          </w:p>
          <w:p w14:paraId="7580020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投标时须提供国家认可的第三方检测机构出具的关于该功能检测报告复印件）</w:t>
            </w:r>
          </w:p>
          <w:p w14:paraId="7C9866CB">
            <w:pPr>
              <w:widowControl/>
              <w:jc w:val="left"/>
              <w:textAlignment w:val="center"/>
              <w:rPr>
                <w:rFonts w:asciiTheme="minorEastAsia" w:hAnsiTheme="minorEastAsia" w:cstheme="minorEastAsia"/>
                <w:color w:val="auto"/>
                <w:sz w:val="18"/>
                <w:szCs w:val="18"/>
              </w:rPr>
            </w:pPr>
          </w:p>
          <w:p w14:paraId="67CE92F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五、教学互动与管理功能</w:t>
            </w:r>
          </w:p>
          <w:p w14:paraId="20185AF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★1.整机内置智能体AI图像生成功能 ，支持通过语音与大屏开展职业主题对话交互。大屏可同步生成对应职业形象，并将其转化为对话智能体实现双向对话交流。（投标时须提供国家认可的第三方检测机构出具的关于该功能检测报告复印件）</w:t>
            </w:r>
          </w:p>
          <w:p w14:paraId="352AF45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内置投票统计小工具，通过内置多摄像头捕捉每个同学的投票动作，如举手，双手交叉并进行AI识别，统计投票情况及占比，并以柱状图图表形式呈现。（投标时须提供国家认可的第三方检测机构出具的关于该功能检测报告复印件）</w:t>
            </w:r>
          </w:p>
          <w:p w14:paraId="63E5151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内置手势答题小工具，支持老师在课中发起互动选择题，学生通过手势给出对应答案，通过摄像头进行捕捉和AI识别，最终收集回作答情况，形成课中的互动学情。（投标时须提供国家认可的第三方检测机构出具的关于该功能检测报告复印件）</w:t>
            </w:r>
          </w:p>
          <w:p w14:paraId="73BAE67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4.整机具备班级视力检测功能，学⽣站在距离屏幕前5m处，可通过⼿势识别方式来标识方向进行视力测试，测试完成后可直接⽣成视⼒检测结果，并建⽴学⽣视⼒档案，对学⽣视⼒情况进⾏管理。</w:t>
            </w:r>
          </w:p>
          <w:p w14:paraId="14A9551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5.整机配套教学应用APP可通过wifi直连技术，近场发现附近教学大屏设备，无需扫码、账号密码输入步骤，即可直接连接并登录教学大屏设备，基于统一身份认证机制可实现其他教学软件免登录操作。</w:t>
            </w:r>
          </w:p>
          <w:p w14:paraId="593D89E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6、整机内置AI作文批改工具，能够从作文的词汇词组、语法句子、内容连贯性多个维度进行分析和评价。对于存在的语法错误和错别字，能够指出并提供修改建议。</w:t>
            </w:r>
          </w:p>
          <w:p w14:paraId="655AB63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3EE1CD4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468DD11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★9、整机自带AI书写美化能力，智能识别批注的书写轨迹，进行笔锋智能美化，模拟纸上书写的起笔、行笔和收笔效果。（投标时须提供国家认可的第三方检测机构出具的关于该功能检测报告复印件）</w:t>
            </w:r>
          </w:p>
          <w:p w14:paraId="6AFB2C0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内置微课制作工具，支持对全屏/区域的屏幕内容、整机声音、麦克风声音、摄像头内容进行录制，支持切换录制分辨率，支持录制过程中进行画笔标注与擦除；支持中途暂停录制和继续录制。（投标时须提供国家认可的第三方检测机构出具的关于该功能检测报告复印件）</w:t>
            </w:r>
          </w:p>
          <w:p w14:paraId="129609F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★11、整机内置文字快剪功能，支持微课录制结束后提取视频中的文字，按照提取出的文字，对视频进行快速视频剪辑。（投标时须提供国家认可的第三方检测机构出具的关于该功能检测报告复印件）</w:t>
            </w:r>
          </w:p>
          <w:p w14:paraId="25AABAB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时须提供国家认可的第三方检测机构出具的关于该功能检测报告复印件）</w:t>
            </w:r>
          </w:p>
          <w:p w14:paraId="2B0B569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13、整机教学桌面支持教学白板软件和文件管理软件；教学桌面首页支持自定义桌面应用，支持展示 8 个应用入口，并提供进入本机所有应用的入口。</w:t>
            </w:r>
          </w:p>
          <w:p w14:paraId="6890FA9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整机关机状态下，通过长按电源键进入设置界面后，可点击屏幕选择故障检测、系统还原功能，系统还原可单独还原PC系统，单独还原整机系统。（投标时须提供国家认可的第三方检测机构出具的关于该功能检测报告复印件）</w:t>
            </w:r>
          </w:p>
          <w:p w14:paraId="7470FC16">
            <w:pPr>
              <w:widowControl/>
              <w:jc w:val="left"/>
              <w:textAlignment w:val="center"/>
              <w:rPr>
                <w:rFonts w:asciiTheme="minorEastAsia" w:hAnsiTheme="minorEastAsia" w:cstheme="minorEastAsia"/>
                <w:color w:val="auto"/>
                <w:sz w:val="18"/>
                <w:szCs w:val="18"/>
              </w:rPr>
            </w:pPr>
          </w:p>
          <w:p w14:paraId="57036B1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六、产品售后保障服务</w:t>
            </w:r>
          </w:p>
          <w:p w14:paraId="29A9942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1、微信售后报修服务：快速输入相关问题及所在区域进行在线保修，贴心服务人员实时在线提供客服专线报修，更好更快的解决售后故障问题带来的使用不便。</w:t>
            </w:r>
          </w:p>
          <w:p w14:paraId="0F5AC5F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2、微信问题查询服务：提供八大模块的问题查询及解决方案，现场完成简单故障的快速修复指导。</w:t>
            </w:r>
          </w:p>
          <w:p w14:paraId="46958C27">
            <w:pPr>
              <w:widowControl/>
              <w:jc w:val="left"/>
              <w:textAlignment w:val="center"/>
              <w:rPr>
                <w:rFonts w:asciiTheme="minorEastAsia" w:hAnsiTheme="minorEastAsia" w:cstheme="minorEastAsia"/>
                <w:color w:val="auto"/>
                <w:sz w:val="18"/>
                <w:szCs w:val="18"/>
              </w:rPr>
            </w:pPr>
          </w:p>
          <w:p w14:paraId="74D141C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七、其他要求</w:t>
            </w:r>
          </w:p>
          <w:p w14:paraId="0EB8263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1、为确保货物质量及原厂品质，中标供应商在正式供货时必须提供生产厂家针对此项目的售后服务保证原件、供货证明原件，否则采购方将不予验收通过。</w:t>
            </w:r>
          </w:p>
          <w:p w14:paraId="292AD43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tc>
        <w:tc>
          <w:tcPr>
            <w:tcW w:w="708" w:type="dxa"/>
          </w:tcPr>
          <w:p w14:paraId="31273C80">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9</w:t>
            </w:r>
          </w:p>
        </w:tc>
        <w:tc>
          <w:tcPr>
            <w:tcW w:w="709" w:type="dxa"/>
          </w:tcPr>
          <w:p w14:paraId="671D0143">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台</w:t>
            </w:r>
          </w:p>
        </w:tc>
        <w:tc>
          <w:tcPr>
            <w:tcW w:w="1275" w:type="dxa"/>
          </w:tcPr>
          <w:p w14:paraId="569FF86F">
            <w:pPr>
              <w:widowControl/>
              <w:jc w:val="center"/>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否</w:t>
            </w:r>
          </w:p>
        </w:tc>
      </w:tr>
      <w:tr w14:paraId="2E37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13863184">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3</w:t>
            </w:r>
          </w:p>
        </w:tc>
        <w:tc>
          <w:tcPr>
            <w:tcW w:w="1102" w:type="dxa"/>
          </w:tcPr>
          <w:p w14:paraId="08196388">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教学一体机（二）</w:t>
            </w:r>
          </w:p>
        </w:tc>
        <w:tc>
          <w:tcPr>
            <w:tcW w:w="5702" w:type="dxa"/>
          </w:tcPr>
          <w:p w14:paraId="451C498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一、整机硬件设计</w:t>
            </w:r>
          </w:p>
          <w:p w14:paraId="1BC3708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三合一电源按键，同一电源物理按键完成Android系统和Windows系统的开机、节能熄屏、关机操作；关机状态下按按键开机；开机状态下按按键实现节能熄屏/唤醒，长按按键实现关机。（投标时须提供国家认可的第三方检测机构出具的关于该功能检测报告复印件）</w:t>
            </w:r>
          </w:p>
          <w:p w14:paraId="3DAC479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为适配教学场景的便捷使用，设备按键采用简洁化设计，前置接口与按键在设备同一侧。前置物理按键，可实现开关机、音量＋－、护眼、录屏、设置功能。（投标时须提供国家认可的第三方检测机构出具的关于该功能检测报告复印件）</w:t>
            </w:r>
          </w:p>
          <w:p w14:paraId="36E6EBE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3、支持经典护眼模式，可通过前置面板物理功能按键一键启用经典护眼模式。</w:t>
            </w:r>
          </w:p>
          <w:p w14:paraId="7B7D130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4、设备支持通过前置面板物理按键一键启动录屏功能，可将屏幕中显示的课件、音频内容与人声同时录制。</w:t>
            </w:r>
          </w:p>
          <w:p w14:paraId="68017C3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5、整机前置 USB 接口具备防撞挡板设计，防撞挡板采用转轴式翻转，可拆卸更换不同宽度的挡板对设备进行防撞防护。</w:t>
            </w:r>
          </w:p>
          <w:p w14:paraId="42886A6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6、整机屏幕采用≥65英寸液晶显示器。</w:t>
            </w:r>
          </w:p>
          <w:p w14:paraId="6380C29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7、整机采用超高清LED液晶显示屏，显示比例16:9，分辨率3840×2160。</w:t>
            </w:r>
          </w:p>
          <w:p w14:paraId="0C79B4C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前置按键支持自定义设置，可通过自定义设置实现前置面板功能按键一键启用任一全局小工具（批注、截屏、计时、降半屏、放大镜、倒数日、日历）、快捷开关（节能模式、纸质护眼模式、经典护眼模式、自动亮度模式）。</w:t>
            </w:r>
          </w:p>
          <w:p w14:paraId="16415F0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★9、整机左、右、下三边框皆具备磁吸功能，边框任意位置可吸附具备磁吸功能的书写笔。（投标时须提供国家认可的第三方检测机构出具的关于该功能检测报告复印件）</w:t>
            </w:r>
          </w:p>
          <w:p w14:paraId="00D23A2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10、整机采用一体设计，外部无任何可见内部功能模块连接线。边角采用弧形设计，表面无尖锐边缘或凸起。</w:t>
            </w:r>
          </w:p>
          <w:p w14:paraId="215031F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11、整机采用全金属外壳设计，边框为金属一体成型。</w:t>
            </w:r>
          </w:p>
          <w:p w14:paraId="2515F0D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12、整机屏幕边缘采用金属圆角包边防护，整机背板采用金属材质，有效屏蔽内部电路器件辐射；防潮耐盐雾蚀锈，适应多种教学环境。</w:t>
            </w:r>
          </w:p>
          <w:p w14:paraId="46DB8793">
            <w:pPr>
              <w:widowControl/>
              <w:jc w:val="left"/>
              <w:textAlignment w:val="center"/>
              <w:rPr>
                <w:rFonts w:asciiTheme="minorEastAsia" w:hAnsiTheme="minorEastAsia" w:cstheme="minorEastAsia"/>
                <w:color w:val="auto"/>
                <w:sz w:val="18"/>
                <w:szCs w:val="18"/>
              </w:rPr>
            </w:pPr>
          </w:p>
          <w:p w14:paraId="173BEBAF">
            <w:pPr>
              <w:widowControl/>
              <w:jc w:val="left"/>
              <w:textAlignment w:val="center"/>
              <w:rPr>
                <w:rFonts w:asciiTheme="minorEastAsia" w:hAnsiTheme="minorEastAsia" w:cstheme="minorEastAsia"/>
                <w:color w:val="auto"/>
                <w:sz w:val="18"/>
                <w:szCs w:val="18"/>
              </w:rPr>
            </w:pPr>
          </w:p>
          <w:p w14:paraId="0E234FC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二、音视频模块设计</w:t>
            </w:r>
          </w:p>
          <w:p w14:paraId="4A35071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★1、整机设备内置2.2声道扬声器，前朝向发声，12W高音扬声器2个，上朝向30W中低音扬声器2个，最大功率≥84W。（投标时须提供国家认可的第三方检测机构出具的关于该功能检测报告复印件）</w:t>
            </w:r>
          </w:p>
          <w:p w14:paraId="4FD051B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★2、整机可选择高级音效设置，支持在左右声道平衡显示范围中进行更改；中低频段显示调节范围125Hz～1KHz，高频段显示调节范围 2KHz～16KHz，分贝显示-12dB～12dB 调节范围。</w:t>
            </w:r>
          </w:p>
          <w:p w14:paraId="5D0B0E5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3、整机内置非独立外扩展的4阵列麦克风，可用于对教室环境音频进行采集，麦克风拾音距离≥12米。</w:t>
            </w:r>
          </w:p>
          <w:p w14:paraId="4508B0F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4、整机内置扬声器采用缝隙发声技术，喇叭采用槽式开口设计，不大于5.8mm</w:t>
            </w:r>
          </w:p>
          <w:p w14:paraId="6CFA871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5、内置摄像头、麦克风无需外接线材连接，无任何可见外接线材及模块化拼接痕迹，未占用整机设备端口。</w:t>
            </w:r>
          </w:p>
          <w:p w14:paraId="2971483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6、支持标准、听力、观影和AI空间感知音效模式，AI空间感知音效模式可通过内置麦克风采集教室物理环境声音，自动生成符合当前教室物理环境的频段、音量、音效。</w:t>
            </w:r>
          </w:p>
          <w:p w14:paraId="1C53787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7、整机内置摄像头（非外扩），PC通道下支持通过视频展台软件调用摄像头进行二维码扫码识别。</w:t>
            </w:r>
          </w:p>
          <w:p w14:paraId="0CA0C5D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8、具备摄像头工作指示灯，摄像头运行时，有指示灯提示。</w:t>
            </w:r>
          </w:p>
          <w:p w14:paraId="2C823D4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★9、整机上边框内置非独立摄像头，采用一体化集成设计，⽀持输出4:3、16:9⽐例的图⽚和视频，支持拍摄≥1600 万像素数的照片和视频，支持输出 4k 分辨率的视频。</w:t>
            </w:r>
          </w:p>
          <w:p w14:paraId="45F6D1E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10、整机摄像头对角线视场角≥120度</w:t>
            </w:r>
          </w:p>
          <w:p w14:paraId="7AF8B28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11、整机内置非独立的高清摄像头，可用于远程巡课。</w:t>
            </w:r>
          </w:p>
          <w:p w14:paraId="40A9B59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12、整机摄像头支持人脸识别、清点人数、随机抽人；识别所有学生，显示标记，然后随机抽选，同时显示标记不少于60人。</w:t>
            </w:r>
          </w:p>
          <w:p w14:paraId="2E487C58">
            <w:pPr>
              <w:widowControl/>
              <w:jc w:val="left"/>
              <w:textAlignment w:val="center"/>
              <w:rPr>
                <w:rFonts w:asciiTheme="minorEastAsia" w:hAnsiTheme="minorEastAsia" w:cstheme="minorEastAsia"/>
                <w:color w:val="auto"/>
                <w:sz w:val="18"/>
                <w:szCs w:val="18"/>
              </w:rPr>
            </w:pPr>
          </w:p>
          <w:p w14:paraId="2CFCD74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三、OPS模块设计</w:t>
            </w:r>
          </w:p>
          <w:p w14:paraId="65A23C8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★1、CPU：搭载Intel  酷睿系列≥ i5 CPU；内存：8 GB DDR4笔记本内存或以上配置；硬盘：256 GB或以上SSD固态硬盘。</w:t>
            </w:r>
          </w:p>
          <w:p w14:paraId="328E2C4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2、采用按压式卡扣，无需工具即可快速拆卸电脑模块。</w:t>
            </w:r>
          </w:p>
          <w:p w14:paraId="419700B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3、PC 模块可抽拉式插入整机，可实现无单独接线的拔插。</w:t>
            </w:r>
          </w:p>
          <w:p w14:paraId="235C075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4、具有独立非外拓展的视频输出接口：≥1 路 HDMI。</w:t>
            </w:r>
          </w:p>
          <w:p w14:paraId="0109F50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5、具有独立非外拓展的电脑 USB 接口：至少具备 4个USB3.0 接口。</w:t>
            </w:r>
          </w:p>
          <w:p w14:paraId="31EF4AE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6、具有标准 PC 防盗锁孔，确保电脑模块安全防盗。</w:t>
            </w:r>
          </w:p>
          <w:p w14:paraId="7D6AFF1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7、和整机的连接采用万兆级接口，传输速率≥10Gbps。</w:t>
            </w:r>
          </w:p>
          <w:p w14:paraId="3388374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8、和整机的连接接口针脚数≤40pin。</w:t>
            </w:r>
          </w:p>
          <w:p w14:paraId="1334011D">
            <w:pPr>
              <w:widowControl/>
              <w:jc w:val="left"/>
              <w:textAlignment w:val="center"/>
              <w:rPr>
                <w:rFonts w:asciiTheme="minorEastAsia" w:hAnsiTheme="minorEastAsia" w:cstheme="minorEastAsia"/>
                <w:color w:val="auto"/>
                <w:sz w:val="18"/>
                <w:szCs w:val="18"/>
              </w:rPr>
            </w:pPr>
          </w:p>
          <w:p w14:paraId="015D90E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四、显示性能</w:t>
            </w:r>
          </w:p>
          <w:p w14:paraId="5AD2AAF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1、整机色域覆盖率（NTSC）≥72%</w:t>
            </w:r>
          </w:p>
          <w:p w14:paraId="0C20FC1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2、整机背光系统支持DC调光方式，多级亮度调节，支持白颜色背景下最暗亮度≤100nit，用于提升显示对比度。</w:t>
            </w:r>
          </w:p>
          <w:p w14:paraId="1B3DCA0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3、灰阶等级≥256级。</w:t>
            </w:r>
          </w:p>
          <w:p w14:paraId="12AF2F5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4、整机屏幕蓝光占比（有害蓝光415～455nm能量综合）/（整体蓝光400～500能量综合）＜50%</w:t>
            </w:r>
          </w:p>
          <w:p w14:paraId="4A76FB8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5、支持标准、多媒体和节能三种图像模式调节。</w:t>
            </w:r>
          </w:p>
          <w:p w14:paraId="0096BB1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6、支持自定义图像设置，可对对比度、屏幕色温、图像亮度、亮度范围、色彩空间调节设置。</w:t>
            </w:r>
          </w:p>
          <w:p w14:paraId="4491B50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系统支持手势上滑调出人工智能画质调节模式（AI-PQ），在安卓通道下可根据屏幕内容自动调节画质参数，当屏幕出现人物、建筑、夜景等元素时，自动调整对比度、饱和度、锐利度、色调色相值、高光/阴影。</w:t>
            </w:r>
          </w:p>
          <w:p w14:paraId="49B6D2E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8、整机视网膜蓝光危害（蓝光加权辐射亮度LB）满足IEC TR 62778:2014蓝光危害RG0级别</w:t>
            </w:r>
          </w:p>
          <w:p w14:paraId="2122BB9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9、整机全通道支持纸质护眼模式，可实现画面纹理的实时调整；支持纸质纹理：牛皮纸、素描纸、宣纸、水彩纸、水纹纸；支持透明度调节；支持色温调节。</w:t>
            </w:r>
          </w:p>
          <w:p w14:paraId="081072C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10、纸质护眼模式下，显示画面各像素点灰度不规则，减少背景干扰。</w:t>
            </w:r>
          </w:p>
          <w:p w14:paraId="3BC710CE">
            <w:pPr>
              <w:widowControl/>
              <w:jc w:val="left"/>
              <w:textAlignment w:val="center"/>
              <w:rPr>
                <w:rFonts w:asciiTheme="minorEastAsia" w:hAnsiTheme="minorEastAsia" w:cstheme="minorEastAsia"/>
                <w:color w:val="auto"/>
                <w:sz w:val="18"/>
                <w:szCs w:val="18"/>
              </w:rPr>
            </w:pPr>
          </w:p>
          <w:p w14:paraId="17C8142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五、整机接口与无线模块</w:t>
            </w:r>
          </w:p>
          <w:p w14:paraId="4DAEB73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1、侧置输入接口具备2路HDMI、1路RS232、1路USB接口。</w:t>
            </w:r>
          </w:p>
          <w:p w14:paraId="2A939D2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2、侧置输出接口具备1路音频输出、1路触控USB输出。</w:t>
            </w:r>
          </w:p>
          <w:p w14:paraId="17821FB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3、前置输入接口3路USB接口（包含1路Type-C、2路USB）。</w:t>
            </w:r>
          </w:p>
          <w:p w14:paraId="2AF6BFE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★4、支持通过Type-C接口U盘进行文件传输，兼容Type-C接口手机充电。</w:t>
            </w:r>
          </w:p>
          <w:p w14:paraId="1118CB8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5、整机无需外接无线网卡，在Windows系统下可实现Wi-Fi无线上网连接、AP无线热点发射和BT蓝牙连接功能。</w:t>
            </w:r>
          </w:p>
          <w:p w14:paraId="13EFE4A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6、Wi-Fi和AP热点工作距离≥12m。</w:t>
            </w:r>
          </w:p>
          <w:p w14:paraId="3A99791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7、整机支持蓝牙Bluetooth 5.4标准，固件版本号HCI13.0/LMP13.0。</w:t>
            </w:r>
          </w:p>
          <w:p w14:paraId="149DF9C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8、整机PC端支持主动发现蓝牙外设从而连接（无需整机进入发现模式），支持连接外部蓝牙音箱播放音频。</w:t>
            </w:r>
          </w:p>
          <w:p w14:paraId="653D0DB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14:paraId="7A7B038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7B910C5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11、整机内置双WiFi6无线网卡（不接受外接），在Android和Windows系统下，可实现Wi-Fi无线上网连接、AP无线热点发射。</w:t>
            </w:r>
          </w:p>
          <w:p w14:paraId="7C7E706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★12、整机内置双WiFi6无线网卡（不接受外接），在Android下支持无线设备同时连接数量≥32个，在Windows系统下支持无线设备同时连接≥8个；</w:t>
            </w:r>
          </w:p>
          <w:p w14:paraId="3C63E74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13、整机无需外接无线网卡，在Windows系统下接入无线网络，切换到嵌入式Android系统下可直接实现无线上网功能，不需手动重复设置。</w:t>
            </w:r>
          </w:p>
          <w:p w14:paraId="3B9BE59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14、Wi-Fi及AP热点支持频段2.4GHz/5GHz </w:t>
            </w:r>
          </w:p>
          <w:p w14:paraId="389C041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★15、Wi-Fi制式支持IEEE 802.11 a/b/g/n/ac/ax；支持版本Wi-Fi6。</w:t>
            </w:r>
          </w:p>
          <w:p w14:paraId="429897C6">
            <w:pPr>
              <w:widowControl/>
              <w:jc w:val="left"/>
              <w:textAlignment w:val="center"/>
              <w:rPr>
                <w:rFonts w:asciiTheme="minorEastAsia" w:hAnsiTheme="minorEastAsia" w:cstheme="minorEastAsia"/>
                <w:color w:val="auto"/>
                <w:sz w:val="18"/>
                <w:szCs w:val="18"/>
              </w:rPr>
            </w:pPr>
          </w:p>
          <w:p w14:paraId="194021B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六、侧边栏教学设计</w:t>
            </w:r>
          </w:p>
          <w:p w14:paraId="2D4FFD4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1、整机全通道侧边栏快捷菜单包含如下小工具：批注、降半屏、截屏、放大镜、倒计时、日历、聚光灯、秒表、冻屏、倒数日、答题、节拍器</w:t>
            </w:r>
          </w:p>
          <w:p w14:paraId="72E0217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2、整机全通道侧边栏快捷菜单小工具支持自定义，支持设置对应小工具的显示/隐藏。</w:t>
            </w:r>
          </w:p>
          <w:p w14:paraId="34D9C59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3、整机全通道侧边栏支持使用批注小工具进行批注讲解，可切换书写笔颜色、截屏保存批注内容、清屏，可根据手与屏幕的接触面积自动调整板擦工具的大小。</w:t>
            </w:r>
          </w:p>
          <w:p w14:paraId="36F7535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★4、整机全通道侧边栏支持将设备屏幕降低为半屏幕状态，点击上半屏幕可以返回全屏状态。</w:t>
            </w:r>
          </w:p>
          <w:p w14:paraId="3349A3E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5、整机全通道侧边栏支持自行选择所需截取屏幕范围，点击截屏即可成功截取屏幕，并自动保存。</w:t>
            </w:r>
          </w:p>
          <w:p w14:paraId="2A52303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6、整机全通道侧边栏支持放大选中区域内容，并可支持对未选中区域关灯处理，实现聚光灯效果。</w:t>
            </w:r>
          </w:p>
          <w:p w14:paraId="62E90A6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支持在无任何外部设备的情况下，实时录制用户朗读内容，识别用户声纹并进行统一身份登录，登录后自动获取个人云端教学课件列表，打开教学白板软件时可跳过软件自带登录步骤。（投标时须提供国家认可的第三方检测机构出具的关于该功能检测报告复印件）</w:t>
            </w:r>
          </w:p>
          <w:p w14:paraId="6665706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8、整机全通道侧边栏支持打开日历，查看日期。</w:t>
            </w:r>
          </w:p>
          <w:p w14:paraId="149849E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9、整机全通道侧边栏支持聚光灯，支持聚光灯高亮区域大小调节、区域移动。</w:t>
            </w:r>
          </w:p>
          <w:p w14:paraId="6DBD518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10、整机全通道侧边栏支持冻屏，将屏幕画面进行缩放。</w:t>
            </w:r>
          </w:p>
          <w:p w14:paraId="63D5C72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11、整机安卓和外接通道下侧边栏支持设置倒数日。</w:t>
            </w:r>
          </w:p>
          <w:p w14:paraId="22E2230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463906A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整机侧边栏内置智能语音转文字工具，将整机内置麦克风拾取的语音进行文字转译，以悬浮字幕形式将转译文字显示在屏幕上。（投标时须提供国家认可的第三方检测机构出具的关于该功能检测报告复印件）</w:t>
            </w:r>
          </w:p>
          <w:p w14:paraId="48010A2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14、整机支持在设备上通过摄像头获取教室内图像并自动识别图像内所有人员，并随机抽选1人。</w:t>
            </w:r>
          </w:p>
          <w:p w14:paraId="2F50731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★15、整机支持在设备上通过摄像头获取教室内图像并自动识别图像内所有人员，并自动进行人数统计。</w:t>
            </w:r>
          </w:p>
          <w:p w14:paraId="2A91F69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16、整机支持在设备上，通过侧边栏实现调用windows系统运行、打开文件夹、打开任务管理。</w:t>
            </w:r>
          </w:p>
          <w:p w14:paraId="6CF700B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17、整机Windows通道支持在通过侧边栏调取软键盘。</w:t>
            </w:r>
          </w:p>
          <w:p w14:paraId="08B067A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18、整机Windows通道支持对当前运行中的应用进行窗口最大化、窗口最小化、应用强制关闭。</w:t>
            </w:r>
          </w:p>
          <w:p w14:paraId="242F58F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19、整机处于非内置PC通道下，支持通过侧边栏进入PC通道。</w:t>
            </w:r>
          </w:p>
          <w:p w14:paraId="5AE69FB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20、整机全通道侧边栏快捷菜单支持快捷调节音量、亮度，支持自动亮度模式，支持点击静音按钮静音。</w:t>
            </w:r>
          </w:p>
          <w:p w14:paraId="3903A05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21、整机全通道侧边栏快捷菜单中应用软件可以进行切换，无需在已经开启的应用软件全屏模式下退出当前应用再选择更换。</w:t>
            </w:r>
          </w:p>
          <w:p w14:paraId="6479C35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22、整机全通道侧边栏支持自定义快捷菜单，支持windows应用固定，可将应用固定后，在侧边栏进行快捷打开。</w:t>
            </w:r>
          </w:p>
          <w:p w14:paraId="60A3A02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23、整机全通道侧边栏快捷菜单中可实时查看物联设备的连接情况，点击设备图标即可调出中控菜单进行管控。</w:t>
            </w:r>
          </w:p>
          <w:p w14:paraId="2B8FCD6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24、整机全通道侧边栏快捷菜单支持简洁模式和常规模式切换。</w:t>
            </w:r>
          </w:p>
          <w:p w14:paraId="76E7A05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★25、整机全通道侧边栏快捷菜单简洁模式，可进行打开批注、降半屏、主页的基础操作。</w:t>
            </w:r>
          </w:p>
          <w:p w14:paraId="5BAF8C1E">
            <w:pPr>
              <w:widowControl/>
              <w:jc w:val="left"/>
              <w:textAlignment w:val="center"/>
              <w:rPr>
                <w:rFonts w:asciiTheme="minorEastAsia" w:hAnsiTheme="minorEastAsia" w:cstheme="minorEastAsia"/>
                <w:color w:val="auto"/>
                <w:sz w:val="18"/>
                <w:szCs w:val="18"/>
              </w:rPr>
            </w:pPr>
          </w:p>
          <w:p w14:paraId="7AED746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七、触摸系统设计</w:t>
            </w:r>
          </w:p>
          <w:p w14:paraId="0D9DABF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★1、支持Windows 7、Windows 8、Windows 10、Windows11、Linux、Mac Os、UOS和麒麟系统外置电脑操作系统接入时，无需安装触摸驱动。</w:t>
            </w:r>
          </w:p>
          <w:p w14:paraId="644389C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2、触摸分辨率32768×32768。</w:t>
            </w:r>
          </w:p>
          <w:p w14:paraId="264BDFC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3、书写触控延迟≤25ms</w:t>
            </w:r>
          </w:p>
          <w:p w14:paraId="099ED6D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4、整机触控书写功能集成预测算法，在书写速度≥50cm/s，支持笔迹距离笔的距离小于20mm。</w:t>
            </w:r>
          </w:p>
          <w:p w14:paraId="63DC81A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5、触摸响应≤4ms。</w:t>
            </w:r>
          </w:p>
          <w:p w14:paraId="2DE9C33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6、触摸最小识别物≤3mm。</w:t>
            </w:r>
          </w:p>
          <w:p w14:paraId="51DA56F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7、整机屏幕触摸有效识别高度不超过3mm，即触摸物体距离玻璃外表面高度不超过3mm时，触摸屏识别为点击操作。</w:t>
            </w:r>
          </w:p>
          <w:p w14:paraId="2E22711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8、整机支持提笔书写，在Windows系统下可实现无需点击任意功能入口，当检测到红外笔笔尖接触屏幕时，自动进入书写模式。</w:t>
            </w:r>
          </w:p>
          <w:p w14:paraId="5F25508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9、整机支持手笔分离，通过提笔即写唤醒批注功能后，可进行手笔分离功能，使用笔正常书写，使用手指可以操作应用，进行点击操作。</w:t>
            </w:r>
          </w:p>
          <w:p w14:paraId="1CF0627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10、整机触摸支持动态压力感应，支持无任何电子功能的普通书写笔在整机上书写或点压时，整机能感应压力变化，书写或点压过程笔迹呈现不同粗细。</w:t>
            </w:r>
          </w:p>
          <w:p w14:paraId="17B8C08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支持智能书写功能，书写文字自动识别为标准印刷体，支持图形识别功能，可将多种手绘图形转化为矩形、三角形、圆形标准图形。（投标时须提供国家认可的第三方检测机构出具的关于该功能检测报告复印件）</w:t>
            </w:r>
          </w:p>
          <w:p w14:paraId="411148B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整机白板软件支持智能图表绘制，可将手绘表格转化为智能表格，形成表格对象后表格中书写区域可根据书写内容自适应调整大小，支持将表格外书写内容一键拖动到表格中。（投标时须提供国家认可的第三方检测机构出具的关于该功能检测报告复印件）</w:t>
            </w:r>
          </w:p>
          <w:p w14:paraId="1435FA7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交互式白板软件支持手写笔迹的智能编辑，支持通过手绘置换符快速置换前后文字语序，支持手动涂抹笔迹对象进行快速删除，支持圈选笔迹对象进行手写笔迹缩放，支持文字间手绘竖线进行文字间距的快速调整。（投标时须提供国家认可的第三方检测机构出具的关于该功能检测报告复印件）</w:t>
            </w:r>
          </w:p>
          <w:p w14:paraId="67E1150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时须提供国家认可的第三方检测机构出具的关于该功能检测报告复印件）</w:t>
            </w:r>
          </w:p>
          <w:p w14:paraId="54FD5DE6">
            <w:pPr>
              <w:widowControl/>
              <w:jc w:val="left"/>
              <w:textAlignment w:val="center"/>
              <w:rPr>
                <w:rFonts w:asciiTheme="minorEastAsia" w:hAnsiTheme="minorEastAsia" w:cstheme="minorEastAsia"/>
                <w:color w:val="auto"/>
                <w:sz w:val="18"/>
                <w:szCs w:val="18"/>
              </w:rPr>
            </w:pPr>
          </w:p>
          <w:p w14:paraId="3D843EE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八、嵌入式系统</w:t>
            </w:r>
          </w:p>
          <w:p w14:paraId="22A490D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★1、整机嵌入式系统版本≥Android 15，主频≥1.6GHz。（投标时须提供国家认可的第三方检测机构出具的关于该功能检测报告复印件）</w:t>
            </w:r>
          </w:p>
          <w:p w14:paraId="2053CB8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2、嵌入式Android操作系统下，白板支持对已经书写的笔迹和形状和颜色进行更换。</w:t>
            </w:r>
          </w:p>
          <w:p w14:paraId="04F49C1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3、在嵌入式系统下使用白板软件时，整机可自行调节屏幕亮度。</w:t>
            </w:r>
          </w:p>
          <w:p w14:paraId="7F5A0BA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支持通过悬浮球调起元素周期表，支持对不同类别元素进行颜色区分，可通过点击对不同元素进行分类展示，展示样式支持按原子数/原子结构/相对原子质量/电子构型配置元素方式进行调整。（投标时须提供国家认可的第三方检测机构出具的关于该功能检测报告复印件）</w:t>
            </w:r>
          </w:p>
          <w:p w14:paraId="5AF70A8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★5、整机内置交互式白板软件支持汉字语音测评功能，通过整机拾音麦进行用户声音采集分析，判断用户发音是否标准。（投标时须提供国家认可的第三方检测机构出具的关于该功能检测报告复印件）</w:t>
            </w:r>
          </w:p>
          <w:p w14:paraId="382E969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6、无PC状态下，嵌入式系统内置互动白板支持全局漫游，并能在工具栏中对全局内容进行预览和移动。</w:t>
            </w:r>
          </w:p>
          <w:p w14:paraId="4BB14E3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7、无PC状态下，嵌入式Android 操作系统下可使用白板书写、WPS 软件和网页浏览</w:t>
            </w:r>
          </w:p>
          <w:p w14:paraId="5C1EE53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8、在嵌入式Android操作系统下，能对TV多媒体USB所读取到的文件进行自动归类，可分类查找文档、板书、图片、音视频，检索后可直接在界面中打开。</w:t>
            </w:r>
          </w:p>
          <w:p w14:paraId="6B511332">
            <w:pPr>
              <w:widowControl/>
              <w:jc w:val="left"/>
              <w:textAlignment w:val="center"/>
              <w:rPr>
                <w:rFonts w:asciiTheme="minorEastAsia" w:hAnsiTheme="minorEastAsia" w:cstheme="minorEastAsia"/>
                <w:color w:val="auto"/>
                <w:sz w:val="18"/>
                <w:szCs w:val="18"/>
              </w:rPr>
            </w:pPr>
          </w:p>
          <w:p w14:paraId="6A0986A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九、教学功能应用</w:t>
            </w:r>
          </w:p>
          <w:p w14:paraId="31AD44D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1、整机内置学生日历功能，支持全屏查看日历、显示法定节日；用户可以添加日历事件，设定特定时间并关联本机安卓应用，事件到期后，可以通过事件提醒打开关联的应用，如欢迎词、白板应用。</w:t>
            </w:r>
          </w:p>
          <w:p w14:paraId="579AACD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★2、整机内置AR授课工具，支持对视频展台所采集的画面中叠加动态的3D 模型。3D模型包括：动物、微生物、人体骨骼、乐器、星球、地形。（投标时须提供国家认可的第三方检测机构出具的关于该功能检测报告复印件）</w:t>
            </w:r>
          </w:p>
          <w:p w14:paraId="1C871E4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★3、整机内置 AI 授课工具，支持对整机页面显示的题目或视频展台所采集的题目内容进行识别，支持手动框选题目范围，能够对题目进行详细的讲解，讲解内容包括解题步骤和注意事项。（投标时须提供国家认可的第三方检测机构出具的关于该功能检测报告复印件）</w:t>
            </w:r>
          </w:p>
          <w:p w14:paraId="33728BF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★4、整机内置AI授课工具，可根据题目所涉及的知识点和难度级别，可推荐相似题目，推荐题目数量可根据用户需求进行设置。（投标时须提供国家认可的第三方检测机构出具的关于该功能检测报告复印件）</w:t>
            </w:r>
          </w:p>
          <w:p w14:paraId="0674530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整机内置AI作文批改工具，支持对视频展台所采集的内容进行识别，识别到英文作文类型后，支持作文内容进行批改。可根据作文的整体表现给出一个综合评分，并提供详细的评分依据。（投标时须提供国家认可的第三方检测机构出具的关于该功能检测报告复印件）</w:t>
            </w:r>
          </w:p>
          <w:p w14:paraId="25C9135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整机内置AI作文批改工具，能够从作文的词汇词组、语法句子、内容连贯性多个维度进行分析和评价。对于存在的语法错误和错别字，能够指出并提供修改建议。（投标时须提供国家认可的第三方检测机构出具的关于该功能检测报告复印件）</w:t>
            </w:r>
          </w:p>
          <w:p w14:paraId="5BB1A16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投标时须提供国家认可的第三方检测机构出具的关于该功能检测报告复印件）</w:t>
            </w:r>
          </w:p>
          <w:p w14:paraId="76165CE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投标时须提供国家认可的第三方检测机构出具的关于该功能检测报告复印件）</w:t>
            </w:r>
          </w:p>
          <w:p w14:paraId="34084FF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★9、整机自带AI书写美化能力，智能识别批注的书写轨迹，进行笔锋智能美化，模拟纸上书写的起笔、行笔和收笔效果。（投标时须提供国家认可的第三方检测机构出具的关于该功能检测报告复印件）</w:t>
            </w:r>
          </w:p>
          <w:p w14:paraId="2DC3978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★10、整机内置微课制作工具，支持对全屏/区域的屏幕内容、整机声音、麦克风声音、摄像头内容进行录制，支持切换录制分辨率，支持录制过程中进行画笔标注与擦除；支持中途暂停录制和继续录制。</w:t>
            </w:r>
          </w:p>
          <w:p w14:paraId="7A6D41F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（投标时须提供国家认可的第三方检测机构出具的关于该功能检测报告复印件）</w:t>
            </w:r>
          </w:p>
          <w:p w14:paraId="0845693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★11、整机内置文字快剪功能，支持微课录制结束后提取视频中的文字，按照提取出的文字，对视频进行快速视频剪辑。（投标时须提供国家认可的第三方检测机构出具的关于该功能检测报告复印件）</w:t>
            </w:r>
          </w:p>
          <w:p w14:paraId="7D713B1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20、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p w14:paraId="5446F12F">
            <w:pPr>
              <w:widowControl/>
              <w:jc w:val="left"/>
              <w:textAlignment w:val="center"/>
              <w:rPr>
                <w:rFonts w:asciiTheme="minorEastAsia" w:hAnsiTheme="minorEastAsia" w:cstheme="minorEastAsia"/>
                <w:color w:val="auto"/>
                <w:sz w:val="18"/>
                <w:szCs w:val="18"/>
              </w:rPr>
            </w:pPr>
          </w:p>
          <w:p w14:paraId="0CC79EE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十、教学备授课软件设计</w:t>
            </w:r>
          </w:p>
          <w:p w14:paraId="222AF13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（一）白板教学PC端应用</w:t>
            </w:r>
          </w:p>
          <w:p w14:paraId="13C4211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★1、教学系统为全校教师提供可扩展，易于学校管理，安全可靠的云存储空间，根据每名教师使用时长与教学资料制作频率提供可扩展升级至不小于200G的个人云空间。</w:t>
            </w:r>
          </w:p>
          <w:p w14:paraId="43DDE09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022B791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3、互动教学课件支持定向精准分享：分享者可将互动课件、课件组精准推送至指定接收方账号云空间，接收方可在云空间接收并打开分享课件。</w:t>
            </w:r>
          </w:p>
          <w:p w14:paraId="5DABFAA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18DD86A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18FC8F4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6、支持软件联网自动静默升级，无需用户手动更新。</w:t>
            </w:r>
          </w:p>
          <w:p w14:paraId="58764E1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7、课件背景：提供不少于8种以上背景模板供老师选择，持自定义背景。</w:t>
            </w:r>
          </w:p>
          <w:p w14:paraId="3C875B7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6D34B73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14DE94F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★10、智能配对游戏：支持创建配对游戏，教师可随意将知识点进行配对。当开始配对游戏时，拖动知识点进行配对，系统将自动判断是否正确。系统至少提供7种游戏模版，且模版样式支持自定义修改。</w:t>
            </w:r>
          </w:p>
          <w:p w14:paraId="252F0E4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11、分组竞争游戏：支持创建分组竞争游戏，教师可设置正确项／干扰项，让两组学生开展竞争游戏。系统提供不少于 3 种难度、10种游戏模版选择，且模版样式支持自定义修改。</w:t>
            </w:r>
          </w:p>
          <w:p w14:paraId="49FADDA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★12、数学公式编辑器：支持复杂数学公式输入，提供不少于 20 个数学符号及模板，输出的公式内容支持不同颜色标记及二次编辑。</w:t>
            </w:r>
          </w:p>
          <w:p w14:paraId="6EA41B1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13、数学画板功能：</w:t>
            </w:r>
          </w:p>
          <w:p w14:paraId="0FEE4FC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a)能在白板中插入在线画板，授课时可以一键打开,方便老师配合课件内容进行讲解。</w:t>
            </w:r>
          </w:p>
          <w:p w14:paraId="6B780F5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b)提供不少于 500 个数学画板资源，覆盖小学、初中、高中学段数学学科主要知识点，并按照知识点分类，便于老师查找。</w:t>
            </w:r>
          </w:p>
          <w:p w14:paraId="6FBAF75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127D23D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26563C8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158F8EE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15、表格：</w:t>
            </w:r>
          </w:p>
          <w:p w14:paraId="742E5ED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a)具有表格插入功能，并提供5种以上表格样式供老师选择。</w:t>
            </w:r>
          </w:p>
          <w:p w14:paraId="53CC72A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b)表格能自适应，可一键将表格的行、列调整到最合适的大小。</w:t>
            </w:r>
          </w:p>
          <w:p w14:paraId="1DF73AF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c)具有表格遮罩功能，可对表格中任意一格添加遮罩，在授课模式下通过点击可消除遮罩，方便老师设置互动活动。</w:t>
            </w:r>
          </w:p>
          <w:p w14:paraId="4B0AA87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d)在授课模式下，支持表格克隆功能，可克隆出多个相同表格，</w:t>
            </w:r>
          </w:p>
          <w:p w14:paraId="49C2CA2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方便老师请多位同学进行答题互动。</w:t>
            </w:r>
          </w:p>
          <w:p w14:paraId="01BBCAA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16、图表：</w:t>
            </w:r>
          </w:p>
          <w:p w14:paraId="43C4051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a)具有图表插入功能，并提供柱状图、扇形图、折线图 3 种图表形式，且每种形式提供不少于5种样式供选择。</w:t>
            </w:r>
          </w:p>
          <w:p w14:paraId="29DDE8D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b)具有图表二维及三维展示形式任意切换，且三维图表支持旋转，方便多角度展示数据变化。</w:t>
            </w:r>
          </w:p>
          <w:p w14:paraId="1503DB6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c)具有图表添加超链接，可连接至课件其他页面、网页、软件自带小工具等地方。</w:t>
            </w:r>
          </w:p>
          <w:p w14:paraId="616BBC0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d)在授课模式下，支持图表克隆功能，可克隆出多个相同图表，</w:t>
            </w:r>
          </w:p>
          <w:p w14:paraId="7944A9E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方便老师进行对比观察。</w:t>
            </w:r>
          </w:p>
          <w:p w14:paraId="655D25B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★17、古诗词资源：</w:t>
            </w:r>
          </w:p>
          <w:p w14:paraId="5B7A648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a)提供覆盖多学段的古诗词、古文资源，包含原文、翻译、背景介绍、作者介绍、朗诵音频等。</w:t>
            </w:r>
          </w:p>
          <w:p w14:paraId="162CDFA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b)支持用户根据年级、朝代、诗人等进行分类查找，也可直接搜索诗词、古文名称或作者名查找。</w:t>
            </w:r>
          </w:p>
          <w:p w14:paraId="688D144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c)提供不少于9种古诗词专用背景模板，老师可贴合古诗词意境选择合适背景进行教学。</w:t>
            </w:r>
          </w:p>
          <w:p w14:paraId="4E9357D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d)每篇古诗词、古文均提供原文及翻译、背景介绍、作者介绍等，同时支持一键跳转打开网页，展示对应的背景或作者介绍。</w:t>
            </w:r>
          </w:p>
          <w:p w14:paraId="6F5DBC4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e)支持老师备课时对原文进行注释、标重点等操作，方便老师讲解重点字词。</w:t>
            </w:r>
          </w:p>
          <w:p w14:paraId="1EF8EC1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f)提供原文朗读功能，全部诗词、古文均配备专业朗读配音，且支持老师在备课时对朗读音频进行打点操作，上课时可播放提前选择好的片段。</w:t>
            </w:r>
          </w:p>
          <w:p w14:paraId="1BFF339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07CA29A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★19、美术画板：具有美术画板工具，提供铅笔、毛笔、油画笔，可实现模拟调色盘功能，老师可自由选择不同颜色进行混合调色，搭配出任意色彩。</w:t>
            </w:r>
          </w:p>
          <w:p w14:paraId="707E3A0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20、美术工具：具备图形自由创作工具，教师可自由绘制复杂的任意多边图形及曲边图形；教师自主创作的图形可存储至个人云空间便于后续使用。</w:t>
            </w:r>
          </w:p>
          <w:p w14:paraId="72B84A1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（二）白板软件移动端应用</w:t>
            </w:r>
          </w:p>
          <w:p w14:paraId="041197E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1、课件预览保留课件对象拖拽移动、克隆复制、置顶、删除等互动功能，并可通过移动端进行思维导图、课堂互动游戏的触控交互操作，并支持显示课件备注内容。</w:t>
            </w:r>
          </w:p>
          <w:p w14:paraId="06E4CD2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2、可在移动平台选择是否接收获取的分享课件，接收后课件储存至个人云空间，可在移动平台的互动课件列表预览。</w:t>
            </w:r>
          </w:p>
          <w:p w14:paraId="7AA47B6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3、移动平台可对云空间互动课件和课件组移动、删除和重命名，课件及课件组支持批量移动、删除。</w:t>
            </w:r>
          </w:p>
          <w:p w14:paraId="7CD42E0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4、移动平台可将课件通过微信、朋友圈、云空间帐号、二维码、公开链接、加密链接等方式进行分享，分享有效期支持自定义。</w:t>
            </w:r>
          </w:p>
          <w:p w14:paraId="1D1650C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★5、移动平台可查看教师个人云空间里所有互动课件列表，并可打开互动课件进行预览，预览时支持上下翻页、页面缩略图预览、页面跳转。</w:t>
            </w:r>
          </w:p>
          <w:p w14:paraId="24E266F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6、移动平台可以上传手机相册中的照片和视频到资料夹，且能调用系统相机拍摄照片并直接上传。教师可以在备课端选择资源插入课件。</w:t>
            </w:r>
          </w:p>
          <w:p w14:paraId="0D0B2D88">
            <w:pPr>
              <w:widowControl/>
              <w:jc w:val="left"/>
              <w:textAlignment w:val="center"/>
              <w:rPr>
                <w:rFonts w:asciiTheme="minorEastAsia" w:hAnsiTheme="minorEastAsia" w:cstheme="minorEastAsia"/>
                <w:color w:val="auto"/>
                <w:sz w:val="18"/>
                <w:szCs w:val="18"/>
              </w:rPr>
            </w:pPr>
          </w:p>
          <w:p w14:paraId="40C468E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十一、教学PPT小工具</w:t>
            </w:r>
          </w:p>
          <w:p w14:paraId="00BDE9C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1、不借助其他软件情况下，播放PPT时即可实现书写、擦除功能；可支持课件所有页面的预览、可随意进行页面跳转和实现上下翻页。</w:t>
            </w:r>
          </w:p>
          <w:p w14:paraId="25B74D2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2、不借助其他软件情况下，播放PPT时即可支持板中板功能，直接调用板中板辅助教学，可实现批注及加页，不影响课件整体内容。</w:t>
            </w:r>
          </w:p>
          <w:p w14:paraId="1EFF6D1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2D01CB1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4、不借助其他软件情况下，播放PPT时即可调用放大镜、聚光灯小工具辅助教学。</w:t>
            </w:r>
          </w:p>
          <w:p w14:paraId="187DF590">
            <w:pPr>
              <w:widowControl/>
              <w:jc w:val="left"/>
              <w:textAlignment w:val="center"/>
              <w:rPr>
                <w:rFonts w:asciiTheme="minorEastAsia" w:hAnsiTheme="minorEastAsia" w:cstheme="minorEastAsia"/>
                <w:color w:val="auto"/>
                <w:sz w:val="18"/>
                <w:szCs w:val="18"/>
              </w:rPr>
            </w:pPr>
          </w:p>
          <w:p w14:paraId="5AF80A3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十二、产品售后保障服务</w:t>
            </w:r>
          </w:p>
          <w:p w14:paraId="05FCB78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1、微信售后报修服务：快速输入相关问题及所在区域进行在线保修，贴心服务人员实时在线提供客服专线报修，更好更快的解决售后故障问题带来的使用不便。</w:t>
            </w:r>
          </w:p>
          <w:p w14:paraId="0F903D6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2、微信问题查询服务：提供八大模块的问题查询及解决方案，现场完成简单故障的快速修复指导。</w:t>
            </w:r>
          </w:p>
          <w:p w14:paraId="0E8D95A4">
            <w:pPr>
              <w:widowControl/>
              <w:jc w:val="left"/>
              <w:textAlignment w:val="center"/>
              <w:rPr>
                <w:rFonts w:asciiTheme="minorEastAsia" w:hAnsiTheme="minorEastAsia" w:cstheme="minorEastAsia"/>
                <w:color w:val="auto"/>
                <w:sz w:val="18"/>
                <w:szCs w:val="18"/>
              </w:rPr>
            </w:pPr>
          </w:p>
          <w:p w14:paraId="18210B6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十三、其他要求</w:t>
            </w:r>
          </w:p>
          <w:p w14:paraId="1624F9D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1、为确保货物质量及原厂品质，中标供应商在正式供货时必须提供生产厂家针对此项目的售后服务保证原件、供货证明原件，否则采购方将不予验收通过。</w:t>
            </w:r>
          </w:p>
          <w:p w14:paraId="6B015C9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tc>
        <w:tc>
          <w:tcPr>
            <w:tcW w:w="708" w:type="dxa"/>
          </w:tcPr>
          <w:p w14:paraId="4265BE98">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7</w:t>
            </w:r>
          </w:p>
        </w:tc>
        <w:tc>
          <w:tcPr>
            <w:tcW w:w="709" w:type="dxa"/>
          </w:tcPr>
          <w:p w14:paraId="65361293">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台</w:t>
            </w:r>
          </w:p>
        </w:tc>
        <w:tc>
          <w:tcPr>
            <w:tcW w:w="1275" w:type="dxa"/>
          </w:tcPr>
          <w:p w14:paraId="7EB4D109">
            <w:pPr>
              <w:widowControl/>
              <w:jc w:val="center"/>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否</w:t>
            </w:r>
          </w:p>
        </w:tc>
      </w:tr>
      <w:tr w14:paraId="791A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3F78EBCA">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w:t>
            </w:r>
          </w:p>
        </w:tc>
        <w:tc>
          <w:tcPr>
            <w:tcW w:w="1102" w:type="dxa"/>
            <w:vAlign w:val="center"/>
          </w:tcPr>
          <w:p w14:paraId="5C63E587">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户外感统训练器材玩具车</w:t>
            </w:r>
          </w:p>
        </w:tc>
        <w:tc>
          <w:tcPr>
            <w:tcW w:w="5702" w:type="dxa"/>
            <w:vAlign w:val="center"/>
          </w:tcPr>
          <w:p w14:paraId="438D7A9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规格：79*55*64cm</w:t>
            </w:r>
          </w:p>
          <w:p w14:paraId="32CBC3F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1.骨架采用优质镀锌钢管，抛丸喷砂后全部采用保护焊，机械抛光，经静电喷塑烤漆处理，外表光亮平滑色泽鲜艳。</w:t>
            </w:r>
          </w:p>
          <w:p w14:paraId="5F1AF41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2.车轮、把手、座椅等塑料件为环保型工程塑料，经精密模具一次成型，并经后期加工，韧性好、强度大，表面及边缘光滑圆润，无毛刺，不伤人。</w:t>
            </w:r>
          </w:p>
          <w:p w14:paraId="552375E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3.脚踏轴采用Φ10mm镀锌圆钢，结实耐用。</w:t>
            </w:r>
          </w:p>
          <w:p w14:paraId="7C91BC2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4.产品色彩鲜艳，无毒无味，安全环保，防静电、抗紫外线，适合幼儿户外骑行训练。</w:t>
            </w:r>
          </w:p>
        </w:tc>
        <w:tc>
          <w:tcPr>
            <w:tcW w:w="708" w:type="dxa"/>
          </w:tcPr>
          <w:p w14:paraId="091467D8">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15</w:t>
            </w:r>
          </w:p>
        </w:tc>
        <w:tc>
          <w:tcPr>
            <w:tcW w:w="709" w:type="dxa"/>
          </w:tcPr>
          <w:p w14:paraId="05E1632E">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台</w:t>
            </w:r>
          </w:p>
        </w:tc>
        <w:tc>
          <w:tcPr>
            <w:tcW w:w="1275" w:type="dxa"/>
          </w:tcPr>
          <w:p w14:paraId="49EAF55B">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3795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34FBC324">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w:t>
            </w:r>
          </w:p>
        </w:tc>
        <w:tc>
          <w:tcPr>
            <w:tcW w:w="1102" w:type="dxa"/>
            <w:vAlign w:val="center"/>
          </w:tcPr>
          <w:p w14:paraId="4BB72E8B">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户外迷彩酷跑攀爬训练器材</w:t>
            </w:r>
          </w:p>
        </w:tc>
        <w:tc>
          <w:tcPr>
            <w:tcW w:w="5702" w:type="dxa"/>
            <w:vAlign w:val="center"/>
          </w:tcPr>
          <w:p w14:paraId="1E3D5AD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规格：12件/套</w:t>
            </w:r>
          </w:p>
          <w:p w14:paraId="68DD398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障碍墩：40*40*55cm（墩子）+180*13cm圆管（PVC），材质：牛津布+珍珠棉+木板；</w:t>
            </w:r>
          </w:p>
          <w:p w14:paraId="183492C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攀爬三角折叠板：100*80cm，材质：牛津布+珍珠棉+木板</w:t>
            </w:r>
          </w:p>
          <w:p w14:paraId="2DCCCD5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矮墙：100*80cm，方洞45*55cm，材质：牛津布+珍珠棉+木板+铁架</w:t>
            </w:r>
          </w:p>
          <w:p w14:paraId="443007B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保护垫：200*100*10cm，材质：牛津布+珍珠棉</w:t>
            </w:r>
          </w:p>
          <w:p w14:paraId="2EBEC1A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低跳台：80*70*60cm，材质：牛津布+珍珠棉+木</w:t>
            </w:r>
          </w:p>
          <w:p w14:paraId="179E467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平衡木：280*15*36cm，材质：牛津布+珍珠棉+木板+铁架</w:t>
            </w:r>
          </w:p>
          <w:p w14:paraId="54AFC1A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翻越墙：垫子180*55*5cm两块40*40*55cm墩子两个，营子180cm长，共5件，材质：牛津布+珍珠棉+木</w:t>
            </w:r>
          </w:p>
        </w:tc>
        <w:tc>
          <w:tcPr>
            <w:tcW w:w="708" w:type="dxa"/>
          </w:tcPr>
          <w:p w14:paraId="787D4D7F">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4</w:t>
            </w:r>
          </w:p>
        </w:tc>
        <w:tc>
          <w:tcPr>
            <w:tcW w:w="709" w:type="dxa"/>
          </w:tcPr>
          <w:p w14:paraId="6AF1E253">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217E80A2">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3981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476951A5">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w:t>
            </w:r>
          </w:p>
        </w:tc>
        <w:tc>
          <w:tcPr>
            <w:tcW w:w="1102" w:type="dxa"/>
            <w:vAlign w:val="center"/>
          </w:tcPr>
          <w:p w14:paraId="655D0FAC">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户外大型安吉游戏运动组合</w:t>
            </w:r>
          </w:p>
        </w:tc>
        <w:tc>
          <w:tcPr>
            <w:tcW w:w="5702" w:type="dxa"/>
            <w:vAlign w:val="center"/>
          </w:tcPr>
          <w:p w14:paraId="6D80A10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一、爬网</w:t>
            </w:r>
          </w:p>
          <w:p w14:paraId="424AB3E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规格：200*160*180cm</w:t>
            </w:r>
          </w:p>
          <w:p w14:paraId="2B7186B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主管材：φ60mm，壁厚1.8mm的镀锌钢管；辅助件为φ32mm镀锌钢管。工艺处理：采用CO2气体保护焊焊接技术，机械加工打磨抛光，整体抛丸喷砂，静电粉沫喷涂后高温加热处理，不掉色，不褪色。表面平整光滑，经久耐用，不生锈。</w:t>
            </w:r>
          </w:p>
          <w:p w14:paraId="3A10682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2.绳网为锦纶绳，经编织而成，铝扣固定，结实耐用。</w:t>
            </w:r>
          </w:p>
          <w:p w14:paraId="5E06CED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二、安吉游戏</w:t>
            </w:r>
          </w:p>
          <w:p w14:paraId="5EF3AF9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规格：7.1*5.4*1.7m</w:t>
            </w:r>
          </w:p>
          <w:p w14:paraId="38AA5A7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安吉游戏箱：材质为优质PE板，厚度15mm，由设计师通过电脑编程，经过全自动雕刻机精致雕刻，一次性雕刻而成，后期经修边、打磨、组装等精心制作加工，造型精美，观赏性强。</w:t>
            </w:r>
          </w:p>
          <w:p w14:paraId="1133DA5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立柱：φ32mm，壁厚1.5mm镀锌钢管，工艺处理：焊接采用CO2气体保护焊，机械打磨抛光，整体抛丸喷砂，静电粉沫喷涂后高温加热处理，不褪色，不掉色。</w:t>
            </w:r>
          </w:p>
          <w:p w14:paraId="7895818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爬梯：材质为PE板+镀锌方管组合，由不锈钢螺丝固定。</w:t>
            </w:r>
          </w:p>
          <w:p w14:paraId="6B16CE8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攀爬绳：优质聚丙烯工程塑料缆绳，固定扣件连接，结实耐用。</w:t>
            </w:r>
          </w:p>
          <w:p w14:paraId="0388A8F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滚筒：材质为环保型PP工程塑料，注塑工艺精密模具一次成型，壁厚1cm，后期经边角、边缘人工精细打磨修理，无毛刺，不伤手。热胀冷缩应力小，耐折弯；良好的稳定性和电绝缘性，耐腐蚀，强度高，添加抗紫外线剂和抗氧剂，具有优良的耐热和耐寒性。</w:t>
            </w:r>
          </w:p>
        </w:tc>
        <w:tc>
          <w:tcPr>
            <w:tcW w:w="708" w:type="dxa"/>
          </w:tcPr>
          <w:p w14:paraId="65512E97">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3</w:t>
            </w:r>
          </w:p>
        </w:tc>
        <w:tc>
          <w:tcPr>
            <w:tcW w:w="709" w:type="dxa"/>
          </w:tcPr>
          <w:p w14:paraId="2866EEC9">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08DC61DA">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3DB7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73294A3D">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w:t>
            </w:r>
          </w:p>
        </w:tc>
        <w:tc>
          <w:tcPr>
            <w:tcW w:w="1102" w:type="dxa"/>
            <w:vAlign w:val="center"/>
          </w:tcPr>
          <w:p w14:paraId="6AE43DCC">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室内玩具柜</w:t>
            </w:r>
          </w:p>
        </w:tc>
        <w:tc>
          <w:tcPr>
            <w:tcW w:w="5702" w:type="dxa"/>
            <w:vAlign w:val="center"/>
          </w:tcPr>
          <w:p w14:paraId="231B98F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规格：120*30*80cm（橡木）</w:t>
            </w:r>
          </w:p>
          <w:p w14:paraId="6F1C4D0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1.产品采用优质板材，有害物质含量极低，材质坚硬、纹理清晰、弹性好，稳定性好、不易变形，耐潮防腐性好，使用寿命长。</w:t>
            </w:r>
          </w:p>
          <w:p w14:paraId="75C49CE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2.采用1.6cm（橡木）厚度板材，经打磨并采用环保型油漆喷漆，表面光滑亮泽，边缘倒圆角处理，安全美观。</w:t>
            </w:r>
          </w:p>
          <w:p w14:paraId="619DFE9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3.产品共2层5个柜格，顶部木板稍突出，可摆置物品。</w:t>
            </w:r>
          </w:p>
          <w:p w14:paraId="568C4A6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4.产品甲醛释放量和含水率指标均符合要求，安全牢固，外观良好，无缺陷，适合儿童使用。</w:t>
            </w:r>
          </w:p>
        </w:tc>
        <w:tc>
          <w:tcPr>
            <w:tcW w:w="708" w:type="dxa"/>
          </w:tcPr>
          <w:p w14:paraId="0C4D24D5">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50</w:t>
            </w:r>
          </w:p>
        </w:tc>
        <w:tc>
          <w:tcPr>
            <w:tcW w:w="709" w:type="dxa"/>
          </w:tcPr>
          <w:p w14:paraId="29D946E9">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个</w:t>
            </w:r>
          </w:p>
        </w:tc>
        <w:tc>
          <w:tcPr>
            <w:tcW w:w="1275" w:type="dxa"/>
          </w:tcPr>
          <w:p w14:paraId="00D71B66">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0244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66BD0A56">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w:t>
            </w:r>
          </w:p>
        </w:tc>
        <w:tc>
          <w:tcPr>
            <w:tcW w:w="1102" w:type="dxa"/>
            <w:vAlign w:val="center"/>
          </w:tcPr>
          <w:p w14:paraId="67500FC8">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乐高墙</w:t>
            </w:r>
          </w:p>
        </w:tc>
        <w:tc>
          <w:tcPr>
            <w:tcW w:w="5702" w:type="dxa"/>
            <w:vAlign w:val="center"/>
          </w:tcPr>
          <w:p w14:paraId="22F0539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底板规格：26.5*26.5*1.5cm，配套大颗粒积木高3.2cm，配套小颗粒积木高1.6cm，原生食品级工程塑料原料，精密模具一次成型后经拼插组装而成，产品强韧度高、圆润度好，经多次使用不断裂、不易磨损，对于培养提高孩子的抓握、插入、扣紧和旋转等能力有很大的帮助，还能培养训练孩子的手眼协调能力，提高孩子的想象力和创造力。</w:t>
            </w:r>
          </w:p>
        </w:tc>
        <w:tc>
          <w:tcPr>
            <w:tcW w:w="708" w:type="dxa"/>
          </w:tcPr>
          <w:p w14:paraId="696BA262">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15</w:t>
            </w:r>
          </w:p>
        </w:tc>
        <w:tc>
          <w:tcPr>
            <w:tcW w:w="709" w:type="dxa"/>
          </w:tcPr>
          <w:p w14:paraId="3159AB71">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01B8A742">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770D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51DE7174">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w:t>
            </w:r>
          </w:p>
        </w:tc>
        <w:tc>
          <w:tcPr>
            <w:tcW w:w="1102" w:type="dxa"/>
            <w:vAlign w:val="center"/>
          </w:tcPr>
          <w:p w14:paraId="4FD1682F">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大型积木套装</w:t>
            </w:r>
          </w:p>
        </w:tc>
        <w:tc>
          <w:tcPr>
            <w:tcW w:w="5702" w:type="dxa"/>
            <w:vAlign w:val="center"/>
          </w:tcPr>
          <w:p w14:paraId="35212DA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一、工程类积木</w:t>
            </w:r>
          </w:p>
          <w:p w14:paraId="1B8548D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850件/套，EVA环保材料，100%安全无毒，颜色艳丽，表面木纹，形状多样，可以增进小朋友的手眼协调性；图形颜色识别能力；空间概念，逻辑思考能力的训练，通过玩耍中提升儿童的多层次思考；培养孩子的专注力与耐心；长期游戏，有利于健康左右脑，活化脑细胞，产品可清洗，不褪色，便于保养。</w:t>
            </w:r>
          </w:p>
          <w:p w14:paraId="6B8283A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二、雪花片积木</w:t>
            </w:r>
          </w:p>
          <w:p w14:paraId="6241461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50件/箱，φ26cm厚2cm，原生食品级工程塑料原料，精密模具一次成型后经拼插组装而成，产品强韧度高、圆润度好，经多次使用不断裂、不易磨损，对于培养提高孩子的抓握、插入、扣紧和旋转等能力有很大的帮助，还能培养训练孩子的手眼协调能力，提高孩子的想象力和创造力。</w:t>
            </w:r>
          </w:p>
          <w:p w14:paraId="550255E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三、大2孔方砖积木</w:t>
            </w:r>
          </w:p>
          <w:p w14:paraId="7ACD19C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78件/箱，原生食品级工程塑料原料，精密模具一次成型后经拼插组装而成，产品强韧度高、圆润度好，经多次使用不断裂、不易磨损，对于培养提高孩子的抓握、插入、扣紧和旋转等能力有很大的帮助，还能培养训练孩子的手眼协调能力，提高孩子的想象力和创造力。</w:t>
            </w:r>
          </w:p>
          <w:p w14:paraId="7AFAB51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四、磁力拼搭积木</w:t>
            </w:r>
          </w:p>
          <w:p w14:paraId="7221CDD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54件/箱，EVA环保材料+磁性材料组合，100%安全无毒，颜色艳丽，表面花纹，形状多样，可以增进小朋友的手眼协调性；图形颜色识别能力；空间概念，逻辑思考能力的训练，通过玩耍中提升儿童的多层次思考；培养孩子的专注力与耐心；长期游戏，有利于健康左右脑，活化脑细胞，产品可清洗，不褪色，便于保养。</w:t>
            </w:r>
          </w:p>
        </w:tc>
        <w:tc>
          <w:tcPr>
            <w:tcW w:w="708" w:type="dxa"/>
          </w:tcPr>
          <w:p w14:paraId="6954731E">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1</w:t>
            </w:r>
          </w:p>
        </w:tc>
        <w:tc>
          <w:tcPr>
            <w:tcW w:w="709" w:type="dxa"/>
          </w:tcPr>
          <w:p w14:paraId="4010B0F0">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51F88A36">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5463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16C1677A">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10</w:t>
            </w:r>
          </w:p>
        </w:tc>
        <w:tc>
          <w:tcPr>
            <w:tcW w:w="1102" w:type="dxa"/>
            <w:vAlign w:val="center"/>
          </w:tcPr>
          <w:p w14:paraId="7396CE14">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户外投掷区套装</w:t>
            </w:r>
          </w:p>
        </w:tc>
        <w:tc>
          <w:tcPr>
            <w:tcW w:w="5702" w:type="dxa"/>
            <w:vAlign w:val="center"/>
          </w:tcPr>
          <w:p w14:paraId="51B1988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规格：1.25*0.8*1.8m</w:t>
            </w:r>
          </w:p>
          <w:p w14:paraId="6F60317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支架：φ32mm，壁厚1.5mm镀锌钢管，工艺处理：焊接采用CO2气体保护焊，机械打磨抛光，整体抛丸喷砂，静电粉沫喷涂后高温加热处理，不褪色，不掉色。</w:t>
            </w:r>
          </w:p>
          <w:p w14:paraId="178256F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底座：材质为环保型工程塑料，经精密模具一次成型后拼合组装而成，产品强度高、密度大、耐折弯、热胀冷缩应力小。成形后期经修边、锐角毛刺打磨处理，无安全隐患。生产原材料为原生料，不添加回收料。色母添加剂为标准色母，产品耐紫外线、不褪色，色彩符合儿童视觉习惯。</w:t>
            </w:r>
          </w:p>
        </w:tc>
        <w:tc>
          <w:tcPr>
            <w:tcW w:w="708" w:type="dxa"/>
          </w:tcPr>
          <w:p w14:paraId="3565C77D">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1</w:t>
            </w:r>
          </w:p>
        </w:tc>
        <w:tc>
          <w:tcPr>
            <w:tcW w:w="709" w:type="dxa"/>
          </w:tcPr>
          <w:p w14:paraId="32A79F6B">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17ACA95F">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32D8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6ACCFADB">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w:t>
            </w:r>
          </w:p>
        </w:tc>
        <w:tc>
          <w:tcPr>
            <w:tcW w:w="1102" w:type="dxa"/>
            <w:vAlign w:val="center"/>
          </w:tcPr>
          <w:p w14:paraId="26512F30">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户外高空滑滑梯套装</w:t>
            </w:r>
          </w:p>
        </w:tc>
        <w:tc>
          <w:tcPr>
            <w:tcW w:w="5702" w:type="dxa"/>
            <w:vAlign w:val="center"/>
          </w:tcPr>
          <w:p w14:paraId="4BA47E6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规格：10*4.5*4.5m</w:t>
            </w:r>
          </w:p>
          <w:p w14:paraId="4F41574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主钢管材质及规格：Φ114mm，厚度2.0mm的镀锌钢管。辅助管材：Φ26mm/28mm/32mm/48mm/60mm的镀锌钢管。工艺处理：焊接采用CO2气体保护焊，机械打磨抛光，整体抛丸喷砂，静电粉沫喷涂后高温加热处理，不褪色，不掉色。</w:t>
            </w:r>
          </w:p>
          <w:p w14:paraId="15CD56B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平台材质及规格尺寸：1160mm*1160mm，厚度2.0mm冷轧钢板。自动化冲孔，孔眼直径≦Φ8.5mm（拷漆平台孔眼≦Φ8mm）。孔眼内圈光滑平整无棱角，不伤手。经特殊设计防滑，不积水。背面X型承重钢片设计，以增加载重能力。工艺处理：冲孔后折弯，焊接采用CO2气体保护焊，机械打磨抛光，整体抛丸喷砂，静电粉沫喷涂后高温加热处理，不褪色，不掉色。</w:t>
            </w:r>
          </w:p>
          <w:p w14:paraId="1EB991B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塑料件：采用环保工程塑料，添加入抗紫外线剂和抗氧剂，加入高级色粉，具有优良的耐热和耐寒性，良好的稳定性和电绝缘性，耐腐蚀。重量轻，强度高（滑梯类平均壁厚≧6mm），具有抗磨、耐磨性。后期经边角、边缘打磨处理，无毛刺，不伤手。</w:t>
            </w:r>
          </w:p>
          <w:p w14:paraId="65B4174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4、安全连接件：铝合金、表面平整光滑，不伤手，经久耐用、不生锈。表面处理：机械打磨抛光，抛丸喷砂，静电粉沫喷涂处理。</w:t>
            </w:r>
          </w:p>
          <w:p w14:paraId="288A1B7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5、五金配件材质：采用不锈钢材质的半圆头、T型平头螺丝。外露螺丝均使用不锈钢半圆、无棱角的螺丝，加不锈钢螺丝帽。螺丝需使用专用工具，具有预防任意调整功能，维护设备安全的作用。</w:t>
            </w:r>
          </w:p>
        </w:tc>
        <w:tc>
          <w:tcPr>
            <w:tcW w:w="708" w:type="dxa"/>
          </w:tcPr>
          <w:p w14:paraId="246016C3">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1</w:t>
            </w:r>
          </w:p>
        </w:tc>
        <w:tc>
          <w:tcPr>
            <w:tcW w:w="709" w:type="dxa"/>
          </w:tcPr>
          <w:p w14:paraId="09410D28">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572D5A67">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51F5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1E1DF925">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w:t>
            </w:r>
          </w:p>
        </w:tc>
        <w:tc>
          <w:tcPr>
            <w:tcW w:w="1102" w:type="dxa"/>
            <w:vAlign w:val="center"/>
          </w:tcPr>
          <w:p w14:paraId="65D34D71">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LED大屏</w:t>
            </w:r>
          </w:p>
        </w:tc>
        <w:tc>
          <w:tcPr>
            <w:tcW w:w="5702" w:type="dxa"/>
            <w:vAlign w:val="center"/>
          </w:tcPr>
          <w:p w14:paraId="12C99A4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一、LED显示屏模块：</w:t>
            </w:r>
          </w:p>
          <w:p w14:paraId="205A31D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1、▲点间距≤1.86mm，屏体宽度≥4.48,屏体高度≥2.4，偏差范围不超过±30mm；整屏分辨率≥2408*1290；</w:t>
            </w:r>
          </w:p>
          <w:p w14:paraId="029A059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2、▲为保证产品稳定性，要求采用TOP型SMD封装的灯珠，1R1G1B；灯珠结构支持PPA碗杯结构、点胶封装、出光方式为单面发光；支持PCB平面结构，molding封装、切割、出光方式为五面发光；（ 提供国家认可的第三方检测机构出具的专业检测报告复印件 ）</w:t>
            </w:r>
          </w:p>
          <w:p w14:paraId="623A53D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3、LED显示模组亮度均匀性≥99%（校正后）；</w:t>
            </w:r>
          </w:p>
          <w:p w14:paraId="2EA4F10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4、LED显示模组的基色主波长的测量误差∆入D≤2nm；</w:t>
            </w:r>
          </w:p>
          <w:p w14:paraId="0EF9968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5、▲视角：垂直≥178度，水平≥178度（ 提供国家认可的第三方检测机构出具的专业检测报告复印件）</w:t>
            </w:r>
          </w:p>
          <w:p w14:paraId="4C057DF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6、色温（K）：9300K，20—20000可调，调节步长100K，色温为6500K时，100%、75%、50%、25%四档电平白场调节色温误差≤±200K；色温为8500K时，100%、75%、50%、25%四档电平白场调节色温误差≤±100K；</w:t>
            </w:r>
          </w:p>
          <w:p w14:paraId="49C8BDC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7、▲电流增益调节级别≥10位，电流增益调节范围1%-199%（ 提供国家认可的第三方检测机构出具的专业检测报告复印件）</w:t>
            </w:r>
          </w:p>
          <w:p w14:paraId="6C5038F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8、视觉舒适度(VICO指数)测试值在O≤VICO＜1,视觉舒适度等级为1级，视觉健康舒适度等级为S级；</w:t>
            </w:r>
          </w:p>
          <w:p w14:paraId="574EEAD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9、色度均匀性：±0.001(Cx,Cy之内)；</w:t>
            </w:r>
          </w:p>
          <w:p w14:paraId="188169A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10、▲对比度≥20000:1；（ 提供国家认可的第三方检测机构出具的专业检测报告复印件）</w:t>
            </w:r>
          </w:p>
          <w:p w14:paraId="7F21187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11、▲模组间隙≤0.01mm，拼接模组间隙≤0.01mm，像素中心距相对偏差等级Jx≤0.5%，垂直相对错位等级Cc≤0.5%，水平相对错位等级Cs≤0.5%；（ 提供国家认可的第三方检测机构出具的专业检测报告复印件）</w:t>
            </w:r>
          </w:p>
          <w:p w14:paraId="033054D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12、刷新率≥3840Hz；</w:t>
            </w:r>
          </w:p>
          <w:p w14:paraId="0B8A422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13、色域覆盖率：显示符合广电级显示效果，高色域重合度，色域重合度≥99.3%；色域覆盖率：NTSC 色域覆盖率≥125%；</w:t>
            </w:r>
          </w:p>
          <w:p w14:paraId="7BACF87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14、▲PCB 采用 FR-4 四层板同等级或更高材料，表面沉金处理，板厚≥1.6mm，铜厚≥1 盎司，TG≥150，PCB 板表面具备防潮/防尘/防静电/抗氧化，防霉等级≤1 级。采用抗消隐设计，无“毛毛虫”“鬼影”跟随现象，模组与HUB板采用排线连接，无级联，可直接插拔和热插拔（ 提供国家认可的第三方检测机构出具的专业检测报告复印件）</w:t>
            </w:r>
          </w:p>
          <w:p w14:paraId="00F670A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15、显示屏塑料面罩底壳应能通过550℃灼热丝试验要求，满足HB等级要求；</w:t>
            </w:r>
          </w:p>
          <w:p w14:paraId="0497CD8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16、显示屏经蓝光危害检测结果为无危害；</w:t>
            </w:r>
          </w:p>
          <w:p w14:paraId="4962FC3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17、▲噪声测试屏前、屏后、屏左、屏右1m处，噪声声压≤3dB；（ 提供国家认可的第三方检测机构出具的专业检测报告复印件）</w:t>
            </w:r>
          </w:p>
          <w:p w14:paraId="04DB2D8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18、▲符合LED显示单元节能认证技术规范,具有智能节电和黑屏节电功能，节能模式节电60%以上；（ 提供国家认可的第三方检测机构出具的专业检测报告复印件 ）</w:t>
            </w:r>
          </w:p>
          <w:p w14:paraId="2497C05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19、▲平均修复时间≤1分钟，平均无故障工作时间≥120000小时，支持7*24小时不间断工作；（ 提供国家认可的第三方检测机构出具的专业检测报告复印件 ）</w:t>
            </w:r>
          </w:p>
          <w:p w14:paraId="09610CE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20、▲LED显示屏所使用的各种材料和元器件，都应满足《电子信息产品中有毒有害物质的限量要求》,铅、汞、六价铬、多溴联苯、多溴二苯醚(十溴二苯醚除外)的含量不应超过0.1%,镉的含量不应超过0.01%；（ 提供国家认可的第三方检测机构出具的专业检测报告复印件 ）</w:t>
            </w:r>
          </w:p>
          <w:p w14:paraId="123C3BD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21、按LED显示屏图像质量主观评价方法进行，运动图像清晰度、灰度表现力2（伪轮廓现象）主观感受满足图像质量好，十分满意，评价优级，评分5分；</w:t>
            </w:r>
          </w:p>
          <w:p w14:paraId="2B6FC98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22、采用 印制板测试方法，GB/T 1408.1 ，IPC-TM-650 2.5.7D、IPC-TM-650 2.5.7.1、IPC-TM-6502.5.6B、IPC-TM-650 2.5.6.2AASTM D149 在工业用电频率时实心电绝缘材料的介电击穿电压与介电强度的试验方法，印刷板在经过湿热箱处理120h后进行测试，绝缘部分未被击穿；</w:t>
            </w:r>
          </w:p>
          <w:p w14:paraId="0351BB7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23、▲采用 MC 多通道校正技术，消除屏体在不同灰阶下的麻点和色块问题，保证全灰阶显示均匀一致；（ 提供国家认可的第三方检测机构出具的专业检测报告复印件 ）</w:t>
            </w:r>
          </w:p>
          <w:p w14:paraId="670235B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24、支持鬼影消除、低灰偏色补偿、去除坏点、毛毛虫消除、余辉消除、亮度缓慢变亮功能；</w:t>
            </w:r>
          </w:p>
          <w:p w14:paraId="66A21E0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25、▲摩擦起电电压|V|≤100V;静电电压衰减期 (±1000-±100V）≤2S;（ 提供国家认可的第三方检测机构出具的专业检测报告复印件）</w:t>
            </w:r>
          </w:p>
          <w:p w14:paraId="3299771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26、具备20条以上可调节的γ校正曲线；</w:t>
            </w:r>
          </w:p>
          <w:p w14:paraId="42FCA9D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27、▲采用 MWFRFT 多层多参数智慧调节技术处理技术，打破传统单层 WFRFT 结构模式扩展为多层 MWFRFT 结构，提升大屏低灰刷新不足引起的闪烁问题；（ 提供国家认可的第三方检测机构出具的专业检测报告复印件）</w:t>
            </w:r>
          </w:p>
          <w:p w14:paraId="27C85BE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28、模组采用4P接插头，免工具维护，具有防呆设置，避免线路接错的问题。采用集成hub接收卡控制，支持通讯状态监测，高灰度，高刷新</w:t>
            </w:r>
          </w:p>
          <w:p w14:paraId="06D90F4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29、▲支持HDR信号显示，支持HDR高动态光照渲染技米。支持高动态范围(HDR，Higi-Dynamic Range)检测项目峰值亮度1000-1500、黑色亮度≤0.05cd/m2、EOTF 曲线拟合度0.7-1.3、色域覆盖率≥90（相对DCILP3色空间）、色域重合度≥60%.达到HDR3.0标准。（ 提供国家认可的第三方检测机构出具的专业检测报告复印件）</w:t>
            </w:r>
          </w:p>
          <w:p w14:paraId="0429F59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30、支持模组级的 LED 灯防撞灯保护装置；</w:t>
            </w:r>
          </w:p>
          <w:p w14:paraId="3C6D306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31、▲通过沙尘试验，粒子尺寸＜75μm 的滑石粉，尘降量 600g/（㎡ ·d）， 自由降尘，试验时间8h，产品未发现尘沉积及侵入；（ 提供国家认可的第三方检测机构出具的专业检测报告复印件 ）</w:t>
            </w:r>
          </w:p>
          <w:p w14:paraId="4B3D251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32、电源插头或电源接入端子与外壳裸露金属部件之间绝缘电阻在正常大气条件下应≥500MΩ，湿热条件下应≥20MΩ;</w:t>
            </w:r>
          </w:p>
          <w:p w14:paraId="2D4ED65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33、亮度调节支持手动/自动/远程调节；</w:t>
            </w:r>
          </w:p>
          <w:p w14:paraId="665A41C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34、▲通过灯管耐焊耐热测试：灯珠引脚无氧化,焊接正常,灯珠胶体正常,点亮正常；（ 提供国家认可的第三方检测机构出具的专业检测报告复印件）</w:t>
            </w:r>
          </w:p>
          <w:p w14:paraId="777031F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35、▲通过抗静电(ESD)测试:HBM模式:ESD＞2000V,灯珠点亮无异常；（ 提供国家认可的第三方检测机构出具的专业检测报告复印件 ）</w:t>
            </w:r>
          </w:p>
          <w:p w14:paraId="00DE6C6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36、PCB板及塑胶底壳、面罩满足UL94 V-0级要求</w:t>
            </w:r>
          </w:p>
          <w:p w14:paraId="1F91E85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37、▲通过爬电试验：使用 50 滴溶液（质量分 数 0.1%，纯度 99.8%的分析纯无水氯化铵）进行试验，爬电距离不超过 1.9mm，产品不出现绝缘闪络或击穿；（ 提供国家认可的第三方检测机构出具的专业检测报告复印件 ）</w:t>
            </w:r>
          </w:p>
          <w:p w14:paraId="15D3495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二、接收卡：</w:t>
            </w:r>
          </w:p>
          <w:p w14:paraId="23656E8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1.灵活带载，单卡支持24组数据输出模式</w:t>
            </w:r>
          </w:p>
          <w:p w14:paraId="0DD12FB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2.无需转接板，单卡自带HUB75E接口，更加稳定 </w:t>
            </w:r>
          </w:p>
          <w:p w14:paraId="7486E3F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3.单卡带载像素512*384</w:t>
            </w:r>
          </w:p>
          <w:p w14:paraId="4CEFAB3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4.支持逐点亮色度校正，可以对每个灯点的亮度和色度进行校正，有效消除色差，使整屏的亮度和色度达到高度均匀一致，提高显示屏的画质</w:t>
            </w:r>
          </w:p>
          <w:p w14:paraId="0D7D33A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5.快速亮暗线调节在调试软件上进行快速亮暗线调节，快速解决因箱体及模组拼接造成的显示屏亮暗线，调节过程中即时生效，简单易用</w:t>
            </w:r>
          </w:p>
          <w:p w14:paraId="07A7093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6.配合支持3D功能的独立主控，在软件或独立主控的操作面板上开启3D功能，并设置3D参数，使画面显示3D效果</w:t>
            </w:r>
          </w:p>
          <w:p w14:paraId="7BB31B3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7.可以将指定图片设置为显示屏的开机、网线断开或无视频源信号时的画面或者最后一帧画面通过软件调节，可以解决箱体或灯板之间，因拼接导致的亮暗线问题</w:t>
            </w:r>
          </w:p>
          <w:p w14:paraId="54260D0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8.支持灯板flash管理，校正系数双备份，更换灯板后，无需重新上传校正系数，屏体重新断上电即可使用对应灯板校正系数</w:t>
            </w:r>
          </w:p>
          <w:p w14:paraId="4ACBD31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9.支持5pin液晶模块，用于显示接收卡的温度、电压、单次运行时间和总运行时间</w:t>
            </w:r>
          </w:p>
          <w:p w14:paraId="63AADED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10.支持千兆网，可通过网线直接连接PC端进行调试和显示，无需发送卡</w:t>
            </w:r>
          </w:p>
          <w:p w14:paraId="49FEFA5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11.接收卡电源接口与灯板电源接口一致(与灯板电源一致),无需单独配线，安装方便</w:t>
            </w:r>
          </w:p>
          <w:p w14:paraId="04C0038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三、开关电源：</w:t>
            </w:r>
          </w:p>
          <w:p w14:paraId="181BF79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1、显示屏开关电源 工作温度 -40℃-+70℃ （参照降额曲线）</w:t>
            </w:r>
          </w:p>
          <w:p w14:paraId="6488ADE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2、低温启动特性  -40℃，220Vac 输入,热机 5 分钟，带载 40A，</w:t>
            </w:r>
          </w:p>
          <w:p w14:paraId="1DC0511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3、储存温度  -40℃-85℃</w:t>
            </w:r>
          </w:p>
          <w:p w14:paraId="71AB0CD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4、工作湿度 20%RH-90%RH </w:t>
            </w:r>
          </w:p>
          <w:p w14:paraId="397329E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5、储存湿度 10%RH-95%RH </w:t>
            </w:r>
          </w:p>
          <w:p w14:paraId="04601CA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6、散热方式  自然对流散热，需紧贴客户金属机箱外壳散热</w:t>
            </w:r>
          </w:p>
          <w:p w14:paraId="61F793F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7、大气压  70-106KPa </w:t>
            </w:r>
          </w:p>
          <w:p w14:paraId="307C856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8、可用最高海拔高度 3000m</w:t>
            </w:r>
          </w:p>
          <w:p w14:paraId="3A81A4A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9、物理尺寸 长192.5±1mm*宽 82±1mm*高 30±1mm</w:t>
            </w:r>
          </w:p>
          <w:p w14:paraId="07D8A6D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10、重量 0.36kg </w:t>
            </w:r>
          </w:p>
          <w:p w14:paraId="48146DF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11、输入端子 9.5mm-5P pitch terminal, L N FG</w:t>
            </w:r>
          </w:p>
          <w:p w14:paraId="6CD914C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12、输出端子 9.5mm-6P pitch terminal, V+ V+ V+ V- V- V</w:t>
            </w:r>
          </w:p>
          <w:p w14:paraId="254B721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13、短路保护  可长期短路，消除短路后自动恢复工作</w:t>
            </w:r>
          </w:p>
          <w:p w14:paraId="5F29BAB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14、过流保护  48~76A 故障消除后自动恢复</w:t>
            </w:r>
          </w:p>
          <w:p w14:paraId="569F411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15、工作额定输出电压 V1:+4.5Vdc</w:t>
            </w:r>
          </w:p>
          <w:p w14:paraId="3F8501B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16、额定输出电流范围 0～40.0A</w:t>
            </w:r>
          </w:p>
          <w:p w14:paraId="69C503F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17、稳压精度  ±2%</w:t>
            </w:r>
          </w:p>
          <w:p w14:paraId="17E56F2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18、负载调整率  ±2%</w:t>
            </w:r>
          </w:p>
          <w:p w14:paraId="4095CC6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19、电压过冲 &lt;5.0%</w:t>
            </w:r>
          </w:p>
          <w:p w14:paraId="7D6107E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20、启动时间  3Sec.</w:t>
            </w:r>
          </w:p>
          <w:p w14:paraId="0BE50F8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21、纹波噪声 &lt;200mV</w:t>
            </w:r>
          </w:p>
          <w:p w14:paraId="789E430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22、容性负载至少 5000uF </w:t>
            </w:r>
          </w:p>
          <w:p w14:paraId="062C76D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四、视频处理器</w:t>
            </w:r>
          </w:p>
          <w:p w14:paraId="1EAA4F8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1、采用标准 19 英寸金属结构机箱，机箱为后挂耳结构，上盖无螺钉安装:外壳防护等级符合GBIT 4280-2017中IP20的要求;采用纯硬件 FPGA 架构设计、运行稳定、可靠、高效。</w:t>
            </w:r>
          </w:p>
          <w:p w14:paraId="06EF4DE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▲2、输入接口包括1路HDMI2.0+LOOP,2路HDMI1.3，1路USB3.0，支持选配1路3G-SDI（IN+LOOP），最大支持4096*2160@60HZ信号输入</w:t>
            </w:r>
          </w:p>
          <w:p w14:paraId="440F486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▲3、视频输出支持8个千兆网口输出，1路10G-OPT光口，最大带载高达520万像素，最宽支持10240,最高8192。</w:t>
            </w:r>
          </w:p>
          <w:p w14:paraId="053BFCB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4、音频输入支持视频口伴随音频输入及独立输入两种模式，音频输出支持网口扩展输出及3.5mm独立音频口输出，支持的音频编码 ：MPEG1/2 Layer I，MPEG1/2 Layer II，MPEG1/2 Layer III，AAC-LC，VORBIS，PCM 和 FLAC</w:t>
            </w:r>
          </w:p>
          <w:p w14:paraId="43DA2E8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5、支持输入源备份功能，主源丢失下，无需人为操作可自动切换至备源显示，切换过程无黑屏；</w:t>
            </w:r>
          </w:p>
          <w:p w14:paraId="1D069FD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▲6、最大支持144HZ高帧率输入输出，输出支持插帧、抽帧、倍频（2倍频、3倍频、4倍频）功能，可将30HZ信号，倍频至120HZ输出；</w:t>
            </w:r>
          </w:p>
          <w:p w14:paraId="0D5E45D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▲7、最大可支持6个2K图层或1个4K图层+2个2K图层，全部图层大小和位置可单独调节。4K接口输入2K图层，按2K图层计算图层资源；</w:t>
            </w:r>
          </w:p>
          <w:p w14:paraId="068DC18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支持通过上位机软件实现对显示屏的连接，控制，包括：输入源切换，窗口位置及大小调节，分辨率自定义等；软件端支持可视化呈现设备各接口实时状态，包括视频输入状态及分辨率、网口带载利用率、接屏体温度、电压、误码率、通讯状态等的检测；</w:t>
            </w:r>
          </w:p>
          <w:p w14:paraId="705D8E0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支持U盘即插即播功能，最大支持4K级（3840*2160@60fps）图片和视频的流畅播放，播放列表计切换效果支持自定义编排，最多支持27种图片切换特效，包括水波涟漪、镜头拉近、直接推出、立体翻转、百叶窗、左右擦除、上下擦除、立方体旋转、溶解转场、网格转场、扇扫转场、画卷转场、淡入淡出、旋转扭曲、心形转场、拉帘推出、透视三角、圆形消失、矩形弹跳、星形旋转；</w:t>
            </w:r>
          </w:p>
          <w:p w14:paraId="06FC81A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▲10、标配全彩液晶，搭配实体按键，极大的方便了设备整体状态的监控及设备功能的控制；设备功能按键及丝印信息采用全中文提示，项目上无需粘贴额外的标签纸加以区分，清晰直观；</w:t>
            </w:r>
          </w:p>
          <w:p w14:paraId="2CCA352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11、支持2种用户模式，标准模式和专业模式，满足不同角色对显示屏的分权管理，使用更加放心；</w:t>
            </w:r>
          </w:p>
          <w:p w14:paraId="5AB3C3F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12、支持微信小程序快捷控制，包括亮度调节、输出画质调节、待机模式、画面冻结、场景切换、U盘播放等功能；</w:t>
            </w:r>
          </w:p>
          <w:p w14:paraId="2C000E0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13、支持平板对控制器进行快捷控制，包括亮度调节、图层布局调节、画面冻结、黑屏、场景切换、音量大小等功能；</w:t>
            </w:r>
          </w:p>
          <w:p w14:paraId="3F2849F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▲14、支持创建多个设备还原点，将当前设备的配屏，场景，输出等参数存储为还原点，当系统工作异常时，可根据还原点一键快速还原；</w:t>
            </w:r>
          </w:p>
          <w:p w14:paraId="49B4336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▲15、支持控制设备白名单，可通过MAC地址限制控制设备，非白名单内设备无法控制设备，不允许对设备进行操作；</w:t>
            </w:r>
          </w:p>
          <w:p w14:paraId="3624565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▲16、MTBF≥150000小时，MTTR平均修复小于10分钟可用度大于 99%，整机寿命不小于150000小时。产品稳定性高、性能卓越、纯硬件结构，上电即可正常工作，无需做任何其它设置。</w:t>
            </w:r>
          </w:p>
          <w:p w14:paraId="6835B7E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五、备品配件及安装</w:t>
            </w:r>
          </w:p>
          <w:p w14:paraId="7F071C0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1、10kw配电柜*1</w:t>
            </w:r>
          </w:p>
          <w:p w14:paraId="45AE4D1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2、同批次备品灯板*3</w:t>
            </w:r>
          </w:p>
          <w:p w14:paraId="1F17D93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3、备品接收卡*1</w:t>
            </w:r>
          </w:p>
          <w:p w14:paraId="7D4693B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4、备品电源*1</w:t>
            </w:r>
          </w:p>
          <w:p w14:paraId="3F2339E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5、供应商应提供运费、布线、安装服务</w:t>
            </w:r>
          </w:p>
        </w:tc>
        <w:tc>
          <w:tcPr>
            <w:tcW w:w="708" w:type="dxa"/>
          </w:tcPr>
          <w:p w14:paraId="7ED0FEDB">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2</w:t>
            </w:r>
          </w:p>
        </w:tc>
        <w:tc>
          <w:tcPr>
            <w:tcW w:w="709" w:type="dxa"/>
          </w:tcPr>
          <w:p w14:paraId="4BCAD262">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台</w:t>
            </w:r>
          </w:p>
        </w:tc>
        <w:tc>
          <w:tcPr>
            <w:tcW w:w="1275" w:type="dxa"/>
          </w:tcPr>
          <w:p w14:paraId="0958C525">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否</w:t>
            </w:r>
          </w:p>
        </w:tc>
      </w:tr>
      <w:tr w14:paraId="6412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0343046A">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13</w:t>
            </w:r>
          </w:p>
        </w:tc>
        <w:tc>
          <w:tcPr>
            <w:tcW w:w="1102" w:type="dxa"/>
            <w:vAlign w:val="center"/>
          </w:tcPr>
          <w:p w14:paraId="7184EC7E">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音响</w:t>
            </w:r>
          </w:p>
        </w:tc>
        <w:tc>
          <w:tcPr>
            <w:tcW w:w="5702" w:type="dxa"/>
            <w:vAlign w:val="bottom"/>
          </w:tcPr>
          <w:p w14:paraId="2281E96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1.蓝牙、LED数字屏、USB接口、外接音源输入；        </w:t>
            </w:r>
          </w:p>
          <w:p w14:paraId="3FA3F4BA">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2.内置12V/7A蓄电池，可外接电瓶，带拉杆方便携带；      </w:t>
            </w:r>
          </w:p>
          <w:p w14:paraId="655B1EC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3.标配：UHF无线手持话筒*2支，遥控器*1个；  </w:t>
            </w:r>
          </w:p>
          <w:p w14:paraId="4D8ECF2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4.功率400W，适用于教学、拍卖、导游等场合使用。      </w:t>
            </w:r>
          </w:p>
          <w:p w14:paraId="5B85384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5.体积：37*30*57CM、重量：8Kg           </w:t>
            </w:r>
          </w:p>
          <w:p w14:paraId="3DCBA9C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6.喇叭尺寸：12寸低音*1个,高音*1个。</w:t>
            </w:r>
          </w:p>
        </w:tc>
        <w:tc>
          <w:tcPr>
            <w:tcW w:w="708" w:type="dxa"/>
          </w:tcPr>
          <w:p w14:paraId="2B22DAA2">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4</w:t>
            </w:r>
          </w:p>
        </w:tc>
        <w:tc>
          <w:tcPr>
            <w:tcW w:w="709" w:type="dxa"/>
          </w:tcPr>
          <w:p w14:paraId="35E7F1FF">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492BAECB">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6D89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5B828476">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14</w:t>
            </w:r>
          </w:p>
        </w:tc>
        <w:tc>
          <w:tcPr>
            <w:tcW w:w="1102" w:type="dxa"/>
            <w:vAlign w:val="center"/>
          </w:tcPr>
          <w:p w14:paraId="27DD89F8">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电子钢琴</w:t>
            </w:r>
          </w:p>
        </w:tc>
        <w:tc>
          <w:tcPr>
            <w:tcW w:w="5702" w:type="dxa"/>
            <w:vAlign w:val="center"/>
          </w:tcPr>
          <w:p w14:paraId="03A5B7D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1）达到具有相应检测资质的质量监督检测单位依据QB/T 1477-2012《电子钢琴》标准的要求(投标时须提供国家认可的第三方检测机构出具的CMA检测报告复印件核查“检测结果”)。</w:t>
            </w:r>
          </w:p>
          <w:p w14:paraId="1C13F14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声学品质：音准稳定性，连续通电2小时，同一音名前后两次所测音高变化应不大于1音分；音准误差，基准音组误差范围应在0～+2音分；相邻两键音准误差不大于1音分((投标时须提供国家认可的第三方检测机构出具的CMA检测报告复印件核查“检测结果”)</w:t>
            </w:r>
          </w:p>
          <w:p w14:paraId="5844E23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3）演奏性能1：白键中心距范围为 164～165mm；黑键上宽为9.0mm；琴键间隙为0.8～1.5mm；白键下沉深度应为10.9～11.5mm；同一台琴上白键下沉偏差应不大于0.6mm；黑键高度，前端距白键面应在11.0～11.5mm之间((投标时须提供国家认可的第三方检测机构出具的CMA检测报告复印件核查“检测结果”)</w:t>
            </w:r>
          </w:p>
          <w:p w14:paraId="1C8A01C0">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4）演奏性能2：琴键负荷，琴键下降负荷范围应在0.65 ～0.88N之间；琴键负荷，同一台琴上偏差应不大于0.22N；白键表面高度差，全键盘表面最大高度差应不大于0.8mm；踏板，踩下弱音踏板，以同等力度弹奏琴键，声压级降低7dB((投标时须提供国家认可的第三方检测机构出具的CMA检测报告复印件核查“检测结果”)</w:t>
            </w:r>
          </w:p>
          <w:p w14:paraId="401790E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5）键盘：88键钢琴力度键盘，具有防尘推拉键盘盖 </w:t>
            </w:r>
          </w:p>
          <w:p w14:paraId="4E7D0F2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6）显示：多功能带背光LCD液晶显示</w:t>
            </w:r>
          </w:p>
          <w:p w14:paraId="5F38392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7）复音数：128</w:t>
            </w:r>
          </w:p>
          <w:p w14:paraId="7C7CA5F7">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8）音色：内置 不少于360种音色，包含不少于25种贝司音色、不少于20种弦乐及管弦乐器、不少于30种铜管乐音色。</w:t>
            </w:r>
          </w:p>
          <w:p w14:paraId="0F9EF9A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9）节奏：内置 不少于160节奏，包含不少于13种流行节奏、不少于12种叙述曲节奏、不少于12种摇滚节奏。</w:t>
            </w:r>
          </w:p>
          <w:p w14:paraId="0E6B459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10）节奏控制：启动/停止，同步启动，前奏/尾奏，插入A，插入B，自动低音和弦，伴奏音量调节</w:t>
            </w:r>
          </w:p>
          <w:p w14:paraId="22BFFB3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 11）内置乐曲：不少于80首</w:t>
            </w:r>
          </w:p>
          <w:p w14:paraId="7533764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12）歌曲播放：可直接播放MP3格式歌曲，</w:t>
            </w:r>
          </w:p>
          <w:p w14:paraId="789B4E18">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13）便捷功能：具有移调、力度，下音色，速度调节，节拍器功能</w:t>
            </w:r>
          </w:p>
          <w:p w14:paraId="26A5545E">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14）叠加/分割：键分离、双音色</w:t>
            </w:r>
          </w:p>
          <w:p w14:paraId="12544F8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15）录音：3轨录音（1伴奏轨+2旋律轨）+16轨MIDI通道录音，3用户歌曲</w:t>
            </w:r>
          </w:p>
          <w:p w14:paraId="1380252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16）注册记忆：8个注册记忆(4记忆库x2存储)</w:t>
            </w:r>
          </w:p>
          <w:p w14:paraId="6590039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17）可以连接IOS系统设备</w:t>
            </w:r>
          </w:p>
          <w:p w14:paraId="591678E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18）控制按纽：具有学习、数码效果、调音台、移调、双音色、下音色、录音、状态记忆控制按纽。</w:t>
            </w:r>
          </w:p>
          <w:p w14:paraId="32D6E19B">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 xml:space="preserve"> 19）U盘：具有U盘接口，可直接播放MP3格式乐曲</w:t>
            </w:r>
          </w:p>
          <w:p w14:paraId="5AA52FE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20）接口：电源接口，1个标准立体声耳机接口，USB-MIDI ，MIDI IN/OUT ,音频输出接口     踏板接口</w:t>
            </w:r>
          </w:p>
          <w:p w14:paraId="44CF661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21）扬声器：不少于两个喇叭 ，15Wx2</w:t>
            </w:r>
          </w:p>
          <w:p w14:paraId="2A6AD6B6">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22）附件：用户说明书、售后保修证书</w:t>
            </w:r>
          </w:p>
          <w:p w14:paraId="4315471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23）为确保货物质量及原厂品质，中标供应商在正式供货时必须提供生产厂家针对此项目的售后服务保证原件、供货证明原件，否则采购方将不予验收通过。</w:t>
            </w:r>
          </w:p>
        </w:tc>
        <w:tc>
          <w:tcPr>
            <w:tcW w:w="708" w:type="dxa"/>
          </w:tcPr>
          <w:p w14:paraId="1E8B585A">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20</w:t>
            </w:r>
          </w:p>
        </w:tc>
        <w:tc>
          <w:tcPr>
            <w:tcW w:w="709" w:type="dxa"/>
          </w:tcPr>
          <w:p w14:paraId="62D82454">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架</w:t>
            </w:r>
          </w:p>
        </w:tc>
        <w:tc>
          <w:tcPr>
            <w:tcW w:w="1275" w:type="dxa"/>
          </w:tcPr>
          <w:p w14:paraId="54471E8C">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76DD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2B822EE2">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15</w:t>
            </w:r>
          </w:p>
        </w:tc>
        <w:tc>
          <w:tcPr>
            <w:tcW w:w="1102" w:type="dxa"/>
            <w:vAlign w:val="center"/>
          </w:tcPr>
          <w:p w14:paraId="645102DD">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室外攀爬架</w:t>
            </w:r>
          </w:p>
        </w:tc>
        <w:tc>
          <w:tcPr>
            <w:tcW w:w="5702" w:type="dxa"/>
            <w:vAlign w:val="center"/>
          </w:tcPr>
          <w:p w14:paraId="10FBE96C">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规格：4.9*1.5*H2m</w:t>
            </w:r>
          </w:p>
          <w:p w14:paraId="78C464F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主木材：立柱规格≧8*5cm，进口柳桉木，面板厚2.0cm,攀登支架为4*4cm方木，工艺处理：经过开料、刨光、砂磨、边缘倒圆处理。成品无裂纹和毛刺，接缝自然，没有明显缝隙及缺口。木材含水率符合GB28007-2011和GB18584-2001的要求。</w:t>
            </w:r>
          </w:p>
          <w:p w14:paraId="11643E95">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塑料件：材质为环保型工程塑料，添加抗紫外线剂和抗氧剂，加入高级色粉，具有优良的耐热和耐寒性，热胀冷缩应力小，耐折弯；良好的稳定性和电绝缘性，耐腐蚀，重量轻，强度高。工艺处理：原料经干燥、搅拌均匀后投入专用机械设备内高温加热，一次成型，后期经边角、边缘人工精细打磨修理，无毛刺，不伤手。</w:t>
            </w:r>
          </w:p>
          <w:p w14:paraId="2337DCA1">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3.轮胎为橡胶轮胎，表面经清洗打磨后喷漆工艺。</w:t>
            </w:r>
          </w:p>
          <w:p w14:paraId="666C212F">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4.绳网为锦纶绳，内含1股钢丝，经编织而成，结实耐用。</w:t>
            </w:r>
          </w:p>
          <w:p w14:paraId="3D4DC282">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5.油漆：使用环保型油漆，二底二面，喷漆均匀，表面漆膜平整光亮、无皱皮、发粘和漏漆现象，光泽柔和，哑光工艺，无毒无味，安全环保。</w:t>
            </w:r>
          </w:p>
        </w:tc>
        <w:tc>
          <w:tcPr>
            <w:tcW w:w="708" w:type="dxa"/>
          </w:tcPr>
          <w:p w14:paraId="7E5CF0B2">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2</w:t>
            </w:r>
          </w:p>
        </w:tc>
        <w:tc>
          <w:tcPr>
            <w:tcW w:w="709" w:type="dxa"/>
          </w:tcPr>
          <w:p w14:paraId="0F682CFA">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5168CBA6">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0BB0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26C05F38">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16</w:t>
            </w:r>
          </w:p>
        </w:tc>
        <w:tc>
          <w:tcPr>
            <w:tcW w:w="1102" w:type="dxa"/>
            <w:vAlign w:val="center"/>
          </w:tcPr>
          <w:p w14:paraId="51F25EC0">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荡桥</w:t>
            </w:r>
          </w:p>
        </w:tc>
        <w:tc>
          <w:tcPr>
            <w:tcW w:w="5702" w:type="dxa"/>
            <w:vAlign w:val="center"/>
          </w:tcPr>
          <w:p w14:paraId="6B45781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规格：2.8*1.2*0.85m</w:t>
            </w:r>
          </w:p>
          <w:p w14:paraId="46B40FA4">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1.主木材：材质为进口柳桉木，立柱规格≧8*6cm，,踏板厚3cm，工艺处理：经过开料、刨光、砂磨、边缘倒圆处理。成品无裂纹和毛刺，接缝自然，没有明显缝隙及缺口。木材含水率符合GB28007-2011和GB18584-2001的要求。</w:t>
            </w:r>
          </w:p>
          <w:p w14:paraId="23C71B73">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2.链条：材质为镀锌链条或不锈钢链条，表面光滑，结实耐用。</w:t>
            </w:r>
          </w:p>
          <w:p w14:paraId="442A2989">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3.油漆：使用环保型油漆，二底二面，喷漆均匀，表面漆膜平整光亮、无皱皮、发粘和漏漆现象，光泽柔和，哑光工艺，无毒无味，安全环保。</w:t>
            </w:r>
          </w:p>
        </w:tc>
        <w:tc>
          <w:tcPr>
            <w:tcW w:w="708" w:type="dxa"/>
          </w:tcPr>
          <w:p w14:paraId="56913B14">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1</w:t>
            </w:r>
          </w:p>
        </w:tc>
        <w:tc>
          <w:tcPr>
            <w:tcW w:w="709" w:type="dxa"/>
          </w:tcPr>
          <w:p w14:paraId="75E3BA95">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3710FED9">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5481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6116F72C">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17</w:t>
            </w:r>
          </w:p>
        </w:tc>
        <w:tc>
          <w:tcPr>
            <w:tcW w:w="1102" w:type="dxa"/>
            <w:vAlign w:val="center"/>
          </w:tcPr>
          <w:p w14:paraId="49F6D207">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户外碳化积木</w:t>
            </w:r>
          </w:p>
        </w:tc>
        <w:tc>
          <w:tcPr>
            <w:tcW w:w="5702" w:type="dxa"/>
            <w:vAlign w:val="center"/>
          </w:tcPr>
          <w:p w14:paraId="37093D8D">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sz w:val="18"/>
                <w:szCs w:val="18"/>
              </w:rPr>
              <w:t>规格：22种形状共866件。材质为新西兰松，油漆采用“大宝牌”环保型聚酯漆，正面涂层平整光滑，光泽柔和，边缘倒圆角处理，木材含水率和甲醛释放量符合GB28007-2011和GB18584-2001的要求。866件配置如下：长条板120*10*2.5cm12个，正方形10*10*5cm120个，正方形10*10*2.5cm132个，长方形20*10*5cm200个，长方形20*10*2.5cm160个，长方形40*10*2.5cm66个，长方形60*10*2.5cm40个，长方形60*10*2.5cm（开槽）6个，长方形80*10*2.5cm18个，三角形39*20*2.5cm12个，直角三角形40*20*2.5cm8个，圆柱积木Φ10*20cm6个，圆柱积木Φ10*40cm2个，圆柱积木Φ5*10cm20个，圆柱积木Φ5*20cm20个，圆柱积木Φ5*40cm10个，半圆环积木30*15*2.5cm6个，半圆积木20*10*2.5cm6个，四分之一圆环积木42*15*2.5cm8个，扇形积木半径为20CM8个，Y型60*30*2.5cm2个，三叉路42*30*2.5cm4个。</w:t>
            </w:r>
          </w:p>
        </w:tc>
        <w:tc>
          <w:tcPr>
            <w:tcW w:w="708" w:type="dxa"/>
          </w:tcPr>
          <w:p w14:paraId="0C58F482">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2</w:t>
            </w:r>
          </w:p>
        </w:tc>
        <w:tc>
          <w:tcPr>
            <w:tcW w:w="709" w:type="dxa"/>
          </w:tcPr>
          <w:p w14:paraId="068E7987">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0AF3CF8E">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74E6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31454918">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rPr>
              <w:t>18</w:t>
            </w:r>
          </w:p>
        </w:tc>
        <w:tc>
          <w:tcPr>
            <w:tcW w:w="1102" w:type="dxa"/>
            <w:vAlign w:val="center"/>
          </w:tcPr>
          <w:p w14:paraId="32C4ECC9">
            <w:pPr>
              <w:widowControl/>
              <w:jc w:val="center"/>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户外平衡大滚筒</w:t>
            </w:r>
          </w:p>
        </w:tc>
        <w:tc>
          <w:tcPr>
            <w:tcW w:w="5702" w:type="dxa"/>
            <w:vAlign w:val="center"/>
          </w:tcPr>
          <w:p w14:paraId="0794B2C3">
            <w:pPr>
              <w:rPr>
                <w:rFonts w:asciiTheme="minorEastAsia" w:hAnsiTheme="minorEastAsia" w:cstheme="minorEastAsia"/>
                <w:color w:val="auto"/>
                <w:kern w:val="0"/>
                <w:sz w:val="18"/>
                <w:szCs w:val="18"/>
              </w:rPr>
            </w:pPr>
            <w:r>
              <w:rPr>
                <w:rFonts w:hint="eastAsia" w:asciiTheme="minorEastAsia" w:hAnsiTheme="minorEastAsia" w:cstheme="minorEastAsia"/>
                <w:color w:val="auto"/>
                <w:kern w:val="0"/>
                <w:sz w:val="18"/>
                <w:szCs w:val="18"/>
              </w:rPr>
              <w:t>规格：φ60*73cm（钻洞直径为39cm）</w:t>
            </w:r>
          </w:p>
          <w:p w14:paraId="019E9519">
            <w:pPr>
              <w:rPr>
                <w:rFonts w:asciiTheme="minorEastAsia" w:hAnsiTheme="minorEastAsia" w:cstheme="minorEastAsia"/>
                <w:color w:val="auto"/>
                <w:kern w:val="0"/>
                <w:sz w:val="18"/>
                <w:szCs w:val="18"/>
              </w:rPr>
            </w:pPr>
            <w:r>
              <w:rPr>
                <w:rFonts w:hint="eastAsia" w:asciiTheme="minorEastAsia" w:hAnsiTheme="minorEastAsia" w:cstheme="minorEastAsia"/>
                <w:color w:val="auto"/>
                <w:kern w:val="0"/>
                <w:sz w:val="18"/>
                <w:szCs w:val="18"/>
              </w:rPr>
              <w:t>材质为环保型工程塑料，由精密模具一次成型，产品强度高、密度大、耐折弯、热胀冷缩应力小。成形后期经修边、锐角毛刺打磨处理，无安全隐患。生产原材料为原生料，不添加回收料。色母添加剂为标准色母，产品耐紫外线、不褪色，色彩符合儿童视觉习惯。</w:t>
            </w:r>
          </w:p>
        </w:tc>
        <w:tc>
          <w:tcPr>
            <w:tcW w:w="708" w:type="dxa"/>
          </w:tcPr>
          <w:p w14:paraId="7E2D5BAD">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1</w:t>
            </w:r>
          </w:p>
        </w:tc>
        <w:tc>
          <w:tcPr>
            <w:tcW w:w="709" w:type="dxa"/>
          </w:tcPr>
          <w:p w14:paraId="78320767">
            <w:pPr>
              <w:widowControl/>
              <w:textAlignment w:val="center"/>
              <w:rPr>
                <w:rFonts w:asciiTheme="minorEastAsia" w:hAnsiTheme="minorEastAsia" w:cstheme="minorEastAsia"/>
                <w:color w:val="auto"/>
                <w:sz w:val="18"/>
                <w:szCs w:val="18"/>
              </w:rPr>
            </w:pPr>
            <w:r>
              <w:rPr>
                <w:rFonts w:hint="eastAsia" w:ascii="宋体" w:hAnsi="宋体" w:eastAsia="宋体" w:cs="宋体"/>
                <w:color w:val="auto"/>
                <w:kern w:val="0"/>
                <w:sz w:val="18"/>
                <w:szCs w:val="18"/>
              </w:rPr>
              <w:t>套</w:t>
            </w:r>
          </w:p>
        </w:tc>
        <w:tc>
          <w:tcPr>
            <w:tcW w:w="1275" w:type="dxa"/>
          </w:tcPr>
          <w:p w14:paraId="6581798A">
            <w:pPr>
              <w:widowControl/>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w:t>
            </w:r>
          </w:p>
        </w:tc>
      </w:tr>
      <w:tr w14:paraId="0939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6" w:type="dxa"/>
            <w:gridSpan w:val="6"/>
            <w:vAlign w:val="center"/>
          </w:tcPr>
          <w:p w14:paraId="65BA3FAD">
            <w:pPr>
              <w:widowControl/>
              <w:tabs>
                <w:tab w:val="left" w:pos="3857"/>
              </w:tabs>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商务条款</w:t>
            </w:r>
          </w:p>
        </w:tc>
      </w:tr>
      <w:tr w14:paraId="3EA8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6" w:type="dxa"/>
            <w:gridSpan w:val="6"/>
            <w:vAlign w:val="center"/>
          </w:tcPr>
          <w:p w14:paraId="0D5B8661">
            <w:pPr>
              <w:keepNext w:val="0"/>
              <w:keepLines w:val="0"/>
              <w:widowControl/>
              <w:suppressLineNumbers w:val="0"/>
              <w:jc w:val="left"/>
              <w:rPr>
                <w:rFonts w:hint="eastAsia" w:ascii="宋体" w:hAnsi="宋体" w:eastAsia="宋体" w:cs="宋体"/>
                <w:color w:val="auto"/>
                <w:sz w:val="18"/>
                <w:szCs w:val="18"/>
              </w:rPr>
            </w:pPr>
            <w:r>
              <w:rPr>
                <w:rFonts w:hint="eastAsia" w:ascii="宋体" w:hAnsi="宋体" w:eastAsia="宋体" w:cs="宋体"/>
                <w:b/>
                <w:bCs/>
                <w:color w:val="auto"/>
                <w:kern w:val="0"/>
                <w:sz w:val="18"/>
                <w:szCs w:val="18"/>
                <w:lang w:val="en-US" w:eastAsia="zh-CN" w:bidi="ar"/>
              </w:rPr>
              <w:t xml:space="preserve">商务条款要求 </w:t>
            </w:r>
          </w:p>
          <w:p w14:paraId="29269683">
            <w:pPr>
              <w:rPr>
                <w:rFonts w:hint="eastAsia"/>
                <w:color w:val="auto"/>
              </w:rPr>
            </w:pPr>
            <w:r>
              <w:rPr>
                <w:rFonts w:hint="eastAsia"/>
                <w:color w:val="auto"/>
              </w:rPr>
              <w:t>一、合同签订时间：自成交通知书发出之日起 5个工作日内。</w:t>
            </w:r>
          </w:p>
          <w:p w14:paraId="6667615F">
            <w:pPr>
              <w:rPr>
                <w:rFonts w:hint="eastAsia"/>
                <w:color w:val="auto"/>
              </w:rPr>
            </w:pPr>
            <w:r>
              <w:rPr>
                <w:rFonts w:hint="eastAsia"/>
                <w:color w:val="auto"/>
              </w:rPr>
              <w:t>二、交付时间及地点：</w:t>
            </w:r>
            <w:r>
              <w:rPr>
                <w:rFonts w:hint="eastAsia"/>
                <w:color w:val="auto"/>
              </w:rPr>
              <w:tab/>
            </w:r>
          </w:p>
          <w:p w14:paraId="38952201">
            <w:pPr>
              <w:rPr>
                <w:rFonts w:hint="eastAsia"/>
                <w:color w:val="auto"/>
              </w:rPr>
            </w:pPr>
            <w:r>
              <w:rPr>
                <w:rFonts w:hint="eastAsia"/>
                <w:color w:val="auto"/>
              </w:rPr>
              <w:tab/>
            </w:r>
            <w:r>
              <w:rPr>
                <w:rFonts w:hint="eastAsia"/>
                <w:color w:val="auto"/>
              </w:rPr>
              <w:t>1.交付时间：自签订合同之日起 30 日内安装调试培训完毕，验收合格并交付使用。</w:t>
            </w:r>
          </w:p>
          <w:p w14:paraId="35E810B3">
            <w:pPr>
              <w:rPr>
                <w:rFonts w:hint="eastAsia"/>
                <w:color w:val="auto"/>
              </w:rPr>
            </w:pPr>
            <w:r>
              <w:rPr>
                <w:rFonts w:hint="eastAsia"/>
                <w:color w:val="auto"/>
              </w:rPr>
              <w:tab/>
            </w:r>
            <w:r>
              <w:rPr>
                <w:rFonts w:hint="eastAsia"/>
                <w:color w:val="auto"/>
              </w:rPr>
              <w:t>2.交付地点：采购人指定地点。</w:t>
            </w:r>
          </w:p>
          <w:p w14:paraId="75270714">
            <w:pPr>
              <w:rPr>
                <w:rFonts w:hint="eastAsia"/>
                <w:color w:val="auto"/>
              </w:rPr>
            </w:pPr>
            <w:r>
              <w:rPr>
                <w:rFonts w:hint="eastAsia"/>
                <w:color w:val="auto"/>
              </w:rPr>
              <w:t>三、质保期：按国家有关产品“三包”规定执行“三包”，全部产品质保期除技术参数特别注明外，自交货并验收合格之日起质保不少于 1 年，（若厂家质保期超过 1年的，按厂家规定全免费包修），质保期内全免费上门维修服务，终身维修。</w:t>
            </w:r>
          </w:p>
          <w:p w14:paraId="74F1FA95">
            <w:pPr>
              <w:rPr>
                <w:rFonts w:hint="eastAsia"/>
                <w:color w:val="auto"/>
              </w:rPr>
            </w:pPr>
            <w:r>
              <w:rPr>
                <w:rFonts w:hint="eastAsia"/>
                <w:color w:val="auto"/>
              </w:rPr>
              <w:t>四、付款方式：本项目无预付款，自签订合同之日起 30 日内完成货物的交货、安装、调试及培训完毕，货物由采购人验收合格后，甲方向乙方支付合同总金额的100%。</w:t>
            </w:r>
          </w:p>
          <w:p w14:paraId="382FEC01">
            <w:pPr>
              <w:rPr>
                <w:rFonts w:hint="eastAsia"/>
                <w:color w:val="auto"/>
              </w:rPr>
            </w:pPr>
            <w:r>
              <w:rPr>
                <w:rFonts w:hint="eastAsia"/>
                <w:color w:val="auto"/>
              </w:rPr>
              <w:t>注：成交人向采购人开具合同金额的有效发票，采购人在收到发票后10个工作日内，向</w:t>
            </w:r>
            <w:r>
              <w:rPr>
                <w:rFonts w:hint="eastAsia" w:ascii="宋体" w:hAnsi="宋体" w:eastAsia="宋体" w:cs="宋体"/>
                <w:color w:val="auto"/>
                <w:szCs w:val="21"/>
                <w:highlight w:val="none"/>
                <w:lang w:eastAsia="zh-CN"/>
              </w:rPr>
              <w:t>金秀瑶族自治</w:t>
            </w:r>
            <w:r>
              <w:rPr>
                <w:rFonts w:hint="eastAsia"/>
                <w:color w:val="auto"/>
              </w:rPr>
              <w:t>县财政部门发起支付申请，资金具体到账时间以财政部门审批拨付时间为准。</w:t>
            </w:r>
          </w:p>
          <w:p w14:paraId="6571765B">
            <w:pPr>
              <w:rPr>
                <w:rFonts w:hint="eastAsia"/>
                <w:color w:val="auto"/>
              </w:rPr>
            </w:pPr>
            <w:r>
              <w:rPr>
                <w:rFonts w:hint="eastAsia"/>
                <w:color w:val="auto"/>
              </w:rPr>
              <w:t>五、售后服务要求</w:t>
            </w:r>
          </w:p>
          <w:p w14:paraId="600624BD">
            <w:pPr>
              <w:rPr>
                <w:rFonts w:hint="eastAsia"/>
                <w:color w:val="auto"/>
              </w:rPr>
            </w:pPr>
            <w:r>
              <w:rPr>
                <w:rFonts w:hint="eastAsia"/>
                <w:color w:val="auto"/>
              </w:rPr>
              <w:tab/>
            </w:r>
            <w:r>
              <w:rPr>
                <w:rFonts w:hint="eastAsia"/>
                <w:color w:val="auto"/>
              </w:rPr>
              <w:t>1.免费送货上门、调试直至设备验收合格（期间所需器材及费用均由成交供应商承担）。</w:t>
            </w:r>
          </w:p>
          <w:p w14:paraId="7AE2CA4D">
            <w:pPr>
              <w:rPr>
                <w:rFonts w:hint="eastAsia"/>
                <w:color w:val="auto"/>
              </w:rPr>
            </w:pPr>
            <w:r>
              <w:rPr>
                <w:rFonts w:hint="eastAsia"/>
                <w:color w:val="auto"/>
              </w:rPr>
              <w:tab/>
            </w:r>
            <w:r>
              <w:rPr>
                <w:rFonts w:hint="eastAsia"/>
                <w:color w:val="auto"/>
              </w:rPr>
              <w:t>2.成交供应商负责采购人有关人员的培训，保证采购人有关人员能熟练、独立掌握货物的基本操作技能及运行原理。培训时间、地点、方式及其他均由采购人指定。对于所有培训，成交供应商必须提供详细的培训计划和培训材料。所有培训涉及的费用均由成交供应商承担。</w:t>
            </w:r>
          </w:p>
          <w:p w14:paraId="2A6D695F">
            <w:pPr>
              <w:rPr>
                <w:rFonts w:hint="eastAsia"/>
                <w:color w:val="auto"/>
              </w:rPr>
            </w:pPr>
            <w:r>
              <w:rPr>
                <w:rFonts w:hint="eastAsia"/>
                <w:color w:val="auto"/>
              </w:rPr>
              <w:tab/>
            </w:r>
            <w:r>
              <w:rPr>
                <w:rFonts w:hint="eastAsia"/>
                <w:color w:val="auto"/>
              </w:rPr>
              <w:t>3.在使用过程中发生质量问题或故障，接通知后 4 小时响应，48 小时内到达现场处理。</w:t>
            </w:r>
          </w:p>
          <w:p w14:paraId="4357591B">
            <w:pPr>
              <w:rPr>
                <w:rFonts w:hint="eastAsia"/>
                <w:color w:val="auto"/>
              </w:rPr>
            </w:pPr>
            <w:r>
              <w:rPr>
                <w:rFonts w:hint="eastAsia"/>
                <w:color w:val="auto"/>
              </w:rPr>
              <w:tab/>
            </w:r>
            <w:r>
              <w:rPr>
                <w:rFonts w:hint="eastAsia"/>
                <w:color w:val="auto"/>
              </w:rPr>
              <w:t>4.成交供应商提供全部设备必须是具备厂家合法销售渠道的全新合格正品，所有设备必须完全满足采购文件所述性能配置要求，若产品在运输过程中损坏或擦伤须无偿调换相同产品。</w:t>
            </w:r>
          </w:p>
          <w:p w14:paraId="2EF20006">
            <w:pPr>
              <w:rPr>
                <w:rFonts w:hint="eastAsia"/>
                <w:color w:val="auto"/>
              </w:rPr>
            </w:pPr>
            <w:r>
              <w:rPr>
                <w:rFonts w:hint="eastAsia"/>
                <w:color w:val="auto"/>
              </w:rPr>
              <w:tab/>
            </w:r>
            <w:r>
              <w:rPr>
                <w:rFonts w:hint="eastAsia"/>
                <w:color w:val="auto"/>
              </w:rPr>
              <w:t>5.保修期内非用户原因引起的质量事故成交供应商应负全部责任，设备维修或更换后其保修期相应顺延。</w:t>
            </w:r>
          </w:p>
          <w:p w14:paraId="76A6B9EE">
            <w:pPr>
              <w:rPr>
                <w:rFonts w:hint="eastAsia"/>
                <w:color w:val="auto"/>
              </w:rPr>
            </w:pPr>
            <w:r>
              <w:rPr>
                <w:rFonts w:hint="eastAsia"/>
                <w:color w:val="auto"/>
              </w:rPr>
              <w:tab/>
            </w:r>
            <w:r>
              <w:rPr>
                <w:rFonts w:hint="eastAsia"/>
                <w:color w:val="auto"/>
              </w:rPr>
              <w:t>6.保修期内所有非故意性损坏以及在要求质量标准范围内的正常使用造成的损坏均要免费维修。</w:t>
            </w:r>
          </w:p>
          <w:p w14:paraId="7622408F">
            <w:pPr>
              <w:rPr>
                <w:rFonts w:hint="eastAsia"/>
                <w:color w:val="auto"/>
              </w:rPr>
            </w:pPr>
            <w:r>
              <w:rPr>
                <w:rFonts w:hint="eastAsia"/>
                <w:color w:val="auto"/>
              </w:rPr>
              <w:tab/>
            </w:r>
            <w:r>
              <w:rPr>
                <w:rFonts w:hint="eastAsia"/>
                <w:color w:val="auto"/>
              </w:rPr>
              <w:t>7.对因采购方人员的不正当使用所造成的损坏不归成交供应商负责保修，但成交供应商也要积极帮助采购人修理，并保证提供优惠价格的配件和服务。</w:t>
            </w:r>
          </w:p>
          <w:p w14:paraId="6F6A4321">
            <w:pPr>
              <w:rPr>
                <w:rFonts w:hint="eastAsia"/>
                <w:color w:val="auto"/>
              </w:rPr>
            </w:pPr>
            <w:r>
              <w:rPr>
                <w:rFonts w:hint="eastAsia"/>
                <w:color w:val="auto"/>
              </w:rPr>
              <w:tab/>
            </w:r>
            <w:r>
              <w:rPr>
                <w:rFonts w:hint="eastAsia"/>
                <w:color w:val="auto"/>
              </w:rPr>
              <w:t>8.保修期外，只收配件成本费，免服务费。</w:t>
            </w:r>
          </w:p>
          <w:p w14:paraId="3BD29AE7">
            <w:pPr>
              <w:rPr>
                <w:rFonts w:hint="eastAsia"/>
                <w:color w:val="auto"/>
              </w:rPr>
            </w:pPr>
            <w:r>
              <w:rPr>
                <w:rFonts w:hint="eastAsia"/>
                <w:color w:val="auto"/>
              </w:rPr>
              <w:tab/>
            </w:r>
            <w:r>
              <w:rPr>
                <w:rFonts w:hint="eastAsia"/>
                <w:color w:val="auto"/>
              </w:rPr>
              <w:t>9.免费为采购人的日常使用、维护提供专业的咨询服务。</w:t>
            </w:r>
          </w:p>
          <w:p w14:paraId="2D957DF4">
            <w:pPr>
              <w:rPr>
                <w:rFonts w:hint="eastAsia"/>
                <w:color w:val="auto"/>
              </w:rPr>
            </w:pPr>
            <w:r>
              <w:rPr>
                <w:rFonts w:hint="eastAsia"/>
                <w:color w:val="auto"/>
              </w:rPr>
              <w:t>六、交付和安装要求：</w:t>
            </w:r>
          </w:p>
          <w:p w14:paraId="5EDE7773">
            <w:pPr>
              <w:rPr>
                <w:rFonts w:hint="eastAsia"/>
                <w:color w:val="auto"/>
              </w:rPr>
            </w:pPr>
            <w:r>
              <w:rPr>
                <w:rFonts w:hint="eastAsia"/>
                <w:color w:val="auto"/>
              </w:rPr>
              <w:tab/>
            </w:r>
            <w:r>
              <w:rPr>
                <w:rFonts w:hint="eastAsia"/>
                <w:color w:val="auto"/>
              </w:rPr>
              <w:t>1.合同履约期：自签订合同之日起 30 日内安装调试培训完毕，验收合格并交付使用。</w:t>
            </w:r>
          </w:p>
          <w:p w14:paraId="7651A3CE">
            <w:pPr>
              <w:rPr>
                <w:rFonts w:hint="eastAsia"/>
                <w:color w:val="auto"/>
              </w:rPr>
            </w:pPr>
            <w:r>
              <w:rPr>
                <w:rFonts w:hint="eastAsia"/>
                <w:color w:val="auto"/>
              </w:rPr>
              <w:tab/>
            </w:r>
            <w:r>
              <w:rPr>
                <w:rFonts w:hint="eastAsia"/>
                <w:color w:val="auto"/>
              </w:rPr>
              <w:t>2.交付地点：采购人指定地点。</w:t>
            </w:r>
          </w:p>
          <w:p w14:paraId="307E56CC">
            <w:pPr>
              <w:rPr>
                <w:rFonts w:hint="eastAsia"/>
                <w:color w:val="auto"/>
              </w:rPr>
            </w:pPr>
            <w:r>
              <w:rPr>
                <w:rFonts w:hint="eastAsia"/>
                <w:color w:val="auto"/>
              </w:rPr>
              <w:tab/>
            </w:r>
            <w:r>
              <w:rPr>
                <w:rFonts w:hint="eastAsia"/>
                <w:color w:val="auto"/>
              </w:rPr>
              <w:t>3.成交供应商如提供不符合采购文件和签订的合同所规定的货物时，采购人有权拒绝接收。</w:t>
            </w:r>
          </w:p>
          <w:p w14:paraId="03E3B160">
            <w:pPr>
              <w:rPr>
                <w:rFonts w:hint="eastAsia"/>
                <w:color w:val="auto"/>
              </w:rPr>
            </w:pPr>
            <w:r>
              <w:rPr>
                <w:rFonts w:hint="eastAsia"/>
                <w:color w:val="auto"/>
              </w:rPr>
              <w:tab/>
            </w:r>
            <w:r>
              <w:rPr>
                <w:rFonts w:hint="eastAsia"/>
                <w:color w:val="auto"/>
              </w:rPr>
              <w:t>4.成交供应商应将所提供货物的装箱清单、用户手册、原厂保修卡、随附资料、工具和备品、备件等一并交付给采购人，如有缺失应及时补齐，否则视为逾期交货。</w:t>
            </w:r>
          </w:p>
          <w:p w14:paraId="4FECCBCC">
            <w:pPr>
              <w:rPr>
                <w:rFonts w:hint="eastAsia"/>
                <w:color w:val="auto"/>
              </w:rPr>
            </w:pPr>
            <w:r>
              <w:rPr>
                <w:rFonts w:hint="eastAsia"/>
                <w:color w:val="auto"/>
              </w:rPr>
              <w:tab/>
            </w:r>
            <w:r>
              <w:rPr>
                <w:rFonts w:hint="eastAsia"/>
                <w:color w:val="auto"/>
              </w:rPr>
              <w:t>5.成交供应商交货前应对产品作出全面检查和对验收文件进行整理，并列出清单，作为采购人收货验收和使用的技术条件依据，检验的结果应随货物交采购人。</w:t>
            </w:r>
          </w:p>
          <w:p w14:paraId="72AA271D">
            <w:pPr>
              <w:rPr>
                <w:rFonts w:hint="eastAsia"/>
                <w:color w:val="auto"/>
              </w:rPr>
            </w:pPr>
            <w:r>
              <w:rPr>
                <w:rFonts w:hint="eastAsia"/>
                <w:color w:val="auto"/>
              </w:rPr>
              <w:tab/>
            </w:r>
            <w:r>
              <w:rPr>
                <w:rFonts w:hint="eastAsia"/>
                <w:color w:val="auto"/>
              </w:rPr>
              <w:t>6.成交供应商负责货物的卸货、搬运及安装，按照采购人要求将货物搬运至指定地点并负责安装、组合成套。</w:t>
            </w:r>
          </w:p>
          <w:p w14:paraId="5C214A4D">
            <w:pPr>
              <w:rPr>
                <w:rFonts w:hint="eastAsia"/>
                <w:color w:val="auto"/>
              </w:rPr>
            </w:pPr>
          </w:p>
          <w:p w14:paraId="798D25E6">
            <w:pPr>
              <w:rPr>
                <w:color w:val="auto"/>
              </w:rPr>
            </w:pPr>
            <w:r>
              <w:rPr>
                <w:rFonts w:hint="eastAsia"/>
                <w:color w:val="auto"/>
              </w:rPr>
              <w:t>七、报价要求：本次报价须为人民币报价，投标报价是履行合同的最终价格，应包括但不限于货款、标准附件、备品备件、专用工具、包装、运输、装卸、保险、税金、货到就位以及安装、调试、培训、保修等一切税金和费用。</w:t>
            </w:r>
          </w:p>
          <w:p w14:paraId="0A90D6F2">
            <w:pPr>
              <w:widowControl/>
              <w:tabs>
                <w:tab w:val="left" w:pos="3857"/>
              </w:tabs>
              <w:textAlignment w:val="center"/>
              <w:rPr>
                <w:rFonts w:hint="eastAsia" w:ascii="宋体" w:hAnsi="宋体" w:eastAsia="宋体" w:cs="宋体"/>
                <w:color w:val="auto"/>
                <w:kern w:val="0"/>
                <w:sz w:val="18"/>
                <w:szCs w:val="18"/>
                <w:lang w:val="en-US" w:eastAsia="zh-CN"/>
              </w:rPr>
            </w:pPr>
          </w:p>
        </w:tc>
      </w:tr>
      <w:tr w14:paraId="44B7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6" w:type="dxa"/>
            <w:gridSpan w:val="6"/>
            <w:vAlign w:val="center"/>
          </w:tcPr>
          <w:p w14:paraId="7ADA8EB0">
            <w:pPr>
              <w:widowControl/>
              <w:shd w:val="clear"/>
              <w:spacing w:line="360" w:lineRule="exact"/>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其他说明：</w:t>
            </w:r>
          </w:p>
          <w:p w14:paraId="1E8BCEBE">
            <w:pPr>
              <w:widowControl/>
              <w:shd w:val="clear"/>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一、进口产品说明</w:t>
            </w:r>
            <w:r>
              <w:rPr>
                <w:rFonts w:hint="eastAsia" w:ascii="宋体" w:hAnsi="宋体" w:eastAsia="宋体" w:cs="宋体"/>
                <w:color w:val="auto"/>
                <w:highlight w:val="none"/>
                <w:lang w:eastAsia="zh-CN"/>
              </w:rPr>
              <w:t>：</w:t>
            </w:r>
          </w:p>
          <w:p w14:paraId="2830173F">
            <w:pPr>
              <w:spacing w:line="360" w:lineRule="exact"/>
              <w:ind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货物所涉及的货物不接受进口产品（即通过中国海关报关验放进入中国境内且产自关境外的产品）参与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w:t>
            </w:r>
            <w:r>
              <w:rPr>
                <w:rFonts w:hint="eastAsia" w:ascii="宋体" w:hAnsi="宋体" w:eastAsia="宋体" w:cs="宋体"/>
                <w:b/>
                <w:color w:val="auto"/>
                <w:szCs w:val="21"/>
                <w:highlight w:val="none"/>
              </w:rPr>
              <w:t>如有进口产品参与</w:t>
            </w:r>
            <w:r>
              <w:rPr>
                <w:rFonts w:hint="eastAsia" w:ascii="宋体" w:hAnsi="宋体" w:eastAsia="宋体" w:cs="宋体"/>
                <w:b/>
                <w:color w:val="auto"/>
                <w:szCs w:val="21"/>
                <w:highlight w:val="none"/>
                <w:lang w:eastAsia="zh-CN"/>
              </w:rPr>
              <w:t>竞</w:t>
            </w:r>
            <w:r>
              <w:rPr>
                <w:rFonts w:hint="eastAsia" w:ascii="宋体" w:hAnsi="宋体" w:eastAsia="宋体" w:cs="宋体"/>
                <w:b/>
                <w:color w:val="auto"/>
                <w:szCs w:val="21"/>
                <w:highlight w:val="none"/>
              </w:rPr>
              <w:t>标的作无效</w:t>
            </w:r>
            <w:r>
              <w:rPr>
                <w:rFonts w:hint="eastAsia" w:ascii="宋体" w:hAnsi="宋体" w:eastAsia="宋体" w:cs="宋体"/>
                <w:b/>
                <w:color w:val="auto"/>
                <w:szCs w:val="21"/>
                <w:highlight w:val="none"/>
                <w:lang w:val="en-US" w:eastAsia="zh-CN"/>
              </w:rPr>
              <w:t>竞</w:t>
            </w:r>
            <w:r>
              <w:rPr>
                <w:rFonts w:hint="eastAsia" w:ascii="宋体" w:hAnsi="宋体" w:eastAsia="宋体" w:cs="宋体"/>
                <w:b/>
                <w:color w:val="auto"/>
                <w:szCs w:val="21"/>
                <w:highlight w:val="none"/>
              </w:rPr>
              <w:t>标处理</w:t>
            </w:r>
            <w:r>
              <w:rPr>
                <w:rFonts w:hint="eastAsia" w:ascii="宋体" w:hAnsi="宋体" w:eastAsia="宋体" w:cs="宋体"/>
                <w:color w:val="auto"/>
                <w:szCs w:val="21"/>
                <w:highlight w:val="none"/>
              </w:rPr>
              <w:t>。</w:t>
            </w:r>
          </w:p>
          <w:p w14:paraId="1BDEF3A4">
            <w:pPr>
              <w:spacing w:line="360" w:lineRule="exact"/>
              <w:ind w:firstLine="0"/>
              <w:jc w:val="left"/>
              <w:rPr>
                <w:rFonts w:hint="eastAsia" w:ascii="宋体" w:hAnsi="宋体" w:eastAsia="宋体" w:cs="宋体"/>
                <w:i w:val="0"/>
                <w:iCs w:val="0"/>
                <w:caps w:val="0"/>
                <w:color w:val="auto"/>
                <w:spacing w:val="0"/>
                <w:sz w:val="21"/>
                <w:szCs w:val="21"/>
                <w:highlight w:val="none"/>
                <w:shd w:val="clear" w:color="auto" w:fill="auto"/>
              </w:rPr>
            </w:pPr>
            <w:r>
              <w:rPr>
                <w:rFonts w:hint="eastAsia" w:ascii="宋体" w:hAnsi="宋体" w:eastAsia="宋体" w:cs="宋体"/>
                <w:color w:val="auto"/>
                <w:szCs w:val="21"/>
                <w:highlight w:val="none"/>
                <w:lang w:val="en-US" w:eastAsia="zh-CN"/>
              </w:rPr>
              <w:t>根据 《国务院办公厅关于在政府采购中实施本国产品标准及相关政策的通知》（国办发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号）的规定</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政府采购活动中既有本国产品又有非本国产品参与竞争的，依法对</w:t>
            </w:r>
            <w:r>
              <w:rPr>
                <w:rFonts w:hint="eastAsia" w:ascii="宋体" w:hAnsi="宋体" w:eastAsia="宋体" w:cs="宋体"/>
                <w:i w:val="0"/>
                <w:iCs w:val="0"/>
                <w:caps w:val="0"/>
                <w:color w:val="auto"/>
                <w:spacing w:val="0"/>
                <w:sz w:val="21"/>
                <w:szCs w:val="21"/>
                <w:highlight w:val="none"/>
                <w:shd w:val="clear" w:color="auto" w:fill="FFFFFF"/>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FFFFFF"/>
              </w:rPr>
              <w:t>本国产品给予价格评审优惠</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b/>
                <w:bCs/>
                <w:color w:val="auto"/>
                <w:szCs w:val="21"/>
                <w:highlight w:val="none"/>
              </w:rPr>
              <w:t xml:space="preserve">具体详见“第四章 </w:t>
            </w:r>
            <w:r>
              <w:rPr>
                <w:rFonts w:hint="eastAsia" w:ascii="宋体" w:hAnsi="宋体" w:eastAsia="宋体" w:cs="宋体"/>
                <w:b/>
                <w:bCs/>
                <w:color w:val="auto"/>
                <w:szCs w:val="21"/>
                <w:highlight w:val="none"/>
                <w:lang w:val="en-US" w:eastAsia="zh-CN"/>
              </w:rPr>
              <w:t>评审程序、</w:t>
            </w:r>
            <w:r>
              <w:rPr>
                <w:rFonts w:hint="eastAsia" w:ascii="宋体" w:hAnsi="宋体" w:eastAsia="宋体" w:cs="宋体"/>
                <w:b/>
                <w:bCs/>
                <w:color w:val="auto"/>
                <w:szCs w:val="21"/>
                <w:highlight w:val="none"/>
                <w:lang w:eastAsia="zh-CN"/>
              </w:rPr>
              <w:t>评</w:t>
            </w:r>
            <w:r>
              <w:rPr>
                <w:rFonts w:hint="eastAsia" w:ascii="宋体" w:hAnsi="宋体" w:eastAsia="宋体" w:cs="宋体"/>
                <w:b/>
                <w:bCs/>
                <w:color w:val="auto"/>
                <w:szCs w:val="21"/>
                <w:highlight w:val="none"/>
                <w:lang w:val="en-US" w:eastAsia="zh-CN"/>
              </w:rPr>
              <w:t>审</w:t>
            </w:r>
            <w:r>
              <w:rPr>
                <w:rFonts w:hint="eastAsia" w:ascii="宋体" w:hAnsi="宋体" w:eastAsia="宋体" w:cs="宋体"/>
                <w:b/>
                <w:bCs/>
                <w:color w:val="auto"/>
                <w:szCs w:val="21"/>
                <w:highlight w:val="none"/>
                <w:lang w:eastAsia="zh-CN"/>
              </w:rPr>
              <w:t>方法和</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lang w:eastAsia="zh-CN"/>
              </w:rPr>
              <w:t>标准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p w14:paraId="6568394D">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、核心产品：</w:t>
            </w:r>
          </w:p>
          <w:p w14:paraId="11988E98">
            <w:pPr>
              <w:keepNext w:val="0"/>
              <w:keepLines w:val="0"/>
              <w:widowControl/>
              <w:suppressLineNumbers w:val="0"/>
              <w:jc w:val="left"/>
              <w:rPr>
                <w:rFonts w:hint="default" w:ascii="宋体" w:hAnsi="宋体" w:eastAsia="宋体" w:cs="宋体"/>
                <w:color w:val="auto"/>
                <w:kern w:val="0"/>
                <w:sz w:val="18"/>
                <w:szCs w:val="18"/>
                <w:lang w:val="en-US" w:eastAsia="zh-CN"/>
              </w:rPr>
            </w:pPr>
            <w:r>
              <w:rPr>
                <w:rFonts w:hint="eastAsia" w:ascii="宋体" w:hAnsi="宋体" w:eastAsia="宋体" w:cs="宋体"/>
                <w:color w:val="auto"/>
                <w:sz w:val="21"/>
                <w:szCs w:val="21"/>
                <w:highlight w:val="none"/>
              </w:rPr>
              <w:t>本项目的核心产品为“</w:t>
            </w:r>
            <w:r>
              <w:rPr>
                <w:rFonts w:hint="eastAsia" w:ascii="宋体" w:hAnsi="宋体" w:eastAsia="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”中第</w:t>
            </w:r>
            <w:r>
              <w:rPr>
                <w:rFonts w:hint="eastAsia" w:ascii="宋体" w:hAnsi="宋体" w:eastAsia="宋体" w:cs="宋体"/>
                <w:color w:val="auto"/>
                <w:sz w:val="21"/>
                <w:szCs w:val="21"/>
                <w:highlight w:val="none"/>
                <w:u w:val="single"/>
                <w:lang w:val="en-US" w:eastAsia="zh-CN"/>
              </w:rPr>
              <w:t xml:space="preserve">    1  </w:t>
            </w:r>
            <w:r>
              <w:rPr>
                <w:rFonts w:hint="eastAsia" w:ascii="宋体" w:hAnsi="宋体" w:eastAsia="宋体" w:cs="宋体"/>
                <w:color w:val="auto"/>
                <w:sz w:val="21"/>
                <w:szCs w:val="21"/>
                <w:highlight w:val="none"/>
              </w:rPr>
              <w:t>项产品：“</w:t>
            </w:r>
            <w:r>
              <w:rPr>
                <w:rFonts w:hint="eastAsia" w:ascii="宋体" w:hAnsi="宋体" w:eastAsia="宋体" w:cs="宋体"/>
                <w:color w:val="auto"/>
                <w:sz w:val="21"/>
                <w:szCs w:val="21"/>
                <w:highlight w:val="none"/>
                <w:u w:val="single"/>
                <w:lang w:val="en-US" w:eastAsia="zh-CN"/>
              </w:rPr>
              <w:t xml:space="preserve">  教师机    </w:t>
            </w:r>
            <w:r>
              <w:rPr>
                <w:rFonts w:hint="eastAsia" w:ascii="宋体" w:hAnsi="宋体" w:eastAsia="宋体" w:cs="宋体"/>
                <w:color w:val="auto"/>
                <w:sz w:val="21"/>
                <w:szCs w:val="21"/>
                <w:highlight w:val="none"/>
              </w:rPr>
              <w:t>”。</w:t>
            </w:r>
          </w:p>
        </w:tc>
      </w:tr>
    </w:tbl>
    <w:p w14:paraId="1C79B6CB">
      <w:pPr>
        <w:jc w:val="center"/>
        <w:rPr>
          <w:rFonts w:hint="eastAsia" w:ascii="宋体" w:hAnsi="宋体" w:eastAsia="宋体" w:cs="宋体"/>
          <w:color w:val="auto"/>
          <w:szCs w:val="24"/>
          <w:highlight w:val="none"/>
        </w:rPr>
      </w:pPr>
    </w:p>
    <w:p w14:paraId="11A25D74">
      <w:pPr>
        <w:pStyle w:val="18"/>
        <w:rPr>
          <w:rFonts w:hint="eastAsia"/>
          <w:color w:val="auto"/>
        </w:rPr>
      </w:pPr>
    </w:p>
    <w:bookmarkEnd w:id="47"/>
    <w:p w14:paraId="70EFD3B7">
      <w:pPr>
        <w:spacing w:line="428" w:lineRule="exact"/>
        <w:rPr>
          <w:rFonts w:hint="eastAsia" w:ascii="宋体" w:hAnsi="宋体" w:eastAsia="宋体" w:cs="宋体"/>
          <w:color w:val="auto"/>
          <w:szCs w:val="24"/>
          <w:highlight w:val="none"/>
        </w:rPr>
      </w:pPr>
    </w:p>
    <w:p w14:paraId="2E52DFAF">
      <w:pPr>
        <w:spacing w:line="24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clear="all"/>
      </w:r>
    </w:p>
    <w:p w14:paraId="4A7EBFB0">
      <w:pPr>
        <w:spacing w:line="528" w:lineRule="exact"/>
        <w:jc w:val="left"/>
        <w:rPr>
          <w:rFonts w:hint="eastAsia" w:ascii="宋体" w:hAnsi="宋体" w:eastAsia="宋体" w:cs="宋体"/>
          <w:color w:val="auto"/>
          <w:highlight w:val="none"/>
        </w:rPr>
      </w:pPr>
      <w:r>
        <w:rPr>
          <w:rFonts w:hint="eastAsia" w:ascii="宋体" w:hAnsi="宋体" w:eastAsia="宋体" w:cs="宋体"/>
          <w:color w:val="auto"/>
          <w:sz w:val="32"/>
          <w:szCs w:val="32"/>
          <w:highlight w:val="none"/>
        </w:rPr>
        <w:t>附件1</w:t>
      </w:r>
    </w:p>
    <w:p w14:paraId="53BD68B3">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14:paraId="40C7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noWrap w:val="0"/>
            <w:vAlign w:val="top"/>
          </w:tcPr>
          <w:p w14:paraId="2C6B8AE0">
            <w:pPr>
              <w:widowControl/>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品目序号</w:t>
            </w:r>
          </w:p>
        </w:tc>
        <w:tc>
          <w:tcPr>
            <w:tcW w:w="4244" w:type="dxa"/>
            <w:gridSpan w:val="3"/>
            <w:noWrap w:val="0"/>
            <w:vAlign w:val="center"/>
          </w:tcPr>
          <w:p w14:paraId="188DC2A9">
            <w:pPr>
              <w:widowControl/>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名称</w:t>
            </w:r>
          </w:p>
        </w:tc>
        <w:tc>
          <w:tcPr>
            <w:tcW w:w="4335" w:type="dxa"/>
            <w:noWrap w:val="0"/>
            <w:vAlign w:val="center"/>
          </w:tcPr>
          <w:p w14:paraId="13C816A6">
            <w:pPr>
              <w:widowControl/>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依据的标准</w:t>
            </w:r>
          </w:p>
        </w:tc>
      </w:tr>
      <w:tr w14:paraId="251F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03B72F0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116" w:type="dxa"/>
            <w:vMerge w:val="restart"/>
            <w:noWrap w:val="0"/>
            <w:vAlign w:val="center"/>
          </w:tcPr>
          <w:p w14:paraId="40B4A54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A020101计算机设备</w:t>
            </w:r>
          </w:p>
        </w:tc>
        <w:tc>
          <w:tcPr>
            <w:tcW w:w="1516" w:type="dxa"/>
            <w:noWrap w:val="0"/>
            <w:vAlign w:val="center"/>
          </w:tcPr>
          <w:p w14:paraId="6CAC506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★A02010104台式计算机</w:t>
            </w:r>
          </w:p>
        </w:tc>
        <w:tc>
          <w:tcPr>
            <w:tcW w:w="1612" w:type="dxa"/>
            <w:noWrap w:val="0"/>
            <w:vAlign w:val="center"/>
          </w:tcPr>
          <w:p w14:paraId="02717F5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2F8D242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14:paraId="0E0D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3A374D29">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F8E0B9F">
            <w:pPr>
              <w:widowControl/>
              <w:jc w:val="left"/>
              <w:rPr>
                <w:rFonts w:hint="eastAsia" w:ascii="宋体" w:hAnsi="宋体" w:eastAsia="宋体" w:cs="宋体"/>
                <w:color w:val="auto"/>
                <w:sz w:val="20"/>
                <w:szCs w:val="20"/>
                <w:highlight w:val="none"/>
              </w:rPr>
            </w:pPr>
          </w:p>
        </w:tc>
        <w:tc>
          <w:tcPr>
            <w:tcW w:w="1516" w:type="dxa"/>
            <w:noWrap w:val="0"/>
            <w:vAlign w:val="center"/>
          </w:tcPr>
          <w:p w14:paraId="0E43C85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★A02010105便携式计算机</w:t>
            </w:r>
          </w:p>
        </w:tc>
        <w:tc>
          <w:tcPr>
            <w:tcW w:w="1612" w:type="dxa"/>
            <w:noWrap w:val="0"/>
            <w:vAlign w:val="center"/>
          </w:tcPr>
          <w:p w14:paraId="7D07C8B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42A9FBE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14:paraId="05D1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6B01EFD8">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7487729A">
            <w:pPr>
              <w:widowControl/>
              <w:jc w:val="left"/>
              <w:rPr>
                <w:rFonts w:hint="eastAsia" w:ascii="宋体" w:hAnsi="宋体" w:eastAsia="宋体" w:cs="宋体"/>
                <w:color w:val="auto"/>
                <w:sz w:val="20"/>
                <w:szCs w:val="20"/>
                <w:highlight w:val="none"/>
              </w:rPr>
            </w:pPr>
          </w:p>
        </w:tc>
        <w:tc>
          <w:tcPr>
            <w:tcW w:w="1516" w:type="dxa"/>
            <w:noWrap w:val="0"/>
            <w:vAlign w:val="center"/>
          </w:tcPr>
          <w:p w14:paraId="5777799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★A02010107平板式微型计算机</w:t>
            </w:r>
          </w:p>
        </w:tc>
        <w:tc>
          <w:tcPr>
            <w:tcW w:w="1612" w:type="dxa"/>
            <w:noWrap w:val="0"/>
            <w:vAlign w:val="center"/>
          </w:tcPr>
          <w:p w14:paraId="7803FE9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4E6259B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14:paraId="1804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4DC9C73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116" w:type="dxa"/>
            <w:vMerge w:val="restart"/>
            <w:noWrap w:val="0"/>
            <w:vAlign w:val="center"/>
          </w:tcPr>
          <w:p w14:paraId="49E153B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A020106输入输出设备</w:t>
            </w:r>
          </w:p>
        </w:tc>
        <w:tc>
          <w:tcPr>
            <w:tcW w:w="1516" w:type="dxa"/>
            <w:vMerge w:val="restart"/>
            <w:noWrap w:val="0"/>
            <w:vAlign w:val="center"/>
          </w:tcPr>
          <w:p w14:paraId="0D5BBA0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A02010601打印设备</w:t>
            </w:r>
          </w:p>
        </w:tc>
        <w:tc>
          <w:tcPr>
            <w:tcW w:w="1612" w:type="dxa"/>
            <w:noWrap w:val="0"/>
            <w:vAlign w:val="center"/>
          </w:tcPr>
          <w:p w14:paraId="36B9D3A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A0201060101喷墨打印机</w:t>
            </w:r>
          </w:p>
        </w:tc>
        <w:tc>
          <w:tcPr>
            <w:tcW w:w="4335" w:type="dxa"/>
            <w:noWrap w:val="0"/>
            <w:vAlign w:val="center"/>
          </w:tcPr>
          <w:p w14:paraId="37B9C22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75BE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611241F">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F749EB6">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6FD291DD">
            <w:pPr>
              <w:widowControl/>
              <w:jc w:val="left"/>
              <w:rPr>
                <w:rFonts w:hint="eastAsia" w:ascii="宋体" w:hAnsi="宋体" w:eastAsia="宋体" w:cs="宋体"/>
                <w:color w:val="auto"/>
                <w:sz w:val="20"/>
                <w:szCs w:val="20"/>
                <w:highlight w:val="none"/>
              </w:rPr>
            </w:pPr>
          </w:p>
        </w:tc>
        <w:tc>
          <w:tcPr>
            <w:tcW w:w="1612" w:type="dxa"/>
            <w:noWrap w:val="0"/>
            <w:vAlign w:val="center"/>
          </w:tcPr>
          <w:p w14:paraId="57098B1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★A0201060102激光打印机</w:t>
            </w:r>
          </w:p>
        </w:tc>
        <w:tc>
          <w:tcPr>
            <w:tcW w:w="4335" w:type="dxa"/>
            <w:noWrap w:val="0"/>
            <w:vAlign w:val="center"/>
          </w:tcPr>
          <w:p w14:paraId="121BEB77">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381D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FB4D2DF">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19E488E7">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503821BA">
            <w:pPr>
              <w:widowControl/>
              <w:jc w:val="left"/>
              <w:rPr>
                <w:rFonts w:hint="eastAsia" w:ascii="宋体" w:hAnsi="宋体" w:eastAsia="宋体" w:cs="宋体"/>
                <w:color w:val="auto"/>
                <w:sz w:val="20"/>
                <w:szCs w:val="20"/>
                <w:highlight w:val="none"/>
              </w:rPr>
            </w:pPr>
          </w:p>
        </w:tc>
        <w:tc>
          <w:tcPr>
            <w:tcW w:w="1612" w:type="dxa"/>
            <w:noWrap w:val="0"/>
            <w:vAlign w:val="center"/>
          </w:tcPr>
          <w:p w14:paraId="26F17E2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★A0201060104针式打印机</w:t>
            </w:r>
          </w:p>
        </w:tc>
        <w:tc>
          <w:tcPr>
            <w:tcW w:w="4335" w:type="dxa"/>
            <w:noWrap w:val="0"/>
            <w:vAlign w:val="center"/>
          </w:tcPr>
          <w:p w14:paraId="679B83D6">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6A59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4A05A5A">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AEE6084">
            <w:pPr>
              <w:widowControl/>
              <w:jc w:val="left"/>
              <w:rPr>
                <w:rFonts w:hint="eastAsia" w:ascii="宋体" w:hAnsi="宋体" w:eastAsia="宋体" w:cs="宋体"/>
                <w:color w:val="auto"/>
                <w:sz w:val="20"/>
                <w:szCs w:val="20"/>
                <w:highlight w:val="none"/>
              </w:rPr>
            </w:pPr>
          </w:p>
        </w:tc>
        <w:tc>
          <w:tcPr>
            <w:tcW w:w="1516" w:type="dxa"/>
            <w:noWrap w:val="0"/>
            <w:vAlign w:val="center"/>
          </w:tcPr>
          <w:p w14:paraId="049170B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A02010604显示设备</w:t>
            </w:r>
          </w:p>
        </w:tc>
        <w:tc>
          <w:tcPr>
            <w:tcW w:w="1612" w:type="dxa"/>
            <w:noWrap w:val="0"/>
            <w:vAlign w:val="center"/>
          </w:tcPr>
          <w:p w14:paraId="77A230F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★A0201060401液晶显示器</w:t>
            </w:r>
          </w:p>
        </w:tc>
        <w:tc>
          <w:tcPr>
            <w:tcW w:w="4335" w:type="dxa"/>
            <w:noWrap w:val="0"/>
            <w:vAlign w:val="center"/>
          </w:tcPr>
          <w:p w14:paraId="1776FB0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《计算机显示器能效限定值及能效等级》（GB21520）</w:t>
            </w:r>
          </w:p>
        </w:tc>
      </w:tr>
      <w:tr w14:paraId="02F8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3E0277CF">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FBAE2DA">
            <w:pPr>
              <w:widowControl/>
              <w:jc w:val="left"/>
              <w:rPr>
                <w:rFonts w:hint="eastAsia" w:ascii="宋体" w:hAnsi="宋体" w:eastAsia="宋体" w:cs="宋体"/>
                <w:color w:val="auto"/>
                <w:sz w:val="20"/>
                <w:szCs w:val="20"/>
                <w:highlight w:val="none"/>
              </w:rPr>
            </w:pPr>
          </w:p>
        </w:tc>
        <w:tc>
          <w:tcPr>
            <w:tcW w:w="1516" w:type="dxa"/>
            <w:noWrap w:val="0"/>
            <w:vAlign w:val="center"/>
          </w:tcPr>
          <w:p w14:paraId="6D81565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A02010609图形图像输入设备</w:t>
            </w:r>
          </w:p>
        </w:tc>
        <w:tc>
          <w:tcPr>
            <w:tcW w:w="1612" w:type="dxa"/>
            <w:noWrap w:val="0"/>
            <w:vAlign w:val="center"/>
          </w:tcPr>
          <w:p w14:paraId="064E8A7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A0201060901扫描仪</w:t>
            </w:r>
          </w:p>
        </w:tc>
        <w:tc>
          <w:tcPr>
            <w:tcW w:w="4335" w:type="dxa"/>
            <w:noWrap w:val="0"/>
            <w:vAlign w:val="center"/>
          </w:tcPr>
          <w:p w14:paraId="70294EED">
            <w:pPr>
              <w:widowControl/>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参照《复印机、打印机和传真机能效限定值及能效等级》（GB21521</w:t>
            </w:r>
            <w:r>
              <w:rPr>
                <w:rFonts w:hint="eastAsia" w:ascii="宋体" w:hAnsi="宋体" w:eastAsia="宋体" w:cs="宋体"/>
                <w:color w:val="auto"/>
                <w:sz w:val="20"/>
                <w:szCs w:val="20"/>
                <w:highlight w:val="none"/>
                <w:lang w:eastAsia="zh-CN"/>
              </w:rPr>
              <w:t>）中打印速度为15页/分的针式打印机相关要求</w:t>
            </w:r>
          </w:p>
        </w:tc>
      </w:tr>
      <w:tr w14:paraId="1A48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6C72B01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116" w:type="dxa"/>
            <w:noWrap w:val="0"/>
            <w:vAlign w:val="center"/>
          </w:tcPr>
          <w:p w14:paraId="5A14599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A020202投影仪</w:t>
            </w:r>
          </w:p>
        </w:tc>
        <w:tc>
          <w:tcPr>
            <w:tcW w:w="1516" w:type="dxa"/>
            <w:noWrap w:val="0"/>
            <w:vAlign w:val="center"/>
          </w:tcPr>
          <w:p w14:paraId="78D1326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1743177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6C7CC09">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《投影机能效限定值及能效等级》（GB32028）</w:t>
            </w:r>
          </w:p>
        </w:tc>
      </w:tr>
      <w:tr w14:paraId="076E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51733C0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116" w:type="dxa"/>
            <w:noWrap w:val="0"/>
            <w:vAlign w:val="center"/>
          </w:tcPr>
          <w:p w14:paraId="2C8AA09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A020204多功能一体机</w:t>
            </w:r>
          </w:p>
        </w:tc>
        <w:tc>
          <w:tcPr>
            <w:tcW w:w="1516" w:type="dxa"/>
            <w:noWrap w:val="0"/>
            <w:vAlign w:val="center"/>
          </w:tcPr>
          <w:p w14:paraId="110FA50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5E9E703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37F2081">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30B6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568323F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116" w:type="dxa"/>
            <w:noWrap w:val="0"/>
            <w:vAlign w:val="center"/>
          </w:tcPr>
          <w:p w14:paraId="089031A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A020519泵</w:t>
            </w:r>
          </w:p>
        </w:tc>
        <w:tc>
          <w:tcPr>
            <w:tcW w:w="1516" w:type="dxa"/>
            <w:noWrap w:val="0"/>
            <w:vAlign w:val="center"/>
          </w:tcPr>
          <w:p w14:paraId="634242B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A02051901离心泵</w:t>
            </w:r>
          </w:p>
        </w:tc>
        <w:tc>
          <w:tcPr>
            <w:tcW w:w="1612" w:type="dxa"/>
            <w:noWrap w:val="0"/>
            <w:vAlign w:val="center"/>
          </w:tcPr>
          <w:p w14:paraId="265BC8C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3CCA2381">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《清水离心泵能效限定值及节能评价值》（GB19762）</w:t>
            </w:r>
          </w:p>
        </w:tc>
      </w:tr>
      <w:tr w14:paraId="5EFD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noWrap w:val="0"/>
            <w:vAlign w:val="center"/>
          </w:tcPr>
          <w:p w14:paraId="5756A57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116" w:type="dxa"/>
            <w:vMerge w:val="restart"/>
            <w:noWrap w:val="0"/>
            <w:vAlign w:val="center"/>
          </w:tcPr>
          <w:p w14:paraId="6FE73E6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A020523制冷空调设备</w:t>
            </w:r>
          </w:p>
        </w:tc>
        <w:tc>
          <w:tcPr>
            <w:tcW w:w="1516" w:type="dxa"/>
            <w:vMerge w:val="restart"/>
            <w:noWrap w:val="0"/>
            <w:vAlign w:val="center"/>
          </w:tcPr>
          <w:p w14:paraId="6AD9119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★A02052301制冷压缩机</w:t>
            </w:r>
          </w:p>
        </w:tc>
        <w:tc>
          <w:tcPr>
            <w:tcW w:w="1612" w:type="dxa"/>
            <w:noWrap w:val="0"/>
            <w:vAlign w:val="center"/>
          </w:tcPr>
          <w:p w14:paraId="04A25A9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冷水机组</w:t>
            </w:r>
          </w:p>
        </w:tc>
        <w:tc>
          <w:tcPr>
            <w:tcW w:w="4335" w:type="dxa"/>
            <w:noWrap w:val="0"/>
            <w:vAlign w:val="center"/>
          </w:tcPr>
          <w:p w14:paraId="1499515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《冷水机组能效限定值及能效等级》（GB19577），《低环境温度空气源热泵（冷水）机组能效限定值及能效等级》（GB37480）</w:t>
            </w:r>
          </w:p>
        </w:tc>
      </w:tr>
      <w:tr w14:paraId="7FC3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45A03CA3">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6A54D7D">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BF096A8">
            <w:pPr>
              <w:widowControl/>
              <w:jc w:val="left"/>
              <w:rPr>
                <w:rFonts w:hint="eastAsia" w:ascii="宋体" w:hAnsi="宋体" w:eastAsia="宋体" w:cs="宋体"/>
                <w:color w:val="auto"/>
                <w:sz w:val="20"/>
                <w:szCs w:val="20"/>
                <w:highlight w:val="none"/>
              </w:rPr>
            </w:pPr>
          </w:p>
        </w:tc>
        <w:tc>
          <w:tcPr>
            <w:tcW w:w="1612" w:type="dxa"/>
            <w:noWrap w:val="0"/>
            <w:vAlign w:val="center"/>
          </w:tcPr>
          <w:p w14:paraId="4F2835F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水源热泵机组</w:t>
            </w:r>
          </w:p>
        </w:tc>
        <w:tc>
          <w:tcPr>
            <w:tcW w:w="4335" w:type="dxa"/>
            <w:noWrap w:val="0"/>
            <w:vAlign w:val="center"/>
          </w:tcPr>
          <w:p w14:paraId="58FCE64C">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《水（地）源热泵机组能效限定值及能效等级》（GB30721）</w:t>
            </w:r>
          </w:p>
        </w:tc>
      </w:tr>
      <w:tr w14:paraId="0113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2978D693">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06184470">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44DA01AB">
            <w:pPr>
              <w:widowControl/>
              <w:jc w:val="left"/>
              <w:rPr>
                <w:rFonts w:hint="eastAsia" w:ascii="宋体" w:hAnsi="宋体" w:eastAsia="宋体" w:cs="宋体"/>
                <w:color w:val="auto"/>
                <w:sz w:val="20"/>
                <w:szCs w:val="20"/>
                <w:highlight w:val="none"/>
              </w:rPr>
            </w:pPr>
          </w:p>
        </w:tc>
        <w:tc>
          <w:tcPr>
            <w:tcW w:w="1612" w:type="dxa"/>
            <w:noWrap w:val="0"/>
            <w:vAlign w:val="center"/>
          </w:tcPr>
          <w:p w14:paraId="16EEEFF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溴化锂吸收式冷水机组</w:t>
            </w:r>
          </w:p>
        </w:tc>
        <w:tc>
          <w:tcPr>
            <w:tcW w:w="4335" w:type="dxa"/>
            <w:noWrap w:val="0"/>
            <w:vAlign w:val="center"/>
          </w:tcPr>
          <w:p w14:paraId="0E948C3E">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《溴化锂吸收式冷水机组能效限定值及能效等级》（GB29540）</w:t>
            </w:r>
          </w:p>
        </w:tc>
      </w:tr>
      <w:tr w14:paraId="577A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911766B">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377B8104">
            <w:pPr>
              <w:widowControl/>
              <w:jc w:val="left"/>
              <w:rPr>
                <w:rFonts w:hint="eastAsia" w:ascii="宋体" w:hAnsi="宋体" w:eastAsia="宋体" w:cs="宋体"/>
                <w:color w:val="auto"/>
                <w:sz w:val="20"/>
                <w:szCs w:val="20"/>
                <w:highlight w:val="none"/>
              </w:rPr>
            </w:pPr>
          </w:p>
        </w:tc>
        <w:tc>
          <w:tcPr>
            <w:tcW w:w="1516" w:type="dxa"/>
            <w:vMerge w:val="restart"/>
            <w:noWrap w:val="0"/>
            <w:vAlign w:val="center"/>
          </w:tcPr>
          <w:p w14:paraId="32CAC72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★A02052305空调机组</w:t>
            </w:r>
          </w:p>
        </w:tc>
        <w:tc>
          <w:tcPr>
            <w:tcW w:w="1612" w:type="dxa"/>
            <w:noWrap w:val="0"/>
            <w:vAlign w:val="center"/>
          </w:tcPr>
          <w:p w14:paraId="7B5FAC8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多联式空调（热泵）机组(制冷量&gt;14000W)</w:t>
            </w:r>
          </w:p>
        </w:tc>
        <w:tc>
          <w:tcPr>
            <w:tcW w:w="4335" w:type="dxa"/>
            <w:noWrap w:val="0"/>
            <w:vAlign w:val="center"/>
          </w:tcPr>
          <w:p w14:paraId="47AEAAE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《多联式空调（热泵）机组能效限定值及能源效率等级》（GB21454）</w:t>
            </w:r>
          </w:p>
        </w:tc>
      </w:tr>
      <w:tr w14:paraId="5FE3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2A9D3E56">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41553FB">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B46D13A">
            <w:pPr>
              <w:widowControl/>
              <w:jc w:val="left"/>
              <w:rPr>
                <w:rFonts w:hint="eastAsia" w:ascii="宋体" w:hAnsi="宋体" w:eastAsia="宋体" w:cs="宋体"/>
                <w:color w:val="auto"/>
                <w:sz w:val="20"/>
                <w:szCs w:val="20"/>
                <w:highlight w:val="none"/>
              </w:rPr>
            </w:pPr>
          </w:p>
        </w:tc>
        <w:tc>
          <w:tcPr>
            <w:tcW w:w="1612" w:type="dxa"/>
            <w:noWrap w:val="0"/>
            <w:vAlign w:val="center"/>
          </w:tcPr>
          <w:p w14:paraId="0B0C470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单元式空气调节机(制冷量&gt;14000W</w:t>
            </w:r>
          </w:p>
        </w:tc>
        <w:tc>
          <w:tcPr>
            <w:tcW w:w="4335" w:type="dxa"/>
            <w:noWrap w:val="0"/>
            <w:vAlign w:val="center"/>
          </w:tcPr>
          <w:p w14:paraId="21437BC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《单元式空气调节机能效限定值及能效等级》（GB19576）《风管送风式空调机组能效限定值及能效等级》（GB37479）</w:t>
            </w:r>
          </w:p>
        </w:tc>
      </w:tr>
      <w:tr w14:paraId="5F5C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2772F1EC">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12CBA15">
            <w:pPr>
              <w:widowControl/>
              <w:jc w:val="left"/>
              <w:rPr>
                <w:rFonts w:hint="eastAsia" w:ascii="宋体" w:hAnsi="宋体" w:eastAsia="宋体" w:cs="宋体"/>
                <w:color w:val="auto"/>
                <w:sz w:val="20"/>
                <w:szCs w:val="20"/>
                <w:highlight w:val="none"/>
              </w:rPr>
            </w:pPr>
          </w:p>
        </w:tc>
        <w:tc>
          <w:tcPr>
            <w:tcW w:w="1516" w:type="dxa"/>
            <w:noWrap w:val="0"/>
            <w:vAlign w:val="center"/>
          </w:tcPr>
          <w:p w14:paraId="39B6F4E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★A02052309专用制冷、空调设备</w:t>
            </w:r>
          </w:p>
        </w:tc>
        <w:tc>
          <w:tcPr>
            <w:tcW w:w="1612" w:type="dxa"/>
            <w:noWrap w:val="0"/>
            <w:vAlign w:val="center"/>
          </w:tcPr>
          <w:p w14:paraId="0346F9B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机房空调</w:t>
            </w:r>
          </w:p>
        </w:tc>
        <w:tc>
          <w:tcPr>
            <w:tcW w:w="4335" w:type="dxa"/>
            <w:noWrap w:val="0"/>
            <w:vAlign w:val="center"/>
          </w:tcPr>
          <w:p w14:paraId="2112687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《单元式空气调节机能效限定值及能效等级》（GB19576）</w:t>
            </w:r>
          </w:p>
        </w:tc>
      </w:tr>
      <w:tr w14:paraId="7C96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81FADBE">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20D5179">
            <w:pPr>
              <w:widowControl/>
              <w:jc w:val="left"/>
              <w:rPr>
                <w:rFonts w:hint="eastAsia" w:ascii="宋体" w:hAnsi="宋体" w:eastAsia="宋体" w:cs="宋体"/>
                <w:color w:val="auto"/>
                <w:sz w:val="20"/>
                <w:szCs w:val="20"/>
                <w:highlight w:val="none"/>
              </w:rPr>
            </w:pPr>
          </w:p>
        </w:tc>
        <w:tc>
          <w:tcPr>
            <w:tcW w:w="1516" w:type="dxa"/>
            <w:noWrap w:val="0"/>
            <w:vAlign w:val="center"/>
          </w:tcPr>
          <w:p w14:paraId="203119A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A02052399其他制冷空调设备</w:t>
            </w:r>
          </w:p>
        </w:tc>
        <w:tc>
          <w:tcPr>
            <w:tcW w:w="1612" w:type="dxa"/>
            <w:noWrap w:val="0"/>
            <w:vAlign w:val="center"/>
          </w:tcPr>
          <w:p w14:paraId="5D6D221C">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冷却塔</w:t>
            </w:r>
          </w:p>
        </w:tc>
        <w:tc>
          <w:tcPr>
            <w:tcW w:w="4335" w:type="dxa"/>
            <w:noWrap w:val="0"/>
            <w:vAlign w:val="center"/>
          </w:tcPr>
          <w:p w14:paraId="2AFD5BC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《机械通风冷却塔第1部分：中小型开式冷却塔》（GB/T7190.1）；《机械通风冷却塔第2部分：大型开式冷却塔》（GB/T7190.2）</w:t>
            </w:r>
          </w:p>
        </w:tc>
      </w:tr>
      <w:tr w14:paraId="06DE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5C4FC9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1116" w:type="dxa"/>
            <w:noWrap w:val="0"/>
            <w:vAlign w:val="center"/>
          </w:tcPr>
          <w:p w14:paraId="48CB92D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A020601电机</w:t>
            </w:r>
          </w:p>
        </w:tc>
        <w:tc>
          <w:tcPr>
            <w:tcW w:w="1516" w:type="dxa"/>
            <w:noWrap w:val="0"/>
            <w:vAlign w:val="center"/>
          </w:tcPr>
          <w:p w14:paraId="0CD216D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5474CA5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023B124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《中小型三相异步电动机能效限定值及能效等级》（GB18613）</w:t>
            </w:r>
          </w:p>
        </w:tc>
      </w:tr>
      <w:tr w14:paraId="0687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1AF74FF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1116" w:type="dxa"/>
            <w:noWrap w:val="0"/>
            <w:vAlign w:val="center"/>
          </w:tcPr>
          <w:p w14:paraId="0B5D395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A020602变压器</w:t>
            </w:r>
          </w:p>
        </w:tc>
        <w:tc>
          <w:tcPr>
            <w:tcW w:w="1516" w:type="dxa"/>
            <w:noWrap w:val="0"/>
            <w:vAlign w:val="center"/>
          </w:tcPr>
          <w:p w14:paraId="2E07486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配电变压器</w:t>
            </w:r>
          </w:p>
        </w:tc>
        <w:tc>
          <w:tcPr>
            <w:tcW w:w="1612" w:type="dxa"/>
            <w:noWrap w:val="0"/>
            <w:vAlign w:val="center"/>
          </w:tcPr>
          <w:p w14:paraId="6523EFB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2B0B7F98">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《三相配电变压器能效限定值及能效等级》（GB20052）</w:t>
            </w:r>
          </w:p>
        </w:tc>
      </w:tr>
      <w:tr w14:paraId="3C09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08939AF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1116" w:type="dxa"/>
            <w:noWrap w:val="0"/>
            <w:vAlign w:val="center"/>
          </w:tcPr>
          <w:p w14:paraId="5512D90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★A020609镇流器</w:t>
            </w:r>
          </w:p>
        </w:tc>
        <w:tc>
          <w:tcPr>
            <w:tcW w:w="1516" w:type="dxa"/>
            <w:noWrap w:val="0"/>
            <w:vAlign w:val="center"/>
          </w:tcPr>
          <w:p w14:paraId="6B4B087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管型荧光灯镇流器</w:t>
            </w:r>
          </w:p>
        </w:tc>
        <w:tc>
          <w:tcPr>
            <w:tcW w:w="1612" w:type="dxa"/>
            <w:noWrap w:val="0"/>
            <w:vAlign w:val="center"/>
          </w:tcPr>
          <w:p w14:paraId="5C000A7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20C55BC7">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《管形荧光灯镇流器能效限定值及能效等级》（GB17896）</w:t>
            </w:r>
          </w:p>
        </w:tc>
      </w:tr>
      <w:tr w14:paraId="75CF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3C53DA0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1116" w:type="dxa"/>
            <w:vMerge w:val="restart"/>
            <w:noWrap w:val="0"/>
            <w:vAlign w:val="center"/>
          </w:tcPr>
          <w:p w14:paraId="2F0EAD2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A020618生活用电器</w:t>
            </w:r>
          </w:p>
        </w:tc>
        <w:tc>
          <w:tcPr>
            <w:tcW w:w="1516" w:type="dxa"/>
            <w:noWrap w:val="0"/>
            <w:vAlign w:val="center"/>
          </w:tcPr>
          <w:p w14:paraId="543F98E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A0206180101电冰箱</w:t>
            </w:r>
          </w:p>
        </w:tc>
        <w:tc>
          <w:tcPr>
            <w:tcW w:w="1612" w:type="dxa"/>
            <w:noWrap w:val="0"/>
            <w:vAlign w:val="center"/>
          </w:tcPr>
          <w:p w14:paraId="7AC0516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3B0BC5C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《家用电冰箱耗电量限定值及能效等级》（GB 12021.2）</w:t>
            </w:r>
          </w:p>
        </w:tc>
      </w:tr>
      <w:tr w14:paraId="0D9C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72D5540C">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2838474C">
            <w:pPr>
              <w:widowControl/>
              <w:jc w:val="left"/>
              <w:rPr>
                <w:rFonts w:hint="eastAsia" w:ascii="宋体" w:hAnsi="宋体" w:eastAsia="宋体" w:cs="宋体"/>
                <w:color w:val="auto"/>
                <w:sz w:val="20"/>
                <w:szCs w:val="20"/>
                <w:highlight w:val="none"/>
              </w:rPr>
            </w:pPr>
          </w:p>
        </w:tc>
        <w:tc>
          <w:tcPr>
            <w:tcW w:w="1516" w:type="dxa"/>
            <w:vMerge w:val="restart"/>
            <w:noWrap w:val="0"/>
            <w:vAlign w:val="center"/>
          </w:tcPr>
          <w:p w14:paraId="53AF3AA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★A0206180203空调机</w:t>
            </w:r>
          </w:p>
        </w:tc>
        <w:tc>
          <w:tcPr>
            <w:tcW w:w="1612" w:type="dxa"/>
            <w:noWrap w:val="0"/>
            <w:vAlign w:val="center"/>
          </w:tcPr>
          <w:p w14:paraId="24BAE2A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房间空气调节器</w:t>
            </w:r>
          </w:p>
        </w:tc>
        <w:tc>
          <w:tcPr>
            <w:tcW w:w="4335" w:type="dxa"/>
            <w:noWrap w:val="0"/>
            <w:vAlign w:val="center"/>
          </w:tcPr>
          <w:p w14:paraId="05E7416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《转速可控型房间空气调节器能效限定值及能效等级》（GB21455-2013），待2019年修订发布后，按《房间空气调节器能效限定值及能效等级》（GB21455-2019实施。</w:t>
            </w:r>
          </w:p>
        </w:tc>
      </w:tr>
      <w:tr w14:paraId="44FA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68B83540">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7A719051">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442DD277">
            <w:pPr>
              <w:widowControl/>
              <w:jc w:val="left"/>
              <w:rPr>
                <w:rFonts w:hint="eastAsia" w:ascii="宋体" w:hAnsi="宋体" w:eastAsia="宋体" w:cs="宋体"/>
                <w:color w:val="auto"/>
                <w:sz w:val="20"/>
                <w:szCs w:val="20"/>
                <w:highlight w:val="none"/>
              </w:rPr>
            </w:pPr>
          </w:p>
        </w:tc>
        <w:tc>
          <w:tcPr>
            <w:tcW w:w="1612" w:type="dxa"/>
            <w:noWrap w:val="0"/>
            <w:vAlign w:val="center"/>
          </w:tcPr>
          <w:p w14:paraId="32CDB19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多联式空调（热泵）机组（制冷量≤ 14000W）</w:t>
            </w:r>
          </w:p>
        </w:tc>
        <w:tc>
          <w:tcPr>
            <w:tcW w:w="4335" w:type="dxa"/>
            <w:noWrap w:val="0"/>
            <w:vAlign w:val="center"/>
          </w:tcPr>
          <w:p w14:paraId="54E22889">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《多联式空调（热泵）机组能效限定值及能源效率等级》（GB21454）</w:t>
            </w:r>
          </w:p>
        </w:tc>
      </w:tr>
      <w:tr w14:paraId="4BD2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70453212">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9F6F4E2">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50949D9B">
            <w:pPr>
              <w:widowControl/>
              <w:jc w:val="left"/>
              <w:rPr>
                <w:rFonts w:hint="eastAsia" w:ascii="宋体" w:hAnsi="宋体" w:eastAsia="宋体" w:cs="宋体"/>
                <w:color w:val="auto"/>
                <w:sz w:val="20"/>
                <w:szCs w:val="20"/>
                <w:highlight w:val="none"/>
              </w:rPr>
            </w:pPr>
          </w:p>
        </w:tc>
        <w:tc>
          <w:tcPr>
            <w:tcW w:w="1612" w:type="dxa"/>
            <w:noWrap w:val="0"/>
            <w:vAlign w:val="center"/>
          </w:tcPr>
          <w:p w14:paraId="41E6749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单元式空气调节机(制冷量≤14000W)</w:t>
            </w:r>
          </w:p>
        </w:tc>
        <w:tc>
          <w:tcPr>
            <w:tcW w:w="4335" w:type="dxa"/>
            <w:noWrap w:val="0"/>
            <w:vAlign w:val="center"/>
          </w:tcPr>
          <w:p w14:paraId="5E35A1F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《单元式空气调节机能效限定值及能源效率等级》（GB19576）《风管送风式空调机组能效限定值及能效等级》（GB37479）</w:t>
            </w:r>
          </w:p>
        </w:tc>
      </w:tr>
      <w:tr w14:paraId="4133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46723AC5">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1EB74696">
            <w:pPr>
              <w:widowControl/>
              <w:jc w:val="left"/>
              <w:rPr>
                <w:rFonts w:hint="eastAsia" w:ascii="宋体" w:hAnsi="宋体" w:eastAsia="宋体" w:cs="宋体"/>
                <w:color w:val="auto"/>
                <w:sz w:val="20"/>
                <w:szCs w:val="20"/>
                <w:highlight w:val="none"/>
              </w:rPr>
            </w:pPr>
          </w:p>
        </w:tc>
        <w:tc>
          <w:tcPr>
            <w:tcW w:w="1516" w:type="dxa"/>
            <w:noWrap w:val="0"/>
            <w:vAlign w:val="center"/>
          </w:tcPr>
          <w:p w14:paraId="4C33B71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A0206180301洗衣机</w:t>
            </w:r>
          </w:p>
        </w:tc>
        <w:tc>
          <w:tcPr>
            <w:tcW w:w="1612" w:type="dxa"/>
            <w:noWrap w:val="0"/>
            <w:vAlign w:val="center"/>
          </w:tcPr>
          <w:p w14:paraId="481D61C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3E3DC2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《电动洗衣机能效水效限定值及等级》（GB12021.4）</w:t>
            </w:r>
          </w:p>
        </w:tc>
      </w:tr>
      <w:tr w14:paraId="4908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2FFB0320">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34806194">
            <w:pPr>
              <w:widowControl/>
              <w:jc w:val="left"/>
              <w:rPr>
                <w:rFonts w:hint="eastAsia" w:ascii="宋体" w:hAnsi="宋体" w:eastAsia="宋体" w:cs="宋体"/>
                <w:color w:val="auto"/>
                <w:sz w:val="20"/>
                <w:szCs w:val="20"/>
                <w:highlight w:val="none"/>
              </w:rPr>
            </w:pPr>
          </w:p>
        </w:tc>
        <w:tc>
          <w:tcPr>
            <w:tcW w:w="1516" w:type="dxa"/>
            <w:vMerge w:val="restart"/>
            <w:noWrap w:val="0"/>
            <w:vAlign w:val="center"/>
          </w:tcPr>
          <w:p w14:paraId="01EB262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A02061808热水器</w:t>
            </w:r>
          </w:p>
        </w:tc>
        <w:tc>
          <w:tcPr>
            <w:tcW w:w="1612" w:type="dxa"/>
            <w:noWrap w:val="0"/>
            <w:vAlign w:val="center"/>
          </w:tcPr>
          <w:p w14:paraId="4C9CE14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★电热水器</w:t>
            </w:r>
          </w:p>
        </w:tc>
        <w:tc>
          <w:tcPr>
            <w:tcW w:w="4335" w:type="dxa"/>
            <w:noWrap w:val="0"/>
            <w:vAlign w:val="center"/>
          </w:tcPr>
          <w:p w14:paraId="47FB6E4C">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《储水式电热水器能效限定值及能效等级》（GB21519）</w:t>
            </w:r>
          </w:p>
        </w:tc>
      </w:tr>
      <w:tr w14:paraId="3291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F590AE4">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B7ABC7A">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A73B52A">
            <w:pPr>
              <w:widowControl/>
              <w:jc w:val="left"/>
              <w:rPr>
                <w:rFonts w:hint="eastAsia" w:ascii="宋体" w:hAnsi="宋体" w:eastAsia="宋体" w:cs="宋体"/>
                <w:color w:val="auto"/>
                <w:sz w:val="20"/>
                <w:szCs w:val="20"/>
                <w:highlight w:val="none"/>
              </w:rPr>
            </w:pPr>
          </w:p>
        </w:tc>
        <w:tc>
          <w:tcPr>
            <w:tcW w:w="1612" w:type="dxa"/>
            <w:noWrap w:val="0"/>
            <w:vAlign w:val="center"/>
          </w:tcPr>
          <w:p w14:paraId="1394715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燃气热水器</w:t>
            </w:r>
          </w:p>
        </w:tc>
        <w:tc>
          <w:tcPr>
            <w:tcW w:w="4335" w:type="dxa"/>
            <w:noWrap w:val="0"/>
            <w:vAlign w:val="center"/>
          </w:tcPr>
          <w:p w14:paraId="7B6BFE0C">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《家用燃气快速热水器和燃气采暖热水炉能效限定值及能效等级》（GB20665）</w:t>
            </w:r>
          </w:p>
        </w:tc>
      </w:tr>
      <w:tr w14:paraId="2E69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6943AC75">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26E89C60">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6001A478">
            <w:pPr>
              <w:widowControl/>
              <w:jc w:val="left"/>
              <w:rPr>
                <w:rFonts w:hint="eastAsia" w:ascii="宋体" w:hAnsi="宋体" w:eastAsia="宋体" w:cs="宋体"/>
                <w:color w:val="auto"/>
                <w:sz w:val="20"/>
                <w:szCs w:val="20"/>
                <w:highlight w:val="none"/>
              </w:rPr>
            </w:pPr>
          </w:p>
        </w:tc>
        <w:tc>
          <w:tcPr>
            <w:tcW w:w="1612" w:type="dxa"/>
            <w:noWrap w:val="0"/>
            <w:vAlign w:val="center"/>
          </w:tcPr>
          <w:p w14:paraId="1F332A3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热泵热水器</w:t>
            </w:r>
          </w:p>
        </w:tc>
        <w:tc>
          <w:tcPr>
            <w:tcW w:w="4335" w:type="dxa"/>
            <w:noWrap w:val="0"/>
            <w:vAlign w:val="center"/>
          </w:tcPr>
          <w:p w14:paraId="61889A8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《热泵热水机（器）能效限定值及能效等级》（GB29541）</w:t>
            </w:r>
          </w:p>
        </w:tc>
      </w:tr>
      <w:tr w14:paraId="21F6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3FF8F78">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1434F4D2">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1AADE4A">
            <w:pPr>
              <w:widowControl/>
              <w:jc w:val="left"/>
              <w:rPr>
                <w:rFonts w:hint="eastAsia" w:ascii="宋体" w:hAnsi="宋体" w:eastAsia="宋体" w:cs="宋体"/>
                <w:color w:val="auto"/>
                <w:sz w:val="20"/>
                <w:szCs w:val="20"/>
                <w:highlight w:val="none"/>
              </w:rPr>
            </w:pPr>
          </w:p>
        </w:tc>
        <w:tc>
          <w:tcPr>
            <w:tcW w:w="1612" w:type="dxa"/>
            <w:noWrap w:val="0"/>
            <w:vAlign w:val="center"/>
          </w:tcPr>
          <w:p w14:paraId="3A4CAC7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太阳能热水系统</w:t>
            </w:r>
          </w:p>
        </w:tc>
        <w:tc>
          <w:tcPr>
            <w:tcW w:w="4335" w:type="dxa"/>
            <w:noWrap w:val="0"/>
            <w:vAlign w:val="center"/>
          </w:tcPr>
          <w:p w14:paraId="14A094EB">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《家用太阳能热水系统能效限定值及能效等级》（GB26969）</w:t>
            </w:r>
          </w:p>
        </w:tc>
      </w:tr>
      <w:tr w14:paraId="7A37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2485208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1116" w:type="dxa"/>
            <w:vMerge w:val="restart"/>
            <w:noWrap w:val="0"/>
            <w:vAlign w:val="center"/>
          </w:tcPr>
          <w:p w14:paraId="75DBB3E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A020619照明设备</w:t>
            </w:r>
          </w:p>
        </w:tc>
        <w:tc>
          <w:tcPr>
            <w:tcW w:w="1516" w:type="dxa"/>
            <w:noWrap w:val="0"/>
            <w:vAlign w:val="center"/>
          </w:tcPr>
          <w:p w14:paraId="20ACF90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★普通照明用双端荧光灯</w:t>
            </w:r>
          </w:p>
        </w:tc>
        <w:tc>
          <w:tcPr>
            <w:tcW w:w="1612" w:type="dxa"/>
            <w:noWrap w:val="0"/>
            <w:vAlign w:val="center"/>
          </w:tcPr>
          <w:p w14:paraId="2251AF9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A493A98">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《普通照明用双端荧光灯能效限定值及能效等级》（GB19043）</w:t>
            </w:r>
          </w:p>
        </w:tc>
      </w:tr>
      <w:tr w14:paraId="62B7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2B0D512A">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7747245F">
            <w:pPr>
              <w:widowControl/>
              <w:jc w:val="left"/>
              <w:rPr>
                <w:rFonts w:hint="eastAsia" w:ascii="宋体" w:hAnsi="宋体" w:eastAsia="宋体" w:cs="宋体"/>
                <w:color w:val="auto"/>
                <w:sz w:val="20"/>
                <w:szCs w:val="20"/>
                <w:highlight w:val="none"/>
              </w:rPr>
            </w:pPr>
          </w:p>
        </w:tc>
        <w:tc>
          <w:tcPr>
            <w:tcW w:w="1516" w:type="dxa"/>
            <w:noWrap w:val="0"/>
            <w:vAlign w:val="center"/>
          </w:tcPr>
          <w:p w14:paraId="61B32A8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LED道路/隧道照明产品</w:t>
            </w:r>
          </w:p>
        </w:tc>
        <w:tc>
          <w:tcPr>
            <w:tcW w:w="1612" w:type="dxa"/>
            <w:noWrap w:val="0"/>
            <w:vAlign w:val="center"/>
          </w:tcPr>
          <w:p w14:paraId="0BEADE0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FD2983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《道路和隧道照明用LED灯具能效限定值及能效等级》（GB37478）</w:t>
            </w:r>
          </w:p>
        </w:tc>
      </w:tr>
      <w:tr w14:paraId="52BF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8FE5A84">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F59F918">
            <w:pPr>
              <w:widowControl/>
              <w:jc w:val="left"/>
              <w:rPr>
                <w:rFonts w:hint="eastAsia" w:ascii="宋体" w:hAnsi="宋体" w:eastAsia="宋体" w:cs="宋体"/>
                <w:color w:val="auto"/>
                <w:sz w:val="20"/>
                <w:szCs w:val="20"/>
                <w:highlight w:val="none"/>
              </w:rPr>
            </w:pPr>
          </w:p>
        </w:tc>
        <w:tc>
          <w:tcPr>
            <w:tcW w:w="1516" w:type="dxa"/>
            <w:noWrap w:val="0"/>
            <w:vAlign w:val="center"/>
          </w:tcPr>
          <w:p w14:paraId="25D388E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LED筒灯</w:t>
            </w:r>
          </w:p>
        </w:tc>
        <w:tc>
          <w:tcPr>
            <w:tcW w:w="1612" w:type="dxa"/>
            <w:noWrap w:val="0"/>
            <w:vAlign w:val="center"/>
          </w:tcPr>
          <w:p w14:paraId="3517FB8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50AE807D">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《室内照明用LED产品能效限定值及能效等级》（GB30255）</w:t>
            </w:r>
          </w:p>
        </w:tc>
      </w:tr>
      <w:tr w14:paraId="4D1A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3F08D117">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2A8A23C9">
            <w:pPr>
              <w:widowControl/>
              <w:jc w:val="left"/>
              <w:rPr>
                <w:rFonts w:hint="eastAsia" w:ascii="宋体" w:hAnsi="宋体" w:eastAsia="宋体" w:cs="宋体"/>
                <w:color w:val="auto"/>
                <w:sz w:val="20"/>
                <w:szCs w:val="20"/>
                <w:highlight w:val="none"/>
              </w:rPr>
            </w:pPr>
          </w:p>
        </w:tc>
        <w:tc>
          <w:tcPr>
            <w:tcW w:w="1516" w:type="dxa"/>
            <w:noWrap w:val="0"/>
            <w:vAlign w:val="center"/>
          </w:tcPr>
          <w:p w14:paraId="6857853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普通照明用非定向自镇流LED灯</w:t>
            </w:r>
          </w:p>
        </w:tc>
        <w:tc>
          <w:tcPr>
            <w:tcW w:w="1612" w:type="dxa"/>
            <w:noWrap w:val="0"/>
            <w:vAlign w:val="center"/>
          </w:tcPr>
          <w:p w14:paraId="5D9B807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33D8D03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《室内照明用LED产品能效限定值及能效等级》（GB30255）</w:t>
            </w:r>
          </w:p>
        </w:tc>
      </w:tr>
      <w:tr w14:paraId="6615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noWrap w:val="0"/>
            <w:vAlign w:val="center"/>
          </w:tcPr>
          <w:p w14:paraId="2B54E63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1116" w:type="dxa"/>
            <w:noWrap w:val="0"/>
            <w:vAlign w:val="center"/>
          </w:tcPr>
          <w:p w14:paraId="5721BD0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★A020910电视设备</w:t>
            </w:r>
          </w:p>
        </w:tc>
        <w:tc>
          <w:tcPr>
            <w:tcW w:w="1516" w:type="dxa"/>
            <w:noWrap w:val="0"/>
            <w:vAlign w:val="center"/>
          </w:tcPr>
          <w:p w14:paraId="2158EF0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A02091001普通电视设备（电视机）</w:t>
            </w:r>
          </w:p>
        </w:tc>
        <w:tc>
          <w:tcPr>
            <w:tcW w:w="1612" w:type="dxa"/>
            <w:noWrap w:val="0"/>
            <w:vAlign w:val="center"/>
          </w:tcPr>
          <w:p w14:paraId="7557A54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19A4D80">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《平板电视能效限定值及能效等级》（GB24850）</w:t>
            </w:r>
          </w:p>
        </w:tc>
      </w:tr>
      <w:tr w14:paraId="1049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noWrap w:val="0"/>
            <w:vAlign w:val="center"/>
          </w:tcPr>
          <w:p w14:paraId="398AF7D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1116" w:type="dxa"/>
            <w:noWrap w:val="0"/>
            <w:vAlign w:val="center"/>
          </w:tcPr>
          <w:p w14:paraId="0AE9F21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★A020911视频设备</w:t>
            </w:r>
          </w:p>
        </w:tc>
        <w:tc>
          <w:tcPr>
            <w:tcW w:w="1516" w:type="dxa"/>
            <w:noWrap w:val="0"/>
            <w:vAlign w:val="center"/>
          </w:tcPr>
          <w:p w14:paraId="5E3A69B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A02091107视频监控设备</w:t>
            </w:r>
          </w:p>
        </w:tc>
        <w:tc>
          <w:tcPr>
            <w:tcW w:w="1612" w:type="dxa"/>
            <w:noWrap w:val="0"/>
            <w:vAlign w:val="center"/>
          </w:tcPr>
          <w:p w14:paraId="4D7935B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监视器</w:t>
            </w:r>
          </w:p>
        </w:tc>
        <w:tc>
          <w:tcPr>
            <w:tcW w:w="4335" w:type="dxa"/>
            <w:noWrap w:val="0"/>
            <w:vAlign w:val="center"/>
          </w:tcPr>
          <w:p w14:paraId="3CF12A9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15D6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5EE6B3C">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1116" w:type="dxa"/>
            <w:noWrap w:val="0"/>
            <w:vAlign w:val="center"/>
          </w:tcPr>
          <w:p w14:paraId="68BBB2A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A031210饮食炊事机械</w:t>
            </w:r>
          </w:p>
        </w:tc>
        <w:tc>
          <w:tcPr>
            <w:tcW w:w="1516" w:type="dxa"/>
            <w:noWrap w:val="0"/>
            <w:vAlign w:val="center"/>
          </w:tcPr>
          <w:p w14:paraId="3DB5D41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商用燃气灶具</w:t>
            </w:r>
          </w:p>
        </w:tc>
        <w:tc>
          <w:tcPr>
            <w:tcW w:w="1612" w:type="dxa"/>
            <w:noWrap w:val="0"/>
            <w:vAlign w:val="center"/>
          </w:tcPr>
          <w:p w14:paraId="20425FC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07A15EB3">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《商用燃气灶具能效限定值及能效等级》（GB30531）</w:t>
            </w:r>
          </w:p>
        </w:tc>
      </w:tr>
      <w:tr w14:paraId="589C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noWrap w:val="0"/>
            <w:vAlign w:val="center"/>
          </w:tcPr>
          <w:p w14:paraId="1E81BF6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1116" w:type="dxa"/>
            <w:vMerge w:val="restart"/>
            <w:noWrap w:val="0"/>
            <w:vAlign w:val="center"/>
          </w:tcPr>
          <w:p w14:paraId="227A984C">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★A060805便器</w:t>
            </w:r>
          </w:p>
        </w:tc>
        <w:tc>
          <w:tcPr>
            <w:tcW w:w="1516" w:type="dxa"/>
            <w:noWrap w:val="0"/>
            <w:vAlign w:val="center"/>
          </w:tcPr>
          <w:p w14:paraId="1A4EC04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坐便器</w:t>
            </w:r>
          </w:p>
        </w:tc>
        <w:tc>
          <w:tcPr>
            <w:tcW w:w="1612" w:type="dxa"/>
            <w:noWrap w:val="0"/>
            <w:vAlign w:val="center"/>
          </w:tcPr>
          <w:p w14:paraId="50B0154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41B10D69">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《坐便器水效限定值及水效等级》（GB25502）</w:t>
            </w:r>
          </w:p>
        </w:tc>
      </w:tr>
      <w:tr w14:paraId="5102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7EA97F1">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3ABEF261">
            <w:pPr>
              <w:widowControl/>
              <w:jc w:val="left"/>
              <w:rPr>
                <w:rFonts w:hint="eastAsia" w:ascii="宋体" w:hAnsi="宋体" w:eastAsia="宋体" w:cs="宋体"/>
                <w:color w:val="auto"/>
                <w:sz w:val="20"/>
                <w:szCs w:val="20"/>
                <w:highlight w:val="none"/>
              </w:rPr>
            </w:pPr>
          </w:p>
        </w:tc>
        <w:tc>
          <w:tcPr>
            <w:tcW w:w="1516" w:type="dxa"/>
            <w:noWrap w:val="0"/>
            <w:vAlign w:val="center"/>
          </w:tcPr>
          <w:p w14:paraId="664FD43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蹲便器</w:t>
            </w:r>
          </w:p>
        </w:tc>
        <w:tc>
          <w:tcPr>
            <w:tcW w:w="1612" w:type="dxa"/>
            <w:noWrap w:val="0"/>
            <w:vAlign w:val="center"/>
          </w:tcPr>
          <w:p w14:paraId="28D1C21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5CC82166">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《蹲便器用水效率限定值及用水效率等级》（GB30717）</w:t>
            </w:r>
          </w:p>
        </w:tc>
      </w:tr>
      <w:tr w14:paraId="0E09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593CE84">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8DC5565">
            <w:pPr>
              <w:widowControl/>
              <w:jc w:val="left"/>
              <w:rPr>
                <w:rFonts w:hint="eastAsia" w:ascii="宋体" w:hAnsi="宋体" w:eastAsia="宋体" w:cs="宋体"/>
                <w:color w:val="auto"/>
                <w:sz w:val="20"/>
                <w:szCs w:val="20"/>
                <w:highlight w:val="none"/>
              </w:rPr>
            </w:pPr>
          </w:p>
        </w:tc>
        <w:tc>
          <w:tcPr>
            <w:tcW w:w="1516" w:type="dxa"/>
            <w:noWrap w:val="0"/>
            <w:vAlign w:val="center"/>
          </w:tcPr>
          <w:p w14:paraId="402666D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小便器</w:t>
            </w:r>
          </w:p>
        </w:tc>
        <w:tc>
          <w:tcPr>
            <w:tcW w:w="1612" w:type="dxa"/>
            <w:noWrap w:val="0"/>
            <w:vAlign w:val="center"/>
          </w:tcPr>
          <w:p w14:paraId="478F73C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54EEBA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《小便器用水效率限定值及用水效率等级》（GB28377）</w:t>
            </w:r>
          </w:p>
        </w:tc>
      </w:tr>
      <w:tr w14:paraId="4571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286025A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1116" w:type="dxa"/>
            <w:noWrap w:val="0"/>
            <w:vAlign w:val="center"/>
          </w:tcPr>
          <w:p w14:paraId="272BF83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★A060806水嘴</w:t>
            </w:r>
          </w:p>
        </w:tc>
        <w:tc>
          <w:tcPr>
            <w:tcW w:w="1516" w:type="dxa"/>
            <w:noWrap w:val="0"/>
            <w:vAlign w:val="center"/>
          </w:tcPr>
          <w:p w14:paraId="450CBDE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1FEF55E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F4CB503">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《水嘴用水效率限定值及用水效率等级》（GB 25501）</w:t>
            </w:r>
          </w:p>
        </w:tc>
      </w:tr>
      <w:tr w14:paraId="5E5E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69C2C2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1116" w:type="dxa"/>
            <w:noWrap w:val="0"/>
            <w:vAlign w:val="center"/>
          </w:tcPr>
          <w:p w14:paraId="5BE25F1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A060807便器冲洗阀</w:t>
            </w:r>
          </w:p>
        </w:tc>
        <w:tc>
          <w:tcPr>
            <w:tcW w:w="1516" w:type="dxa"/>
            <w:noWrap w:val="0"/>
            <w:vAlign w:val="center"/>
          </w:tcPr>
          <w:p w14:paraId="63B98A8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69CA7AA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5950E2F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《便器冲洗阀用水效率限定值及用水效率等级》（GB28379）</w:t>
            </w:r>
          </w:p>
        </w:tc>
      </w:tr>
      <w:tr w14:paraId="4CBF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6C0CF14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1116" w:type="dxa"/>
            <w:noWrap w:val="0"/>
            <w:vAlign w:val="center"/>
          </w:tcPr>
          <w:p w14:paraId="176573F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A060810淋浴器</w:t>
            </w:r>
          </w:p>
        </w:tc>
        <w:tc>
          <w:tcPr>
            <w:tcW w:w="1516" w:type="dxa"/>
            <w:noWrap w:val="0"/>
            <w:vAlign w:val="center"/>
          </w:tcPr>
          <w:p w14:paraId="56EBBBE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1C891CA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B3FE3C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《淋浴器用水效率限定值及用水效率等级》（GB28378）</w:t>
            </w:r>
          </w:p>
        </w:tc>
      </w:tr>
    </w:tbl>
    <w:p w14:paraId="0E87FD10">
      <w:pPr>
        <w:spacing w:after="120" w:line="360" w:lineRule="auto"/>
        <w:rPr>
          <w:rFonts w:hint="eastAsia" w:ascii="宋体" w:hAnsi="宋体" w:eastAsia="宋体" w:cs="宋体"/>
          <w:color w:val="auto"/>
          <w:spacing w:val="-3"/>
          <w:szCs w:val="21"/>
          <w:highlight w:val="none"/>
        </w:rPr>
      </w:pPr>
    </w:p>
    <w:p w14:paraId="1C4A8CDB">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6EEC39EC">
      <w:pPr>
        <w:spacing w:after="120"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34E1DF42">
      <w:pPr>
        <w:spacing w:line="428" w:lineRule="exact"/>
        <w:rPr>
          <w:rFonts w:hint="eastAsia" w:ascii="宋体" w:hAnsi="宋体" w:eastAsia="宋体" w:cs="宋体"/>
          <w:color w:val="auto"/>
          <w:sz w:val="32"/>
          <w:szCs w:val="32"/>
          <w:highlight w:val="none"/>
        </w:rPr>
      </w:pPr>
    </w:p>
    <w:p w14:paraId="698846F7">
      <w:pPr>
        <w:spacing w:line="428" w:lineRule="exact"/>
        <w:rPr>
          <w:rFonts w:hint="eastAsia" w:ascii="宋体" w:hAnsi="宋体" w:eastAsia="宋体" w:cs="宋体"/>
          <w:color w:val="auto"/>
          <w:sz w:val="32"/>
          <w:szCs w:val="32"/>
          <w:highlight w:val="none"/>
        </w:rPr>
      </w:pPr>
    </w:p>
    <w:p w14:paraId="3E884AB1">
      <w:pPr>
        <w:spacing w:line="428" w:lineRule="exact"/>
        <w:rPr>
          <w:rFonts w:hint="eastAsia" w:ascii="宋体" w:hAnsi="宋体" w:eastAsia="宋体" w:cs="宋体"/>
          <w:color w:val="auto"/>
          <w:sz w:val="32"/>
          <w:szCs w:val="32"/>
          <w:highlight w:val="none"/>
        </w:rPr>
      </w:pPr>
    </w:p>
    <w:p w14:paraId="02A020EA">
      <w:pPr>
        <w:spacing w:line="428" w:lineRule="exact"/>
        <w:rPr>
          <w:rFonts w:hint="eastAsia" w:ascii="宋体" w:hAnsi="宋体" w:eastAsia="宋体" w:cs="宋体"/>
          <w:color w:val="auto"/>
          <w:sz w:val="32"/>
          <w:szCs w:val="32"/>
          <w:highlight w:val="none"/>
        </w:rPr>
      </w:pPr>
    </w:p>
    <w:p w14:paraId="5B2789FF">
      <w:pPr>
        <w:spacing w:line="428" w:lineRule="exact"/>
        <w:rPr>
          <w:rFonts w:hint="eastAsia" w:ascii="宋体" w:hAnsi="宋体" w:eastAsia="宋体" w:cs="宋体"/>
          <w:color w:val="auto"/>
          <w:sz w:val="32"/>
          <w:szCs w:val="32"/>
          <w:highlight w:val="none"/>
        </w:rPr>
      </w:pPr>
    </w:p>
    <w:p w14:paraId="6008FE82">
      <w:pPr>
        <w:spacing w:line="428" w:lineRule="exact"/>
        <w:rPr>
          <w:rFonts w:hint="eastAsia" w:ascii="宋体" w:hAnsi="宋体" w:eastAsia="宋体" w:cs="宋体"/>
          <w:color w:val="auto"/>
          <w:sz w:val="32"/>
          <w:szCs w:val="32"/>
          <w:highlight w:val="none"/>
        </w:rPr>
      </w:pPr>
    </w:p>
    <w:p w14:paraId="3E90DBCB">
      <w:pPr>
        <w:spacing w:line="428" w:lineRule="exact"/>
        <w:rPr>
          <w:rFonts w:hint="eastAsia" w:ascii="宋体" w:hAnsi="宋体" w:eastAsia="宋体" w:cs="宋体"/>
          <w:color w:val="auto"/>
          <w:sz w:val="32"/>
          <w:szCs w:val="32"/>
          <w:highlight w:val="none"/>
        </w:rPr>
      </w:pPr>
    </w:p>
    <w:p w14:paraId="309C51EF">
      <w:pPr>
        <w:spacing w:line="428" w:lineRule="exact"/>
        <w:rPr>
          <w:rFonts w:hint="eastAsia" w:ascii="宋体" w:hAnsi="宋体" w:eastAsia="宋体" w:cs="宋体"/>
          <w:color w:val="auto"/>
          <w:sz w:val="32"/>
          <w:szCs w:val="32"/>
          <w:highlight w:val="none"/>
        </w:rPr>
      </w:pPr>
    </w:p>
    <w:p w14:paraId="057B3DFE">
      <w:pPr>
        <w:spacing w:line="428" w:lineRule="exact"/>
        <w:rPr>
          <w:rFonts w:hint="eastAsia" w:ascii="宋体" w:hAnsi="宋体" w:eastAsia="宋体" w:cs="宋体"/>
          <w:color w:val="auto"/>
          <w:sz w:val="32"/>
          <w:szCs w:val="32"/>
          <w:highlight w:val="none"/>
        </w:rPr>
      </w:pPr>
    </w:p>
    <w:p w14:paraId="1097B2D6">
      <w:pPr>
        <w:spacing w:line="428" w:lineRule="exact"/>
        <w:rPr>
          <w:rFonts w:hint="eastAsia" w:ascii="宋体" w:hAnsi="宋体" w:eastAsia="宋体" w:cs="宋体"/>
          <w:color w:val="auto"/>
          <w:sz w:val="32"/>
          <w:szCs w:val="32"/>
          <w:highlight w:val="none"/>
        </w:rPr>
      </w:pPr>
    </w:p>
    <w:p w14:paraId="0B968BA9">
      <w:pPr>
        <w:spacing w:line="428" w:lineRule="exact"/>
        <w:rPr>
          <w:rFonts w:hint="eastAsia" w:ascii="宋体" w:hAnsi="宋体" w:eastAsia="宋体" w:cs="宋体"/>
          <w:color w:val="auto"/>
          <w:sz w:val="32"/>
          <w:szCs w:val="32"/>
          <w:highlight w:val="none"/>
        </w:rPr>
      </w:pPr>
    </w:p>
    <w:p w14:paraId="638CAD7B">
      <w:pPr>
        <w:spacing w:line="428" w:lineRule="exact"/>
        <w:rPr>
          <w:rFonts w:hint="eastAsia" w:ascii="宋体" w:hAnsi="宋体" w:eastAsia="宋体" w:cs="宋体"/>
          <w:color w:val="auto"/>
          <w:sz w:val="32"/>
          <w:szCs w:val="32"/>
          <w:highlight w:val="none"/>
        </w:rPr>
      </w:pPr>
    </w:p>
    <w:p w14:paraId="6E088D60">
      <w:pPr>
        <w:spacing w:line="428" w:lineRule="exact"/>
        <w:rPr>
          <w:rFonts w:hint="eastAsia" w:ascii="宋体" w:hAnsi="宋体" w:eastAsia="宋体" w:cs="宋体"/>
          <w:color w:val="auto"/>
          <w:sz w:val="32"/>
          <w:szCs w:val="32"/>
          <w:highlight w:val="none"/>
        </w:rPr>
      </w:pPr>
    </w:p>
    <w:p w14:paraId="42F66E3A">
      <w:pPr>
        <w:spacing w:line="428" w:lineRule="exact"/>
        <w:rPr>
          <w:rFonts w:hint="eastAsia" w:ascii="宋体" w:hAnsi="宋体" w:eastAsia="宋体" w:cs="宋体"/>
          <w:color w:val="auto"/>
          <w:sz w:val="32"/>
          <w:szCs w:val="32"/>
          <w:highlight w:val="none"/>
        </w:rPr>
      </w:pPr>
    </w:p>
    <w:p w14:paraId="7370A9C3">
      <w:pPr>
        <w:spacing w:line="428" w:lineRule="exact"/>
        <w:rPr>
          <w:rFonts w:hint="eastAsia" w:ascii="宋体" w:hAnsi="宋体" w:eastAsia="宋体" w:cs="宋体"/>
          <w:color w:val="auto"/>
          <w:sz w:val="32"/>
          <w:szCs w:val="32"/>
          <w:highlight w:val="none"/>
        </w:rPr>
      </w:pPr>
    </w:p>
    <w:p w14:paraId="29CE356D">
      <w:pPr>
        <w:spacing w:line="428" w:lineRule="exact"/>
        <w:rPr>
          <w:rFonts w:hint="eastAsia" w:ascii="宋体" w:hAnsi="宋体" w:eastAsia="宋体" w:cs="宋体"/>
          <w:color w:val="auto"/>
          <w:sz w:val="32"/>
          <w:szCs w:val="32"/>
          <w:highlight w:val="none"/>
        </w:rPr>
      </w:pPr>
    </w:p>
    <w:p w14:paraId="41075484">
      <w:pPr>
        <w:spacing w:line="428" w:lineRule="exact"/>
        <w:rPr>
          <w:rFonts w:hint="eastAsia" w:ascii="宋体" w:hAnsi="宋体" w:eastAsia="宋体" w:cs="宋体"/>
          <w:color w:val="auto"/>
          <w:sz w:val="32"/>
          <w:szCs w:val="32"/>
          <w:highlight w:val="none"/>
        </w:rPr>
      </w:pPr>
    </w:p>
    <w:p w14:paraId="58D95498">
      <w:pPr>
        <w:spacing w:line="428" w:lineRule="exact"/>
        <w:rPr>
          <w:rFonts w:hint="eastAsia" w:ascii="宋体" w:hAnsi="宋体" w:eastAsia="宋体" w:cs="宋体"/>
          <w:color w:val="auto"/>
          <w:sz w:val="32"/>
          <w:szCs w:val="32"/>
          <w:highlight w:val="none"/>
        </w:rPr>
      </w:pPr>
    </w:p>
    <w:p w14:paraId="3BF62288">
      <w:pPr>
        <w:spacing w:line="428" w:lineRule="exact"/>
        <w:rPr>
          <w:rFonts w:hint="eastAsia" w:ascii="宋体" w:hAnsi="宋体" w:eastAsia="宋体" w:cs="宋体"/>
          <w:color w:val="auto"/>
          <w:sz w:val="32"/>
          <w:szCs w:val="32"/>
          <w:highlight w:val="none"/>
        </w:rPr>
      </w:pPr>
    </w:p>
    <w:p w14:paraId="0FE50C71">
      <w:pPr>
        <w:spacing w:line="428" w:lineRule="exact"/>
        <w:rPr>
          <w:rFonts w:hint="eastAsia" w:ascii="宋体" w:hAnsi="宋体" w:eastAsia="宋体" w:cs="宋体"/>
          <w:color w:val="auto"/>
          <w:sz w:val="32"/>
          <w:szCs w:val="32"/>
          <w:highlight w:val="none"/>
        </w:rPr>
      </w:pPr>
    </w:p>
    <w:p w14:paraId="338BC078">
      <w:pPr>
        <w:spacing w:line="428" w:lineRule="exact"/>
        <w:rPr>
          <w:rFonts w:hint="eastAsia" w:ascii="宋体" w:hAnsi="宋体" w:eastAsia="宋体" w:cs="宋体"/>
          <w:color w:val="auto"/>
          <w:sz w:val="32"/>
          <w:szCs w:val="32"/>
          <w:highlight w:val="none"/>
        </w:rPr>
      </w:pPr>
    </w:p>
    <w:p w14:paraId="65826ED1">
      <w:pPr>
        <w:spacing w:line="428" w:lineRule="exact"/>
        <w:rPr>
          <w:rFonts w:hint="eastAsia" w:ascii="宋体" w:hAnsi="宋体" w:eastAsia="宋体" w:cs="宋体"/>
          <w:color w:val="auto"/>
          <w:sz w:val="32"/>
          <w:szCs w:val="32"/>
          <w:highlight w:val="none"/>
        </w:rPr>
      </w:pPr>
    </w:p>
    <w:p w14:paraId="05EB4FF7">
      <w:pPr>
        <w:spacing w:line="428" w:lineRule="exact"/>
        <w:rPr>
          <w:rFonts w:hint="eastAsia" w:ascii="宋体" w:hAnsi="宋体" w:eastAsia="宋体" w:cs="宋体"/>
          <w:color w:val="auto"/>
          <w:sz w:val="32"/>
          <w:szCs w:val="32"/>
          <w:highlight w:val="none"/>
        </w:rPr>
      </w:pPr>
    </w:p>
    <w:p w14:paraId="747C481B">
      <w:pPr>
        <w:spacing w:line="428" w:lineRule="exact"/>
        <w:rPr>
          <w:rFonts w:hint="eastAsia" w:ascii="宋体" w:hAnsi="宋体" w:eastAsia="宋体" w:cs="宋体"/>
          <w:color w:val="auto"/>
          <w:sz w:val="32"/>
          <w:szCs w:val="32"/>
          <w:highlight w:val="none"/>
        </w:rPr>
      </w:pPr>
    </w:p>
    <w:p w14:paraId="133C29EB">
      <w:pPr>
        <w:spacing w:line="428" w:lineRule="exact"/>
        <w:rPr>
          <w:rFonts w:hint="eastAsia" w:ascii="宋体" w:hAnsi="宋体" w:eastAsia="宋体" w:cs="宋体"/>
          <w:color w:val="auto"/>
          <w:sz w:val="32"/>
          <w:szCs w:val="32"/>
          <w:highlight w:val="none"/>
        </w:rPr>
      </w:pPr>
    </w:p>
    <w:p w14:paraId="6B417DD0">
      <w:pPr>
        <w:spacing w:line="428" w:lineRule="exact"/>
        <w:rPr>
          <w:rFonts w:hint="eastAsia" w:ascii="宋体" w:hAnsi="宋体" w:eastAsia="宋体" w:cs="宋体"/>
          <w:color w:val="auto"/>
          <w:sz w:val="32"/>
          <w:szCs w:val="32"/>
          <w:highlight w:val="none"/>
        </w:rPr>
      </w:pPr>
    </w:p>
    <w:p w14:paraId="51BF14FE">
      <w:pPr>
        <w:spacing w:line="428" w:lineRule="exact"/>
        <w:rPr>
          <w:rFonts w:hint="eastAsia" w:ascii="宋体" w:hAnsi="宋体" w:eastAsia="宋体" w:cs="宋体"/>
          <w:color w:val="auto"/>
          <w:sz w:val="32"/>
          <w:szCs w:val="32"/>
          <w:highlight w:val="none"/>
        </w:rPr>
      </w:pPr>
    </w:p>
    <w:p w14:paraId="37B65AB7">
      <w:pPr>
        <w:spacing w:line="428" w:lineRule="exact"/>
        <w:rPr>
          <w:rFonts w:hint="eastAsia" w:ascii="宋体" w:hAnsi="宋体" w:eastAsia="宋体" w:cs="宋体"/>
          <w:color w:val="auto"/>
          <w:sz w:val="32"/>
          <w:szCs w:val="32"/>
          <w:highlight w:val="none"/>
        </w:rPr>
      </w:pPr>
    </w:p>
    <w:p w14:paraId="4DE4A302">
      <w:pPr>
        <w:spacing w:line="428" w:lineRule="exact"/>
        <w:rPr>
          <w:rFonts w:hint="eastAsia" w:ascii="宋体" w:hAnsi="宋体" w:eastAsia="宋体" w:cs="宋体"/>
          <w:color w:val="auto"/>
          <w:sz w:val="32"/>
          <w:szCs w:val="32"/>
          <w:highlight w:val="none"/>
        </w:rPr>
      </w:pPr>
    </w:p>
    <w:p w14:paraId="0CC29C9D">
      <w:pPr>
        <w:spacing w:line="428" w:lineRule="exact"/>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2</w:t>
      </w:r>
    </w:p>
    <w:p w14:paraId="085CA9E6">
      <w:pPr>
        <w:widowControl/>
        <w:spacing w:before="156" w:after="156" w:line="280" w:lineRule="exact"/>
        <w:jc w:val="center"/>
        <w:rPr>
          <w:rFonts w:hint="eastAsia" w:ascii="宋体" w:hAnsi="宋体" w:eastAsia="宋体" w:cs="宋体"/>
          <w:b/>
          <w:bCs/>
          <w:color w:val="auto"/>
          <w:sz w:val="30"/>
          <w:szCs w:val="30"/>
          <w:highlight w:val="none"/>
        </w:rPr>
      </w:pPr>
      <w:bookmarkStart w:id="49" w:name="_Toc28361_WPSOffice_Level2"/>
      <w:bookmarkStart w:id="50" w:name="_Toc20724"/>
      <w:bookmarkStart w:id="51" w:name="_Toc80205922"/>
      <w:r>
        <w:rPr>
          <w:rFonts w:hint="eastAsia" w:ascii="宋体" w:hAnsi="宋体" w:eastAsia="宋体" w:cs="宋体"/>
          <w:b/>
          <w:bCs/>
          <w:color w:val="auto"/>
          <w:sz w:val="30"/>
          <w:szCs w:val="30"/>
          <w:highlight w:val="none"/>
        </w:rPr>
        <w:t>统计上大中小微型企业划分标准</w:t>
      </w:r>
      <w:bookmarkEnd w:id="49"/>
    </w:p>
    <w:tbl>
      <w:tblPr>
        <w:tblStyle w:val="45"/>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222E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58D9EF2E">
            <w:pPr>
              <w:widowControl/>
              <w:spacing w:line="280" w:lineRule="exact"/>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行业名称</w:t>
            </w:r>
          </w:p>
        </w:tc>
        <w:tc>
          <w:tcPr>
            <w:tcW w:w="1369" w:type="dxa"/>
            <w:shd w:val="clear" w:color="auto" w:fill="8DB3E2"/>
            <w:noWrap w:val="0"/>
            <w:vAlign w:val="center"/>
          </w:tcPr>
          <w:p w14:paraId="0F94579A">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指标名称</w:t>
            </w:r>
          </w:p>
        </w:tc>
        <w:tc>
          <w:tcPr>
            <w:tcW w:w="709" w:type="dxa"/>
            <w:shd w:val="clear" w:color="auto" w:fill="8DB3E2"/>
            <w:noWrap w:val="0"/>
            <w:vAlign w:val="center"/>
          </w:tcPr>
          <w:p w14:paraId="6874C7C2">
            <w:pPr>
              <w:widowControl/>
              <w:spacing w:line="280" w:lineRule="exact"/>
              <w:jc w:val="center"/>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rPr>
              <w:t>计量</w:t>
            </w:r>
          </w:p>
          <w:p w14:paraId="543FA634">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单位</w:t>
            </w:r>
          </w:p>
        </w:tc>
        <w:tc>
          <w:tcPr>
            <w:tcW w:w="1125" w:type="dxa"/>
            <w:shd w:val="clear" w:color="auto" w:fill="8DB3E2"/>
            <w:noWrap w:val="0"/>
            <w:vAlign w:val="center"/>
          </w:tcPr>
          <w:p w14:paraId="551816BB">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大型</w:t>
            </w:r>
          </w:p>
        </w:tc>
        <w:tc>
          <w:tcPr>
            <w:tcW w:w="1701" w:type="dxa"/>
            <w:shd w:val="clear" w:color="auto" w:fill="8DB3E2"/>
            <w:noWrap w:val="0"/>
            <w:vAlign w:val="center"/>
          </w:tcPr>
          <w:p w14:paraId="38033F23">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中型</w:t>
            </w:r>
          </w:p>
        </w:tc>
        <w:tc>
          <w:tcPr>
            <w:tcW w:w="1426" w:type="dxa"/>
            <w:shd w:val="clear" w:color="auto" w:fill="8DB3E2"/>
            <w:noWrap w:val="0"/>
            <w:vAlign w:val="center"/>
          </w:tcPr>
          <w:p w14:paraId="08D20B49">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小型</w:t>
            </w:r>
          </w:p>
        </w:tc>
        <w:tc>
          <w:tcPr>
            <w:tcW w:w="992" w:type="dxa"/>
            <w:shd w:val="clear" w:color="auto" w:fill="8DB3E2"/>
            <w:noWrap w:val="0"/>
            <w:vAlign w:val="center"/>
          </w:tcPr>
          <w:p w14:paraId="4A24E7EA">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微型</w:t>
            </w:r>
          </w:p>
        </w:tc>
      </w:tr>
      <w:tr w14:paraId="3BAE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2D4FBCA">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农、林、牧、渔业</w:t>
            </w:r>
          </w:p>
        </w:tc>
        <w:tc>
          <w:tcPr>
            <w:tcW w:w="1369" w:type="dxa"/>
            <w:noWrap w:val="0"/>
            <w:vAlign w:val="center"/>
          </w:tcPr>
          <w:p w14:paraId="49CFC39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2B714CC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3D0E0D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noWrap w:val="0"/>
            <w:vAlign w:val="center"/>
          </w:tcPr>
          <w:p w14:paraId="7D77EE5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noWrap w:val="0"/>
            <w:vAlign w:val="center"/>
          </w:tcPr>
          <w:p w14:paraId="5CCAE16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50≤Y＜500</w:t>
            </w:r>
          </w:p>
        </w:tc>
        <w:tc>
          <w:tcPr>
            <w:tcW w:w="992" w:type="dxa"/>
            <w:noWrap w:val="0"/>
            <w:vAlign w:val="center"/>
          </w:tcPr>
          <w:p w14:paraId="329A284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6661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8EDD3D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工业 *</w:t>
            </w:r>
          </w:p>
        </w:tc>
        <w:tc>
          <w:tcPr>
            <w:tcW w:w="1369" w:type="dxa"/>
            <w:noWrap w:val="0"/>
            <w:vAlign w:val="center"/>
          </w:tcPr>
          <w:p w14:paraId="2A81E62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7AE3CF4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F131E3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4EF4165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059AD53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0671FED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759A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FBA4338">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363F037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633F08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7C624F7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noWrap w:val="0"/>
            <w:vAlign w:val="center"/>
          </w:tcPr>
          <w:p w14:paraId="346838C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2000≤Y＜40000</w:t>
            </w:r>
          </w:p>
        </w:tc>
        <w:tc>
          <w:tcPr>
            <w:tcW w:w="1426" w:type="dxa"/>
            <w:noWrap w:val="0"/>
            <w:vAlign w:val="center"/>
          </w:tcPr>
          <w:p w14:paraId="55E7F49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300≤Y＜2000</w:t>
            </w:r>
          </w:p>
        </w:tc>
        <w:tc>
          <w:tcPr>
            <w:tcW w:w="992" w:type="dxa"/>
            <w:noWrap w:val="0"/>
            <w:vAlign w:val="center"/>
          </w:tcPr>
          <w:p w14:paraId="68FC50A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6AC1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90D55E0">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建筑业</w:t>
            </w:r>
          </w:p>
        </w:tc>
        <w:tc>
          <w:tcPr>
            <w:tcW w:w="1369" w:type="dxa"/>
            <w:noWrap w:val="0"/>
            <w:vAlign w:val="center"/>
          </w:tcPr>
          <w:p w14:paraId="44B9E6A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B50059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DCF876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Y≥80000</w:t>
            </w:r>
          </w:p>
        </w:tc>
        <w:tc>
          <w:tcPr>
            <w:tcW w:w="1701" w:type="dxa"/>
            <w:noWrap w:val="0"/>
            <w:vAlign w:val="center"/>
          </w:tcPr>
          <w:p w14:paraId="465CE36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6000≤Y＜80000</w:t>
            </w:r>
          </w:p>
        </w:tc>
        <w:tc>
          <w:tcPr>
            <w:tcW w:w="1426" w:type="dxa"/>
            <w:noWrap w:val="0"/>
            <w:vAlign w:val="center"/>
          </w:tcPr>
          <w:p w14:paraId="164CC7A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300≤Y＜6000</w:t>
            </w:r>
          </w:p>
        </w:tc>
        <w:tc>
          <w:tcPr>
            <w:tcW w:w="992" w:type="dxa"/>
            <w:noWrap w:val="0"/>
            <w:vAlign w:val="center"/>
          </w:tcPr>
          <w:p w14:paraId="15E77C4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250E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AC0402A">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68F7E39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0D94A46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16B2E46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Z≥80000</w:t>
            </w:r>
          </w:p>
        </w:tc>
        <w:tc>
          <w:tcPr>
            <w:tcW w:w="1701" w:type="dxa"/>
            <w:noWrap w:val="0"/>
            <w:vAlign w:val="center"/>
          </w:tcPr>
          <w:p w14:paraId="441F5FB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5000≤Z＜80000</w:t>
            </w:r>
          </w:p>
        </w:tc>
        <w:tc>
          <w:tcPr>
            <w:tcW w:w="1426" w:type="dxa"/>
            <w:noWrap w:val="0"/>
            <w:vAlign w:val="center"/>
          </w:tcPr>
          <w:p w14:paraId="4832D39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300≤Z＜5000</w:t>
            </w:r>
          </w:p>
        </w:tc>
        <w:tc>
          <w:tcPr>
            <w:tcW w:w="992" w:type="dxa"/>
            <w:noWrap w:val="0"/>
            <w:vAlign w:val="center"/>
          </w:tcPr>
          <w:p w14:paraId="3648FED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Z＜300</w:t>
            </w:r>
          </w:p>
        </w:tc>
      </w:tr>
      <w:tr w14:paraId="6772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D87570F">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批发业</w:t>
            </w:r>
          </w:p>
        </w:tc>
        <w:tc>
          <w:tcPr>
            <w:tcW w:w="1369" w:type="dxa"/>
            <w:noWrap w:val="0"/>
            <w:vAlign w:val="center"/>
          </w:tcPr>
          <w:p w14:paraId="2864605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19D921B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130F1E7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noWrap w:val="0"/>
            <w:vAlign w:val="center"/>
          </w:tcPr>
          <w:p w14:paraId="2B26DEB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20≤X＜200</w:t>
            </w:r>
          </w:p>
        </w:tc>
        <w:tc>
          <w:tcPr>
            <w:tcW w:w="1426" w:type="dxa"/>
            <w:noWrap w:val="0"/>
            <w:vAlign w:val="center"/>
          </w:tcPr>
          <w:p w14:paraId="577A5DA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5≤X＜20</w:t>
            </w:r>
          </w:p>
        </w:tc>
        <w:tc>
          <w:tcPr>
            <w:tcW w:w="992" w:type="dxa"/>
            <w:noWrap w:val="0"/>
            <w:vAlign w:val="center"/>
          </w:tcPr>
          <w:p w14:paraId="22FA7A6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X＜5</w:t>
            </w:r>
          </w:p>
        </w:tc>
      </w:tr>
      <w:tr w14:paraId="4521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D06540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2C369D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2120863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7D18AD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noWrap w:val="0"/>
            <w:vAlign w:val="center"/>
          </w:tcPr>
          <w:p w14:paraId="6FB6850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5000≤Y＜40000</w:t>
            </w:r>
          </w:p>
        </w:tc>
        <w:tc>
          <w:tcPr>
            <w:tcW w:w="1426" w:type="dxa"/>
            <w:noWrap w:val="0"/>
            <w:vAlign w:val="center"/>
          </w:tcPr>
          <w:p w14:paraId="75BC0489">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992" w:type="dxa"/>
            <w:noWrap w:val="0"/>
            <w:vAlign w:val="center"/>
          </w:tcPr>
          <w:p w14:paraId="3C5047F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w:t>
            </w:r>
          </w:p>
        </w:tc>
      </w:tr>
      <w:tr w14:paraId="10C6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1B6A75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零售业</w:t>
            </w:r>
          </w:p>
        </w:tc>
        <w:tc>
          <w:tcPr>
            <w:tcW w:w="1369" w:type="dxa"/>
            <w:noWrap w:val="0"/>
            <w:vAlign w:val="center"/>
          </w:tcPr>
          <w:p w14:paraId="38828D8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208A73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25DCE05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603D20E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50≤X＜300</w:t>
            </w:r>
          </w:p>
        </w:tc>
        <w:tc>
          <w:tcPr>
            <w:tcW w:w="1426" w:type="dxa"/>
            <w:noWrap w:val="0"/>
            <w:vAlign w:val="center"/>
          </w:tcPr>
          <w:p w14:paraId="6040D764">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10≤X＜50 </w:t>
            </w:r>
          </w:p>
        </w:tc>
        <w:tc>
          <w:tcPr>
            <w:tcW w:w="992" w:type="dxa"/>
            <w:noWrap w:val="0"/>
            <w:vAlign w:val="center"/>
          </w:tcPr>
          <w:p w14:paraId="6706E18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79B3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4BEE60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5664666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77A2126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BB2CC4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noWrap w:val="0"/>
            <w:vAlign w:val="center"/>
          </w:tcPr>
          <w:p w14:paraId="65C3F03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noWrap w:val="0"/>
            <w:vAlign w:val="center"/>
          </w:tcPr>
          <w:p w14:paraId="61CC4353">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100≤Y＜500</w:t>
            </w:r>
          </w:p>
        </w:tc>
        <w:tc>
          <w:tcPr>
            <w:tcW w:w="992" w:type="dxa"/>
            <w:noWrap w:val="0"/>
            <w:vAlign w:val="center"/>
          </w:tcPr>
          <w:p w14:paraId="1DA8532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11D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2E4157D">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交通运输业 *</w:t>
            </w:r>
          </w:p>
        </w:tc>
        <w:tc>
          <w:tcPr>
            <w:tcW w:w="1369" w:type="dxa"/>
            <w:noWrap w:val="0"/>
            <w:vAlign w:val="center"/>
          </w:tcPr>
          <w:p w14:paraId="3B0F81C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46EDEC6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7CE69A2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33CB61D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020C92B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2E0FAC1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7451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CCB46B2">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1A8A7ED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167D0B3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136272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0430B15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3000≤Y＜30000</w:t>
            </w:r>
          </w:p>
        </w:tc>
        <w:tc>
          <w:tcPr>
            <w:tcW w:w="1426" w:type="dxa"/>
            <w:noWrap w:val="0"/>
            <w:vAlign w:val="center"/>
          </w:tcPr>
          <w:p w14:paraId="67DD475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200≤Y＜3000</w:t>
            </w:r>
          </w:p>
        </w:tc>
        <w:tc>
          <w:tcPr>
            <w:tcW w:w="992" w:type="dxa"/>
            <w:noWrap w:val="0"/>
            <w:vAlign w:val="center"/>
          </w:tcPr>
          <w:p w14:paraId="5151598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w:t>
            </w:r>
          </w:p>
        </w:tc>
      </w:tr>
      <w:tr w14:paraId="5CD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8D69DA9">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仓储业*</w:t>
            </w:r>
          </w:p>
        </w:tc>
        <w:tc>
          <w:tcPr>
            <w:tcW w:w="1369" w:type="dxa"/>
            <w:noWrap w:val="0"/>
            <w:vAlign w:val="center"/>
          </w:tcPr>
          <w:p w14:paraId="0E6CCCC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03AD8CA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647B8AF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noWrap w:val="0"/>
            <w:vAlign w:val="center"/>
          </w:tcPr>
          <w:p w14:paraId="1B2535C5">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w:t>
            </w:r>
          </w:p>
        </w:tc>
        <w:tc>
          <w:tcPr>
            <w:tcW w:w="1426" w:type="dxa"/>
            <w:noWrap w:val="0"/>
            <w:vAlign w:val="center"/>
          </w:tcPr>
          <w:p w14:paraId="56FF11B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20≤X＜100</w:t>
            </w:r>
          </w:p>
        </w:tc>
        <w:tc>
          <w:tcPr>
            <w:tcW w:w="992" w:type="dxa"/>
            <w:noWrap w:val="0"/>
            <w:vAlign w:val="center"/>
          </w:tcPr>
          <w:p w14:paraId="77E79CC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2713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9F43A9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125F243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82B759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D24FFB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2F16A64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1000≤Y＜30000</w:t>
            </w:r>
          </w:p>
        </w:tc>
        <w:tc>
          <w:tcPr>
            <w:tcW w:w="1426" w:type="dxa"/>
            <w:noWrap w:val="0"/>
            <w:vAlign w:val="center"/>
          </w:tcPr>
          <w:p w14:paraId="7D16928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04F5916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A0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F052E73">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邮政业</w:t>
            </w:r>
          </w:p>
        </w:tc>
        <w:tc>
          <w:tcPr>
            <w:tcW w:w="1369" w:type="dxa"/>
            <w:noWrap w:val="0"/>
            <w:vAlign w:val="center"/>
          </w:tcPr>
          <w:p w14:paraId="5614746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1C0E701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475DAA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2296B42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55094BA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0CE3EFC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483C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DB47C59">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609D339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C1A5E2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02E28D7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3E4E76A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2000≤Y＜30000</w:t>
            </w:r>
          </w:p>
        </w:tc>
        <w:tc>
          <w:tcPr>
            <w:tcW w:w="1426" w:type="dxa"/>
            <w:noWrap w:val="0"/>
            <w:vAlign w:val="center"/>
          </w:tcPr>
          <w:p w14:paraId="1E5A7BA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0C41F72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7482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507426E">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住宿业</w:t>
            </w:r>
          </w:p>
        </w:tc>
        <w:tc>
          <w:tcPr>
            <w:tcW w:w="1369" w:type="dxa"/>
            <w:noWrap w:val="0"/>
            <w:vAlign w:val="center"/>
          </w:tcPr>
          <w:p w14:paraId="13CB71A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66DDC0B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A22737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67D43631">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160377A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5142702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46FE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2B32060">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4C3186B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70C988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479D58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0401548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noWrap w:val="0"/>
            <w:vAlign w:val="center"/>
          </w:tcPr>
          <w:p w14:paraId="31B9698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27D3752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156B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492B778">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餐饮业</w:t>
            </w:r>
          </w:p>
        </w:tc>
        <w:tc>
          <w:tcPr>
            <w:tcW w:w="1369" w:type="dxa"/>
            <w:noWrap w:val="0"/>
            <w:vAlign w:val="center"/>
          </w:tcPr>
          <w:p w14:paraId="128F983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5B79A62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2EC2400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42B16FF0">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noWrap w:val="0"/>
            <w:vAlign w:val="center"/>
          </w:tcPr>
          <w:p w14:paraId="2DB082F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536E0D7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632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E725A30">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0108E01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91EA7E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51F2BC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3BDE0A8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noWrap w:val="0"/>
            <w:vAlign w:val="center"/>
          </w:tcPr>
          <w:p w14:paraId="720345D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024DD4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5AA5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A9ACDB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信息传输业 *</w:t>
            </w:r>
          </w:p>
        </w:tc>
        <w:tc>
          <w:tcPr>
            <w:tcW w:w="1369" w:type="dxa"/>
            <w:noWrap w:val="0"/>
            <w:vAlign w:val="center"/>
          </w:tcPr>
          <w:p w14:paraId="2E83BD2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537A18C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7AA8FFA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X≥2000</w:t>
            </w:r>
          </w:p>
        </w:tc>
        <w:tc>
          <w:tcPr>
            <w:tcW w:w="1701" w:type="dxa"/>
            <w:noWrap w:val="0"/>
            <w:vAlign w:val="center"/>
          </w:tcPr>
          <w:p w14:paraId="0D139E0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100≤X＜2000</w:t>
            </w:r>
          </w:p>
        </w:tc>
        <w:tc>
          <w:tcPr>
            <w:tcW w:w="1426" w:type="dxa"/>
            <w:noWrap w:val="0"/>
            <w:vAlign w:val="center"/>
          </w:tcPr>
          <w:p w14:paraId="3330165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45605F8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89D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95DF378">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53FACA5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202AE7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DD676F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Y≥100000</w:t>
            </w:r>
          </w:p>
        </w:tc>
        <w:tc>
          <w:tcPr>
            <w:tcW w:w="1701" w:type="dxa"/>
            <w:noWrap w:val="0"/>
            <w:vAlign w:val="center"/>
          </w:tcPr>
          <w:p w14:paraId="29DAEF3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1000≤Y＜100000</w:t>
            </w:r>
          </w:p>
        </w:tc>
        <w:tc>
          <w:tcPr>
            <w:tcW w:w="1426" w:type="dxa"/>
            <w:noWrap w:val="0"/>
            <w:vAlign w:val="center"/>
          </w:tcPr>
          <w:p w14:paraId="3730ED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40A1308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065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C262AD1">
            <w:pPr>
              <w:widowControl/>
              <w:spacing w:line="280" w:lineRule="exact"/>
              <w:jc w:val="left"/>
              <w:rPr>
                <w:rFonts w:hint="eastAsia" w:ascii="宋体" w:hAnsi="宋体" w:eastAsia="宋体" w:cs="宋体"/>
                <w:color w:val="auto"/>
                <w:spacing w:val="-12"/>
                <w:sz w:val="18"/>
                <w:szCs w:val="18"/>
                <w:highlight w:val="none"/>
              </w:rPr>
            </w:pPr>
            <w:r>
              <w:rPr>
                <w:rFonts w:hint="eastAsia" w:ascii="宋体" w:hAnsi="宋体" w:eastAsia="宋体" w:cs="宋体"/>
                <w:color w:val="auto"/>
                <w:spacing w:val="-12"/>
                <w:sz w:val="18"/>
                <w:szCs w:val="18"/>
                <w:highlight w:val="none"/>
              </w:rPr>
              <w:t>软件和信息技术服</w:t>
            </w:r>
            <w:r>
              <w:rPr>
                <w:rFonts w:hint="eastAsia" w:ascii="宋体" w:hAnsi="宋体" w:eastAsia="宋体" w:cs="宋体"/>
                <w:color w:val="auto"/>
                <w:sz w:val="18"/>
                <w:szCs w:val="18"/>
                <w:highlight w:val="none"/>
              </w:rPr>
              <w:t>务业</w:t>
            </w:r>
          </w:p>
        </w:tc>
        <w:tc>
          <w:tcPr>
            <w:tcW w:w="1369" w:type="dxa"/>
            <w:noWrap w:val="0"/>
            <w:vAlign w:val="center"/>
          </w:tcPr>
          <w:p w14:paraId="2225A82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10C61A8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6937A5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07736514">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noWrap w:val="0"/>
            <w:vAlign w:val="center"/>
          </w:tcPr>
          <w:p w14:paraId="430024C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55A1808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472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FC1F68D">
            <w:pPr>
              <w:widowControl/>
              <w:spacing w:line="280" w:lineRule="exact"/>
              <w:jc w:val="left"/>
              <w:rPr>
                <w:rFonts w:hint="eastAsia" w:ascii="宋体" w:hAnsi="宋体" w:eastAsia="宋体" w:cs="宋体"/>
                <w:color w:val="auto"/>
                <w:spacing w:val="-12"/>
                <w:sz w:val="18"/>
                <w:szCs w:val="18"/>
                <w:highlight w:val="none"/>
              </w:rPr>
            </w:pPr>
          </w:p>
        </w:tc>
        <w:tc>
          <w:tcPr>
            <w:tcW w:w="1369" w:type="dxa"/>
            <w:noWrap w:val="0"/>
            <w:vAlign w:val="center"/>
          </w:tcPr>
          <w:p w14:paraId="268872A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A879DC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7CD5AF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22FEF33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w:t>
            </w:r>
          </w:p>
        </w:tc>
        <w:tc>
          <w:tcPr>
            <w:tcW w:w="1426" w:type="dxa"/>
            <w:noWrap w:val="0"/>
            <w:vAlign w:val="center"/>
          </w:tcPr>
          <w:p w14:paraId="4A7A77E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50≤Y＜1000</w:t>
            </w:r>
          </w:p>
        </w:tc>
        <w:tc>
          <w:tcPr>
            <w:tcW w:w="992" w:type="dxa"/>
            <w:noWrap w:val="0"/>
            <w:vAlign w:val="center"/>
          </w:tcPr>
          <w:p w14:paraId="55ED8C6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2C2A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5B21DB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房地产开发经营</w:t>
            </w:r>
          </w:p>
        </w:tc>
        <w:tc>
          <w:tcPr>
            <w:tcW w:w="1369" w:type="dxa"/>
            <w:noWrap w:val="0"/>
            <w:vAlign w:val="center"/>
          </w:tcPr>
          <w:p w14:paraId="2238D35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3CE29F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45F0EF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Y≥200000</w:t>
            </w:r>
          </w:p>
        </w:tc>
        <w:tc>
          <w:tcPr>
            <w:tcW w:w="1701" w:type="dxa"/>
            <w:noWrap w:val="0"/>
            <w:vAlign w:val="center"/>
          </w:tcPr>
          <w:p w14:paraId="50F63A5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1000≤Y＜200000</w:t>
            </w:r>
          </w:p>
        </w:tc>
        <w:tc>
          <w:tcPr>
            <w:tcW w:w="1426" w:type="dxa"/>
            <w:noWrap w:val="0"/>
            <w:vAlign w:val="center"/>
          </w:tcPr>
          <w:p w14:paraId="6E3964B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32B7FFE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5378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6A596A5">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759181A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3BF9D99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7BFBC03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Z≥10000</w:t>
            </w:r>
          </w:p>
        </w:tc>
        <w:tc>
          <w:tcPr>
            <w:tcW w:w="1701" w:type="dxa"/>
            <w:noWrap w:val="0"/>
            <w:vAlign w:val="center"/>
          </w:tcPr>
          <w:p w14:paraId="4CF4BE5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5000≤Z＜10000</w:t>
            </w:r>
          </w:p>
        </w:tc>
        <w:tc>
          <w:tcPr>
            <w:tcW w:w="1426" w:type="dxa"/>
            <w:noWrap w:val="0"/>
            <w:vAlign w:val="center"/>
          </w:tcPr>
          <w:p w14:paraId="4C9863B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2000≤Z＜5000</w:t>
            </w:r>
          </w:p>
        </w:tc>
        <w:tc>
          <w:tcPr>
            <w:tcW w:w="992" w:type="dxa"/>
            <w:noWrap w:val="0"/>
            <w:vAlign w:val="center"/>
          </w:tcPr>
          <w:p w14:paraId="526C323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Z＜2000</w:t>
            </w:r>
          </w:p>
        </w:tc>
      </w:tr>
      <w:tr w14:paraId="079A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1A44B31">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物业管理</w:t>
            </w:r>
          </w:p>
        </w:tc>
        <w:tc>
          <w:tcPr>
            <w:tcW w:w="1369" w:type="dxa"/>
            <w:noWrap w:val="0"/>
            <w:vAlign w:val="center"/>
          </w:tcPr>
          <w:p w14:paraId="448D259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665D5E6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276194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1D40497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4D9596A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992" w:type="dxa"/>
            <w:noWrap w:val="0"/>
            <w:vAlign w:val="center"/>
          </w:tcPr>
          <w:p w14:paraId="245560B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w:t>
            </w:r>
          </w:p>
        </w:tc>
      </w:tr>
      <w:tr w14:paraId="0EC4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4C10E4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4CCB6F7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4802CFE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40CAE0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Y≥5000</w:t>
            </w:r>
          </w:p>
        </w:tc>
        <w:tc>
          <w:tcPr>
            <w:tcW w:w="1701" w:type="dxa"/>
            <w:noWrap w:val="0"/>
            <w:vAlign w:val="center"/>
          </w:tcPr>
          <w:p w14:paraId="6A0794F9">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1426" w:type="dxa"/>
            <w:noWrap w:val="0"/>
            <w:vAlign w:val="center"/>
          </w:tcPr>
          <w:p w14:paraId="296FA1F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500≤Y＜1000</w:t>
            </w:r>
          </w:p>
        </w:tc>
        <w:tc>
          <w:tcPr>
            <w:tcW w:w="992" w:type="dxa"/>
            <w:noWrap w:val="0"/>
            <w:vAlign w:val="center"/>
          </w:tcPr>
          <w:p w14:paraId="25E4412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Y＜500</w:t>
            </w:r>
          </w:p>
        </w:tc>
      </w:tr>
      <w:tr w14:paraId="79BC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853C576">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租赁和商务服务业</w:t>
            </w:r>
          </w:p>
        </w:tc>
        <w:tc>
          <w:tcPr>
            <w:tcW w:w="1369" w:type="dxa"/>
            <w:noWrap w:val="0"/>
            <w:vAlign w:val="center"/>
          </w:tcPr>
          <w:p w14:paraId="19BE282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00AEE26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43EC243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2167CCE2">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5D78A84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019AF59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1F6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8E2A7D4">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6AFCE9C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6B73435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0311A1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Z≥120000</w:t>
            </w:r>
          </w:p>
        </w:tc>
        <w:tc>
          <w:tcPr>
            <w:tcW w:w="1701" w:type="dxa"/>
            <w:noWrap w:val="0"/>
            <w:vAlign w:val="center"/>
          </w:tcPr>
          <w:p w14:paraId="5EB56C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8000≤Z＜120000</w:t>
            </w:r>
          </w:p>
        </w:tc>
        <w:tc>
          <w:tcPr>
            <w:tcW w:w="1426" w:type="dxa"/>
            <w:noWrap w:val="0"/>
            <w:vAlign w:val="center"/>
          </w:tcPr>
          <w:p w14:paraId="1EBF199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100≤Z＜8000</w:t>
            </w:r>
          </w:p>
        </w:tc>
        <w:tc>
          <w:tcPr>
            <w:tcW w:w="992" w:type="dxa"/>
            <w:noWrap w:val="0"/>
            <w:vAlign w:val="center"/>
          </w:tcPr>
          <w:p w14:paraId="5491EA6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Z＜100</w:t>
            </w:r>
          </w:p>
        </w:tc>
      </w:tr>
      <w:tr w14:paraId="06FE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6117746A">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其他未列明行业 *</w:t>
            </w:r>
          </w:p>
        </w:tc>
        <w:tc>
          <w:tcPr>
            <w:tcW w:w="1369" w:type="dxa"/>
            <w:noWrap w:val="0"/>
            <w:vAlign w:val="center"/>
          </w:tcPr>
          <w:p w14:paraId="10B545F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0877264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2568705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79C4D776">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7D9C1EB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0F0C075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bl>
    <w:p w14:paraId="0D7EE5B7">
      <w:pPr>
        <w:widowControl/>
        <w:spacing w:line="280" w:lineRule="exact"/>
        <w:rPr>
          <w:rFonts w:hint="eastAsia" w:ascii="宋体" w:hAnsi="宋体" w:eastAsia="宋体" w:cs="宋体"/>
          <w:color w:val="auto"/>
          <w:spacing w:val="8"/>
          <w:sz w:val="24"/>
          <w:highlight w:val="none"/>
        </w:rPr>
      </w:pPr>
    </w:p>
    <w:p w14:paraId="580F3E4D">
      <w:pPr>
        <w:widowControl/>
        <w:spacing w:line="360" w:lineRule="auto"/>
        <w:rPr>
          <w:rFonts w:hint="eastAsia"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说明：</w:t>
      </w:r>
    </w:p>
    <w:p w14:paraId="3BDC84E4">
      <w:pPr>
        <w:pStyle w:val="24"/>
        <w:spacing w:line="360" w:lineRule="auto"/>
        <w:ind w:firstLine="452"/>
        <w:contextualSpacing/>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1.大型、中型和小型企业须同时满足所列指标的下限，否则下划一档；微型企业只须满足所列指标中的一项即可。</w:t>
      </w:r>
    </w:p>
    <w:p w14:paraId="3D0EE320">
      <w:pPr>
        <w:pStyle w:val="24"/>
        <w:spacing w:line="360" w:lineRule="auto"/>
        <w:ind w:firstLine="452"/>
        <w:contextualSpacing/>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DC4D2C4">
      <w:pPr>
        <w:pStyle w:val="24"/>
        <w:spacing w:line="360" w:lineRule="auto"/>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0CE7AA5">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8F830E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C14A41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0FD99BD">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001C41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285AC4A">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84C34F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FCEADCF">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474A66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E4E016C">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179332C">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B052DB4">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9D13670">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5DE2C4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39AE7AF">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A0399A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2E212AA">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672315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DB5516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128074B">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highlight w:val="none"/>
          <w:lang w:val="en-US" w:eastAsia="zh-CN"/>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3</w:t>
      </w:r>
    </w:p>
    <w:p w14:paraId="71C7E0B8">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center"/>
        <w:rPr>
          <w:rFonts w:hint="eastAsia" w:ascii="宋体" w:hAnsi="宋体" w:eastAsia="宋体" w:cs="宋体"/>
          <w:b/>
          <w:i w:val="0"/>
          <w:iCs w:val="0"/>
          <w:caps w:val="0"/>
          <w:color w:val="auto"/>
          <w:spacing w:val="0"/>
          <w:sz w:val="30"/>
          <w:szCs w:val="30"/>
          <w:highlight w:val="none"/>
          <w:shd w:val="clear" w:color="auto" w:fill="auto"/>
        </w:rPr>
      </w:pPr>
    </w:p>
    <w:p w14:paraId="0F3FDB3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i w:val="0"/>
          <w:iCs w:val="0"/>
          <w:caps w:val="0"/>
          <w:color w:val="auto"/>
          <w:spacing w:val="0"/>
          <w:sz w:val="30"/>
          <w:szCs w:val="30"/>
          <w:highlight w:val="none"/>
          <w:shd w:val="clear" w:color="auto" w:fill="auto"/>
        </w:rPr>
        <w:t>中国境内生产的组件成本核算基本规则</w:t>
      </w:r>
    </w:p>
    <w:p w14:paraId="09AF4220">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B21F280">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一、产品的一级组件是指直接组成产品的组件。产品的二级组件是指直接组成产品一级组件的组件。一级组件不可分解的，视同二级组件。</w:t>
      </w:r>
    </w:p>
    <w:p w14:paraId="4C69EC2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7D49BC68">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三、产品总成本和组件成本以相关会计核算数据、采购合同、进货记录等为基础进行计算。</w:t>
      </w:r>
    </w:p>
    <w:p w14:paraId="3590A5AB">
      <w:pPr>
        <w:keepNext/>
        <w:keepLines/>
        <w:spacing w:before="340" w:after="330" w:line="360" w:lineRule="auto"/>
        <w:ind w:firstLine="420"/>
        <w:jc w:val="center"/>
        <w:outlineLvl w:val="0"/>
        <w:rPr>
          <w:rFonts w:hint="eastAsia" w:ascii="宋体" w:hAnsi="宋体" w:eastAsia="宋体" w:cs="宋体"/>
          <w:b/>
          <w:bCs/>
          <w:color w:val="auto"/>
          <w:sz w:val="44"/>
          <w:szCs w:val="44"/>
          <w:highlight w:val="none"/>
          <w:lang w:val="zh-CN" w:eastAsia="zh-CN"/>
        </w:rPr>
      </w:pPr>
      <w:r>
        <w:rPr>
          <w:rFonts w:hint="eastAsia" w:ascii="宋体" w:hAnsi="宋体" w:eastAsia="宋体" w:cs="宋体"/>
          <w:i w:val="0"/>
          <w:iCs w:val="0"/>
          <w:caps w:val="0"/>
          <w:color w:val="auto"/>
          <w:spacing w:val="0"/>
          <w:sz w:val="21"/>
          <w:szCs w:val="21"/>
          <w:highlight w:val="none"/>
          <w:shd w:val="clear" w:color="auto" w:fill="auto"/>
        </w:rPr>
        <w:t>四、需要对成本核算规则予以进一步明确的其他有关事项，由财政部会同有关部门另行规定。</w:t>
      </w:r>
      <w:r>
        <w:rPr>
          <w:rFonts w:hint="eastAsia" w:ascii="宋体" w:hAnsi="宋体" w:eastAsia="宋体" w:cs="宋体"/>
          <w:color w:val="auto"/>
          <w:szCs w:val="21"/>
          <w:highlight w:val="none"/>
        </w:rPr>
        <w:br w:type="page" w:clear="all"/>
      </w:r>
      <w:bookmarkStart w:id="52" w:name="_Toc16363"/>
      <w:bookmarkStart w:id="53" w:name="_Toc10873"/>
      <w:bookmarkStart w:id="54" w:name="_Toc2044"/>
      <w:bookmarkStart w:id="55" w:name="_Toc1222"/>
      <w:bookmarkStart w:id="56" w:name="_Toc382"/>
      <w:bookmarkStart w:id="57" w:name="_Toc25569"/>
      <w:bookmarkStart w:id="58" w:name="_Toc9409"/>
      <w:r>
        <w:rPr>
          <w:rFonts w:hint="eastAsia" w:ascii="宋体" w:hAnsi="宋体" w:eastAsia="宋体" w:cs="宋体"/>
          <w:b/>
          <w:color w:val="auto"/>
          <w:sz w:val="32"/>
          <w:szCs w:val="32"/>
          <w:highlight w:val="none"/>
          <w:lang w:val="zh-CN" w:eastAsia="zh-CN"/>
        </w:rPr>
        <w:t>第三章 供应商须知</w:t>
      </w:r>
      <w:bookmarkEnd w:id="50"/>
      <w:bookmarkEnd w:id="51"/>
      <w:bookmarkEnd w:id="52"/>
      <w:bookmarkEnd w:id="53"/>
      <w:bookmarkEnd w:id="54"/>
      <w:bookmarkEnd w:id="55"/>
      <w:bookmarkEnd w:id="56"/>
      <w:bookmarkEnd w:id="57"/>
      <w:bookmarkEnd w:id="58"/>
    </w:p>
    <w:p w14:paraId="3E1B9D51">
      <w:pPr>
        <w:keepNext/>
        <w:keepLines/>
        <w:spacing w:before="260" w:after="260" w:line="416" w:lineRule="auto"/>
        <w:jc w:val="center"/>
        <w:outlineLvl w:val="1"/>
        <w:rPr>
          <w:rFonts w:hint="eastAsia" w:ascii="宋体" w:hAnsi="宋体" w:eastAsia="宋体" w:cs="宋体"/>
          <w:b/>
          <w:color w:val="auto"/>
          <w:sz w:val="32"/>
          <w:szCs w:val="32"/>
          <w:highlight w:val="none"/>
        </w:rPr>
      </w:pPr>
      <w:bookmarkStart w:id="59" w:name="_Toc28658"/>
      <w:bookmarkStart w:id="60" w:name="_Toc10590"/>
      <w:bookmarkStart w:id="61" w:name="_Toc80205923"/>
      <w:r>
        <w:rPr>
          <w:rFonts w:hint="eastAsia" w:ascii="宋体" w:hAnsi="宋体" w:eastAsia="宋体" w:cs="宋体"/>
          <w:bCs/>
          <w:color w:val="auto"/>
          <w:sz w:val="32"/>
          <w:szCs w:val="32"/>
          <w:highlight w:val="none"/>
          <w:lang w:val="zh-CN" w:eastAsia="zh-CN"/>
        </w:rPr>
        <w:t>第一节 供应商须知前附表</w:t>
      </w:r>
      <w:bookmarkEnd w:id="59"/>
      <w:bookmarkEnd w:id="60"/>
      <w:bookmarkEnd w:id="61"/>
    </w:p>
    <w:tbl>
      <w:tblPr>
        <w:tblStyle w:val="45"/>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14:paraId="50C28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tcPr>
          <w:p w14:paraId="149F919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noWrap w:val="0"/>
            <w:vAlign w:val="center"/>
          </w:tcPr>
          <w:p w14:paraId="0D71001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noWrap w:val="0"/>
          </w:tcPr>
          <w:p w14:paraId="457BB8A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6A787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tcPr>
          <w:p w14:paraId="3EE88EF7">
            <w:pPr>
              <w:spacing w:line="360" w:lineRule="auto"/>
              <w:jc w:val="center"/>
              <w:rPr>
                <w:rFonts w:hint="eastAsia" w:ascii="宋体" w:hAnsi="宋体" w:eastAsia="宋体" w:cs="宋体"/>
                <w:b w:val="0"/>
                <w:color w:val="auto"/>
                <w:szCs w:val="21"/>
                <w:highlight w:val="none"/>
                <w:lang w:val="en-US" w:eastAsia="zh-CN"/>
              </w:rPr>
            </w:pPr>
          </w:p>
          <w:p w14:paraId="70F0CDF2">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val="0"/>
                <w:color w:val="auto"/>
                <w:szCs w:val="21"/>
                <w:highlight w:val="none"/>
                <w:lang w:val="en-US" w:eastAsia="zh-CN"/>
              </w:rPr>
              <w:t>2.9</w:t>
            </w:r>
          </w:p>
        </w:tc>
        <w:tc>
          <w:tcPr>
            <w:tcW w:w="2382" w:type="dxa"/>
            <w:noWrap w:val="0"/>
            <w:vAlign w:val="center"/>
          </w:tcPr>
          <w:p w14:paraId="7C3B059C">
            <w:pPr>
              <w:spacing w:line="360" w:lineRule="auto"/>
              <w:jc w:val="center"/>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实质性要求</w:t>
            </w:r>
          </w:p>
        </w:tc>
        <w:tc>
          <w:tcPr>
            <w:tcW w:w="6586" w:type="dxa"/>
            <w:noWrap w:val="0"/>
          </w:tcPr>
          <w:p w14:paraId="6D086758">
            <w:pPr>
              <w:spacing w:line="360" w:lineRule="auto"/>
              <w:jc w:val="left"/>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指竞争性谈判文件中已经指明不提供或不满足则响应文件作无效响应处理的条款，或者采购需求</w:t>
            </w:r>
            <w:r>
              <w:rPr>
                <w:rFonts w:hint="eastAsia" w:ascii="宋体" w:hAnsi="宋体" w:eastAsia="宋体" w:cs="宋体"/>
                <w:b w:val="0"/>
                <w:color w:val="auto"/>
                <w:szCs w:val="21"/>
                <w:highlight w:val="none"/>
                <w:lang w:eastAsia="zh-CN"/>
              </w:rPr>
              <w:t>及响应文件格式</w:t>
            </w:r>
            <w:r>
              <w:rPr>
                <w:rFonts w:hint="eastAsia" w:ascii="宋体" w:hAnsi="宋体" w:eastAsia="宋体" w:cs="宋体"/>
                <w:b w:val="0"/>
                <w:color w:val="auto"/>
                <w:szCs w:val="21"/>
                <w:highlight w:val="none"/>
              </w:rPr>
              <w:t>中带“▲”的条款。</w:t>
            </w:r>
          </w:p>
        </w:tc>
      </w:tr>
      <w:tr w14:paraId="3DB58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vAlign w:val="center"/>
          </w:tcPr>
          <w:p w14:paraId="3AE039F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noWrap w:val="0"/>
            <w:vAlign w:val="center"/>
          </w:tcPr>
          <w:p w14:paraId="25BD45C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noWrap w:val="0"/>
          </w:tcPr>
          <w:p w14:paraId="7CFA23B7">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供应商资格条件要求详见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tc>
      </w:tr>
      <w:tr w14:paraId="1E977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78ECE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noWrap w:val="0"/>
            <w:vAlign w:val="center"/>
          </w:tcPr>
          <w:p w14:paraId="1AA3923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noWrap w:val="0"/>
            <w:vAlign w:val="center"/>
          </w:tcPr>
          <w:p w14:paraId="25D07F0D">
            <w:pPr>
              <w:spacing w:line="360" w:lineRule="auto"/>
              <w:rPr>
                <w:rFonts w:hint="eastAsia" w:ascii="宋体" w:hAnsi="宋体" w:eastAsia="宋体" w:cs="宋体"/>
                <w:color w:val="auto"/>
                <w:szCs w:val="21"/>
                <w:highlight w:val="none"/>
              </w:rPr>
            </w:pPr>
            <w:bookmarkStart w:id="62" w:name="PO_3000001871_PM007_1"/>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bookmarkEnd w:id="62"/>
            <w:r>
              <w:rPr>
                <w:rFonts w:hint="eastAsia" w:ascii="宋体" w:hAnsi="宋体" w:eastAsia="宋体" w:cs="宋体"/>
                <w:color w:val="auto"/>
                <w:szCs w:val="21"/>
                <w:highlight w:val="none"/>
              </w:rPr>
              <w:t>。</w:t>
            </w:r>
          </w:p>
        </w:tc>
      </w:tr>
      <w:tr w14:paraId="6D4E3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F569C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382" w:type="dxa"/>
            <w:noWrap w:val="0"/>
            <w:vAlign w:val="center"/>
          </w:tcPr>
          <w:p w14:paraId="3B3F826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586" w:type="dxa"/>
            <w:noWrap w:val="0"/>
            <w:vAlign w:val="center"/>
          </w:tcPr>
          <w:p w14:paraId="683D17E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不接受联合体。</w:t>
            </w:r>
          </w:p>
        </w:tc>
      </w:tr>
      <w:tr w14:paraId="643B4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3293B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p>
        </w:tc>
        <w:tc>
          <w:tcPr>
            <w:tcW w:w="2382" w:type="dxa"/>
            <w:noWrap w:val="0"/>
            <w:vAlign w:val="center"/>
          </w:tcPr>
          <w:p w14:paraId="1C95E3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noWrap w:val="0"/>
            <w:vAlign w:val="center"/>
          </w:tcPr>
          <w:p w14:paraId="2EC6DB47">
            <w:pPr>
              <w:spacing w:line="360" w:lineRule="auto"/>
              <w:jc w:val="left"/>
              <w:rPr>
                <w:rFonts w:hint="eastAsia" w:ascii="宋体" w:hAnsi="宋体" w:eastAsia="宋体" w:cs="宋体"/>
                <w:color w:val="auto"/>
                <w:szCs w:val="21"/>
                <w:highlight w:val="none"/>
              </w:rPr>
            </w:pPr>
            <w:bookmarkStart w:id="63" w:name="PO_3000001871_PM044"/>
            <w:r>
              <w:rPr>
                <w:rFonts w:hint="eastAsia" w:ascii="宋体" w:hAnsi="宋体" w:eastAsia="宋体" w:cs="宋体"/>
                <w:color w:val="auto"/>
                <w:highlight w:val="none"/>
                <w:lang w:val="en-US" w:eastAsia="zh-CN"/>
              </w:rPr>
              <w:t>□</w:t>
            </w:r>
            <w:r>
              <w:rPr>
                <w:rFonts w:hint="eastAsia" w:ascii="宋体" w:hAnsi="宋体" w:eastAsia="宋体" w:cs="宋体"/>
                <w:color w:val="auto"/>
                <w:szCs w:val="21"/>
                <w:highlight w:val="none"/>
              </w:rPr>
              <w:t>不允许分包</w:t>
            </w:r>
            <w:bookmarkEnd w:id="63"/>
          </w:p>
          <w:p w14:paraId="0F29E396">
            <w:pPr>
              <w:pStyle w:val="16"/>
              <w:spacing w:line="360" w:lineRule="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允许分包</w:t>
            </w:r>
          </w:p>
          <w:p w14:paraId="1E9C585D">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详见采购需求</w:t>
            </w:r>
            <w:r>
              <w:rPr>
                <w:rFonts w:hint="eastAsia" w:ascii="宋体" w:hAnsi="宋体" w:eastAsia="宋体" w:cs="宋体"/>
                <w:color w:val="auto"/>
                <w:szCs w:val="21"/>
                <w:highlight w:val="none"/>
                <w:u w:val="single"/>
              </w:rPr>
              <w:t xml:space="preserve">         。</w:t>
            </w:r>
          </w:p>
          <w:p w14:paraId="551B480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预留本项目预算金额的 44.13%专门面向中小企业采购      。</w:t>
            </w:r>
          </w:p>
        </w:tc>
      </w:tr>
      <w:tr w14:paraId="20FF7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0FE91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382" w:type="dxa"/>
            <w:noWrap w:val="0"/>
            <w:vAlign w:val="center"/>
          </w:tcPr>
          <w:p w14:paraId="7448035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14:paraId="48D3444E">
            <w:pPr>
              <w:spacing w:line="360" w:lineRule="auto"/>
              <w:jc w:val="center"/>
              <w:rPr>
                <w:rFonts w:hint="eastAsia" w:ascii="宋体" w:hAnsi="宋体" w:eastAsia="宋体" w:cs="宋体"/>
                <w:color w:val="auto"/>
                <w:szCs w:val="21"/>
                <w:highlight w:val="none"/>
              </w:rPr>
            </w:pPr>
          </w:p>
        </w:tc>
        <w:tc>
          <w:tcPr>
            <w:tcW w:w="6586" w:type="dxa"/>
            <w:noWrap w:val="0"/>
            <w:vAlign w:val="center"/>
          </w:tcPr>
          <w:p w14:paraId="2667F2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eastAsia="宋体" w:cs="宋体"/>
                <w:color w:val="auto"/>
                <w:sz w:val="21"/>
                <w:szCs w:val="21"/>
                <w:highlight w:val="none"/>
                <w:lang w:val="en-US" w:eastAsia="zh-CN"/>
              </w:rPr>
              <w:t>授权委托书、法人营业执照及分支机构营业执照的复印件</w:t>
            </w:r>
            <w:r>
              <w:rPr>
                <w:rFonts w:hint="eastAsia" w:ascii="宋体" w:hAnsi="宋体" w:eastAsia="宋体" w:cs="宋体"/>
                <w:color w:val="auto"/>
                <w:highlight w:val="none"/>
                <w:lang w:val="en-US" w:eastAsia="zh-CN"/>
              </w:rPr>
              <w:t>。</w:t>
            </w:r>
            <w:r>
              <w:rPr>
                <w:rFonts w:hint="eastAsia" w:ascii="宋体" w:hAnsi="宋体" w:eastAsia="宋体" w:cs="宋体"/>
                <w:b/>
                <w:bCs/>
                <w:color w:val="auto"/>
                <w:highlight w:val="none"/>
                <w:lang w:val="en-US" w:eastAsia="zh-CN"/>
              </w:rPr>
              <w:t>（必须提供，否则作无效响应处理）</w:t>
            </w:r>
          </w:p>
          <w:p w14:paraId="4C1CCA4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2.供应商依法缴纳税收的相关材料（</w:t>
            </w:r>
            <w:r>
              <w:rPr>
                <w:rFonts w:hint="eastAsia" w:ascii="宋体" w:hAnsi="宋体" w:eastAsia="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eastAsia="宋体" w:cs="宋体"/>
                <w:color w:val="auto"/>
                <w:highlight w:val="none"/>
              </w:rPr>
              <w:t>依法免税的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，必须提供相应文件证明其依法免税。</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A8B822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个月的依法缴纳社会保障资金的缴费凭证复印件；</w:t>
            </w:r>
            <w:r>
              <w:rPr>
                <w:rFonts w:hint="eastAsia" w:ascii="宋体" w:hAnsi="宋体" w:eastAsia="宋体" w:cs="宋体"/>
                <w:color w:val="auto"/>
                <w:highlight w:val="none"/>
              </w:rPr>
              <w:t>依法不需要缴纳社会保障资金的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，必须提供相应文件证明不需要缴纳社会保障资金。</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021C4B4">
            <w:pPr>
              <w:spacing w:line="360" w:lineRule="auto"/>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 xml:space="preserve"> 2025 </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者首次响应文件提交截止</w:t>
            </w:r>
            <w:r>
              <w:rPr>
                <w:rFonts w:hint="eastAsia" w:ascii="宋体" w:hAnsi="宋体" w:eastAsia="宋体" w:cs="宋体"/>
                <w:color w:val="auto"/>
                <w:szCs w:val="21"/>
                <w:highlight w:val="none"/>
              </w:rPr>
              <w:t>时间前半年内至少一个月能反映财务状况的报表或</w:t>
            </w:r>
            <w:r>
              <w:rPr>
                <w:rFonts w:hint="eastAsia" w:ascii="宋体" w:hAnsi="宋体" w:eastAsia="宋体" w:cs="宋体"/>
                <w:color w:val="auto"/>
                <w:szCs w:val="21"/>
                <w:highlight w:val="none"/>
                <w:lang w:eastAsia="zh-CN"/>
              </w:rPr>
              <w:t>者供应商</w:t>
            </w:r>
            <w:r>
              <w:rPr>
                <w:rFonts w:hint="eastAsia" w:ascii="宋体" w:hAnsi="宋体" w:eastAsia="宋体" w:cs="宋体"/>
                <w:color w:val="auto"/>
                <w:szCs w:val="21"/>
                <w:highlight w:val="none"/>
              </w:rPr>
              <w:t>自拟的</w:t>
            </w:r>
            <w:r>
              <w:rPr>
                <w:rFonts w:hint="eastAsia" w:ascii="宋体" w:hAnsi="宋体" w:eastAsia="宋体" w:cs="宋体"/>
                <w:color w:val="auto"/>
                <w:szCs w:val="21"/>
                <w:highlight w:val="none"/>
                <w:lang w:eastAsia="zh-CN"/>
              </w:rPr>
              <w:t>首次响应文件提交截止</w:t>
            </w:r>
            <w:r>
              <w:rPr>
                <w:rFonts w:hint="eastAsia" w:ascii="宋体" w:hAnsi="宋体" w:eastAsia="宋体" w:cs="宋体"/>
                <w:color w:val="auto"/>
                <w:szCs w:val="21"/>
                <w:highlight w:val="none"/>
              </w:rPr>
              <w:t>前半年内至少一个月的财务情况说明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bCs/>
                <w:color w:val="auto"/>
                <w:szCs w:val="21"/>
                <w:highlight w:val="none"/>
              </w:rPr>
              <w:t>）</w:t>
            </w:r>
          </w:p>
          <w:p w14:paraId="59243A2A">
            <w:pPr>
              <w:numPr>
                <w:ilvl w:val="0"/>
                <w:numId w:val="0"/>
              </w:numPr>
              <w:spacing w:line="360" w:lineRule="auto"/>
              <w:ind w:left="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5.供应商</w:t>
            </w:r>
            <w:r>
              <w:rPr>
                <w:rFonts w:hint="eastAsia" w:ascii="宋体" w:hAnsi="宋体" w:eastAsia="宋体" w:cs="宋体"/>
                <w:color w:val="auto"/>
                <w:szCs w:val="21"/>
                <w:highlight w:val="none"/>
              </w:rPr>
              <w:t>直接控股股东信息表（格式后附）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680F6BA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6.供应商</w:t>
            </w:r>
            <w:r>
              <w:rPr>
                <w:rFonts w:hint="eastAsia" w:ascii="宋体" w:hAnsi="宋体" w:eastAsia="宋体" w:cs="宋体"/>
                <w:color w:val="auto"/>
                <w:szCs w:val="21"/>
                <w:highlight w:val="none"/>
              </w:rPr>
              <w:t>直接管理关系信息表（格式后附）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0174F6B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.声明函（格式后附）；（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1E85D1A">
            <w:pPr>
              <w:pageBreakBefore w:val="0"/>
              <w:widowControl w:val="0"/>
              <w:overflowPunct/>
              <w:topLinePunct w:val="0"/>
              <w:bidi w:val="0"/>
              <w:spacing w:line="40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本项目属于部分预留份额专门面向中小企业采购的项目，预留本项目预算金额的 44.13%专门面向中小企业采购。</w:t>
            </w:r>
            <w:r>
              <w:rPr>
                <w:rFonts w:hint="eastAsia" w:ascii="Times New Roman" w:hAnsi="Times New Roman" w:eastAsia="宋体" w:cs="Times New Roman"/>
                <w:b w:val="0"/>
                <w:bCs w:val="0"/>
                <w:color w:val="auto"/>
                <w:sz w:val="21"/>
                <w:szCs w:val="21"/>
                <w:highlight w:val="none"/>
                <w:lang w:eastAsia="zh-CN"/>
              </w:rPr>
              <w:t>供应商</w:t>
            </w:r>
            <w:r>
              <w:rPr>
                <w:rFonts w:hint="default" w:ascii="Times New Roman" w:hAnsi="Times New Roman" w:eastAsia="宋体" w:cs="Times New Roman"/>
                <w:b w:val="0"/>
                <w:bCs w:val="0"/>
                <w:color w:val="auto"/>
                <w:sz w:val="21"/>
                <w:szCs w:val="21"/>
                <w:highlight w:val="none"/>
                <w:lang w:eastAsia="zh-CN"/>
              </w:rPr>
              <w:t>须</w:t>
            </w:r>
            <w:r>
              <w:rPr>
                <w:rFonts w:hint="eastAsia" w:ascii="Times New Roman" w:hAnsi="Times New Roman" w:eastAsia="宋体" w:cs="Times New Roman"/>
                <w:b w:val="0"/>
                <w:bCs w:val="0"/>
                <w:color w:val="auto"/>
                <w:sz w:val="21"/>
                <w:szCs w:val="21"/>
                <w:highlight w:val="none"/>
                <w:lang w:val="en-US" w:eastAsia="zh-CN"/>
              </w:rPr>
              <w:t>提供</w:t>
            </w:r>
            <w:r>
              <w:rPr>
                <w:rFonts w:hint="eastAsia" w:ascii="宋体" w:hAnsi="宋体" w:eastAsia="宋体" w:cs="宋体"/>
                <w:color w:val="auto"/>
                <w:kern w:val="2"/>
                <w:sz w:val="21"/>
                <w:szCs w:val="21"/>
                <w:highlight w:val="none"/>
                <w:lang w:val="en-US" w:eastAsia="zh-CN" w:bidi="ar-SA"/>
              </w:rPr>
              <w:t>中小企业声明函（中小企业预留部分）</w:t>
            </w:r>
            <w:r>
              <w:rPr>
                <w:rFonts w:hint="eastAsia" w:ascii="宋体" w:hAnsi="宋体" w:eastAsia="宋体" w:cs="宋体"/>
                <w:b/>
                <w:i w:val="0"/>
                <w:iCs w:val="0"/>
                <w:color w:val="auto"/>
                <w:sz w:val="21"/>
                <w:szCs w:val="21"/>
                <w:highlight w:val="none"/>
              </w:rPr>
              <w:t>（必须提供，否则响应文件</w:t>
            </w:r>
            <w:r>
              <w:rPr>
                <w:rFonts w:hint="eastAsia" w:ascii="宋体" w:hAnsi="宋体" w:eastAsia="宋体" w:cs="宋体"/>
                <w:b/>
                <w:i w:val="0"/>
                <w:iCs w:val="0"/>
                <w:color w:val="auto"/>
                <w:sz w:val="21"/>
                <w:szCs w:val="21"/>
                <w:highlight w:val="none"/>
                <w:lang w:val="en-US" w:eastAsia="zh-CN"/>
              </w:rPr>
              <w:t>作</w:t>
            </w:r>
            <w:r>
              <w:rPr>
                <w:rFonts w:hint="eastAsia" w:ascii="宋体" w:hAnsi="宋体" w:eastAsia="宋体" w:cs="宋体"/>
                <w:b/>
                <w:i w:val="0"/>
                <w:iCs w:val="0"/>
                <w:color w:val="auto"/>
                <w:sz w:val="21"/>
                <w:szCs w:val="21"/>
                <w:highlight w:val="none"/>
              </w:rPr>
              <w:t>无效响应处理）</w:t>
            </w:r>
          </w:p>
          <w:p w14:paraId="4C81C9B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.联合体竞标协议书（格式后附）；（</w:t>
            </w:r>
            <w:r>
              <w:rPr>
                <w:rFonts w:hint="eastAsia" w:ascii="宋体" w:hAnsi="宋体" w:eastAsia="宋体" w:cs="宋体"/>
                <w:b/>
                <w:color w:val="auto"/>
                <w:szCs w:val="21"/>
                <w:highlight w:val="none"/>
              </w:rPr>
              <w:t>联合体竞标时必须提供，否则响应文件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12891EB6">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.除谈判文件规定必须提供以外，供应商认为需要提供的其他证明材料（格式自拟）</w:t>
            </w:r>
            <w:r>
              <w:rPr>
                <w:rFonts w:hint="eastAsia" w:ascii="宋体" w:hAnsi="宋体" w:eastAsia="宋体" w:cs="宋体"/>
                <w:color w:val="auto"/>
                <w:szCs w:val="21"/>
                <w:highlight w:val="none"/>
                <w:lang w:eastAsia="zh-CN"/>
              </w:rPr>
              <w:t>。</w:t>
            </w:r>
          </w:p>
          <w:p w14:paraId="00E482AB">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0A9893EA">
            <w:pPr>
              <w:spacing w:line="360" w:lineRule="auto"/>
              <w:ind w:firstLine="413"/>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31386D4D">
            <w:pPr>
              <w:spacing w:line="360" w:lineRule="auto"/>
              <w:ind w:firstLine="422"/>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2.联合体竞标时，第1-</w:t>
            </w: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项资格文件联合体各方均必须分别提供，联合体各方分别盖章，否则响应文件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4D516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2031192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382" w:type="dxa"/>
            <w:noWrap w:val="0"/>
            <w:vAlign w:val="center"/>
          </w:tcPr>
          <w:p w14:paraId="0D44632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noWrap w:val="0"/>
            <w:vAlign w:val="center"/>
          </w:tcPr>
          <w:p w14:paraId="37E8F2F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9729AD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54FE51D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ACAFE4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.商务条款偏离表（格式后附）；（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A048DF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情况介绍（格式自拟）；</w:t>
            </w:r>
          </w:p>
          <w:p w14:paraId="4698BFE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.对应采购需求的商务条款提供的其他文件资料（格式自拟）；</w:t>
            </w:r>
          </w:p>
          <w:p w14:paraId="63BF569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供应商认为需要提供的其他有关资料（格式自拟）。</w:t>
            </w:r>
          </w:p>
          <w:p w14:paraId="24B79D33">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7867D508">
            <w:pPr>
              <w:spacing w:line="360" w:lineRule="auto"/>
              <w:ind w:firstLine="413"/>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4002961E">
            <w:pPr>
              <w:spacing w:line="360" w:lineRule="auto"/>
              <w:ind w:firstLine="413"/>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588A9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11F2608C">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5CE86CF7">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noWrap w:val="0"/>
            <w:vAlign w:val="center"/>
          </w:tcPr>
          <w:p w14:paraId="2067A38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技术</w:t>
            </w:r>
            <w:r>
              <w:rPr>
                <w:rFonts w:hint="eastAsia" w:ascii="宋体" w:hAnsi="宋体" w:eastAsia="宋体" w:cs="宋体"/>
                <w:color w:val="auto"/>
                <w:szCs w:val="21"/>
                <w:highlight w:val="none"/>
              </w:rPr>
              <w:t>需求偏离表（格式后附）；（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1F7E0093">
            <w:pPr>
              <w:spacing w:line="360" w:lineRule="auto"/>
              <w:jc w:val="left"/>
              <w:rPr>
                <w:rFonts w:hint="eastAsia" w:ascii="宋体" w:hAnsi="宋体" w:eastAsia="宋体" w:cs="宋体"/>
                <w:b/>
                <w:i/>
                <w:i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项目实施方案</w:t>
            </w:r>
            <w:r>
              <w:rPr>
                <w:rFonts w:hint="eastAsia" w:ascii="宋体" w:hAnsi="宋体" w:eastAsia="宋体" w:cs="宋体"/>
                <w:color w:val="auto"/>
                <w:szCs w:val="21"/>
                <w:highlight w:val="none"/>
                <w:lang w:eastAsia="zh-CN"/>
              </w:rPr>
              <w:t>（包括但不限于拟投入实施人员</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售后服务承诺、</w:t>
            </w:r>
            <w:r>
              <w:rPr>
                <w:rFonts w:hint="eastAsia" w:ascii="宋体" w:hAnsi="宋体" w:eastAsia="宋体" w:cs="宋体"/>
                <w:color w:val="auto"/>
                <w:szCs w:val="21"/>
                <w:highlight w:val="none"/>
              </w:rPr>
              <w:t>技术培训</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48DA59E3">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竞标产品技术证明资料（包括但不限于竞标</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说明书、</w:t>
            </w:r>
            <w:r>
              <w:rPr>
                <w:rFonts w:hint="eastAsia" w:ascii="宋体" w:hAnsi="宋体" w:eastAsia="宋体" w:cs="宋体"/>
                <w:color w:val="auto"/>
                <w:szCs w:val="21"/>
                <w:highlight w:val="none"/>
              </w:rPr>
              <w:t>出厂标准、质量检测报告</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0CA71D99">
            <w:pPr>
              <w:tabs>
                <w:tab w:val="center" w:pos="4153"/>
                <w:tab w:val="right" w:pos="8306"/>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57D4DE0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对本项目的合理化建议（格式自拟）；</w:t>
            </w:r>
          </w:p>
          <w:p w14:paraId="5E6BF7C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除</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文件规定必须提供以外，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需要说明的其他文件和说明（格式自拟）。</w:t>
            </w:r>
          </w:p>
          <w:p w14:paraId="52EE64A9">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04B1A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1C263C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2382" w:type="dxa"/>
            <w:noWrap w:val="0"/>
            <w:vAlign w:val="center"/>
          </w:tcPr>
          <w:p w14:paraId="1B3355F3">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noWrap w:val="0"/>
            <w:vAlign w:val="center"/>
          </w:tcPr>
          <w:p w14:paraId="38D0B2F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614C2C1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Cs w:val="21"/>
                <w:highlight w:val="none"/>
              </w:rPr>
              <w:t>响应报价表（格式后附）；（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AB50DBE">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eastAsia="zh-CN"/>
              </w:rPr>
              <w:t>或</w:t>
            </w:r>
            <w:r>
              <w:rPr>
                <w:rFonts w:hint="eastAsia" w:ascii="宋体" w:hAnsi="宋体" w:eastAsia="宋体" w:cs="宋体"/>
                <w:i w:val="0"/>
                <w:iCs w:val="0"/>
                <w:caps w:val="0"/>
                <w:color w:val="auto"/>
                <w:spacing w:val="0"/>
                <w:sz w:val="21"/>
                <w:szCs w:val="24"/>
                <w:highlight w:val="none"/>
                <w:shd w:val="clear" w:color="auto" w:fill="auto"/>
              </w:rPr>
              <w:t>财政部会同有关部门规定的有关证明文件</w:t>
            </w:r>
            <w:r>
              <w:rPr>
                <w:rFonts w:hint="eastAsia" w:ascii="宋体" w:hAnsi="宋体" w:eastAsia="宋体" w:cs="宋体"/>
                <w:color w:val="auto"/>
                <w:szCs w:val="24"/>
                <w:highlight w:val="none"/>
                <w:lang w:eastAsia="zh-CN"/>
              </w:rPr>
              <w:t>；</w:t>
            </w:r>
            <w:r>
              <w:rPr>
                <w:rFonts w:hint="eastAsia" w:ascii="宋体" w:hAnsi="宋体" w:eastAsia="宋体" w:cs="宋体"/>
                <w:color w:val="auto"/>
                <w:highlight w:val="none"/>
                <w:lang w:eastAsia="zh-CN"/>
              </w:rPr>
              <w:t>（如有请提供）</w:t>
            </w:r>
          </w:p>
          <w:p w14:paraId="161DA73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4.供应商</w:t>
            </w:r>
            <w:r>
              <w:rPr>
                <w:rFonts w:hint="eastAsia" w:ascii="宋体" w:hAnsi="宋体" w:eastAsia="宋体" w:cs="宋体"/>
                <w:color w:val="auto"/>
                <w:szCs w:val="21"/>
                <w:highlight w:val="none"/>
              </w:rPr>
              <w:t>针对报价需要说明的其他文件和说明（格式自拟）。</w:t>
            </w:r>
          </w:p>
          <w:p w14:paraId="4C724424">
            <w:pPr>
              <w:pStyle w:val="58"/>
              <w:spacing w:line="36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注：以上标明“必须提供”的材料属于复印件的扫描件的，必须加盖</w:t>
            </w:r>
          </w:p>
          <w:p w14:paraId="667399A6">
            <w:pPr>
              <w:pStyle w:val="58"/>
              <w:spacing w:line="360" w:lineRule="auto"/>
              <w:jc w:val="both"/>
              <w:rPr>
                <w:rFonts w:hint="eastAsia"/>
                <w:color w:val="auto"/>
                <w:lang w:eastAsia="zh-CN"/>
              </w:rPr>
            </w:pPr>
            <w:r>
              <w:rPr>
                <w:rFonts w:hint="eastAsia" w:ascii="宋体" w:hAnsi="宋体" w:eastAsia="宋体" w:cs="宋体"/>
                <w:color w:val="auto"/>
                <w:sz w:val="21"/>
                <w:szCs w:val="21"/>
                <w:lang w:eastAsia="zh-CN"/>
              </w:rPr>
              <w:t>供应商公章，否则响应文件作无效响应处理。</w:t>
            </w:r>
          </w:p>
        </w:tc>
      </w:tr>
      <w:tr w14:paraId="09BAB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AFE06A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382" w:type="dxa"/>
            <w:noWrap w:val="0"/>
            <w:vAlign w:val="center"/>
          </w:tcPr>
          <w:p w14:paraId="5A34C9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noWrap w:val="0"/>
            <w:vAlign w:val="center"/>
          </w:tcPr>
          <w:p w14:paraId="0C5F70B3">
            <w:pPr>
              <w:pStyle w:val="16"/>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w:t>
            </w:r>
            <w:r>
              <w:rPr>
                <w:rFonts w:hint="eastAsia" w:ascii="宋体" w:hAnsi="宋体" w:eastAsia="宋体" w:cs="宋体"/>
                <w:color w:val="auto"/>
                <w:szCs w:val="21"/>
                <w:highlight w:val="none"/>
                <w:lang w:val="en-US" w:eastAsia="zh-CN"/>
              </w:rPr>
              <w:t>竞争性谈判</w:t>
            </w:r>
            <w:r>
              <w:rPr>
                <w:rFonts w:hint="eastAsia" w:ascii="宋体" w:hAnsi="宋体" w:eastAsia="宋体" w:cs="宋体"/>
                <w:color w:val="auto"/>
                <w:szCs w:val="21"/>
                <w:highlight w:val="none"/>
              </w:rPr>
              <w:t>文件“第五章 响应文件格式”编写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第五章未附格式的，由供应商自行拟定。</w:t>
            </w:r>
          </w:p>
          <w:p w14:paraId="2753B8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w:t>
            </w:r>
            <w:r>
              <w:rPr>
                <w:rFonts w:hint="eastAsia" w:ascii="宋体" w:hAnsi="宋体" w:eastAsia="宋体" w:cs="宋体"/>
                <w:color w:val="auto"/>
                <w:szCs w:val="21"/>
                <w:highlight w:val="none"/>
                <w:lang w:eastAsia="zh-CN"/>
              </w:rPr>
              <w:t>加密提交</w:t>
            </w:r>
            <w:r>
              <w:rPr>
                <w:rFonts w:hint="eastAsia" w:ascii="宋体" w:hAnsi="宋体" w:eastAsia="宋体" w:cs="宋体"/>
                <w:color w:val="auto"/>
                <w:szCs w:val="21"/>
                <w:highlight w:val="none"/>
              </w:rPr>
              <w:t>方式：</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通过平台有效CA加密后在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eastAsia="zh-CN"/>
              </w:rPr>
              <w:t>上传</w:t>
            </w:r>
            <w:r>
              <w:rPr>
                <w:rFonts w:hint="eastAsia" w:ascii="宋体" w:hAnsi="宋体" w:eastAsia="宋体" w:cs="宋体"/>
                <w:color w:val="auto"/>
                <w:szCs w:val="21"/>
                <w:highlight w:val="none"/>
              </w:rPr>
              <w:t>。</w:t>
            </w:r>
          </w:p>
        </w:tc>
      </w:tr>
      <w:tr w14:paraId="6F845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4885BA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noWrap w:val="0"/>
            <w:vAlign w:val="center"/>
          </w:tcPr>
          <w:p w14:paraId="714D340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noWrap w:val="0"/>
            <w:vAlign w:val="center"/>
          </w:tcPr>
          <w:p w14:paraId="3B08C8E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t>响应报价必须包含</w:t>
            </w:r>
            <w:r>
              <w:rPr>
                <w:rFonts w:hint="eastAsia" w:ascii="宋体" w:hAnsi="宋体" w:eastAsia="宋体" w:cs="宋体"/>
                <w:color w:val="auto"/>
                <w:sz w:val="21"/>
                <w:szCs w:val="21"/>
                <w:highlight w:val="none"/>
              </w:rPr>
              <w:t>采购人指定地点的现场交货价，包括：</w:t>
            </w:r>
          </w:p>
          <w:p w14:paraId="3BCE57A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（1）货物的价格：包括货款、安装调试费、验收费（含检定、校准费，如有）；</w:t>
            </w:r>
          </w:p>
          <w:p w14:paraId="27AC58D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7F070B48">
            <w:pPr>
              <w:spacing w:line="360" w:lineRule="auto"/>
              <w:jc w:val="left"/>
              <w:rPr>
                <w:rFonts w:hint="eastAsia" w:ascii="宋体" w:hAnsi="宋体" w:eastAsia="宋体" w:cs="宋体"/>
                <w:color w:val="auto"/>
                <w:highlight w:val="none"/>
              </w:rPr>
            </w:pPr>
            <w:r>
              <w:rPr>
                <w:rFonts w:hint="eastAsia" w:ascii="宋体" w:hAnsi="宋体" w:eastAsia="宋体" w:cs="宋体"/>
                <w:color w:val="auto"/>
                <w:sz w:val="21"/>
                <w:szCs w:val="21"/>
                <w:highlight w:val="none"/>
              </w:rPr>
              <w:t>（3）运输、装卸、调试、培训、技术支持、售后服务费。</w:t>
            </w:r>
            <w:r>
              <w:rPr>
                <w:rFonts w:hint="eastAsia" w:ascii="宋体" w:hAnsi="宋体" w:eastAsia="宋体" w:cs="宋体"/>
                <w:color w:val="auto"/>
                <w:highlight w:val="none"/>
              </w:rPr>
              <w:t>（采购需求另有约定的，从其约定。）。</w:t>
            </w:r>
          </w:p>
          <w:p w14:paraId="1BF39967">
            <w:pPr>
              <w:pStyle w:val="18"/>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报价包含验收费用</w:t>
            </w:r>
          </w:p>
          <w:p w14:paraId="198B3702">
            <w:pPr>
              <w:pStyle w:val="18"/>
              <w:spacing w:line="360" w:lineRule="auto"/>
              <w:rPr>
                <w:rFonts w:hint="eastAsia" w:ascii="宋体" w:hAnsi="宋体" w:eastAsia="宋体" w:cs="宋体"/>
                <w:color w:val="auto"/>
                <w:highlight w:val="none"/>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报价不包含验收费用</w:t>
            </w:r>
          </w:p>
        </w:tc>
      </w:tr>
      <w:tr w14:paraId="6B75D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0068C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382" w:type="dxa"/>
            <w:noWrap w:val="0"/>
            <w:vAlign w:val="center"/>
          </w:tcPr>
          <w:p w14:paraId="32CFD3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noWrap w:val="0"/>
            <w:vAlign w:val="center"/>
          </w:tcPr>
          <w:p w14:paraId="08378414">
            <w:pPr>
              <w:tabs>
                <w:tab w:val="left" w:pos="720"/>
                <w:tab w:val="left" w:pos="840"/>
              </w:tabs>
              <w:spacing w:after="50" w:line="360" w:lineRule="auto"/>
              <w:ind w:left="283" w:hanging="28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64" w:name="PO_3000001871_PM046"/>
            <w:r>
              <w:rPr>
                <w:rFonts w:hint="eastAsia" w:ascii="宋体" w:hAnsi="宋体" w:eastAsia="宋体" w:cs="宋体"/>
                <w:color w:val="auto"/>
                <w:szCs w:val="21"/>
                <w:highlight w:val="none"/>
                <w:u w:val="single"/>
                <w:lang w:val="en-US" w:eastAsia="zh-CN"/>
              </w:rPr>
              <w:t xml:space="preserve"> </w:t>
            </w:r>
            <w:bookmarkEnd w:id="64"/>
            <w:r>
              <w:rPr>
                <w:rFonts w:hint="eastAsia" w:ascii="宋体" w:hAnsi="宋体" w:eastAsia="宋体" w:cs="宋体"/>
                <w:color w:val="auto"/>
                <w:szCs w:val="21"/>
                <w:highlight w:val="none"/>
                <w:u w:val="single"/>
                <w:lang w:val="en-US" w:eastAsia="zh-CN"/>
              </w:rPr>
              <w:t>90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14:paraId="70AEF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BC8A2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noWrap w:val="0"/>
            <w:vAlign w:val="center"/>
          </w:tcPr>
          <w:p w14:paraId="02CAC11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noWrap w:val="0"/>
            <w:vAlign w:val="center"/>
          </w:tcPr>
          <w:p w14:paraId="787EB6FD">
            <w:pPr>
              <w:spacing w:line="360" w:lineRule="auto"/>
              <w:ind w:firstLine="0"/>
              <w:rPr>
                <w:rFonts w:hint="eastAsia" w:ascii="宋体" w:hAnsi="宋体" w:eastAsia="宋体" w:cs="宋体"/>
                <w:b/>
                <w:bCs/>
                <w:color w:val="auto"/>
                <w:szCs w:val="21"/>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szCs w:val="21"/>
                <w:highlight w:val="none"/>
              </w:rPr>
              <w:t>纳谈判</w:t>
            </w:r>
            <w:r>
              <w:rPr>
                <w:rFonts w:hint="eastAsia" w:ascii="宋体" w:hAnsi="宋体" w:eastAsia="宋体" w:cs="宋体"/>
                <w:b/>
                <w:bCs/>
                <w:color w:val="auto"/>
                <w:szCs w:val="21"/>
                <w:highlight w:val="none"/>
                <w:lang w:eastAsia="zh-CN"/>
              </w:rPr>
              <w:t>保证金。</w:t>
            </w:r>
          </w:p>
          <w:p w14:paraId="015225C1">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szCs w:val="21"/>
                <w:highlight w:val="none"/>
              </w:rPr>
              <w:t>纳谈判</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0339B5A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方式：详见竞争性谈判公告。</w:t>
            </w:r>
          </w:p>
          <w:p w14:paraId="3804186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的金额：详见竞争性谈判公告。</w:t>
            </w:r>
          </w:p>
          <w:p w14:paraId="58EA60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采用银行转账</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方式的，在首次响应文件提交截止时间前交至采购代理机构指定账户并且到账，供应商应将银行转账底单的复印件作为</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4C07E7D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采用支票、汇票、本票或者金融机构、担保机构出具的保函</w:t>
            </w:r>
            <w:r>
              <w:rPr>
                <w:rFonts w:hint="eastAsia" w:ascii="宋体" w:hAnsi="宋体" w:eastAsia="宋体" w:cs="宋体"/>
                <w:color w:val="auto"/>
                <w:szCs w:val="21"/>
                <w:highlight w:val="none"/>
                <w:lang w:eastAsia="zh-CN"/>
              </w:rPr>
              <w:t>等缴纳</w:t>
            </w:r>
            <w:r>
              <w:rPr>
                <w:rFonts w:hint="eastAsia" w:ascii="宋体" w:hAnsi="宋体" w:eastAsia="宋体" w:cs="宋体"/>
                <w:color w:val="auto"/>
                <w:szCs w:val="21"/>
                <w:highlight w:val="none"/>
              </w:rPr>
              <w:t>方式的，供应商应将支票、汇票、本票或者金融机构、担保机构出具的保函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的复印件或者金融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eastAsia="宋体" w:cs="宋体"/>
                <w:color w:val="auto"/>
                <w:szCs w:val="21"/>
                <w:highlight w:val="none"/>
                <w:lang w:val="en-US" w:eastAsia="zh-CN"/>
              </w:rPr>
              <w:t>电子保函</w:t>
            </w:r>
            <w:r>
              <w:rPr>
                <w:rFonts w:hint="eastAsia" w:ascii="宋体" w:hAnsi="宋体" w:eastAsia="宋体" w:cs="宋体"/>
                <w:color w:val="auto"/>
                <w:szCs w:val="21"/>
                <w:highlight w:val="none"/>
              </w:rPr>
              <w:t>作为</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。供应商必须在首次响应文件提交截止时间</w:t>
            </w:r>
            <w:r>
              <w:rPr>
                <w:rFonts w:hint="eastAsia" w:ascii="宋体" w:hAnsi="宋体" w:eastAsia="宋体" w:cs="宋体"/>
                <w:color w:val="auto"/>
                <w:szCs w:val="21"/>
                <w:highlight w:val="none"/>
                <w:lang w:eastAsia="zh-CN"/>
              </w:rPr>
              <w:t>前</w:t>
            </w:r>
            <w:r>
              <w:rPr>
                <w:rFonts w:hint="eastAsia" w:ascii="宋体" w:hAnsi="宋体" w:eastAsia="宋体" w:cs="宋体"/>
                <w:color w:val="auto"/>
                <w:szCs w:val="21"/>
                <w:highlight w:val="none"/>
              </w:rPr>
              <w:t>将支票、汇票、本票或者金融机构、担保机构出具的保函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电子保函除外</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原件提交给采购代理机构，由采购代理机构向供应商出具回执，并妥善保管。</w:t>
            </w:r>
          </w:p>
          <w:p w14:paraId="6A0EC48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户：详见竞争性谈判公告。</w:t>
            </w:r>
          </w:p>
          <w:p w14:paraId="420AF787">
            <w:pPr>
              <w:pStyle w:val="16"/>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.供应商为联合体的，可以由联合体中的一方或者多方共同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highlight w:val="none"/>
                <w:lang w:eastAsia="zh-CN"/>
              </w:rPr>
              <w:t>谈判保证金</w:t>
            </w:r>
            <w:r>
              <w:rPr>
                <w:rFonts w:hint="eastAsia" w:ascii="宋体" w:hAnsi="宋体" w:eastAsia="宋体" w:cs="宋体"/>
                <w:color w:val="auto"/>
                <w:szCs w:val="21"/>
                <w:highlight w:val="none"/>
              </w:rPr>
              <w:t>，其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对联合体各方均具有约束力。</w:t>
            </w:r>
          </w:p>
          <w:p w14:paraId="66C3B86F">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5D03144C">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首次响应文件提交截止时间后提交的，或者未足额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的，或者保函额度不足的，视为无效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5136ADE5">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方式或者从个人账户（自然人竞标除外）转出的</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185C5B0C">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3B64E4ED">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25BFD8BF">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采用金融、担保机构出具的保函为有条件保函的，视为无效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color w:val="auto"/>
                <w:szCs w:val="21"/>
                <w:highlight w:val="none"/>
              </w:rPr>
              <w:t>。</w:t>
            </w:r>
          </w:p>
        </w:tc>
      </w:tr>
      <w:tr w14:paraId="4B1C7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noWrap w:val="0"/>
            <w:vAlign w:val="center"/>
          </w:tcPr>
          <w:p w14:paraId="26C4B65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noWrap w:val="0"/>
            <w:vAlign w:val="center"/>
          </w:tcPr>
          <w:p w14:paraId="384D51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w:t>
            </w:r>
            <w:r>
              <w:rPr>
                <w:rFonts w:hint="eastAsia" w:ascii="宋体" w:hAnsi="宋体" w:eastAsia="宋体" w:cs="宋体"/>
                <w:color w:val="auto"/>
                <w:szCs w:val="21"/>
                <w:highlight w:val="none"/>
                <w:lang w:eastAsia="zh-CN"/>
              </w:rPr>
              <w:t>截</w:t>
            </w:r>
            <w:r>
              <w:rPr>
                <w:rFonts w:hint="eastAsia" w:ascii="宋体" w:hAnsi="宋体" w:eastAsia="宋体" w:cs="宋体"/>
                <w:color w:val="auto"/>
                <w:szCs w:val="21"/>
                <w:highlight w:val="none"/>
              </w:rPr>
              <w:t>止时间</w:t>
            </w:r>
          </w:p>
        </w:tc>
        <w:tc>
          <w:tcPr>
            <w:tcW w:w="6586" w:type="dxa"/>
            <w:noWrap w:val="0"/>
            <w:vAlign w:val="center"/>
          </w:tcPr>
          <w:p w14:paraId="760C8033">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41CE5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noWrap w:val="0"/>
            <w:vAlign w:val="center"/>
          </w:tcPr>
          <w:p w14:paraId="673E12DC">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1EFD3A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r>
              <w:rPr>
                <w:rFonts w:hint="eastAsia" w:ascii="宋体" w:hAnsi="宋体" w:eastAsia="宋体" w:cs="宋体"/>
                <w:color w:val="auto"/>
                <w:szCs w:val="21"/>
                <w:highlight w:val="none"/>
                <w:lang w:eastAsia="zh-CN"/>
              </w:rPr>
              <w:t>开启</w:t>
            </w:r>
            <w:r>
              <w:rPr>
                <w:rFonts w:hint="eastAsia" w:ascii="宋体" w:hAnsi="宋体" w:eastAsia="宋体" w:cs="宋体"/>
                <w:color w:val="auto"/>
                <w:szCs w:val="21"/>
                <w:highlight w:val="none"/>
              </w:rPr>
              <w:t>时间</w:t>
            </w:r>
          </w:p>
        </w:tc>
        <w:tc>
          <w:tcPr>
            <w:tcW w:w="6586" w:type="dxa"/>
            <w:noWrap w:val="0"/>
            <w:vAlign w:val="center"/>
          </w:tcPr>
          <w:p w14:paraId="37FA3C4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14:paraId="4394F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noWrap w:val="0"/>
            <w:vAlign w:val="center"/>
          </w:tcPr>
          <w:p w14:paraId="559EC286">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2523D2A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noWrap w:val="0"/>
            <w:vAlign w:val="center"/>
          </w:tcPr>
          <w:p w14:paraId="13E97852">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0807E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noWrap w:val="0"/>
            <w:vAlign w:val="center"/>
          </w:tcPr>
          <w:p w14:paraId="12FC65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noWrap w:val="0"/>
            <w:vAlign w:val="center"/>
          </w:tcPr>
          <w:p w14:paraId="78F2DDB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noWrap w:val="0"/>
            <w:vAlign w:val="center"/>
          </w:tcPr>
          <w:p w14:paraId="4CBAC3B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本项目接受备份响应文件。</w:t>
            </w:r>
          </w:p>
        </w:tc>
      </w:tr>
      <w:tr w14:paraId="5A52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noWrap w:val="0"/>
            <w:vAlign w:val="center"/>
          </w:tcPr>
          <w:p w14:paraId="7FD68F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rPr>
              <w:t>2</w:t>
            </w:r>
            <w:r>
              <w:rPr>
                <w:rFonts w:hint="default" w:ascii="宋体" w:hAnsi="宋体" w:eastAsia="宋体" w:cs="宋体"/>
                <w:color w:val="auto"/>
                <w:szCs w:val="21"/>
                <w:lang w:val="en-US"/>
              </w:rPr>
              <w:t>1</w:t>
            </w:r>
          </w:p>
        </w:tc>
        <w:tc>
          <w:tcPr>
            <w:tcW w:w="2382" w:type="dxa"/>
            <w:noWrap w:val="0"/>
            <w:vAlign w:val="center"/>
          </w:tcPr>
          <w:p w14:paraId="702A70E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rPr>
              <w:t>首次响应文件的</w:t>
            </w:r>
            <w:r>
              <w:rPr>
                <w:rFonts w:hint="eastAsia" w:ascii="宋体" w:hAnsi="宋体" w:eastAsia="宋体" w:cs="宋体"/>
                <w:b w:val="0"/>
                <w:bCs w:val="0"/>
                <w:color w:val="auto"/>
                <w:sz w:val="21"/>
                <w:szCs w:val="21"/>
              </w:rPr>
              <w:t>补充、修改与撤回</w:t>
            </w:r>
          </w:p>
        </w:tc>
        <w:tc>
          <w:tcPr>
            <w:tcW w:w="6586" w:type="dxa"/>
            <w:noWrap w:val="0"/>
            <w:vAlign w:val="center"/>
          </w:tcPr>
          <w:p w14:paraId="67CE12C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rPr>
              <w:t>详见</w:t>
            </w:r>
            <w:r>
              <w:rPr>
                <w:rFonts w:hint="eastAsia" w:ascii="宋体" w:hAnsi="宋体"/>
                <w:b w:val="0"/>
                <w:bCs/>
                <w:color w:val="auto"/>
                <w:highlight w:val="none"/>
              </w:rPr>
              <w:t>供应商须知正文</w:t>
            </w:r>
            <w:r>
              <w:rPr>
                <w:rFonts w:hint="eastAsia" w:ascii="宋体" w:hAnsi="宋体" w:eastAsia="宋体" w:cs="宋体"/>
                <w:color w:val="auto"/>
                <w:szCs w:val="21"/>
              </w:rPr>
              <w:t>。</w:t>
            </w:r>
          </w:p>
        </w:tc>
      </w:tr>
      <w:tr w14:paraId="5113F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573A3923">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25.1</w:t>
            </w:r>
          </w:p>
        </w:tc>
        <w:tc>
          <w:tcPr>
            <w:tcW w:w="2382" w:type="dxa"/>
            <w:noWrap w:val="0"/>
            <w:vAlign w:val="center"/>
          </w:tcPr>
          <w:p w14:paraId="60775FD5">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评审方法</w:t>
            </w:r>
          </w:p>
        </w:tc>
        <w:tc>
          <w:tcPr>
            <w:tcW w:w="6586" w:type="dxa"/>
            <w:noWrap w:val="0"/>
            <w:vAlign w:val="center"/>
          </w:tcPr>
          <w:p w14:paraId="62C521D6">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本项目采用</w:t>
            </w:r>
            <w:r>
              <w:rPr>
                <w:rFonts w:hint="eastAsia" w:ascii="宋体" w:hAnsi="宋体" w:eastAsia="宋体" w:cs="宋体"/>
                <w:color w:val="auto"/>
                <w:highlight w:val="none"/>
              </w:rPr>
              <w:t>最低评标价法</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最低评标价法是指</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文件满足</w:t>
            </w:r>
            <w:r>
              <w:rPr>
                <w:rFonts w:hint="eastAsia" w:ascii="宋体" w:hAnsi="宋体" w:eastAsia="宋体" w:cs="宋体"/>
                <w:color w:val="auto"/>
                <w:highlight w:val="none"/>
                <w:lang w:val="en-US" w:eastAsia="zh-CN"/>
              </w:rPr>
              <w:t>竞争性谈判</w:t>
            </w:r>
            <w:r>
              <w:rPr>
                <w:rFonts w:hint="eastAsia" w:ascii="宋体" w:hAnsi="宋体" w:eastAsia="宋体" w:cs="宋体"/>
                <w:color w:val="auto"/>
                <w:highlight w:val="none"/>
              </w:rPr>
              <w:t>文件全部实质性要求且</w:t>
            </w:r>
            <w:r>
              <w:rPr>
                <w:rFonts w:hint="eastAsia" w:ascii="宋体" w:hAnsi="宋体" w:eastAsia="宋体" w:cs="宋体"/>
                <w:color w:val="auto"/>
                <w:highlight w:val="none"/>
                <w:lang w:val="en-US" w:eastAsia="zh-CN"/>
              </w:rPr>
              <w:t>评</w:t>
            </w:r>
            <w:r>
              <w:rPr>
                <w:rFonts w:hint="eastAsia" w:ascii="宋体" w:hAnsi="宋体" w:eastAsia="宋体" w:cs="宋体"/>
                <w:color w:val="auto"/>
                <w:szCs w:val="21"/>
                <w:highlight w:val="none"/>
              </w:rPr>
              <w:t>审价</w:t>
            </w:r>
            <w:r>
              <w:rPr>
                <w:rFonts w:hint="eastAsia" w:ascii="宋体" w:hAnsi="宋体" w:eastAsia="宋体" w:cs="宋体"/>
                <w:color w:val="auto"/>
                <w:highlight w:val="none"/>
              </w:rPr>
              <w:t>最低的供应商为</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候选人的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w:t>
            </w:r>
          </w:p>
        </w:tc>
      </w:tr>
      <w:tr w14:paraId="0349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656345DF">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495EA9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noWrap w:val="0"/>
            <w:vAlign w:val="center"/>
          </w:tcPr>
          <w:p w14:paraId="466F31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4726903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依次按节能、环保产品累计</w:t>
            </w:r>
            <w:r>
              <w:rPr>
                <w:rFonts w:hint="eastAsia" w:ascii="宋体" w:hAnsi="宋体" w:eastAsia="宋体" w:cs="宋体"/>
                <w:color w:val="auto"/>
                <w:szCs w:val="21"/>
                <w:highlight w:val="none"/>
                <w:lang w:eastAsia="zh-CN"/>
              </w:rPr>
              <w:t>项数</w:t>
            </w:r>
            <w:r>
              <w:rPr>
                <w:rFonts w:hint="eastAsia" w:ascii="宋体" w:hAnsi="宋体" w:eastAsia="宋体" w:cs="宋体"/>
                <w:color w:val="auto"/>
                <w:szCs w:val="21"/>
                <w:highlight w:val="none"/>
              </w:rPr>
              <w:t>多的优先、带“▲”的实质性要求正偏离项数多的优先、均无正偏离或者正偏离项数一致时质量保证期长优先、</w:t>
            </w:r>
            <w:r>
              <w:rPr>
                <w:rFonts w:hint="eastAsia" w:ascii="宋体" w:hAnsi="宋体" w:eastAsia="宋体" w:cs="宋体"/>
                <w:color w:val="auto"/>
                <w:szCs w:val="21"/>
                <w:highlight w:val="none"/>
                <w:lang w:eastAsia="zh-CN"/>
              </w:rPr>
              <w:t>交付时间</w:t>
            </w:r>
            <w:r>
              <w:rPr>
                <w:rFonts w:hint="eastAsia" w:ascii="宋体" w:hAnsi="宋体" w:eastAsia="宋体" w:cs="宋体"/>
                <w:color w:val="auto"/>
                <w:szCs w:val="21"/>
                <w:highlight w:val="none"/>
              </w:rPr>
              <w:t>短优先、故障响应时间短优先的顺序排列。</w:t>
            </w:r>
          </w:p>
          <w:p w14:paraId="6343DE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14:paraId="7E4DE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F997B0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lang w:val="en-US" w:eastAsia="zh-CN"/>
              </w:rPr>
              <w:t>25.2</w:t>
            </w:r>
          </w:p>
        </w:tc>
        <w:tc>
          <w:tcPr>
            <w:tcW w:w="2382" w:type="dxa"/>
            <w:noWrap w:val="0"/>
            <w:vAlign w:val="center"/>
          </w:tcPr>
          <w:p w14:paraId="0A2E04D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rPr>
              <w:t>谈判的顺序</w:t>
            </w:r>
          </w:p>
        </w:tc>
        <w:tc>
          <w:tcPr>
            <w:tcW w:w="6586" w:type="dxa"/>
            <w:noWrap w:val="0"/>
            <w:vAlign w:val="center"/>
          </w:tcPr>
          <w:p w14:paraId="55D57CB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rPr>
              <w:t>系统自动提取的顺序</w:t>
            </w:r>
          </w:p>
        </w:tc>
      </w:tr>
      <w:tr w14:paraId="400A4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A7E4137">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7.1</w:t>
            </w:r>
          </w:p>
        </w:tc>
        <w:tc>
          <w:tcPr>
            <w:tcW w:w="2382" w:type="dxa"/>
            <w:noWrap w:val="0"/>
            <w:vAlign w:val="center"/>
          </w:tcPr>
          <w:p w14:paraId="710A08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noWrap w:val="0"/>
            <w:vAlign w:val="center"/>
          </w:tcPr>
          <w:p w14:paraId="5B216A89">
            <w:pPr>
              <w:spacing w:line="400" w:lineRule="exact"/>
              <w:rPr>
                <w:rFonts w:ascii="Times New Roman" w:hAnsi="Times New Roman"/>
                <w:b/>
                <w:bCs/>
                <w:color w:val="auto"/>
                <w:szCs w:val="21"/>
              </w:rPr>
            </w:pPr>
            <w:r>
              <w:rPr>
                <w:rFonts w:hint="eastAsia" w:ascii="Times New Roman" w:hAnsi="Times New Roman" w:eastAsia="宋体"/>
                <w:b/>
                <w:bCs/>
                <w:color w:val="auto"/>
                <w:szCs w:val="21"/>
                <w:lang w:eastAsia="zh-CN"/>
              </w:rPr>
              <w:t>☑</w:t>
            </w:r>
            <w:r>
              <w:rPr>
                <w:rFonts w:hint="eastAsia" w:ascii="Times New Roman" w:hAnsi="Times New Roman"/>
                <w:b/>
                <w:bCs/>
                <w:color w:val="auto"/>
                <w:szCs w:val="21"/>
              </w:rPr>
              <w:t xml:space="preserve"> 本项目不需要</w:t>
            </w:r>
            <w:r>
              <w:rPr>
                <w:rFonts w:hint="eastAsia" w:ascii="Times New Roman" w:hAnsi="Times New Roman" w:cs="宋体"/>
                <w:b/>
                <w:bCs/>
                <w:color w:val="auto"/>
                <w:szCs w:val="21"/>
              </w:rPr>
              <w:t>缴</w:t>
            </w:r>
            <w:r>
              <w:rPr>
                <w:rFonts w:hint="eastAsia" w:ascii="Times New Roman" w:hAnsi="Times New Roman" w:cs="宋体"/>
                <w:b/>
                <w:bCs/>
                <w:color w:val="auto"/>
                <w:kern w:val="0"/>
                <w:szCs w:val="21"/>
              </w:rPr>
              <w:t>纳</w:t>
            </w:r>
            <w:r>
              <w:rPr>
                <w:rFonts w:hint="eastAsia" w:ascii="Times New Roman" w:hAnsi="Times New Roman" w:cs="宋体"/>
                <w:b/>
                <w:bCs/>
                <w:color w:val="auto"/>
                <w:szCs w:val="21"/>
              </w:rPr>
              <w:t>履约</w:t>
            </w:r>
            <w:r>
              <w:rPr>
                <w:rFonts w:hint="eastAsia" w:ascii="Times New Roman" w:hAnsi="Times New Roman"/>
                <w:b/>
                <w:bCs/>
                <w:color w:val="auto"/>
                <w:szCs w:val="21"/>
              </w:rPr>
              <w:t>保证金。</w:t>
            </w:r>
          </w:p>
          <w:p w14:paraId="2379DDE6">
            <w:pPr>
              <w:spacing w:line="400" w:lineRule="exact"/>
              <w:rPr>
                <w:rFonts w:ascii="Times New Roman" w:hAnsi="Times New Roman" w:cs="宋体"/>
                <w:b/>
                <w:bCs/>
                <w:color w:val="auto"/>
                <w:szCs w:val="21"/>
              </w:rPr>
            </w:pPr>
            <w:r>
              <w:rPr>
                <w:rFonts w:hint="eastAsia" w:ascii="Times New Roman" w:hAnsi="Times New Roman" w:eastAsia="宋体"/>
                <w:b/>
                <w:bCs/>
                <w:color w:val="auto"/>
                <w:szCs w:val="21"/>
                <w:lang w:eastAsia="zh-CN"/>
              </w:rPr>
              <w:t>□</w:t>
            </w:r>
            <w:r>
              <w:rPr>
                <w:rFonts w:hint="eastAsia" w:ascii="Times New Roman" w:hAnsi="Times New Roman"/>
                <w:b/>
                <w:bCs/>
                <w:color w:val="auto"/>
                <w:szCs w:val="21"/>
              </w:rPr>
              <w:t xml:space="preserve"> 本项目需要</w:t>
            </w:r>
            <w:r>
              <w:rPr>
                <w:rFonts w:hint="eastAsia" w:ascii="Times New Roman" w:hAnsi="Times New Roman" w:cs="宋体"/>
                <w:b/>
                <w:bCs/>
                <w:color w:val="auto"/>
                <w:szCs w:val="21"/>
              </w:rPr>
              <w:t>缴</w:t>
            </w:r>
            <w:r>
              <w:rPr>
                <w:rFonts w:hint="eastAsia" w:ascii="Times New Roman" w:hAnsi="Times New Roman" w:cs="宋体"/>
                <w:b/>
                <w:bCs/>
                <w:color w:val="auto"/>
                <w:kern w:val="0"/>
                <w:szCs w:val="21"/>
              </w:rPr>
              <w:t>纳</w:t>
            </w:r>
            <w:r>
              <w:rPr>
                <w:rFonts w:hint="eastAsia" w:ascii="Times New Roman" w:hAnsi="Times New Roman" w:cs="宋体"/>
                <w:b/>
                <w:bCs/>
                <w:color w:val="auto"/>
                <w:szCs w:val="21"/>
              </w:rPr>
              <w:t>履约</w:t>
            </w:r>
            <w:r>
              <w:rPr>
                <w:rFonts w:hint="eastAsia" w:ascii="Times New Roman" w:hAnsi="Times New Roman"/>
                <w:b/>
                <w:bCs/>
                <w:color w:val="auto"/>
                <w:szCs w:val="21"/>
              </w:rPr>
              <w:t>保证金，</w:t>
            </w:r>
            <w:r>
              <w:rPr>
                <w:rFonts w:hint="eastAsia" w:ascii="Times New Roman" w:hAnsi="Times New Roman" w:cs="宋体"/>
                <w:b/>
                <w:bCs/>
                <w:color w:val="auto"/>
                <w:szCs w:val="21"/>
              </w:rPr>
              <w:t>相关要求如下：</w:t>
            </w:r>
          </w:p>
          <w:p w14:paraId="23227A1A">
            <w:pPr>
              <w:snapToGrid w:val="0"/>
              <w:spacing w:line="400" w:lineRule="exact"/>
              <w:rPr>
                <w:rFonts w:ascii="Times New Roman" w:hAnsi="Times New Roman" w:cs="宋体"/>
                <w:i/>
                <w:iCs/>
                <w:color w:val="auto"/>
                <w:szCs w:val="21"/>
              </w:rPr>
            </w:pPr>
            <w:r>
              <w:rPr>
                <w:rFonts w:hint="eastAsia" w:ascii="Times New Roman" w:hAnsi="Times New Roman" w:cs="宋体"/>
                <w:b/>
                <w:bCs/>
                <w:color w:val="auto"/>
                <w:szCs w:val="21"/>
              </w:rPr>
              <w:t>1.履约保证金金额：</w:t>
            </w:r>
            <w:r>
              <w:rPr>
                <w:rFonts w:hint="eastAsia" w:ascii="Times New Roman" w:hAnsi="Times New Roman" w:cs="宋体"/>
                <w:color w:val="auto"/>
                <w:szCs w:val="21"/>
              </w:rPr>
              <w:t>按项目成交总金额的</w:t>
            </w:r>
            <w:r>
              <w:rPr>
                <w:rFonts w:hint="eastAsia" w:ascii="Times New Roman" w:hAnsi="Times New Roman" w:eastAsia="宋体" w:cs="宋体"/>
                <w:color w:val="auto"/>
                <w:szCs w:val="21"/>
                <w:u w:val="single"/>
                <w:lang w:eastAsia="zh-CN"/>
              </w:rPr>
              <w:t xml:space="preserve"> </w:t>
            </w:r>
            <w:r>
              <w:rPr>
                <w:rFonts w:hint="eastAsia" w:ascii="Times New Roman" w:hAnsi="Times New Roman" w:eastAsia="宋体" w:cs="宋体"/>
                <w:color w:val="auto"/>
                <w:szCs w:val="21"/>
                <w:u w:val="single"/>
                <w:lang w:val="en-US" w:eastAsia="zh-CN"/>
              </w:rPr>
              <w:t xml:space="preserve"> </w:t>
            </w:r>
            <w:r>
              <w:rPr>
                <w:rFonts w:hint="eastAsia" w:ascii="Times New Roman" w:hAnsi="Times New Roman" w:cs="宋体"/>
                <w:color w:val="auto"/>
                <w:szCs w:val="21"/>
              </w:rPr>
              <w:t>%。（如成交供应商为中小微企业的，按项目成交总金额的</w:t>
            </w:r>
            <w:r>
              <w:rPr>
                <w:rFonts w:hint="eastAsia" w:ascii="Times New Roman" w:hAnsi="Times New Roman" w:eastAsia="宋体" w:cs="宋体"/>
                <w:color w:val="auto"/>
                <w:szCs w:val="21"/>
                <w:lang w:val="en-US" w:eastAsia="zh-CN"/>
              </w:rPr>
              <w:t xml:space="preserve">  </w:t>
            </w:r>
            <w:r>
              <w:rPr>
                <w:rFonts w:hint="eastAsia" w:ascii="Times New Roman" w:hAnsi="Times New Roman" w:cs="宋体"/>
                <w:color w:val="auto"/>
                <w:szCs w:val="21"/>
              </w:rPr>
              <w:t>%收取）</w:t>
            </w:r>
          </w:p>
          <w:p w14:paraId="5DEAB39F">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b/>
                <w:bCs/>
                <w:color w:val="auto"/>
                <w:szCs w:val="21"/>
              </w:rPr>
              <w:t>2.履约保证金递交方式：</w:t>
            </w:r>
            <w:r>
              <w:rPr>
                <w:rFonts w:hint="eastAsia" w:ascii="Times New Roman" w:hAnsi="Times New Roman" w:cs="宋体"/>
                <w:color w:val="auto"/>
                <w:szCs w:val="21"/>
              </w:rPr>
              <w:t>成交供应商在</w:t>
            </w:r>
            <w:r>
              <w:rPr>
                <w:rFonts w:hint="eastAsia" w:ascii="Times New Roman" w:hAnsi="Times New Roman" w:cs="宋体"/>
                <w:color w:val="auto"/>
                <w:kern w:val="0"/>
                <w:szCs w:val="21"/>
                <w:u w:val="single"/>
              </w:rPr>
              <w:t>签订合同</w:t>
            </w:r>
            <w:r>
              <w:rPr>
                <w:rFonts w:hint="eastAsia" w:ascii="Times New Roman" w:hAnsi="Times New Roman" w:cs="宋体"/>
                <w:color w:val="auto"/>
                <w:szCs w:val="21"/>
                <w:u w:val="single"/>
              </w:rPr>
              <w:t>前</w:t>
            </w:r>
            <w:r>
              <w:rPr>
                <w:rFonts w:hint="eastAsia" w:ascii="Times New Roman" w:hAnsi="Times New Roman" w:cs="宋体"/>
                <w:color w:val="auto"/>
                <w:szCs w:val="21"/>
              </w:rPr>
              <w:t>以银行转账、支票、汇票、本票或者金融机构、担保机构出具的保函等非现金方式向</w:t>
            </w:r>
            <w:r>
              <w:rPr>
                <w:rFonts w:hint="eastAsia" w:ascii="Times New Roman" w:hAnsi="Times New Roman" w:cs="宋体"/>
                <w:color w:val="auto"/>
                <w:szCs w:val="21"/>
                <w:u w:val="single"/>
              </w:rPr>
              <w:t>采购人</w:t>
            </w:r>
            <w:r>
              <w:rPr>
                <w:rFonts w:hint="eastAsia" w:ascii="Times New Roman" w:hAnsi="Times New Roman" w:cs="宋体"/>
                <w:color w:val="auto"/>
                <w:szCs w:val="21"/>
              </w:rPr>
              <w:t>提交。</w:t>
            </w:r>
          </w:p>
          <w:p w14:paraId="3725695E">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（1）履约保证金采用银行转账交纳方式的，成交供应商在签订合同前交至采购人指定账户并且到账。</w:t>
            </w:r>
          </w:p>
          <w:p w14:paraId="298F5B1B">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（2）履约保证金采用支票、汇票或本票交纳方式的，成交供应商在签订合同前，向采购人提交支票、汇票或本票原件。</w:t>
            </w:r>
          </w:p>
          <w:p w14:paraId="45A27461">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（3）履约保证金采用银行、保险机构出具的保函交纳方式的，成交供应商在签订合同前，向采购人提交保函原件。</w:t>
            </w:r>
          </w:p>
          <w:p w14:paraId="13329149">
            <w:pPr>
              <w:snapToGrid w:val="0"/>
              <w:spacing w:line="400" w:lineRule="exact"/>
              <w:rPr>
                <w:rFonts w:ascii="Times New Roman" w:hAnsi="Times New Roman" w:cs="宋体"/>
                <w:color w:val="auto"/>
                <w:szCs w:val="21"/>
              </w:rPr>
            </w:pPr>
            <w:r>
              <w:rPr>
                <w:rFonts w:hint="eastAsia" w:ascii="Times New Roman" w:hAnsi="Times New Roman" w:cs="宋体"/>
                <w:color w:val="auto"/>
                <w:szCs w:val="21"/>
              </w:rPr>
              <w:t>（4）履约保证金指定账户</w:t>
            </w:r>
          </w:p>
          <w:p w14:paraId="2425FC64">
            <w:pPr>
              <w:snapToGrid w:val="0"/>
              <w:spacing w:line="400" w:lineRule="exact"/>
              <w:ind w:firstLine="630" w:firstLineChars="300"/>
              <w:rPr>
                <w:rFonts w:hint="eastAsia" w:ascii="Times New Roman" w:hAnsi="Times New Roman" w:eastAsia="宋体" w:cs="宋体"/>
                <w:color w:val="auto"/>
                <w:szCs w:val="21"/>
                <w:lang w:eastAsia="zh-CN"/>
              </w:rPr>
            </w:pPr>
            <w:r>
              <w:rPr>
                <w:rFonts w:ascii="Times New Roman" w:hAnsi="Times New Roman" w:cs="宋体"/>
                <w:color w:val="auto"/>
                <w:szCs w:val="21"/>
              </w:rPr>
              <w:t>开户名称：</w:t>
            </w:r>
          </w:p>
          <w:p w14:paraId="1490F718">
            <w:pPr>
              <w:snapToGrid w:val="0"/>
              <w:spacing w:line="400" w:lineRule="exact"/>
              <w:ind w:firstLine="630" w:firstLineChars="300"/>
              <w:rPr>
                <w:rFonts w:ascii="Times New Roman" w:hAnsi="Times New Roman" w:cs="宋体"/>
                <w:color w:val="auto"/>
                <w:szCs w:val="21"/>
              </w:rPr>
            </w:pPr>
            <w:r>
              <w:rPr>
                <w:rFonts w:ascii="Times New Roman" w:hAnsi="Times New Roman" w:cs="宋体"/>
                <w:color w:val="auto"/>
                <w:szCs w:val="21"/>
              </w:rPr>
              <w:t>开户银行：</w:t>
            </w:r>
          </w:p>
          <w:p w14:paraId="3FAB3FA0">
            <w:pPr>
              <w:snapToGrid w:val="0"/>
              <w:spacing w:line="400" w:lineRule="exact"/>
              <w:ind w:firstLine="630" w:firstLineChars="300"/>
              <w:rPr>
                <w:rFonts w:ascii="Times New Roman" w:hAnsi="Times New Roman" w:cs="宋体"/>
                <w:color w:val="auto"/>
                <w:szCs w:val="21"/>
              </w:rPr>
            </w:pPr>
            <w:r>
              <w:rPr>
                <w:rFonts w:ascii="Times New Roman" w:hAnsi="Times New Roman" w:cs="宋体"/>
                <w:color w:val="auto"/>
                <w:szCs w:val="21"/>
              </w:rPr>
              <w:t>账    号：</w:t>
            </w:r>
          </w:p>
          <w:p w14:paraId="50E18A3A">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b/>
                <w:bCs/>
                <w:color w:val="auto"/>
                <w:szCs w:val="21"/>
              </w:rPr>
              <w:t>3.履约保证金退付方式、时间及条件：</w:t>
            </w:r>
          </w:p>
          <w:p w14:paraId="4D6AB52E">
            <w:pPr>
              <w:snapToGrid w:val="0"/>
              <w:spacing w:line="400" w:lineRule="exact"/>
              <w:rPr>
                <w:rFonts w:ascii="Times New Roman" w:hAnsi="Times New Roman" w:cs="宋体"/>
                <w:color w:val="auto"/>
                <w:szCs w:val="21"/>
              </w:rPr>
            </w:pPr>
            <w:r>
              <w:rPr>
                <w:rFonts w:hint="eastAsia" w:ascii="Times New Roman" w:hAnsi="Times New Roman" w:cs="宋体"/>
                <w:color w:val="auto"/>
                <w:szCs w:val="21"/>
              </w:rPr>
              <w:t>（1）</w:t>
            </w:r>
            <w:r>
              <w:rPr>
                <w:rStyle w:val="54"/>
                <w:rFonts w:hint="eastAsia" w:ascii="Times New Roman" w:hAnsi="Times New Roman"/>
                <w:color w:val="auto"/>
              </w:rPr>
              <w:t>履约保证金在成交供应商履行完合同约定的权利义务（包括免费保修服务等）事项后7个工作日内，由成交供应商凭履约保证金的申请表向采购人申请办理履约保证金退还手续，采购人在收到合格材料后5个工作日内</w:t>
            </w:r>
            <w:r>
              <w:rPr>
                <w:rStyle w:val="54"/>
                <w:rFonts w:hint="eastAsia" w:ascii="Times New Roman" w:hAnsi="Times New Roman"/>
                <w:color w:val="auto"/>
                <w:lang w:eastAsia="zh-CN"/>
              </w:rPr>
              <w:t>办理履约保证金退付手续</w:t>
            </w:r>
            <w:r>
              <w:rPr>
                <w:rStyle w:val="54"/>
                <w:rFonts w:hint="eastAsia" w:ascii="Times New Roman" w:hAnsi="Times New Roman"/>
                <w:color w:val="auto"/>
              </w:rPr>
              <w:t>（不计利息）。</w:t>
            </w:r>
          </w:p>
          <w:p w14:paraId="52A73785">
            <w:pPr>
              <w:snapToGrid w:val="0"/>
              <w:spacing w:line="400" w:lineRule="exact"/>
              <w:rPr>
                <w:rFonts w:ascii="Times New Roman" w:hAnsi="Times New Roman" w:cs="宋体"/>
                <w:color w:val="auto"/>
                <w:szCs w:val="21"/>
              </w:rPr>
            </w:pPr>
            <w:r>
              <w:rPr>
                <w:rFonts w:hint="eastAsia" w:ascii="Times New Roman" w:hAnsi="Times New Roman" w:cs="宋体"/>
                <w:color w:val="auto"/>
                <w:szCs w:val="21"/>
              </w:rPr>
              <w:t>（2）成交供应商在签订合同后存在违约情形的，履约保证金或保函原件不予退还。保函形式的采购人按相关规定由出具保函的银行、保险机构承担成交供应商违约赔付责任，履约保证金不足以赔偿损失的，按实际损失赔偿。</w:t>
            </w:r>
          </w:p>
          <w:p w14:paraId="303B4EFF">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（3）在履约保证金退还日期前，若成交供应商的开户名称、开户银行、账号有变动的，请以书面形式通知履约保证金收取单位，否则由此产生的后果由成交供应商自负。</w:t>
            </w:r>
          </w:p>
          <w:p w14:paraId="1DEEDBBE">
            <w:pPr>
              <w:spacing w:line="400" w:lineRule="exact"/>
              <w:rPr>
                <w:rFonts w:ascii="Times New Roman" w:hAnsi="Times New Roman" w:cs="宋体"/>
                <w:bCs/>
                <w:color w:val="auto"/>
                <w:szCs w:val="21"/>
              </w:rPr>
            </w:pPr>
            <w:r>
              <w:rPr>
                <w:rFonts w:hint="eastAsia" w:ascii="Times New Roman" w:hAnsi="Times New Roman" w:cs="Arial"/>
                <w:bCs/>
                <w:color w:val="auto"/>
                <w:szCs w:val="21"/>
              </w:rPr>
              <w:t>（4）履约</w:t>
            </w:r>
            <w:r>
              <w:rPr>
                <w:rFonts w:ascii="Times New Roman" w:hAnsi="Times New Roman" w:cs="Arial"/>
                <w:bCs/>
                <w:color w:val="auto"/>
                <w:szCs w:val="21"/>
              </w:rPr>
              <w:t>保证金采用保函形式缴纳的，采购人在保证期限届满后及时对收取的保证金进行核实和结算。</w:t>
            </w:r>
          </w:p>
          <w:p w14:paraId="2D51C2F1">
            <w:pPr>
              <w:spacing w:line="400" w:lineRule="exact"/>
              <w:rPr>
                <w:rFonts w:ascii="Times New Roman" w:hAnsi="Times New Roman" w:cs="宋体"/>
                <w:b/>
                <w:bCs/>
                <w:color w:val="auto"/>
                <w:szCs w:val="21"/>
              </w:rPr>
            </w:pPr>
            <w:r>
              <w:rPr>
                <w:rFonts w:hint="eastAsia" w:ascii="Times New Roman" w:hAnsi="Times New Roman" w:cs="宋体"/>
                <w:b/>
                <w:bCs/>
                <w:color w:val="auto"/>
                <w:szCs w:val="21"/>
              </w:rPr>
              <w:t>备注：</w:t>
            </w:r>
          </w:p>
          <w:p w14:paraId="2E6BEEAB">
            <w:pPr>
              <w:spacing w:line="400" w:lineRule="exact"/>
              <w:rPr>
                <w:rFonts w:ascii="Times New Roman" w:hAnsi="Times New Roman" w:cs="宋体"/>
                <w:b/>
                <w:color w:val="auto"/>
                <w:szCs w:val="21"/>
              </w:rPr>
            </w:pPr>
            <w:r>
              <w:rPr>
                <w:rFonts w:hint="eastAsia" w:ascii="Times New Roman" w:hAnsi="Times New Roman" w:cs="宋体"/>
                <w:b/>
                <w:color w:val="auto"/>
                <w:szCs w:val="21"/>
                <w:lang w:val="en-US" w:eastAsia="zh-CN"/>
              </w:rPr>
              <w:t>1</w:t>
            </w:r>
            <w:r>
              <w:rPr>
                <w:rFonts w:hint="eastAsia" w:ascii="Times New Roman" w:hAnsi="Times New Roman" w:cs="宋体"/>
                <w:b/>
                <w:color w:val="auto"/>
                <w:szCs w:val="21"/>
              </w:rPr>
              <w:t>.</w:t>
            </w:r>
            <w:r>
              <w:rPr>
                <w:rFonts w:hint="eastAsia" w:ascii="Times New Roman" w:hAnsi="Times New Roman" w:cs="宋体"/>
                <w:color w:val="auto"/>
                <w:szCs w:val="21"/>
              </w:rPr>
              <w:t xml:space="preserve"> </w:t>
            </w:r>
            <w:r>
              <w:rPr>
                <w:rFonts w:hint="eastAsia" w:ascii="Times New Roman" w:hAnsi="Times New Roman" w:cs="宋体"/>
                <w:b/>
                <w:color w:val="auto"/>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698202D">
            <w:pPr>
              <w:snapToGrid w:val="0"/>
              <w:spacing w:line="400" w:lineRule="exact"/>
              <w:rPr>
                <w:rFonts w:hint="eastAsia" w:ascii="宋体" w:hAnsi="宋体" w:eastAsia="宋体" w:cs="宋体"/>
                <w:color w:val="auto"/>
                <w:szCs w:val="21"/>
                <w:highlight w:val="none"/>
              </w:rPr>
            </w:pPr>
            <w:r>
              <w:rPr>
                <w:rFonts w:hint="eastAsia" w:ascii="Times New Roman" w:hAnsi="Times New Roman" w:cs="宋体"/>
                <w:b/>
                <w:color w:val="auto"/>
                <w:szCs w:val="21"/>
                <w:lang w:val="en-US" w:eastAsia="zh-CN"/>
              </w:rPr>
              <w:t>2</w:t>
            </w:r>
            <w:r>
              <w:rPr>
                <w:rFonts w:hint="eastAsia" w:ascii="Times New Roman" w:hAnsi="Times New Roman" w:cs="宋体"/>
                <w:b/>
                <w:color w:val="auto"/>
                <w:szCs w:val="21"/>
              </w:rPr>
              <w:t>采用金融、担保机构出具的保函的，必须为无条件保函，否则不予签订合同。</w:t>
            </w:r>
          </w:p>
        </w:tc>
      </w:tr>
      <w:tr w14:paraId="5DE8E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F013DD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w:t>
            </w:r>
          </w:p>
        </w:tc>
        <w:tc>
          <w:tcPr>
            <w:tcW w:w="2382" w:type="dxa"/>
            <w:noWrap w:val="0"/>
            <w:vAlign w:val="center"/>
          </w:tcPr>
          <w:p w14:paraId="59D76CB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586" w:type="dxa"/>
            <w:noWrap w:val="0"/>
            <w:vAlign w:val="center"/>
          </w:tcPr>
          <w:p w14:paraId="3E787A9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14:paraId="4920CF37">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法定代表人负责签订合同的，须携带法定代表人身份证明原件及身份证原件等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证明材料。</w:t>
            </w:r>
          </w:p>
        </w:tc>
      </w:tr>
      <w:tr w14:paraId="049F7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24585C8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w:t>
            </w:r>
          </w:p>
        </w:tc>
        <w:tc>
          <w:tcPr>
            <w:tcW w:w="2382" w:type="dxa"/>
            <w:noWrap w:val="0"/>
            <w:vAlign w:val="center"/>
          </w:tcPr>
          <w:p w14:paraId="306A67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586" w:type="dxa"/>
            <w:noWrap w:val="0"/>
            <w:vAlign w:val="center"/>
          </w:tcPr>
          <w:p w14:paraId="659B698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78D53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71A934DC">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2D6BA6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586" w:type="dxa"/>
            <w:noWrap w:val="0"/>
            <w:vAlign w:val="center"/>
          </w:tcPr>
          <w:p w14:paraId="6832724E">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名称：金秀瑶族自治县教育体育局</w:t>
            </w:r>
          </w:p>
          <w:p w14:paraId="16E7DDB4">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联系电话：黄一帆，0772-6213631</w:t>
            </w:r>
          </w:p>
          <w:p w14:paraId="4D292D6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通讯地址：广西来宾市金秀瑶族自治县金秀镇解放路 170 号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p>
          <w:p w14:paraId="19EBF54C">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名称：广西桂盛项目管理有限公司</w:t>
            </w:r>
          </w:p>
          <w:p w14:paraId="43E7DA3F">
            <w:pPr>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联系电话：0772-4201213</w:t>
            </w:r>
          </w:p>
          <w:p w14:paraId="1DB457E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通讯地址：来宾市兴宾区红水河大道333号翠屏水坊9号楼201号</w:t>
            </w:r>
          </w:p>
        </w:tc>
      </w:tr>
      <w:tr w14:paraId="5C29C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3DFB4729">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3178D8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现场提交质疑办理业务时间</w:t>
            </w:r>
          </w:p>
        </w:tc>
        <w:tc>
          <w:tcPr>
            <w:tcW w:w="6586" w:type="dxa"/>
            <w:noWrap w:val="0"/>
            <w:vAlign w:val="center"/>
          </w:tcPr>
          <w:p w14:paraId="0B3531B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4"/>
                <w:highlight w:val="none"/>
              </w:rPr>
              <w:t>质疑期内每个工作日</w:t>
            </w:r>
            <w:r>
              <w:rPr>
                <w:rFonts w:hint="eastAsia" w:ascii="宋体" w:hAnsi="宋体" w:eastAsia="宋体" w:cs="宋体"/>
                <w:color w:val="auto"/>
                <w:sz w:val="21"/>
                <w:highlight w:val="none"/>
                <w:lang w:val="en-US" w:eastAsia="zh-CN"/>
              </w:rPr>
              <w:t>（北京时间）</w:t>
            </w:r>
            <w:r>
              <w:rPr>
                <w:rFonts w:hint="eastAsia" w:ascii="宋体" w:hAnsi="宋体" w:eastAsia="宋体" w:cs="宋体"/>
                <w:color w:val="auto"/>
                <w:highlight w:val="none"/>
              </w:rPr>
              <w:t>上午</w:t>
            </w:r>
            <w:r>
              <w:rPr>
                <w:rFonts w:hint="eastAsia" w:ascii="宋体" w:hAnsi="宋体" w:eastAsia="宋体" w:cs="宋体"/>
                <w:color w:val="auto"/>
                <w:highlight w:val="none"/>
                <w:u w:val="single"/>
                <w:lang w:val="en-US"/>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lang w:val="en-US"/>
              </w:rPr>
              <w:t>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下午</w:t>
            </w:r>
            <w:r>
              <w:rPr>
                <w:rFonts w:hint="eastAsia" w:ascii="宋体" w:hAnsi="宋体" w:eastAsia="宋体" w:cs="宋体"/>
                <w:color w:val="auto"/>
                <w:highlight w:val="none"/>
                <w:u w:val="single"/>
                <w:lang w:val="en-US"/>
              </w:rPr>
              <w:t>1</w:t>
            </w:r>
            <w:r>
              <w:rPr>
                <w:rFonts w:hint="eastAsia" w:ascii="宋体" w:hAnsi="宋体" w:eastAsia="宋体" w:cs="宋体"/>
                <w:color w:val="auto"/>
                <w:highlight w:val="none"/>
                <w:u w:val="single"/>
                <w:lang w:val="en-US" w:eastAsia="zh-CN"/>
              </w:rPr>
              <w:t>4</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tc>
      </w:tr>
      <w:tr w14:paraId="4E419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7F0BAF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w:t>
            </w:r>
          </w:p>
        </w:tc>
        <w:tc>
          <w:tcPr>
            <w:tcW w:w="2382" w:type="dxa"/>
            <w:noWrap w:val="0"/>
            <w:vAlign w:val="center"/>
          </w:tcPr>
          <w:p w14:paraId="5C71DA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noWrap w:val="0"/>
            <w:vAlign w:val="center"/>
          </w:tcPr>
          <w:p w14:paraId="4268B47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7B68929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通讯方式</w:t>
            </w:r>
          </w:p>
          <w:p w14:paraId="65ACA3A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名称：金秀瑶族自治县政府采购监督管理股  </w:t>
            </w:r>
          </w:p>
          <w:p w14:paraId="4C182E3A">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联系电话：0772-6215667</w:t>
            </w:r>
          </w:p>
        </w:tc>
      </w:tr>
      <w:tr w14:paraId="15EDC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21790AB">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p>
        </w:tc>
        <w:tc>
          <w:tcPr>
            <w:tcW w:w="2382" w:type="dxa"/>
            <w:noWrap w:val="0"/>
            <w:vAlign w:val="center"/>
          </w:tcPr>
          <w:p w14:paraId="6B98C8A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tc>
        <w:tc>
          <w:tcPr>
            <w:tcW w:w="6586" w:type="dxa"/>
            <w:noWrap w:val="0"/>
            <w:vAlign w:val="center"/>
          </w:tcPr>
          <w:p w14:paraId="34508AA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是否收取采购代理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p w14:paraId="0B0FDBB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是    □ 否</w:t>
            </w:r>
          </w:p>
          <w:p w14:paraId="0927E7B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费支付方式：</w:t>
            </w:r>
          </w:p>
          <w:p w14:paraId="06795C4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费由</w:t>
            </w:r>
            <w:r>
              <w:rPr>
                <w:rFonts w:hint="eastAsia" w:ascii="宋体" w:hAnsi="宋体" w:eastAsia="宋体" w:cs="宋体"/>
                <w:color w:val="auto"/>
                <w:szCs w:val="21"/>
                <w:highlight w:val="none"/>
                <w:u w:val="single"/>
                <w:lang w:val="en-US"/>
              </w:rPr>
              <w:t>成交供应商</w:t>
            </w:r>
            <w:r>
              <w:rPr>
                <w:rFonts w:hint="eastAsia" w:ascii="宋体" w:hAnsi="宋体" w:eastAsia="宋体" w:cs="宋体"/>
                <w:color w:val="auto"/>
                <w:szCs w:val="21"/>
                <w:highlight w:val="none"/>
                <w:u w:val="none"/>
              </w:rPr>
              <w:t>在签订合同前</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 w:val="21"/>
                <w:highlight w:val="none"/>
                <w:u w:val="none"/>
                <w:lang w:val="en-US" w:eastAsia="zh-CN"/>
              </w:rPr>
              <w:t>以银行转账、电汇等方式</w:t>
            </w:r>
            <w:r>
              <w:rPr>
                <w:rFonts w:hint="eastAsia" w:ascii="宋体" w:hAnsi="宋体" w:eastAsia="宋体" w:cs="宋体"/>
                <w:color w:val="auto"/>
                <w:szCs w:val="21"/>
                <w:highlight w:val="none"/>
              </w:rPr>
              <w:t>一次性向采购代理机构支付。</w:t>
            </w:r>
          </w:p>
          <w:p w14:paraId="6214871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□采购人支付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
                <w:iCs/>
                <w:color w:val="auto"/>
                <w:sz w:val="21"/>
                <w:highlight w:val="none"/>
                <w:u w:val="single"/>
                <w:lang w:val="en-US" w:eastAsia="zh-CN"/>
              </w:rPr>
              <w:t>。</w:t>
            </w:r>
          </w:p>
          <w:p w14:paraId="658DF35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3.采购代理费收取标准：</w:t>
            </w:r>
          </w:p>
          <w:p w14:paraId="122A11A9">
            <w:pPr>
              <w:spacing w:line="360" w:lineRule="auto"/>
              <w:rPr>
                <w:rFonts w:hint="eastAsia" w:ascii="宋体" w:hAnsi="宋体" w:eastAsia="宋体" w:cs="宋体"/>
                <w:color w:val="auto"/>
                <w:szCs w:val="21"/>
                <w:highlight w:val="none"/>
              </w:rPr>
            </w:pPr>
            <w:bookmarkStart w:id="65" w:name="PO_3000001871_PM025"/>
            <w:r>
              <w:rPr>
                <w:rFonts w:hint="eastAsia" w:hAnsi="宋体" w:cs="宋体"/>
                <w:color w:val="auto"/>
                <w:highlight w:val="none"/>
              </w:rPr>
              <w:t>以</w:t>
            </w:r>
            <w:r>
              <w:rPr>
                <w:rFonts w:hint="eastAsia" w:hAnsi="宋体" w:cs="宋体"/>
                <w:color w:val="auto"/>
                <w:highlight w:val="none"/>
                <w:lang w:eastAsia="zh-CN"/>
              </w:rPr>
              <w:t>项目</w:t>
            </w:r>
            <w:r>
              <w:rPr>
                <w:rFonts w:hint="eastAsia" w:hAnsi="宋体" w:cs="宋体"/>
                <w:color w:val="auto"/>
                <w:highlight w:val="none"/>
              </w:rPr>
              <w:t>（</w:t>
            </w:r>
            <w:r>
              <w:rPr>
                <w:rFonts w:hint="eastAsia" w:hAnsi="宋体" w:cs="宋体"/>
                <w:color w:val="auto"/>
                <w:highlight w:val="none"/>
                <w:lang w:eastAsia="zh-CN"/>
              </w:rPr>
              <w:t>☑</w:t>
            </w:r>
            <w:r>
              <w:rPr>
                <w:rFonts w:hint="eastAsia" w:hAnsi="宋体" w:cs="宋体"/>
                <w:color w:val="auto"/>
                <w:highlight w:val="none"/>
              </w:rPr>
              <w:t>成交</w:t>
            </w:r>
            <w:r>
              <w:rPr>
                <w:rFonts w:hint="eastAsia" w:hAnsi="宋体" w:cs="宋体"/>
                <w:color w:val="auto"/>
                <w:highlight w:val="none"/>
                <w:lang w:eastAsia="zh-CN"/>
              </w:rPr>
              <w:t>总</w:t>
            </w:r>
            <w:r>
              <w:rPr>
                <w:rFonts w:hint="eastAsia" w:hAnsi="宋体" w:cs="宋体"/>
                <w:color w:val="auto"/>
                <w:highlight w:val="none"/>
              </w:rPr>
              <w:t>金额/□采购预算/</w:t>
            </w:r>
            <w:r>
              <w:rPr>
                <w:rFonts w:hint="eastAsia" w:hAnsi="宋体" w:cs="宋体"/>
                <w:color w:val="auto"/>
                <w:highlight w:val="none"/>
                <w:lang w:eastAsia="zh-CN"/>
              </w:rPr>
              <w:t>□</w:t>
            </w:r>
            <w:r>
              <w:rPr>
                <w:rFonts w:hint="eastAsia" w:hAnsi="宋体" w:cs="宋体"/>
                <w:color w:val="auto"/>
                <w:highlight w:val="none"/>
              </w:rPr>
              <w:t>暂定成交金额/□其他 ）为计费额，按</w:t>
            </w:r>
            <w:r>
              <w:rPr>
                <w:rFonts w:hint="eastAsia" w:hAnsi="宋体" w:cs="宋体"/>
                <w:color w:val="auto"/>
                <w:highlight w:val="none"/>
                <w:lang w:val="en-US" w:eastAsia="zh-CN"/>
              </w:rPr>
              <w:t>本须知正文第32.2条规定的收费计算标准（</w:t>
            </w:r>
            <w:r>
              <w:rPr>
                <w:rFonts w:hint="eastAsia" w:hAnsi="宋体" w:cs="宋体"/>
                <w:color w:val="auto"/>
                <w:highlight w:val="none"/>
                <w:lang w:eastAsia="zh-CN"/>
              </w:rPr>
              <w:t>货物</w:t>
            </w:r>
            <w:r>
              <w:rPr>
                <w:rFonts w:hint="eastAsia" w:hAnsi="宋体" w:cs="宋体"/>
                <w:color w:val="auto"/>
                <w:highlight w:val="none"/>
              </w:rPr>
              <w:t>类</w:t>
            </w:r>
            <w:r>
              <w:rPr>
                <w:rFonts w:hint="eastAsia" w:hAnsi="宋体" w:cs="宋体"/>
                <w:color w:val="auto"/>
                <w:highlight w:val="none"/>
                <w:lang w:val="en-US" w:eastAsia="zh-CN"/>
              </w:rPr>
              <w:t>）</w:t>
            </w:r>
            <w:r>
              <w:rPr>
                <w:rFonts w:hint="eastAsia" w:hAnsi="宋体" w:cs="宋体"/>
                <w:color w:val="auto"/>
                <w:highlight w:val="none"/>
              </w:rPr>
              <w:t>采用差额定率累进法计算出收费基准价格，采购代理</w:t>
            </w:r>
            <w:r>
              <w:rPr>
                <w:rFonts w:hint="eastAsia" w:hAnsi="宋体" w:cs="宋体"/>
                <w:color w:val="auto"/>
                <w:highlight w:val="none"/>
                <w:lang w:eastAsia="zh-CN"/>
              </w:rPr>
              <w:t>机构</w:t>
            </w:r>
            <w:r>
              <w:rPr>
                <w:rFonts w:hint="eastAsia" w:hAnsi="宋体" w:cs="宋体"/>
                <w:color w:val="auto"/>
                <w:highlight w:val="none"/>
              </w:rPr>
              <w:t>收费以（</w:t>
            </w:r>
            <w:r>
              <w:rPr>
                <w:rFonts w:hint="eastAsia" w:hAnsi="宋体" w:cs="宋体"/>
                <w:color w:val="auto"/>
                <w:highlight w:val="none"/>
                <w:lang w:eastAsia="zh-CN"/>
              </w:rPr>
              <w:t>☑</w:t>
            </w:r>
            <w:r>
              <w:rPr>
                <w:rFonts w:hint="eastAsia" w:hAnsi="宋体" w:cs="宋体"/>
                <w:color w:val="auto"/>
                <w:highlight w:val="none"/>
              </w:rPr>
              <w:t>收费基准价格/□收费基准价格下浮  %/□收费基准价格上浮   %）收取，</w:t>
            </w:r>
            <w:r>
              <w:rPr>
                <w:rFonts w:hint="default"/>
                <w:color w:val="auto"/>
                <w:lang w:val="en-US" w:eastAsia="zh-CN"/>
              </w:rPr>
              <w:t>如按前述标准计算出来的采购代理服务费不足人民币伍仟元整的，按人民币伍仟元整收取</w:t>
            </w:r>
            <w:r>
              <w:rPr>
                <w:rFonts w:hint="eastAsia" w:ascii="宋体" w:hAnsi="宋体" w:eastAsia="宋体" w:cs="宋体"/>
                <w:color w:val="auto"/>
                <w:szCs w:val="21"/>
                <w:highlight w:val="none"/>
              </w:rPr>
              <w:t>。</w:t>
            </w:r>
            <w:bookmarkEnd w:id="65"/>
          </w:p>
          <w:p w14:paraId="776923E0">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固定采购代理收费：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7CC6CD25">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 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费收取银行账户</w:t>
            </w:r>
            <w:r>
              <w:rPr>
                <w:rFonts w:hint="eastAsia" w:ascii="宋体" w:hAnsi="宋体" w:eastAsia="宋体" w:cs="宋体"/>
                <w:color w:val="auto"/>
                <w:szCs w:val="21"/>
                <w:highlight w:val="none"/>
                <w:lang w:eastAsia="zh-CN"/>
              </w:rPr>
              <w:t>的信息</w:t>
            </w:r>
          </w:p>
          <w:p w14:paraId="387167C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账户名称：广西桂盛项目管理有限公司</w:t>
            </w:r>
          </w:p>
          <w:p w14:paraId="37216AE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开户银行：柳州银行股份有限公司来宾办证厅支行</w:t>
            </w:r>
          </w:p>
          <w:p w14:paraId="7A4122C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银行账号：72001500000000017714</w:t>
            </w:r>
          </w:p>
        </w:tc>
      </w:tr>
      <w:tr w14:paraId="1CE1E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54BA2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w:t>
            </w:r>
          </w:p>
        </w:tc>
        <w:tc>
          <w:tcPr>
            <w:tcW w:w="2382" w:type="dxa"/>
            <w:noWrap w:val="0"/>
            <w:vAlign w:val="center"/>
          </w:tcPr>
          <w:p w14:paraId="57B364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解释</w:t>
            </w:r>
          </w:p>
        </w:tc>
        <w:tc>
          <w:tcPr>
            <w:tcW w:w="6586" w:type="dxa"/>
            <w:noWrap w:val="0"/>
            <w:vAlign w:val="center"/>
          </w:tcPr>
          <w:p w14:paraId="54232436">
            <w:pPr>
              <w:tabs>
                <w:tab w:val="left" w:pos="1080"/>
              </w:tabs>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解释：</w:t>
            </w:r>
            <w:r>
              <w:rPr>
                <w:rFonts w:hint="eastAsia" w:ascii="宋体" w:hAnsi="宋体" w:eastAsia="宋体" w:cs="宋体"/>
                <w:color w:val="auto"/>
                <w:szCs w:val="21"/>
                <w:highlight w:val="none"/>
              </w:rPr>
              <w:t>构成本谈判文件的各个组成文件应互为解释，互为说明；除谈判文件中有特别规定外，仅适用于竞标阶段的规定，按更正公告（澄清公告）、竞争性谈判公告、采购需求、供应商须知、</w:t>
            </w:r>
            <w:r>
              <w:rPr>
                <w:rFonts w:hint="eastAsia" w:ascii="宋体" w:hAnsi="宋体" w:eastAsia="宋体" w:cs="宋体"/>
                <w:bCs/>
                <w:color w:val="auto"/>
                <w:szCs w:val="44"/>
                <w:highlight w:val="none"/>
                <w:lang w:val="zh-CN" w:eastAsia="zh-CN"/>
              </w:rPr>
              <w:t>评审程序、评审方法和成交标准</w:t>
            </w:r>
            <w:r>
              <w:rPr>
                <w:rFonts w:hint="eastAsia" w:ascii="宋体" w:hAnsi="宋体" w:eastAsia="宋体" w:cs="宋体"/>
                <w:color w:val="auto"/>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Cs w:val="21"/>
                <w:highlight w:val="none"/>
              </w:rPr>
              <w:t>由采购人或者采购代理机构负责解释。</w:t>
            </w:r>
          </w:p>
          <w:p w14:paraId="1D0400E5">
            <w:pPr>
              <w:tabs>
                <w:tab w:val="left" w:pos="1080"/>
              </w:tabs>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法律责任：</w:t>
            </w:r>
          </w:p>
          <w:p w14:paraId="6191AA09">
            <w:pPr>
              <w:tabs>
                <w:tab w:val="left" w:pos="1080"/>
              </w:tabs>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1"/>
                <w:highlight w:val="none"/>
              </w:rPr>
              <w:t>本采购文件根据《中华人民共和国政府采购法》、《中华人民共和国民法典》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《中华人民共和国政府采购法实施条例》、《政府采购非招标采购方式管理办法》等有关法律、法规编制，参与本项目的各政府采购当事人依法享有上述法律法规所赋予的权利与义务。</w:t>
            </w:r>
          </w:p>
        </w:tc>
      </w:tr>
      <w:tr w14:paraId="0E243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74794C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w:t>
            </w:r>
          </w:p>
        </w:tc>
        <w:tc>
          <w:tcPr>
            <w:tcW w:w="2382" w:type="dxa"/>
            <w:noWrap w:val="0"/>
            <w:vAlign w:val="center"/>
          </w:tcPr>
          <w:p w14:paraId="33C040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noWrap w:val="0"/>
            <w:vAlign w:val="center"/>
          </w:tcPr>
          <w:p w14:paraId="5473144C">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中描述</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的“公章”是指根据我国对公章的管理规定，用</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法定主体行为名称制作的</w:t>
            </w:r>
            <w:r>
              <w:rPr>
                <w:rFonts w:hint="eastAsia" w:ascii="宋体" w:hAnsi="宋体" w:eastAsia="宋体" w:cs="宋体"/>
                <w:color w:val="auto"/>
                <w:szCs w:val="21"/>
                <w:highlight w:val="none"/>
                <w:lang w:eastAsia="zh-CN"/>
              </w:rPr>
              <w:t>实物</w:t>
            </w:r>
            <w:r>
              <w:rPr>
                <w:rFonts w:hint="eastAsia" w:ascii="宋体" w:hAnsi="宋体" w:eastAsia="宋体" w:cs="宋体"/>
                <w:color w:val="auto"/>
                <w:szCs w:val="21"/>
                <w:highlight w:val="none"/>
              </w:rPr>
              <w:t>印章</w:t>
            </w:r>
            <w:r>
              <w:rPr>
                <w:rFonts w:hint="eastAsia" w:ascii="宋体" w:hAnsi="宋体" w:eastAsia="宋体" w:cs="宋体"/>
                <w:color w:val="auto"/>
                <w:szCs w:val="21"/>
                <w:highlight w:val="none"/>
                <w:lang w:eastAsia="zh-CN"/>
              </w:rPr>
              <w:t>或供应商</w:t>
            </w:r>
            <w:r>
              <w:rPr>
                <w:rFonts w:hint="eastAsia" w:ascii="宋体" w:hAnsi="宋体" w:eastAsia="宋体" w:cs="宋体"/>
                <w:color w:val="auto"/>
                <w:szCs w:val="21"/>
                <w:highlight w:val="none"/>
              </w:rPr>
              <w:t>通过指定电子化政府采购平台办理数字证书（CA认证）获得的以法定主体行为名称制作的电子印章。除</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有特殊规定外，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的财务章、部门章、分公司章、工会章、合同章、</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专用章、业务专用章及银行的转账章、现金收讫章、现金付讫章等其他形式印章均不能代替公章。</w:t>
            </w:r>
          </w:p>
          <w:p w14:paraId="373DDA2F">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中描述</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的“签字”是指</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通过指定电子化政府采购平台办理数字证书（CA认证）获得的以</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法定代表人或者委托代理人姓名制作的电子印章或手写签字。</w:t>
            </w:r>
          </w:p>
          <w:p w14:paraId="63962AD6">
            <w:pPr>
              <w:pStyle w:val="16"/>
              <w:tabs>
                <w:tab w:val="center" w:pos="4153"/>
                <w:tab w:val="right" w:pos="8306"/>
              </w:tabs>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3.本竞争性谈判文件所称的“电子签章”“电子签名”，是指经</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en-US" w:eastAsia="zh-CN"/>
              </w:rPr>
              <w:t>认可的CA认证的电子签名数据为表现形式的印章，可用于签署电子版响应文件，电子印章与实物印章具有同等法律效力，不因其采用电子化表现形式而否定其法律效力。</w:t>
            </w:r>
          </w:p>
          <w:p w14:paraId="2BA7D378">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为其他组织或者自然人时，</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规定的法定代表人指负责人或者自然人。</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所称负责人是指参加</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标的其他组织营业执照上的负责人，</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所称自然人指参与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标的自然人本人。</w:t>
            </w:r>
          </w:p>
          <w:p w14:paraId="19EA60B5">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w:t>
            </w:r>
            <w:r>
              <w:rPr>
                <w:rFonts w:hint="eastAsia" w:ascii="宋体" w:hAnsi="宋体" w:eastAsia="宋体" w:cs="宋体"/>
                <w:color w:val="auto"/>
                <w:szCs w:val="21"/>
                <w:highlight w:val="none"/>
                <w:lang w:eastAsia="zh-CN"/>
              </w:rPr>
              <w:t>竞争性谈判文件</w:t>
            </w:r>
            <w:r>
              <w:rPr>
                <w:rFonts w:hint="eastAsia" w:ascii="宋体" w:hAnsi="宋体" w:eastAsia="宋体" w:cs="宋体"/>
                <w:color w:val="auto"/>
                <w:szCs w:val="21"/>
                <w:highlight w:val="none"/>
              </w:rPr>
              <w:t>规定盖公章处由自然人摁手指指印。</w:t>
            </w:r>
          </w:p>
          <w:p w14:paraId="0D1126F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6.</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所称的“以上”“以下”“以内”“届满”，包括本数；所称的“不满”“超过”“以外”，不包括本数。</w:t>
            </w:r>
          </w:p>
        </w:tc>
      </w:tr>
    </w:tbl>
    <w:p w14:paraId="19963F50">
      <w:pPr>
        <w:keepNext/>
        <w:keepLines/>
        <w:spacing w:before="260" w:after="260" w:line="420" w:lineRule="exact"/>
        <w:jc w:val="center"/>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bCs/>
          <w:color w:val="auto"/>
          <w:sz w:val="32"/>
          <w:szCs w:val="32"/>
          <w:highlight w:val="none"/>
          <w:lang w:val="zh-CN" w:eastAsia="zh-CN"/>
        </w:rPr>
        <w:br w:type="page" w:clear="all"/>
      </w:r>
      <w:bookmarkStart w:id="66" w:name="_Toc29286"/>
      <w:bookmarkStart w:id="67" w:name="_Toc20165"/>
      <w:bookmarkStart w:id="68" w:name="_Toc80205924"/>
      <w:r>
        <w:rPr>
          <w:rFonts w:hint="eastAsia" w:ascii="宋体" w:hAnsi="宋体" w:eastAsia="宋体" w:cs="宋体"/>
          <w:bCs/>
          <w:color w:val="auto"/>
          <w:sz w:val="32"/>
          <w:szCs w:val="32"/>
          <w:highlight w:val="none"/>
          <w:lang w:val="zh-CN" w:eastAsia="zh-CN"/>
        </w:rPr>
        <w:t>第二节 供应商须知正文</w:t>
      </w:r>
      <w:bookmarkEnd w:id="66"/>
      <w:bookmarkEnd w:id="67"/>
      <w:bookmarkEnd w:id="68"/>
    </w:p>
    <w:p w14:paraId="3CECA610">
      <w:pPr>
        <w:keepNext/>
        <w:keepLines/>
        <w:spacing w:line="360" w:lineRule="auto"/>
        <w:ind w:firstLine="640"/>
        <w:outlineLvl w:val="2"/>
        <w:rPr>
          <w:rFonts w:hint="eastAsia" w:ascii="宋体" w:hAnsi="宋体" w:eastAsia="宋体" w:cs="宋体"/>
          <w:bCs/>
          <w:color w:val="auto"/>
          <w:sz w:val="32"/>
          <w:szCs w:val="32"/>
          <w:highlight w:val="none"/>
          <w:lang w:val="zh-CN" w:eastAsia="zh-CN"/>
        </w:rPr>
      </w:pPr>
      <w:bookmarkStart w:id="69" w:name="_Toc27704"/>
      <w:bookmarkStart w:id="70" w:name="_Toc18711"/>
      <w:bookmarkStart w:id="71" w:name="_Toc80205925"/>
      <w:r>
        <w:rPr>
          <w:rFonts w:hint="eastAsia" w:ascii="宋体" w:hAnsi="宋体" w:eastAsia="宋体" w:cs="宋体"/>
          <w:bCs/>
          <w:color w:val="auto"/>
          <w:sz w:val="32"/>
          <w:szCs w:val="32"/>
          <w:highlight w:val="none"/>
          <w:lang w:val="zh-CN" w:eastAsia="zh-CN"/>
        </w:rPr>
        <w:t>一、总则</w:t>
      </w:r>
      <w:bookmarkEnd w:id="69"/>
      <w:bookmarkEnd w:id="70"/>
      <w:bookmarkEnd w:id="71"/>
    </w:p>
    <w:p w14:paraId="77ABDC32">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14:paraId="4FBC5CD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3660E1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5F06A345">
      <w:pPr>
        <w:spacing w:line="360" w:lineRule="auto"/>
        <w:ind w:firstLine="482"/>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2.定义</w:t>
      </w:r>
    </w:p>
    <w:p w14:paraId="3CADAF8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248F2126">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700882F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5CF66E4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1F34A98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14:paraId="1216916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14:paraId="140740F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36EA844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14:paraId="612EE55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“实质性要求”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49FAD83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3C70560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58CB211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“首次报价”是指供应商提交的首次响应文件中的</w:t>
      </w:r>
      <w:r>
        <w:rPr>
          <w:rFonts w:hint="eastAsia" w:ascii="宋体" w:hAnsi="宋体" w:eastAsia="宋体" w:cs="宋体"/>
          <w:color w:val="auto"/>
          <w:szCs w:val="21"/>
          <w:highlight w:val="none"/>
          <w:lang w:eastAsia="zh-CN"/>
        </w:rPr>
        <w:t>响应报价</w:t>
      </w:r>
      <w:r>
        <w:rPr>
          <w:rFonts w:hint="eastAsia" w:ascii="宋体" w:hAnsi="宋体" w:eastAsia="宋体" w:cs="宋体"/>
          <w:color w:val="auto"/>
          <w:szCs w:val="21"/>
          <w:highlight w:val="none"/>
        </w:rPr>
        <w:t>。</w:t>
      </w:r>
    </w:p>
    <w:p w14:paraId="7BE33E4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“评审价”是指供应商提交的最后报价并经修正和政策功能价格扣除后的价格。</w:t>
      </w:r>
    </w:p>
    <w:p w14:paraId="2E73911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3.供应商的资格条件</w:t>
      </w:r>
    </w:p>
    <w:p w14:paraId="40A7A3A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74E1E070">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4.谈判费用</w:t>
      </w:r>
    </w:p>
    <w:p w14:paraId="7C83123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2D6C2BF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5.联合体竞标</w:t>
      </w:r>
    </w:p>
    <w:p w14:paraId="7335B66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28D0FF8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14:paraId="5946B250">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6.转包与分包             </w:t>
      </w:r>
    </w:p>
    <w:p w14:paraId="3A141DB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3C7BDDA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本项目是否允许分包详见“供应商须知前附表”，本项目不允许违法分包。</w:t>
      </w:r>
    </w:p>
    <w:p w14:paraId="44F30334">
      <w:pPr>
        <w:spacing w:line="360" w:lineRule="auto"/>
        <w:ind w:firstLine="482"/>
        <w:rPr>
          <w:rFonts w:hint="eastAsia" w:ascii="宋体" w:hAnsi="宋体" w:eastAsia="宋体" w:cs="宋体"/>
          <w:b/>
          <w:bCs/>
          <w:color w:val="auto"/>
          <w:sz w:val="24"/>
          <w:szCs w:val="24"/>
          <w:highlight w:val="none"/>
        </w:rPr>
      </w:pPr>
      <w:bookmarkStart w:id="72" w:name="_Toc254970532"/>
      <w:bookmarkStart w:id="73" w:name="_Toc254970673"/>
      <w:r>
        <w:rPr>
          <w:rFonts w:hint="eastAsia" w:ascii="宋体" w:hAnsi="宋体" w:eastAsia="宋体" w:cs="宋体"/>
          <w:b/>
          <w:bCs/>
          <w:color w:val="auto"/>
          <w:sz w:val="24"/>
          <w:szCs w:val="24"/>
          <w:highlight w:val="none"/>
        </w:rPr>
        <w:t>7.特别说明</w:t>
      </w:r>
      <w:bookmarkEnd w:id="72"/>
      <w:bookmarkEnd w:id="73"/>
    </w:p>
    <w:p w14:paraId="43618C39">
      <w:pPr>
        <w:spacing w:line="360" w:lineRule="auto"/>
        <w:ind w:firstLine="420"/>
        <w:rPr>
          <w:rFonts w:hint="eastAsia" w:ascii="宋体" w:hAnsi="宋体" w:eastAsia="宋体" w:cs="宋体"/>
          <w:color w:val="auto"/>
          <w:szCs w:val="21"/>
          <w:highlight w:val="none"/>
        </w:rPr>
      </w:pPr>
      <w:bookmarkStart w:id="74" w:name="_8.1提供相同品牌产品且通过资格审查、符合性审查的不同投标人参加同一合"/>
      <w:bookmarkEnd w:id="74"/>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43EF098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14:paraId="48F1752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w:t>
      </w:r>
      <w:r>
        <w:rPr>
          <w:rFonts w:hint="eastAsia" w:ascii="宋体" w:hAnsi="宋体" w:eastAsia="宋体" w:cs="宋体"/>
          <w:b w:val="0"/>
          <w:bCs w:val="0"/>
          <w:color w:val="auto"/>
          <w:szCs w:val="21"/>
          <w:highlight w:val="none"/>
        </w:rPr>
        <w:t>其响应文件作无效处理</w:t>
      </w:r>
      <w:r>
        <w:rPr>
          <w:rFonts w:hint="eastAsia" w:ascii="宋体" w:hAnsi="宋体" w:eastAsia="宋体" w:cs="宋体"/>
          <w:color w:val="auto"/>
          <w:szCs w:val="21"/>
          <w:highlight w:val="none"/>
        </w:rPr>
        <w:t>，并报监管部门查处；签订合同后发现的,成交供应商须依照《中华人民共和国</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》规定赔偿采购人，且民事赔偿并不免除违法供应商的行政与刑事责任。</w:t>
      </w:r>
    </w:p>
    <w:p w14:paraId="030E5B0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36CAA76C">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7489CA63">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77468E2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73B881F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1175A582">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2F3A7B6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ED5B80F">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4DB3DE83">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报名的IP地址一致的；</w:t>
      </w:r>
    </w:p>
    <w:p w14:paraId="6135735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14E35EF2">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5A312E8A">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2700FF55">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1D9C9427">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从同一单位或者个人账户转出。</w:t>
      </w:r>
    </w:p>
    <w:p w14:paraId="78D433D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75" w:name="_Hlk54682620"/>
      <w:r>
        <w:rPr>
          <w:rFonts w:hint="eastAsia" w:ascii="宋体" w:hAnsi="宋体" w:eastAsia="宋体" w:cs="宋体"/>
          <w:b/>
          <w:bCs/>
          <w:color w:val="auto"/>
          <w:szCs w:val="21"/>
          <w:highlight w:val="none"/>
        </w:rPr>
        <w:t>，将报同级监督管理部门</w:t>
      </w:r>
      <w:bookmarkEnd w:id="75"/>
      <w:r>
        <w:rPr>
          <w:rFonts w:hint="eastAsia" w:ascii="宋体" w:hAnsi="宋体" w:eastAsia="宋体" w:cs="宋体"/>
          <w:b/>
          <w:bCs/>
          <w:color w:val="auto"/>
          <w:szCs w:val="21"/>
          <w:highlight w:val="none"/>
        </w:rPr>
        <w:t>：</w:t>
      </w:r>
    </w:p>
    <w:p w14:paraId="1464E43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6AEDE5A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41D7377D">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19E8C96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7D1BA40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D5A153A">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12E65BEE">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76" w:name="_Toc254970675"/>
      <w:bookmarkStart w:id="77" w:name="_Toc254970534"/>
    </w:p>
    <w:p w14:paraId="1C1C6C47">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4"/>
          <w:lang w:val="en-US" w:eastAsia="zh-CN"/>
        </w:rPr>
        <w:t>7.7</w:t>
      </w:r>
      <w:r>
        <w:rPr>
          <w:rFonts w:hint="eastAsia" w:ascii="宋体" w:hAnsi="宋体" w:eastAsia="宋体" w:cs="宋体"/>
          <w:b/>
          <w:bCs/>
          <w:color w:val="auto"/>
          <w:szCs w:val="21"/>
          <w:lang w:val="en-US" w:eastAsia="zh-CN"/>
        </w:rPr>
        <w:t>单一产品</w:t>
      </w:r>
      <w:r>
        <w:rPr>
          <w:rFonts w:hint="eastAsia" w:ascii="宋体" w:hAnsi="宋体" w:eastAsia="宋体" w:cs="宋体"/>
          <w:b/>
          <w:bCs/>
          <w:color w:val="auto"/>
          <w:szCs w:val="21"/>
        </w:rPr>
        <w:t>采购项目</w:t>
      </w:r>
      <w:r>
        <w:rPr>
          <w:rFonts w:hint="eastAsia" w:ascii="宋体" w:hAnsi="宋体" w:eastAsia="宋体" w:cs="宋体"/>
          <w:b/>
          <w:bCs/>
          <w:color w:val="auto"/>
          <w:szCs w:val="21"/>
          <w:lang w:eastAsia="zh-CN"/>
        </w:rPr>
        <w:t>，</w:t>
      </w:r>
      <w:r>
        <w:rPr>
          <w:rFonts w:hint="eastAsia" w:ascii="宋体" w:hAnsi="宋体" w:eastAsia="宋体" w:cs="宋体"/>
          <w:b/>
          <w:bCs/>
          <w:color w:val="auto"/>
          <w:szCs w:val="21"/>
        </w:rPr>
        <w:t>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color w:val="auto"/>
          <w:kern w:val="0"/>
          <w:sz w:val="21"/>
          <w:szCs w:val="21"/>
        </w:rPr>
        <w:t>其他</w:t>
      </w:r>
      <w:r>
        <w:rPr>
          <w:rFonts w:hint="eastAsia" w:ascii="宋体" w:hAnsi="宋体" w:eastAsia="宋体" w:cs="宋体"/>
          <w:b/>
          <w:bCs/>
          <w:color w:val="auto"/>
          <w:kern w:val="0"/>
          <w:sz w:val="21"/>
          <w:szCs w:val="21"/>
          <w:lang w:eastAsia="zh-CN"/>
        </w:rPr>
        <w:t>竞</w:t>
      </w:r>
      <w:r>
        <w:rPr>
          <w:rFonts w:hint="eastAsia" w:ascii="宋体" w:hAnsi="宋体" w:eastAsia="宋体" w:cs="宋体"/>
          <w:b/>
          <w:bCs/>
          <w:color w:val="auto"/>
          <w:kern w:val="0"/>
          <w:sz w:val="21"/>
          <w:szCs w:val="21"/>
        </w:rPr>
        <w:t>标无效</w:t>
      </w:r>
      <w:r>
        <w:rPr>
          <w:rFonts w:hint="eastAsia" w:ascii="宋体" w:hAnsi="宋体" w:eastAsia="宋体" w:cs="宋体"/>
          <w:b/>
          <w:bCs/>
          <w:color w:val="auto"/>
          <w:szCs w:val="21"/>
        </w:rPr>
        <w:t>。</w:t>
      </w:r>
    </w:p>
    <w:p w14:paraId="1A09D454">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auto"/>
          <w:szCs w:val="21"/>
        </w:rPr>
        <w:t>非单一产品采购项目，多家供应商提供的核心产品品牌相同的，按前款规定处理。</w:t>
      </w:r>
    </w:p>
    <w:p w14:paraId="79D3202B">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78" w:name="_Toc80205926"/>
      <w:bookmarkStart w:id="79" w:name="_Toc10931"/>
      <w:bookmarkStart w:id="80" w:name="_Toc30516"/>
      <w:r>
        <w:rPr>
          <w:rFonts w:hint="eastAsia" w:ascii="宋体" w:hAnsi="宋体" w:eastAsia="宋体" w:cs="宋体"/>
          <w:color w:val="auto"/>
          <w:sz w:val="32"/>
          <w:szCs w:val="32"/>
          <w:highlight w:val="none"/>
          <w:lang w:val="zh-CN" w:eastAsia="zh-CN"/>
        </w:rPr>
        <w:t>二、谈判文件</w:t>
      </w:r>
      <w:bookmarkEnd w:id="76"/>
      <w:bookmarkEnd w:id="77"/>
      <w:bookmarkEnd w:id="78"/>
      <w:bookmarkEnd w:id="79"/>
      <w:bookmarkEnd w:id="80"/>
    </w:p>
    <w:p w14:paraId="0F139DFC">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8.谈判文件的构成</w:t>
      </w:r>
    </w:p>
    <w:p w14:paraId="1A2A5592">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竞争性谈判公告；</w:t>
      </w:r>
    </w:p>
    <w:p w14:paraId="0732F841">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252DED1C">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7969E5A4">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评审程序、评审方法和成交标准；</w:t>
      </w:r>
    </w:p>
    <w:p w14:paraId="42E9265A">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69F7905C">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4BEC3215">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14:paraId="4474E93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9.供应商的询问</w:t>
      </w:r>
    </w:p>
    <w:p w14:paraId="5866D6E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5B0FB70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10.谈判文件的澄清和修改</w:t>
      </w:r>
    </w:p>
    <w:p w14:paraId="12895ED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09B9897F">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4D5B87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w:t>
      </w:r>
      <w:r>
        <w:rPr>
          <w:rFonts w:hint="eastAsia" w:ascii="宋体" w:hAnsi="宋体" w:eastAsia="宋体" w:cs="宋体"/>
          <w:color w:val="auto"/>
          <w:szCs w:val="21"/>
          <w:highlight w:val="none"/>
          <w:lang w:eastAsia="zh-CN"/>
        </w:rPr>
        <w:t>接收</w:t>
      </w:r>
      <w:r>
        <w:rPr>
          <w:rFonts w:hint="eastAsia" w:ascii="宋体" w:hAnsi="宋体" w:eastAsia="宋体" w:cs="宋体"/>
          <w:color w:val="auto"/>
          <w:szCs w:val="21"/>
          <w:highlight w:val="none"/>
        </w:rPr>
        <w:t>谈判文件的供应商，不足3个工作日的，应当顺延提交首次响应文件截止之日。澄清或者更正公告在</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公告发布媒体上发布，一经发布，视作已以书面形式通知所有接收谈判文件的潜在供应商，不再另行通知，所有潜在供应商应密切关注竞争性谈判公告发布媒体，因未能及时获知，由此产生的后果均应自行承担。</w:t>
      </w:r>
    </w:p>
    <w:p w14:paraId="62A6E4F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DF0CAF5">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w:t>
      </w:r>
      <w:r>
        <w:rPr>
          <w:rFonts w:hint="eastAsia" w:ascii="宋体" w:hAnsi="宋体" w:eastAsia="宋体" w:cs="宋体"/>
          <w:color w:val="auto"/>
          <w:szCs w:val="24"/>
          <w:highlight w:val="none"/>
          <w:lang w:eastAsia="zh-CN"/>
        </w:rPr>
        <w:t>竞争性谈判</w:t>
      </w:r>
      <w:r>
        <w:rPr>
          <w:rFonts w:hint="eastAsia" w:ascii="宋体" w:hAnsi="宋体" w:eastAsia="宋体" w:cs="宋体"/>
          <w:color w:val="auto"/>
          <w:szCs w:val="24"/>
          <w:highlight w:val="none"/>
        </w:rPr>
        <w:t>公告”中“七、其他补充事宜</w:t>
      </w:r>
      <w:r>
        <w:rPr>
          <w:rFonts w:hint="eastAsia" w:ascii="宋体" w:hAnsi="宋体" w:eastAsia="宋体" w:cs="宋体"/>
          <w:color w:val="auto"/>
          <w:szCs w:val="21"/>
          <w:highlight w:val="none"/>
          <w:lang w:val="en-US"/>
        </w:rPr>
        <w:t>（</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lang w:val="en-US"/>
        </w:rPr>
        <w:t>）</w:t>
      </w:r>
      <w:r>
        <w:rPr>
          <w:rFonts w:hint="eastAsia" w:ascii="宋体" w:hAnsi="宋体" w:eastAsia="宋体" w:cs="宋体"/>
          <w:color w:val="auto"/>
          <w:szCs w:val="24"/>
          <w:highlight w:val="none"/>
        </w:rPr>
        <w:t>网上查询地址”规定的政府采购信息发布媒体上发布更正公告。</w:t>
      </w:r>
    </w:p>
    <w:p w14:paraId="75F3D79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响应文件未按谈判文件的澄清、修改的内容编制，又不符合实质性要求的，其响应文件作无效处理。</w:t>
      </w:r>
    </w:p>
    <w:p w14:paraId="49E0E294">
      <w:pPr>
        <w:keepNext/>
        <w:keepLines/>
        <w:spacing w:line="360" w:lineRule="auto"/>
        <w:ind w:firstLine="64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81" w:name="_Toc80205927"/>
      <w:bookmarkStart w:id="82" w:name="_Toc11107"/>
      <w:bookmarkStart w:id="83" w:name="_Toc12627"/>
      <w:r>
        <w:rPr>
          <w:rFonts w:hint="eastAsia" w:ascii="宋体" w:hAnsi="宋体" w:eastAsia="宋体" w:cs="宋体"/>
          <w:color w:val="auto"/>
          <w:sz w:val="32"/>
          <w:szCs w:val="32"/>
          <w:highlight w:val="none"/>
          <w:lang w:val="zh-CN" w:eastAsia="zh-CN"/>
        </w:rPr>
        <w:t>三、响应文件的编制</w:t>
      </w:r>
      <w:bookmarkEnd w:id="81"/>
      <w:bookmarkEnd w:id="82"/>
      <w:bookmarkEnd w:id="83"/>
    </w:p>
    <w:p w14:paraId="748CA9F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11.响应文件的编制原则</w:t>
      </w:r>
    </w:p>
    <w:p w14:paraId="27333C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295F5F0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12.响应文件的组成</w:t>
      </w:r>
    </w:p>
    <w:p w14:paraId="6E06BF8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14:paraId="0090C670">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5C079C19">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79F95433">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12B53589">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w:t>
      </w:r>
      <w:r>
        <w:rPr>
          <w:rFonts w:hint="eastAsia"/>
          <w:color w:val="auto"/>
          <w:lang w:val="en-US" w:eastAsia="zh-CN"/>
        </w:rPr>
        <w:t>要求</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129B31D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13.计量单位</w:t>
      </w:r>
    </w:p>
    <w:p w14:paraId="1A2C181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2D88929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14.竞标的风险</w:t>
      </w:r>
    </w:p>
    <w:p w14:paraId="421AC94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32AFFAB1">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15.响应报价要求和构成</w:t>
      </w:r>
    </w:p>
    <w:p w14:paraId="56B73CCD">
      <w:pPr>
        <w:tabs>
          <w:tab w:val="left" w:pos="2492"/>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0FDDB6DD">
      <w:pPr>
        <w:tabs>
          <w:tab w:val="left" w:pos="2492"/>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0AEBCD4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7D077DA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7A12AEB9">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每个分标的全部内容分别作完整唯一总价报价，不得存在漏项报价；</w:t>
      </w:r>
    </w:p>
    <w:p w14:paraId="6FA7057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w:t>
      </w:r>
    </w:p>
    <w:p w14:paraId="5E79D75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分标规定的采购预算金额或者最高限价的（如本项目公布了最高限价），其响应文件将作无效处理。</w:t>
      </w:r>
    </w:p>
    <w:p w14:paraId="6C06ACC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84"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bookmarkEnd w:id="84"/>
    </w:p>
    <w:p w14:paraId="4F7E040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16.竞标有效期</w:t>
      </w:r>
    </w:p>
    <w:p w14:paraId="279671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794E0C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41141ED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2AE75DA7">
      <w:pPr>
        <w:spacing w:line="360" w:lineRule="auto"/>
        <w:ind w:firstLine="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17.谈判保证金</w:t>
      </w:r>
    </w:p>
    <w:p w14:paraId="6B8697D3">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w:t>
      </w:r>
    </w:p>
    <w:p w14:paraId="7E42C7F3">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的退还</w:t>
      </w:r>
    </w:p>
    <w:p w14:paraId="0B36183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w:t>
      </w:r>
      <w:r>
        <w:rPr>
          <w:rFonts w:hint="eastAsia" w:ascii="宋体" w:hAnsi="宋体" w:eastAsia="宋体" w:cs="宋体"/>
          <w:color w:val="auto"/>
          <w:spacing w:val="-6"/>
          <w:szCs w:val="21"/>
          <w:highlight w:val="none"/>
          <w:lang w:eastAsia="zh-CN"/>
        </w:rPr>
        <w:t>谈判保证金</w:t>
      </w:r>
      <w:r>
        <w:rPr>
          <w:rFonts w:hint="eastAsia" w:ascii="宋体" w:hAnsi="宋体" w:eastAsia="宋体" w:cs="宋体"/>
          <w:color w:val="auto"/>
          <w:spacing w:val="-6"/>
          <w:szCs w:val="21"/>
          <w:highlight w:val="none"/>
        </w:rPr>
        <w:t>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个工作日内退还，退还方式如下：</w:t>
      </w:r>
    </w:p>
    <w:p w14:paraId="406C903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70E9922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方式的，由供应商代表持相关授权证明材料至采购代理机构办理支票、汇票、本票或者金融机构、担保机构出具的保函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原件退还手续。</w:t>
      </w:r>
    </w:p>
    <w:p w14:paraId="4136991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个工作日内退还，退还方式同未成交供应商的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的退还方式。 </w:t>
      </w:r>
    </w:p>
    <w:p w14:paraId="1E874892">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不计息。</w:t>
      </w:r>
    </w:p>
    <w:p w14:paraId="5E623724">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17.4供应商有下列情形之一的，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将不予退还： </w:t>
      </w:r>
    </w:p>
    <w:p w14:paraId="1FDD9661">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40B13937">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320A1BF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谈判文件认可的情形以外，成交供应商不与采购人签订合同的；</w:t>
      </w:r>
    </w:p>
    <w:p w14:paraId="724D3F8A">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供应商或者采购代理机构恶意串通的；</w:t>
      </w:r>
    </w:p>
    <w:p w14:paraId="0983230F">
      <w:pPr>
        <w:spacing w:line="360" w:lineRule="auto"/>
        <w:ind w:left="420" w:firstLine="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情形。</w:t>
      </w:r>
    </w:p>
    <w:p w14:paraId="7B7B0F6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18.响应文件编制的要求</w:t>
      </w:r>
    </w:p>
    <w:p w14:paraId="002A286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14:paraId="51586CA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w:t>
      </w:r>
      <w:r>
        <w:rPr>
          <w:rFonts w:hint="eastAsia" w:ascii="宋体" w:hAnsi="宋体" w:eastAsia="宋体" w:cs="宋体"/>
          <w:color w:val="auto"/>
          <w:szCs w:val="21"/>
          <w:highlight w:val="none"/>
          <w:lang w:eastAsia="zh-CN"/>
        </w:rPr>
        <w:t>文件与</w:t>
      </w:r>
      <w:r>
        <w:rPr>
          <w:rFonts w:hint="eastAsia" w:ascii="宋体" w:hAnsi="宋体" w:eastAsia="宋体" w:cs="宋体"/>
          <w:color w:val="auto"/>
          <w:szCs w:val="21"/>
          <w:highlight w:val="none"/>
        </w:rPr>
        <w:t>技术文件合并编制，本谈判只接收电子版响应文件，要求见本章“12.2响应文件电子版要求”。</w:t>
      </w:r>
    </w:p>
    <w:p w14:paraId="50A4637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85" w:name="_Hlk65832699"/>
      <w:r>
        <w:rPr>
          <w:rFonts w:hint="eastAsia" w:ascii="宋体" w:hAnsi="宋体" w:eastAsia="宋体" w:cs="宋体"/>
          <w:color w:val="auto"/>
          <w:szCs w:val="21"/>
          <w:highlight w:val="none"/>
        </w:rPr>
        <w:t>3响应文件须由供应商</w:t>
      </w:r>
      <w:r>
        <w:rPr>
          <w:rFonts w:hint="eastAsia" w:ascii="宋体" w:hAnsi="宋体" w:eastAsia="宋体" w:cs="宋体"/>
          <w:color w:val="auto"/>
          <w:szCs w:val="21"/>
          <w:highlight w:val="none"/>
          <w:lang w:eastAsia="zh-CN"/>
        </w:rPr>
        <w:t>按</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进行签署、盖章</w:t>
      </w:r>
      <w:bookmarkEnd w:id="85"/>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3F76BAA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r>
        <w:rPr>
          <w:rFonts w:hint="eastAsia" w:ascii="宋体" w:hAnsi="宋体" w:eastAsia="宋体" w:cs="宋体"/>
          <w:color w:val="auto"/>
          <w:szCs w:val="21"/>
          <w:highlight w:val="none"/>
        </w:rPr>
        <w:t>。</w:t>
      </w:r>
    </w:p>
    <w:p w14:paraId="0D3C7A9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14:paraId="7559795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19.响应文件的</w:t>
      </w:r>
      <w:r>
        <w:rPr>
          <w:rFonts w:hint="eastAsia" w:ascii="宋体" w:hAnsi="宋体" w:eastAsia="宋体" w:cs="宋体"/>
          <w:b/>
          <w:bCs/>
          <w:color w:val="auto"/>
          <w:sz w:val="24"/>
          <w:szCs w:val="24"/>
          <w:highlight w:val="none"/>
          <w:lang w:eastAsia="zh-CN"/>
        </w:rPr>
        <w:t>加密</w:t>
      </w:r>
    </w:p>
    <w:p w14:paraId="453ED5A2">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19.1供应商进行电子交易应安装客户端软件—“</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lang w:val="zh-CN"/>
        </w:rPr>
        <w:t>”，并按照谈判文件和电子交易平台的要求编制并加密响应文件。供应商未按规定加密的响应文件，电子交易平台将拒收并提示。</w:t>
      </w:r>
    </w:p>
    <w:p w14:paraId="22BD7966">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19.2使用“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zh-CN"/>
        </w:rPr>
        <w:t>电子交易客户端”需要提前申领CA数字证书。</w:t>
      </w:r>
    </w:p>
    <w:p w14:paraId="2F86C0EB">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19.3为确保网上操作合法、有效和安全，供应商应当在响应文件提交截止时间前完成在“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zh-CN" w:eastAsia="zh-CN"/>
        </w:rPr>
        <w:t>”的身份认证，确保在电子交易过程中能够对相关数据电文进行加密和使用电子签名。</w:t>
      </w:r>
    </w:p>
    <w:p w14:paraId="1F8A2493">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20.响应文件的提交</w:t>
      </w:r>
    </w:p>
    <w:p w14:paraId="2A411AB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5158432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47F5860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650B372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8AD434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454FD89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详见“供应商须知前附表”。</w:t>
      </w:r>
    </w:p>
    <w:p w14:paraId="0E7E421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21.首次响应文件的补充、修改与撤回</w:t>
      </w:r>
    </w:p>
    <w:p w14:paraId="0821AF7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9362ADA">
      <w:pPr>
        <w:spacing w:line="360" w:lineRule="auto"/>
        <w:ind w:firstLine="482"/>
        <w:rPr>
          <w:rFonts w:hint="eastAsia" w:ascii="宋体" w:hAnsi="宋体" w:eastAsia="宋体" w:cs="宋体"/>
          <w:b/>
          <w:bCs/>
          <w:color w:val="auto"/>
          <w:sz w:val="24"/>
          <w:szCs w:val="24"/>
          <w:highlight w:val="none"/>
        </w:rPr>
      </w:pPr>
      <w:bookmarkStart w:id="86" w:name="_Hlk45702405"/>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截止时间后的撤回</w:t>
      </w:r>
      <w:bookmarkEnd w:id="86"/>
    </w:p>
    <w:p w14:paraId="6C9A98FA">
      <w:pPr>
        <w:pStyle w:val="18"/>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67525128">
      <w:pPr>
        <w:keepNext/>
        <w:keepLines/>
        <w:spacing w:line="360" w:lineRule="auto"/>
        <w:ind w:firstLine="64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87" w:name="_Toc8836"/>
      <w:bookmarkStart w:id="88" w:name="_Toc80205928"/>
      <w:bookmarkStart w:id="89" w:name="_Toc29978"/>
      <w:r>
        <w:rPr>
          <w:rFonts w:hint="eastAsia" w:ascii="宋体" w:hAnsi="宋体" w:eastAsia="宋体" w:cs="宋体"/>
          <w:color w:val="auto"/>
          <w:sz w:val="32"/>
          <w:szCs w:val="32"/>
          <w:highlight w:val="none"/>
          <w:lang w:val="zh-CN" w:eastAsia="zh-CN"/>
        </w:rPr>
        <w:t>四、评审及谈判</w:t>
      </w:r>
      <w:bookmarkEnd w:id="87"/>
      <w:bookmarkEnd w:id="88"/>
      <w:bookmarkEnd w:id="89"/>
    </w:p>
    <w:p w14:paraId="3B293DE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.谈判小组成立</w:t>
      </w:r>
    </w:p>
    <w:p w14:paraId="03AFA04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4312E3E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.2评审专家应当从政府采购评审专家库内相关专业的专家名单中随机抽取。</w:t>
      </w:r>
    </w:p>
    <w:p w14:paraId="6C4B2CD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.首次响应文件的开启</w:t>
      </w:r>
    </w:p>
    <w:p w14:paraId="1245E1E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.1首次响应文件由谈判小组或者采购代理机构在“供应商须知前附表”规定的时间开启。</w:t>
      </w:r>
    </w:p>
    <w:p w14:paraId="6C8AA130">
      <w:pPr>
        <w:spacing w:line="360" w:lineRule="auto"/>
        <w:ind w:firstLine="400"/>
        <w:rPr>
          <w:rFonts w:hint="eastAsia" w:ascii="宋体" w:hAnsi="宋体" w:eastAsia="宋体" w:cs="宋体"/>
          <w:bCs/>
          <w:color w:val="auto"/>
          <w:sz w:val="20"/>
          <w:szCs w:val="21"/>
          <w:highlight w:val="none"/>
          <w:lang w:val="zh-CN" w:eastAsia="zh-CN"/>
        </w:rPr>
      </w:pPr>
      <w:r>
        <w:rPr>
          <w:rFonts w:hint="eastAsia" w:ascii="宋体" w:hAnsi="宋体" w:eastAsia="宋体" w:cs="宋体"/>
          <w:color w:val="auto"/>
          <w:sz w:val="20"/>
          <w:szCs w:val="21"/>
          <w:highlight w:val="none"/>
          <w:lang w:val="zh-CN" w:eastAsia="zh-CN"/>
        </w:rPr>
        <w:t>2</w:t>
      </w:r>
      <w:r>
        <w:rPr>
          <w:rFonts w:hint="eastAsia" w:ascii="宋体" w:hAnsi="宋体" w:eastAsia="宋体" w:cs="宋体"/>
          <w:color w:val="auto"/>
          <w:sz w:val="20"/>
          <w:szCs w:val="21"/>
          <w:highlight w:val="none"/>
          <w:lang w:val="en-US" w:eastAsia="zh-CN"/>
        </w:rPr>
        <w:t>4</w:t>
      </w:r>
      <w:r>
        <w:rPr>
          <w:rFonts w:hint="eastAsia" w:ascii="宋体" w:hAnsi="宋体" w:eastAsia="宋体" w:cs="宋体"/>
          <w:color w:val="auto"/>
          <w:sz w:val="20"/>
          <w:szCs w:val="21"/>
          <w:highlight w:val="none"/>
          <w:lang w:val="zh-CN" w:eastAsia="zh-CN"/>
        </w:rPr>
        <w:t xml:space="preserve">.2 </w:t>
      </w:r>
      <w:r>
        <w:rPr>
          <w:rFonts w:hint="eastAsia" w:ascii="宋体" w:hAnsi="宋体" w:eastAsia="宋体" w:cs="宋体"/>
          <w:bCs/>
          <w:color w:val="auto"/>
          <w:sz w:val="20"/>
          <w:szCs w:val="21"/>
          <w:highlight w:val="none"/>
          <w:lang w:val="zh-CN" w:eastAsia="zh-CN"/>
        </w:rPr>
        <w:t>响应文件解密</w:t>
      </w:r>
    </w:p>
    <w:p w14:paraId="3EF46EC1">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bCs/>
          <w:color w:val="auto"/>
          <w:szCs w:val="21"/>
          <w:highlight w:val="none"/>
          <w:lang w:val="zh-CN" w:eastAsia="zh-CN"/>
        </w:rPr>
        <w:t>采购代理机构将在“供应商须知前附表”规定的时</w:t>
      </w:r>
      <w:r>
        <w:rPr>
          <w:rFonts w:hint="eastAsia" w:ascii="宋体" w:hAnsi="宋体" w:eastAsia="宋体" w:cs="宋体"/>
          <w:color w:val="auto"/>
          <w:szCs w:val="21"/>
          <w:highlight w:val="none"/>
          <w:lang w:val="zh-CN" w:eastAsia="zh-CN"/>
        </w:rPr>
        <w:t>间通过电子交易平台组织响应文件开启，采购机构依托电子交易平台发起开始解密指令，供应商的法定代表人或其委托代理人</w:t>
      </w:r>
      <w:r>
        <w:rPr>
          <w:rFonts w:hint="eastAsia" w:ascii="宋体" w:hAnsi="宋体" w:eastAsia="宋体" w:cs="宋体"/>
          <w:b/>
          <w:color w:val="auto"/>
          <w:szCs w:val="21"/>
          <w:highlight w:val="none"/>
          <w:lang w:val="zh-CN" w:eastAsia="zh-CN"/>
        </w:rPr>
        <w:t>须携带加密时所用的CA锁按平台提示和采购文件的规定登录到</w:t>
      </w:r>
      <w:r>
        <w:rPr>
          <w:rFonts w:hint="eastAsia" w:ascii="宋体" w:hAnsi="宋体" w:eastAsia="宋体" w:cs="宋体"/>
          <w:b/>
          <w:bCs w:val="0"/>
          <w:color w:val="auto"/>
          <w:sz w:val="21"/>
          <w:szCs w:val="21"/>
          <w:highlight w:val="none"/>
          <w:lang w:val="zh-CN" w:eastAsia="zh-CN"/>
        </w:rPr>
        <w:t>广西政府采购云平台</w:t>
      </w:r>
      <w:r>
        <w:rPr>
          <w:rFonts w:hint="eastAsia" w:ascii="宋体" w:hAnsi="宋体" w:eastAsia="宋体" w:cs="宋体"/>
          <w:b/>
          <w:color w:val="auto"/>
          <w:szCs w:val="21"/>
          <w:highlight w:val="none"/>
          <w:lang w:val="zh-CN" w:eastAsia="zh-CN"/>
        </w:rPr>
        <w:t>电子开标大厅签到并在发起解密指令之时起在</w:t>
      </w:r>
      <w:r>
        <w:rPr>
          <w:rFonts w:hint="eastAsia" w:ascii="宋体" w:hAnsi="宋体" w:eastAsia="宋体" w:cs="宋体"/>
          <w:b/>
          <w:color w:val="auto"/>
          <w:szCs w:val="21"/>
          <w:highlight w:val="none"/>
        </w:rPr>
        <w:t>规定的时间</w:t>
      </w:r>
      <w:r>
        <w:rPr>
          <w:rFonts w:hint="eastAsia" w:ascii="宋体" w:hAnsi="宋体" w:eastAsia="宋体" w:cs="宋体"/>
          <w:b/>
          <w:color w:val="auto"/>
          <w:szCs w:val="21"/>
          <w:highlight w:val="none"/>
          <w:lang w:eastAsia="zh-CN"/>
        </w:rPr>
        <w:t>内</w:t>
      </w:r>
      <w:r>
        <w:rPr>
          <w:rFonts w:hint="eastAsia" w:ascii="宋体" w:hAnsi="宋体" w:eastAsia="宋体" w:cs="宋体"/>
          <w:b/>
          <w:color w:val="auto"/>
          <w:szCs w:val="21"/>
          <w:highlight w:val="none"/>
          <w:lang w:val="zh-CN" w:eastAsia="zh-CN"/>
        </w:rPr>
        <w:t>完成对电子版响应文件在线解密</w:t>
      </w:r>
      <w:r>
        <w:rPr>
          <w:rFonts w:hint="eastAsia" w:ascii="宋体" w:hAnsi="宋体" w:eastAsia="宋体" w:cs="宋体"/>
          <w:color w:val="auto"/>
          <w:szCs w:val="21"/>
          <w:highlight w:val="none"/>
          <w:lang w:val="zh-CN" w:eastAsia="zh-CN"/>
        </w:rPr>
        <w:t>。</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文件未按时</w:t>
      </w:r>
      <w:r>
        <w:rPr>
          <w:rFonts w:hint="eastAsia" w:ascii="宋体" w:hAnsi="宋体" w:eastAsia="宋体" w:cs="宋体"/>
          <w:color w:val="auto"/>
          <w:szCs w:val="21"/>
          <w:highlight w:val="none"/>
          <w:lang w:val="zh-CN" w:eastAsia="zh-CN"/>
        </w:rPr>
        <w:t>解密的，</w:t>
      </w:r>
      <w:r>
        <w:rPr>
          <w:rFonts w:hint="eastAsia" w:ascii="宋体" w:hAnsi="宋体" w:eastAsia="宋体" w:cs="宋体"/>
          <w:b/>
          <w:color w:val="auto"/>
          <w:szCs w:val="21"/>
          <w:highlight w:val="none"/>
          <w:lang w:val="zh-CN" w:eastAsia="zh-CN"/>
        </w:rPr>
        <w:t>视为响应文件无效。</w:t>
      </w:r>
      <w:r>
        <w:rPr>
          <w:rFonts w:hint="eastAsia" w:ascii="宋体" w:hAnsi="宋体" w:eastAsia="宋体" w:cs="宋体"/>
          <w:color w:val="auto"/>
          <w:szCs w:val="21"/>
          <w:highlight w:val="none"/>
          <w:lang w:val="zh-CN" w:eastAsia="zh-CN"/>
        </w:rPr>
        <w:t>（解密</w:t>
      </w:r>
      <w:r>
        <w:rPr>
          <w:rFonts w:hint="eastAsia" w:ascii="宋体" w:hAnsi="宋体" w:eastAsia="宋体" w:cs="宋体"/>
          <w:bCs/>
          <w:color w:val="auto"/>
          <w:szCs w:val="21"/>
          <w:highlight w:val="none"/>
          <w:lang w:val="zh-CN" w:eastAsia="zh-CN"/>
        </w:rPr>
        <w:t>异常情况处理：详见本章</w:t>
      </w:r>
      <w:r>
        <w:rPr>
          <w:rFonts w:hint="eastAsia" w:ascii="宋体" w:hAnsi="宋体" w:eastAsia="宋体" w:cs="宋体"/>
          <w:color w:val="auto"/>
          <w:szCs w:val="21"/>
          <w:highlight w:val="none"/>
          <w:lang w:val="zh-CN" w:eastAsia="zh-CN"/>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eastAsia="zh-CN"/>
        </w:rPr>
        <w:t>.3 电子交易活动的中止。）</w:t>
      </w:r>
    </w:p>
    <w:p w14:paraId="1E1640EC">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如</w:t>
      </w:r>
      <w:r>
        <w:rPr>
          <w:rFonts w:hint="eastAsia" w:ascii="宋体" w:hAnsi="宋体" w:eastAsia="宋体" w:cs="宋体"/>
          <w:bCs/>
          <w:color w:val="auto"/>
          <w:szCs w:val="21"/>
          <w:highlight w:val="none"/>
          <w:lang w:val="zh-CN" w:eastAsia="zh-CN"/>
        </w:rPr>
        <w:t>供应商成功解密响应文件，但未在“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szCs w:val="21"/>
          <w:highlight w:val="none"/>
          <w:lang w:val="zh-CN" w:eastAsia="zh-CN"/>
        </w:rPr>
        <w:t>”电子开标大厅参加谈判的，视同认可谈判过程和结果，</w:t>
      </w:r>
      <w:r>
        <w:rPr>
          <w:rFonts w:hint="eastAsia" w:ascii="宋体" w:hAnsi="宋体" w:eastAsia="宋体" w:cs="宋体"/>
          <w:color w:val="auto"/>
          <w:szCs w:val="21"/>
          <w:highlight w:val="none"/>
          <w:lang w:val="zh-CN" w:eastAsia="zh-CN"/>
        </w:rPr>
        <w:t>由此产生的后果由供应商自行负责。 参与谈判的供应商不足3家的，不得谈判。</w:t>
      </w:r>
    </w:p>
    <w:p w14:paraId="41136351">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.评审程序、评审方法和成交标准</w:t>
      </w:r>
    </w:p>
    <w:p w14:paraId="2B96222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w:t>
      </w:r>
      <w:r>
        <w:rPr>
          <w:rFonts w:hint="eastAsia" w:ascii="宋体" w:hAnsi="宋体" w:eastAsia="宋体" w:cs="宋体"/>
          <w:color w:val="auto"/>
          <w:highlight w:val="none"/>
        </w:rPr>
        <w:t>本项目的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详见“</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须知前附表”</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14:paraId="3CAD20F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 谈判顺序详见 “供应商须知前附表”。</w:t>
      </w:r>
    </w:p>
    <w:p w14:paraId="6EFFE4C2">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.3电子交易活动的中止。采购过程中出现以下情形，导致电子交易平台无法正常运行，或者无法保证电子交易的公平、公正和安全时，采购机构可中止电子交易活动：</w:t>
      </w:r>
    </w:p>
    <w:p w14:paraId="698AA1A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14:paraId="18625215">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14:paraId="16403E29">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14:paraId="7B82280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14:paraId="4BB86EF7">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）其他无法保证电子交易的公平、公正和安全的情况。</w:t>
      </w:r>
    </w:p>
    <w:p w14:paraId="7457567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4EF565F">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90" w:name="_Toc29707"/>
      <w:bookmarkStart w:id="91" w:name="_Toc27003"/>
      <w:bookmarkStart w:id="92" w:name="_Toc80205929"/>
      <w:r>
        <w:rPr>
          <w:rFonts w:hint="eastAsia" w:ascii="宋体" w:hAnsi="宋体" w:eastAsia="宋体" w:cs="宋体"/>
          <w:color w:val="auto"/>
          <w:sz w:val="32"/>
          <w:szCs w:val="32"/>
          <w:highlight w:val="none"/>
          <w:lang w:val="zh-CN" w:eastAsia="zh-CN"/>
        </w:rPr>
        <w:t>五、成交及合同</w:t>
      </w:r>
      <w:bookmarkEnd w:id="90"/>
      <w:bookmarkEnd w:id="91"/>
      <w:bookmarkEnd w:id="92"/>
    </w:p>
    <w:p w14:paraId="713DD76C">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.确定成交供应商及结果公告</w:t>
      </w:r>
    </w:p>
    <w:p w14:paraId="764F1E8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7D8E6D8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.2成交通知及成交结果公告。采购代理机构应当在成交供应商确定后2个工作日内，在省级以上财政部门指定的媒体上公告成交结果，同时向成交供应商发出成交通知书。</w:t>
      </w:r>
    </w:p>
    <w:p w14:paraId="4DCAEF0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.3采购人或者采购代理机构发出成交通知书前，应当对成交供应商信用进行查询核实，对列入失信被执行人、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确定排名第二的成交候选人为成交供应商。排名第二的成交候选人因上述规定的同样原因被取消成交资格的，采购人可以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确定排名第三的成交候选人为成交供应商，以此类推。以上信息查询记录及相关证据与谈判文件一并保存。</w:t>
      </w:r>
      <w:bookmarkStart w:id="93"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93"/>
    </w:p>
    <w:p w14:paraId="58BFC64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DF6FF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.5排名第一的成交候选人放弃成交，</w:t>
      </w:r>
      <w:r>
        <w:rPr>
          <w:rFonts w:hint="eastAsia" w:ascii="宋体" w:hAnsi="宋体" w:eastAsia="宋体" w:cs="宋体"/>
          <w:b w:val="0"/>
          <w:bCs/>
          <w:color w:val="auto"/>
          <w:sz w:val="21"/>
          <w:szCs w:val="21"/>
          <w:highlight w:val="none"/>
        </w:rPr>
        <w:t>采购人可以按照评审报告推荐的</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候选人名单排序，</w:t>
      </w:r>
      <w:r>
        <w:rPr>
          <w:rFonts w:hint="eastAsia" w:ascii="宋体" w:hAnsi="宋体" w:eastAsia="宋体" w:cs="宋体"/>
          <w:b w:val="0"/>
          <w:bCs/>
          <w:color w:val="auto"/>
          <w:sz w:val="21"/>
          <w:szCs w:val="21"/>
          <w:highlight w:val="none"/>
          <w:lang w:eastAsia="zh-CN"/>
        </w:rPr>
        <w:t>依法</w:t>
      </w:r>
      <w:r>
        <w:rPr>
          <w:rFonts w:hint="eastAsia" w:ascii="宋体" w:hAnsi="宋体" w:eastAsia="宋体" w:cs="宋体"/>
          <w:b w:val="0"/>
          <w:bCs/>
          <w:color w:val="auto"/>
          <w:sz w:val="21"/>
          <w:szCs w:val="21"/>
          <w:highlight w:val="none"/>
        </w:rPr>
        <w:t>确定下一候选人为</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color w:val="auto"/>
          <w:szCs w:val="21"/>
          <w:highlight w:val="none"/>
        </w:rPr>
        <w:t>供应商</w:t>
      </w:r>
      <w:r>
        <w:rPr>
          <w:rFonts w:hint="eastAsia" w:ascii="宋体" w:hAnsi="宋体" w:eastAsia="宋体" w:cs="宋体"/>
          <w:b w:val="0"/>
          <w:bCs/>
          <w:color w:val="auto"/>
          <w:sz w:val="21"/>
          <w:szCs w:val="21"/>
          <w:highlight w:val="none"/>
        </w:rPr>
        <w:t>，也可以重新开展政府采购活动</w:t>
      </w:r>
      <w:r>
        <w:rPr>
          <w:rFonts w:hint="eastAsia" w:ascii="宋体" w:hAnsi="宋体" w:eastAsia="宋体" w:cs="宋体"/>
          <w:bCs/>
          <w:color w:val="auto"/>
          <w:szCs w:val="21"/>
          <w:highlight w:val="none"/>
        </w:rPr>
        <w:t>。</w:t>
      </w:r>
    </w:p>
    <w:p w14:paraId="3F224D01">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.履约保证金</w:t>
      </w:r>
    </w:p>
    <w:p w14:paraId="54DA6F3A">
      <w:pPr>
        <w:pStyle w:val="16"/>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w:t>
      </w:r>
      <w:r>
        <w:rPr>
          <w:rFonts w:hint="eastAsia" w:ascii="宋体" w:hAnsi="宋体" w:eastAsia="宋体" w:cs="宋体"/>
          <w:color w:val="auto"/>
          <w:szCs w:val="21"/>
          <w:highlight w:val="none"/>
          <w:lang w:val="en-US" w:eastAsia="zh-CN"/>
        </w:rPr>
        <w:t>依法</w:t>
      </w:r>
      <w:r>
        <w:rPr>
          <w:rFonts w:hint="eastAsia" w:ascii="宋体" w:hAnsi="宋体" w:eastAsia="宋体" w:cs="宋体"/>
          <w:color w:val="auto"/>
          <w:szCs w:val="21"/>
          <w:highlight w:val="none"/>
        </w:rPr>
        <w:t>确定下一候选人为成交供应商，也可以重新开展政府采购活动。</w:t>
      </w:r>
    </w:p>
    <w:p w14:paraId="728E4AE3">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.2签订合同后，如成交供应商不按双方签订的合同规定履约，则没收其全部履约保证金，履约保证金不足以赔偿损失的，按实际损失赔偿。</w:t>
      </w:r>
    </w:p>
    <w:p w14:paraId="4023781D">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.3在履约保证金退还日期前，若成交供应商的开户名称、开户银行、</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号有变动的，请以书面形式通知履约保证金收取单位，否则由此产生的后果由成交供应商自负。</w:t>
      </w:r>
    </w:p>
    <w:p w14:paraId="314DF791">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.签订合同</w:t>
      </w:r>
    </w:p>
    <w:p w14:paraId="328DF695">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szCs w:val="21"/>
          <w:highlight w:val="none"/>
          <w:lang w:val="zh-CN"/>
        </w:rPr>
        <w:t>如成交供应商为联合体的，由联合体成员各方法定代表人或其授权代表与采购人代表签订合同。</w:t>
      </w:r>
    </w:p>
    <w:p w14:paraId="6EDB785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0707370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.3成交供应商拒绝签订政府采购合同的，采购人可以按照评审报告推荐的成交候选人名单排序，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确定下一候选人为成交供应商，也可以重新开展采购活动。拒绝签订政府采购合同的成交供应商不得参加对该项目重新开展的采购活动。</w:t>
      </w:r>
    </w:p>
    <w:p w14:paraId="6053EBB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.4如签订合同并生效后，供应商无故拒绝或延期，除按照合同条款处理外，列入不良行为记录，并给予通报。</w:t>
      </w:r>
    </w:p>
    <w:p w14:paraId="3F0E1A2F">
      <w:pPr>
        <w:spacing w:line="360" w:lineRule="auto"/>
        <w:ind w:firstLine="420"/>
        <w:rPr>
          <w:rFonts w:hint="eastAsia" w:ascii="宋体" w:hAnsi="宋体" w:eastAsia="宋体" w:cs="宋体"/>
          <w:b/>
          <w:bCs/>
          <w:i/>
          <w:iCs/>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.5采购合同由采购人与成交供应商根据谈判文件、响应文件等内容签订</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成交供应商</w:t>
      </w:r>
      <w:r>
        <w:rPr>
          <w:rFonts w:hint="eastAsia" w:ascii="宋体" w:hAnsi="宋体" w:eastAsia="宋体" w:cs="宋体"/>
          <w:color w:val="auto"/>
          <w:sz w:val="21"/>
          <w:szCs w:val="21"/>
          <w:highlight w:val="none"/>
        </w:rPr>
        <w:t>应当在签订合同时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须知前附表规定向采购人出示相关证明材料，经采购人核验合格后方可签订合同</w:t>
      </w:r>
      <w:r>
        <w:rPr>
          <w:rFonts w:hint="eastAsia" w:ascii="宋体" w:hAnsi="宋体" w:eastAsia="宋体" w:cs="宋体"/>
          <w:color w:val="auto"/>
          <w:szCs w:val="21"/>
          <w:highlight w:val="none"/>
          <w:lang w:eastAsia="zh-CN"/>
        </w:rPr>
        <w:t>。</w:t>
      </w:r>
      <w:r>
        <w:rPr>
          <w:rFonts w:hint="eastAsia" w:ascii="宋体" w:hAnsi="宋体" w:eastAsia="宋体" w:cs="宋体"/>
          <w:b/>
          <w:bCs/>
          <w:i/>
          <w:iCs/>
          <w:color w:val="auto"/>
          <w:szCs w:val="21"/>
          <w:highlight w:val="none"/>
          <w:lang w:eastAsia="zh-CN"/>
        </w:rPr>
        <w:t>（适用于</w:t>
      </w:r>
      <w:r>
        <w:rPr>
          <w:rFonts w:hint="eastAsia" w:ascii="宋体" w:hAnsi="宋体" w:eastAsia="宋体" w:cs="宋体"/>
          <w:b/>
          <w:bCs/>
          <w:i/>
          <w:iCs/>
          <w:color w:val="auto"/>
          <w:szCs w:val="21"/>
          <w:highlight w:val="none"/>
        </w:rPr>
        <w:t>签订</w:t>
      </w:r>
      <w:r>
        <w:rPr>
          <w:rFonts w:hint="eastAsia" w:ascii="宋体" w:hAnsi="宋体" w:eastAsia="宋体" w:cs="宋体"/>
          <w:b/>
          <w:bCs/>
          <w:i/>
          <w:iCs/>
          <w:color w:val="auto"/>
          <w:szCs w:val="21"/>
          <w:highlight w:val="none"/>
          <w:lang w:eastAsia="zh-CN"/>
        </w:rPr>
        <w:t>纸质</w:t>
      </w:r>
      <w:r>
        <w:rPr>
          <w:rFonts w:hint="eastAsia" w:ascii="宋体" w:hAnsi="宋体" w:eastAsia="宋体" w:cs="宋体"/>
          <w:b/>
          <w:bCs/>
          <w:i/>
          <w:iCs/>
          <w:color w:val="auto"/>
          <w:szCs w:val="21"/>
          <w:highlight w:val="none"/>
        </w:rPr>
        <w:t>合同</w:t>
      </w:r>
      <w:r>
        <w:rPr>
          <w:rFonts w:hint="eastAsia" w:ascii="宋体" w:hAnsi="宋体" w:eastAsia="宋体" w:cs="宋体"/>
          <w:b/>
          <w:bCs/>
          <w:i/>
          <w:iCs/>
          <w:color w:val="auto"/>
          <w:szCs w:val="21"/>
          <w:highlight w:val="none"/>
          <w:lang w:eastAsia="zh-CN"/>
        </w:rPr>
        <w:t>的情形）</w:t>
      </w:r>
    </w:p>
    <w:p w14:paraId="6EA5BCA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29</w:t>
      </w:r>
      <w:r>
        <w:rPr>
          <w:rFonts w:hint="eastAsia" w:ascii="宋体" w:hAnsi="宋体" w:eastAsia="宋体" w:cs="宋体"/>
          <w:b/>
          <w:bCs/>
          <w:color w:val="auto"/>
          <w:sz w:val="24"/>
          <w:szCs w:val="24"/>
          <w:highlight w:val="none"/>
        </w:rPr>
        <w:t>.政府采购合同公告</w:t>
      </w:r>
    </w:p>
    <w:p w14:paraId="7DCEDF5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06259B9">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 询问、质疑和投诉</w:t>
      </w:r>
    </w:p>
    <w:p w14:paraId="15173120">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.1供应商对政府采购活动事项有疑问的，可以向采购人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采购代理机构提出询问，采购人或者采购代理机构应当在3个工作日内对供应商依法提出的询问作出答复。</w:t>
      </w:r>
    </w:p>
    <w:p w14:paraId="7C9073E6">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.2供应商认为谈判文件、采购过程或者成交结果使自己的合法权益受到损害的，应当在知道或者应知其权益受到损害之日起7个工作日内，以书面形式向采购人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采购代理机构提出质疑，采购人或者采购代理机构应当在</w:t>
      </w: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个工作日内对供应商依法提出的</w:t>
      </w:r>
      <w:r>
        <w:rPr>
          <w:rFonts w:hint="eastAsia" w:ascii="宋体" w:hAnsi="宋体" w:eastAsia="宋体" w:cs="宋体"/>
          <w:color w:val="auto"/>
          <w:szCs w:val="24"/>
          <w:highlight w:val="none"/>
          <w:lang w:eastAsia="zh-CN"/>
        </w:rPr>
        <w:t>质疑</w:t>
      </w:r>
      <w:r>
        <w:rPr>
          <w:rFonts w:hint="eastAsia" w:ascii="宋体" w:hAnsi="宋体" w:eastAsia="宋体" w:cs="宋体"/>
          <w:color w:val="auto"/>
          <w:szCs w:val="24"/>
          <w:highlight w:val="none"/>
        </w:rPr>
        <w:t>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14:paraId="54A4AA64">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14:paraId="5C9F221C">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代理机构提出，由采购人或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代理机构受理并负责答复；对采购过程中采购执行程序的质疑由采购代理机构受理并负责答复。</w:t>
      </w:r>
    </w:p>
    <w:p w14:paraId="501B6E12">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14:paraId="7D665F2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59311F0">
      <w:pPr>
        <w:spacing w:line="360" w:lineRule="auto"/>
        <w:ind w:firstLine="422"/>
        <w:rPr>
          <w:rFonts w:hint="eastAsia" w:ascii="宋体" w:hAnsi="宋体" w:eastAsia="宋体" w:cs="宋体"/>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.4 供应商提出质疑应当提交质疑函和必要的证明材料，针对同一采购程序环节的质疑必须在法定质疑期内一次性提出。质疑函应当包括下列内容（质疑函格式后附）：</w:t>
      </w:r>
    </w:p>
    <w:p w14:paraId="4F0D4C51">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14:paraId="30782CEC">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14:paraId="3B5797B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14:paraId="75722DB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（4）事实依据；</w:t>
      </w:r>
    </w:p>
    <w:p w14:paraId="14EFE4D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14:paraId="040F78D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14:paraId="2B68FC74">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14:paraId="0B5D71DF">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.5采购人、采购代理机构认为供应商质疑不成立，或者成立但未对成交结果构成影响的，继续开展采购活动；认为供应商质疑成立且影响或者可能影响成交结果的，按照下列情况处理：</w:t>
      </w:r>
    </w:p>
    <w:p w14:paraId="3E6A08F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14:paraId="544EB450">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4A7559E9">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14:paraId="2DE6C7D2">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.6投诉的权利。质疑供应商对采购人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采购代理机构的答复不满意，或者采购人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3F5D2EE">
      <w:pPr>
        <w:keepNext/>
        <w:keepLines/>
        <w:spacing w:line="360" w:lineRule="auto"/>
        <w:ind w:firstLine="643"/>
        <w:outlineLvl w:val="2"/>
        <w:rPr>
          <w:rFonts w:hint="eastAsia" w:ascii="宋体" w:hAnsi="宋体" w:eastAsia="宋体" w:cs="宋体"/>
          <w:bCs/>
          <w:color w:val="auto"/>
          <w:sz w:val="32"/>
          <w:szCs w:val="32"/>
          <w:highlight w:val="none"/>
          <w:lang w:val="zh-CN" w:eastAsia="zh-CN"/>
        </w:rPr>
      </w:pPr>
      <w:bookmarkStart w:id="94" w:name="_Toc80205930"/>
      <w:bookmarkStart w:id="95" w:name="_Toc6502"/>
      <w:bookmarkStart w:id="96" w:name="_Toc25772"/>
      <w:r>
        <w:rPr>
          <w:rFonts w:hint="eastAsia" w:ascii="宋体" w:hAnsi="宋体" w:eastAsia="宋体" w:cs="宋体"/>
          <w:b/>
          <w:bCs/>
          <w:color w:val="auto"/>
          <w:sz w:val="32"/>
          <w:szCs w:val="32"/>
          <w:highlight w:val="none"/>
          <w:lang w:val="zh-CN" w:eastAsia="zh-CN"/>
        </w:rPr>
        <w:t>六</w:t>
      </w:r>
      <w:r>
        <w:rPr>
          <w:rFonts w:hint="eastAsia" w:ascii="宋体" w:hAnsi="宋体" w:eastAsia="宋体" w:cs="宋体"/>
          <w:bCs/>
          <w:color w:val="auto"/>
          <w:sz w:val="32"/>
          <w:szCs w:val="32"/>
          <w:highlight w:val="none"/>
          <w:lang w:val="zh-CN" w:eastAsia="zh-CN"/>
        </w:rPr>
        <w:t>、验收</w:t>
      </w:r>
      <w:bookmarkEnd w:id="94"/>
      <w:bookmarkEnd w:id="95"/>
      <w:bookmarkEnd w:id="96"/>
    </w:p>
    <w:p w14:paraId="557584B4">
      <w:pPr>
        <w:tabs>
          <w:tab w:val="left" w:pos="0"/>
        </w:tabs>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.验收</w:t>
      </w:r>
    </w:p>
    <w:p w14:paraId="782ECC6A">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290218D">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.2采购人可以邀请参加本项目的其他供应商或者第三方机构参与验收。参与验收的供应商或者第三方机构的意见作为验收书的参考资料一并存档。</w:t>
      </w:r>
    </w:p>
    <w:p w14:paraId="4DC5C710">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返还条件挂钩。履约验收的各项资料应当存档备查。</w:t>
      </w:r>
    </w:p>
    <w:p w14:paraId="668246FE">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3153668">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97" w:name="_Toc80205931"/>
      <w:bookmarkStart w:id="98" w:name="_Toc1379"/>
      <w:bookmarkStart w:id="99" w:name="_Toc15842"/>
      <w:r>
        <w:rPr>
          <w:rFonts w:hint="eastAsia" w:ascii="宋体" w:hAnsi="宋体" w:eastAsia="宋体" w:cs="宋体"/>
          <w:color w:val="auto"/>
          <w:sz w:val="32"/>
          <w:szCs w:val="32"/>
          <w:highlight w:val="none"/>
          <w:lang w:val="zh-CN" w:eastAsia="zh-CN"/>
        </w:rPr>
        <w:t>七、其他事项</w:t>
      </w:r>
      <w:bookmarkEnd w:id="97"/>
      <w:bookmarkEnd w:id="98"/>
      <w:bookmarkEnd w:id="99"/>
    </w:p>
    <w:p w14:paraId="47E433C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代理</w:t>
      </w:r>
      <w:r>
        <w:rPr>
          <w:rFonts w:hint="eastAsia" w:ascii="宋体" w:hAnsi="宋体" w:eastAsia="宋体" w:cs="宋体"/>
          <w:b/>
          <w:bCs/>
          <w:color w:val="auto"/>
          <w:sz w:val="24"/>
          <w:szCs w:val="24"/>
          <w:highlight w:val="none"/>
          <w:lang w:eastAsia="zh-CN"/>
        </w:rPr>
        <w:t>服务</w:t>
      </w:r>
      <w:r>
        <w:rPr>
          <w:rFonts w:hint="eastAsia" w:ascii="宋体" w:hAnsi="宋体" w:eastAsia="宋体" w:cs="宋体"/>
          <w:b/>
          <w:bCs/>
          <w:color w:val="auto"/>
          <w:sz w:val="24"/>
          <w:szCs w:val="24"/>
          <w:highlight w:val="none"/>
        </w:rPr>
        <w:t>费</w:t>
      </w:r>
    </w:p>
    <w:p w14:paraId="400740FC">
      <w:pPr>
        <w:tabs>
          <w:tab w:val="left" w:pos="2835"/>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32.1</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服务费</w:t>
      </w:r>
      <w:r>
        <w:rPr>
          <w:rFonts w:hint="eastAsia" w:ascii="宋体" w:hAnsi="宋体" w:eastAsia="宋体" w:cs="宋体"/>
          <w:color w:val="auto"/>
          <w:szCs w:val="21"/>
          <w:highlight w:val="none"/>
        </w:rPr>
        <w:t>收费标准及缴费账户详见“供应商须知前附表”，供应商为联合体的，可以由联合体中的一方或者多方共同缴纳采购代理服务费。</w:t>
      </w:r>
    </w:p>
    <w:p w14:paraId="69DE640A">
      <w:pPr>
        <w:pStyle w:val="18"/>
        <w:ind w:firstLine="420" w:firstLineChars="200"/>
        <w:rPr>
          <w:rFonts w:hint="eastAsia" w:ascii="宋体" w:hAnsi="宋体" w:eastAsia="宋体" w:cs="宋体"/>
          <w:color w:val="auto"/>
          <w:lang w:val="en-US" w:eastAsia="zh-CN"/>
        </w:rPr>
      </w:pPr>
      <w:r>
        <w:rPr>
          <w:rFonts w:hint="eastAsia" w:ascii="宋体" w:hAnsi="宋体" w:eastAsia="宋体" w:cs="宋体"/>
          <w:color w:val="auto"/>
          <w:highlight w:val="none"/>
          <w:lang w:val="en-US" w:eastAsia="zh-CN"/>
        </w:rPr>
        <w:t>32.2</w:t>
      </w:r>
      <w:r>
        <w:rPr>
          <w:rFonts w:hint="eastAsia" w:ascii="宋体" w:hAnsi="宋体" w:eastAsia="宋体" w:cs="宋体"/>
          <w:color w:val="auto"/>
          <w:lang w:val="en-US" w:eastAsia="zh-CN"/>
        </w:rPr>
        <w:t>采购代理服务费收费计算标准：</w:t>
      </w:r>
    </w:p>
    <w:tbl>
      <w:tblPr>
        <w:tblStyle w:val="45"/>
        <w:tblW w:w="8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8B4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22D5E726">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               费率</w:t>
            </w:r>
          </w:p>
          <w:p w14:paraId="20643113">
            <w:pPr>
              <w:spacing w:line="360" w:lineRule="auto"/>
              <w:rPr>
                <w:rFonts w:hint="eastAsia" w:ascii="宋体" w:hAnsi="宋体" w:eastAsia="宋体" w:cs="宋体"/>
                <w:color w:val="auto"/>
                <w:szCs w:val="21"/>
              </w:rPr>
            </w:pPr>
            <w:r>
              <w:rPr>
                <w:rFonts w:hint="eastAsia" w:ascii="宋体" w:hAnsi="宋体" w:eastAsia="宋体" w:cs="宋体"/>
                <w:color w:val="auto"/>
                <w:szCs w:val="21"/>
              </w:rPr>
              <w:t>金额</w:t>
            </w:r>
          </w:p>
        </w:tc>
        <w:tc>
          <w:tcPr>
            <w:tcW w:w="1659" w:type="dxa"/>
            <w:noWrap w:val="0"/>
            <w:vAlign w:val="center"/>
          </w:tcPr>
          <w:p w14:paraId="3436144B">
            <w:pPr>
              <w:spacing w:line="360" w:lineRule="auto"/>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货物类</w:t>
            </w:r>
          </w:p>
        </w:tc>
        <w:tc>
          <w:tcPr>
            <w:tcW w:w="1532" w:type="dxa"/>
            <w:noWrap w:val="0"/>
            <w:vAlign w:val="center"/>
          </w:tcPr>
          <w:p w14:paraId="0B66AE42">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服务类</w:t>
            </w:r>
          </w:p>
        </w:tc>
        <w:tc>
          <w:tcPr>
            <w:tcW w:w="1546" w:type="dxa"/>
            <w:noWrap w:val="0"/>
            <w:vAlign w:val="center"/>
          </w:tcPr>
          <w:p w14:paraId="38EF9E08">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工程类</w:t>
            </w:r>
          </w:p>
        </w:tc>
      </w:tr>
      <w:tr w14:paraId="4790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BF15815">
            <w:pPr>
              <w:spacing w:line="360" w:lineRule="auto"/>
              <w:rPr>
                <w:rFonts w:hint="eastAsia" w:ascii="宋体" w:hAnsi="宋体" w:eastAsia="宋体" w:cs="宋体"/>
                <w:color w:val="auto"/>
                <w:szCs w:val="21"/>
              </w:rPr>
            </w:pPr>
            <w:r>
              <w:rPr>
                <w:rFonts w:hint="eastAsia" w:ascii="宋体" w:hAnsi="宋体" w:eastAsia="宋体" w:cs="宋体"/>
                <w:color w:val="auto"/>
                <w:szCs w:val="21"/>
              </w:rPr>
              <w:t>100万元以下</w:t>
            </w:r>
          </w:p>
        </w:tc>
        <w:tc>
          <w:tcPr>
            <w:tcW w:w="1659" w:type="dxa"/>
            <w:noWrap w:val="0"/>
            <w:vAlign w:val="top"/>
          </w:tcPr>
          <w:p w14:paraId="0A5F6695">
            <w:pPr>
              <w:spacing w:line="360" w:lineRule="auto"/>
              <w:rPr>
                <w:rFonts w:hint="eastAsia" w:ascii="宋体" w:hAnsi="宋体" w:eastAsia="宋体" w:cs="宋体"/>
                <w:color w:val="auto"/>
                <w:szCs w:val="21"/>
              </w:rPr>
            </w:pPr>
            <w:r>
              <w:rPr>
                <w:rFonts w:hint="eastAsia" w:ascii="宋体" w:hAnsi="宋体" w:eastAsia="宋体" w:cs="宋体"/>
                <w:color w:val="auto"/>
                <w:kern w:val="0"/>
                <w:szCs w:val="21"/>
              </w:rPr>
              <w:t xml:space="preserve">  1.5%                </w:t>
            </w:r>
          </w:p>
        </w:tc>
        <w:tc>
          <w:tcPr>
            <w:tcW w:w="1532" w:type="dxa"/>
            <w:noWrap w:val="0"/>
            <w:vAlign w:val="top"/>
          </w:tcPr>
          <w:p w14:paraId="57FA4A88">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1.5%</w:t>
            </w:r>
          </w:p>
        </w:tc>
        <w:tc>
          <w:tcPr>
            <w:tcW w:w="1546" w:type="dxa"/>
            <w:noWrap w:val="0"/>
            <w:vAlign w:val="top"/>
          </w:tcPr>
          <w:p w14:paraId="7787C451">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 xml:space="preserve">1.0% </w:t>
            </w:r>
          </w:p>
        </w:tc>
      </w:tr>
      <w:tr w14:paraId="00C1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73437AC">
            <w:pPr>
              <w:spacing w:line="360" w:lineRule="auto"/>
              <w:rPr>
                <w:rFonts w:hint="eastAsia" w:ascii="宋体" w:hAnsi="宋体" w:eastAsia="宋体" w:cs="宋体"/>
                <w:color w:val="auto"/>
                <w:szCs w:val="21"/>
              </w:rPr>
            </w:pPr>
            <w:r>
              <w:rPr>
                <w:rFonts w:hint="eastAsia" w:ascii="宋体" w:hAnsi="宋体" w:eastAsia="宋体" w:cs="宋体"/>
                <w:color w:val="auto"/>
                <w:szCs w:val="21"/>
              </w:rPr>
              <w:t>100～500万元</w:t>
            </w:r>
          </w:p>
        </w:tc>
        <w:tc>
          <w:tcPr>
            <w:tcW w:w="1659" w:type="dxa"/>
            <w:noWrap w:val="0"/>
            <w:vAlign w:val="top"/>
          </w:tcPr>
          <w:p w14:paraId="7ECF7DC8">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 xml:space="preserve">1.1%                 </w:t>
            </w:r>
          </w:p>
        </w:tc>
        <w:tc>
          <w:tcPr>
            <w:tcW w:w="1532" w:type="dxa"/>
            <w:noWrap w:val="0"/>
            <w:vAlign w:val="top"/>
          </w:tcPr>
          <w:p w14:paraId="3B241909">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0.8%</w:t>
            </w:r>
          </w:p>
        </w:tc>
        <w:tc>
          <w:tcPr>
            <w:tcW w:w="1546" w:type="dxa"/>
            <w:noWrap w:val="0"/>
            <w:vAlign w:val="top"/>
          </w:tcPr>
          <w:p w14:paraId="56883B22">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 xml:space="preserve">0.7% </w:t>
            </w:r>
          </w:p>
        </w:tc>
      </w:tr>
      <w:tr w14:paraId="79FB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87D0949">
            <w:pPr>
              <w:spacing w:line="360" w:lineRule="auto"/>
              <w:rPr>
                <w:rFonts w:hint="eastAsia" w:ascii="宋体" w:hAnsi="宋体" w:eastAsia="宋体" w:cs="宋体"/>
                <w:color w:val="auto"/>
                <w:szCs w:val="21"/>
              </w:rPr>
            </w:pPr>
            <w:r>
              <w:rPr>
                <w:rFonts w:hint="eastAsia" w:ascii="宋体" w:hAnsi="宋体" w:eastAsia="宋体" w:cs="宋体"/>
                <w:color w:val="auto"/>
                <w:szCs w:val="21"/>
              </w:rPr>
              <w:t>500～1000万元</w:t>
            </w:r>
          </w:p>
        </w:tc>
        <w:tc>
          <w:tcPr>
            <w:tcW w:w="1659" w:type="dxa"/>
            <w:noWrap w:val="0"/>
            <w:vAlign w:val="top"/>
          </w:tcPr>
          <w:p w14:paraId="73D7202D">
            <w:pPr>
              <w:spacing w:line="360" w:lineRule="auto"/>
              <w:rPr>
                <w:rFonts w:hint="eastAsia" w:ascii="宋体" w:hAnsi="宋体" w:eastAsia="宋体" w:cs="宋体"/>
                <w:color w:val="auto"/>
                <w:szCs w:val="21"/>
              </w:rPr>
            </w:pPr>
            <w:r>
              <w:rPr>
                <w:rFonts w:hint="eastAsia" w:ascii="宋体" w:hAnsi="宋体" w:eastAsia="宋体" w:cs="宋体"/>
                <w:color w:val="auto"/>
                <w:kern w:val="0"/>
                <w:szCs w:val="21"/>
              </w:rPr>
              <w:t xml:space="preserve">  0.8%                </w:t>
            </w:r>
          </w:p>
        </w:tc>
        <w:tc>
          <w:tcPr>
            <w:tcW w:w="1532" w:type="dxa"/>
            <w:noWrap w:val="0"/>
            <w:vAlign w:val="top"/>
          </w:tcPr>
          <w:p w14:paraId="65462F50">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0.45%</w:t>
            </w:r>
          </w:p>
        </w:tc>
        <w:tc>
          <w:tcPr>
            <w:tcW w:w="1546" w:type="dxa"/>
            <w:noWrap w:val="0"/>
            <w:vAlign w:val="top"/>
          </w:tcPr>
          <w:p w14:paraId="6885D5FB">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0.55%</w:t>
            </w:r>
          </w:p>
        </w:tc>
      </w:tr>
      <w:tr w14:paraId="125F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56F1FC">
            <w:pPr>
              <w:spacing w:line="360" w:lineRule="auto"/>
              <w:rPr>
                <w:rFonts w:hint="eastAsia" w:ascii="宋体" w:hAnsi="宋体" w:eastAsia="宋体" w:cs="宋体"/>
                <w:color w:val="auto"/>
                <w:szCs w:val="21"/>
              </w:rPr>
            </w:pPr>
            <w:r>
              <w:rPr>
                <w:rFonts w:hint="eastAsia" w:ascii="宋体" w:hAnsi="宋体" w:eastAsia="宋体" w:cs="宋体"/>
                <w:color w:val="auto"/>
                <w:szCs w:val="21"/>
              </w:rPr>
              <w:t>1000～5000万元</w:t>
            </w:r>
          </w:p>
        </w:tc>
        <w:tc>
          <w:tcPr>
            <w:tcW w:w="1659" w:type="dxa"/>
            <w:noWrap w:val="0"/>
            <w:vAlign w:val="top"/>
          </w:tcPr>
          <w:p w14:paraId="6C749F55">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 xml:space="preserve">0.5%                </w:t>
            </w:r>
          </w:p>
        </w:tc>
        <w:tc>
          <w:tcPr>
            <w:tcW w:w="1532" w:type="dxa"/>
            <w:noWrap w:val="0"/>
            <w:vAlign w:val="top"/>
          </w:tcPr>
          <w:p w14:paraId="3891287A">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0.25%</w:t>
            </w:r>
          </w:p>
        </w:tc>
        <w:tc>
          <w:tcPr>
            <w:tcW w:w="1546" w:type="dxa"/>
            <w:noWrap w:val="0"/>
            <w:vAlign w:val="top"/>
          </w:tcPr>
          <w:p w14:paraId="12E80343">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 xml:space="preserve">0.35% </w:t>
            </w:r>
          </w:p>
        </w:tc>
      </w:tr>
      <w:tr w14:paraId="4A53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ADC878E">
            <w:pPr>
              <w:spacing w:line="360" w:lineRule="auto"/>
              <w:rPr>
                <w:rFonts w:hint="eastAsia" w:ascii="宋体" w:hAnsi="宋体" w:eastAsia="宋体" w:cs="宋体"/>
                <w:color w:val="auto"/>
                <w:szCs w:val="21"/>
              </w:rPr>
            </w:pPr>
            <w:r>
              <w:rPr>
                <w:rFonts w:hint="eastAsia" w:ascii="宋体" w:hAnsi="宋体" w:eastAsia="宋体" w:cs="宋体"/>
                <w:color w:val="auto"/>
                <w:szCs w:val="21"/>
              </w:rPr>
              <w:t>5000万元～1亿元</w:t>
            </w:r>
          </w:p>
        </w:tc>
        <w:tc>
          <w:tcPr>
            <w:tcW w:w="1659" w:type="dxa"/>
            <w:noWrap w:val="0"/>
            <w:vAlign w:val="top"/>
          </w:tcPr>
          <w:p w14:paraId="6FCEFC95">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 xml:space="preserve">0.25%                 </w:t>
            </w:r>
          </w:p>
        </w:tc>
        <w:tc>
          <w:tcPr>
            <w:tcW w:w="1532" w:type="dxa"/>
            <w:noWrap w:val="0"/>
            <w:vAlign w:val="top"/>
          </w:tcPr>
          <w:p w14:paraId="57C50592">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0.1%</w:t>
            </w:r>
          </w:p>
        </w:tc>
        <w:tc>
          <w:tcPr>
            <w:tcW w:w="1546" w:type="dxa"/>
            <w:noWrap w:val="0"/>
            <w:vAlign w:val="top"/>
          </w:tcPr>
          <w:p w14:paraId="6F131708">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kern w:val="0"/>
                <w:szCs w:val="21"/>
              </w:rPr>
              <w:t>0.2%</w:t>
            </w:r>
          </w:p>
        </w:tc>
      </w:tr>
      <w:tr w14:paraId="3F2C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4703D36">
            <w:pPr>
              <w:spacing w:line="360" w:lineRule="auto"/>
              <w:rPr>
                <w:rFonts w:hint="eastAsia" w:ascii="宋体" w:hAnsi="宋体" w:eastAsia="宋体" w:cs="宋体"/>
                <w:color w:val="auto"/>
                <w:szCs w:val="21"/>
              </w:rPr>
            </w:pPr>
            <w:r>
              <w:rPr>
                <w:rFonts w:hint="eastAsia" w:ascii="宋体" w:hAnsi="宋体" w:eastAsia="宋体" w:cs="宋体"/>
                <w:color w:val="auto"/>
                <w:szCs w:val="21"/>
              </w:rPr>
              <w:t>1～5亿元</w:t>
            </w:r>
          </w:p>
        </w:tc>
        <w:tc>
          <w:tcPr>
            <w:tcW w:w="1659" w:type="dxa"/>
            <w:noWrap w:val="0"/>
            <w:vAlign w:val="top"/>
          </w:tcPr>
          <w:p w14:paraId="43200880">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szCs w:val="21"/>
              </w:rPr>
              <w:t>0.05%</w:t>
            </w:r>
          </w:p>
        </w:tc>
        <w:tc>
          <w:tcPr>
            <w:tcW w:w="1532" w:type="dxa"/>
            <w:noWrap w:val="0"/>
            <w:vAlign w:val="top"/>
          </w:tcPr>
          <w:p w14:paraId="16EA660E">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  0.05%</w:t>
            </w:r>
          </w:p>
        </w:tc>
        <w:tc>
          <w:tcPr>
            <w:tcW w:w="1546" w:type="dxa"/>
            <w:noWrap w:val="0"/>
            <w:vAlign w:val="top"/>
          </w:tcPr>
          <w:p w14:paraId="09F3B294">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  0.05%</w:t>
            </w:r>
          </w:p>
        </w:tc>
      </w:tr>
      <w:tr w14:paraId="4F1D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1B85406">
            <w:pPr>
              <w:spacing w:line="360" w:lineRule="auto"/>
              <w:rPr>
                <w:rFonts w:hint="eastAsia" w:ascii="宋体" w:hAnsi="宋体" w:eastAsia="宋体" w:cs="宋体"/>
                <w:color w:val="auto"/>
                <w:szCs w:val="21"/>
              </w:rPr>
            </w:pPr>
            <w:r>
              <w:rPr>
                <w:rFonts w:hint="eastAsia" w:ascii="宋体" w:hAnsi="宋体" w:eastAsia="宋体" w:cs="宋体"/>
                <w:color w:val="auto"/>
                <w:szCs w:val="21"/>
              </w:rPr>
              <w:t>5～10亿元</w:t>
            </w:r>
          </w:p>
        </w:tc>
        <w:tc>
          <w:tcPr>
            <w:tcW w:w="1659" w:type="dxa"/>
            <w:noWrap w:val="0"/>
            <w:vAlign w:val="top"/>
          </w:tcPr>
          <w:p w14:paraId="464EEE9B">
            <w:pPr>
              <w:spacing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0.035%</w:t>
            </w:r>
          </w:p>
        </w:tc>
        <w:tc>
          <w:tcPr>
            <w:tcW w:w="1532" w:type="dxa"/>
            <w:noWrap w:val="0"/>
            <w:vAlign w:val="top"/>
          </w:tcPr>
          <w:p w14:paraId="0E82DB41">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  0.035%</w:t>
            </w:r>
          </w:p>
        </w:tc>
        <w:tc>
          <w:tcPr>
            <w:tcW w:w="1546" w:type="dxa"/>
            <w:noWrap w:val="0"/>
            <w:vAlign w:val="top"/>
          </w:tcPr>
          <w:p w14:paraId="13AFAA5E">
            <w:pPr>
              <w:spacing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0.035%</w:t>
            </w:r>
          </w:p>
        </w:tc>
      </w:tr>
      <w:tr w14:paraId="3276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541CEA9">
            <w:pPr>
              <w:spacing w:line="360" w:lineRule="auto"/>
              <w:rPr>
                <w:rFonts w:hint="eastAsia" w:ascii="宋体" w:hAnsi="宋体" w:eastAsia="宋体" w:cs="宋体"/>
                <w:color w:val="auto"/>
                <w:szCs w:val="21"/>
              </w:rPr>
            </w:pPr>
            <w:r>
              <w:rPr>
                <w:rFonts w:hint="eastAsia" w:ascii="宋体" w:hAnsi="宋体" w:eastAsia="宋体" w:cs="宋体"/>
                <w:color w:val="auto"/>
                <w:szCs w:val="21"/>
              </w:rPr>
              <w:t>10～50亿元</w:t>
            </w:r>
          </w:p>
        </w:tc>
        <w:tc>
          <w:tcPr>
            <w:tcW w:w="1659" w:type="dxa"/>
            <w:noWrap w:val="0"/>
            <w:vAlign w:val="top"/>
          </w:tcPr>
          <w:p w14:paraId="0DFE1268">
            <w:pPr>
              <w:spacing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0.008%</w:t>
            </w:r>
          </w:p>
        </w:tc>
        <w:tc>
          <w:tcPr>
            <w:tcW w:w="1532" w:type="dxa"/>
            <w:noWrap w:val="0"/>
            <w:vAlign w:val="top"/>
          </w:tcPr>
          <w:p w14:paraId="1C7FE228">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szCs w:val="21"/>
              </w:rPr>
              <w:t>0.008%</w:t>
            </w:r>
          </w:p>
        </w:tc>
        <w:tc>
          <w:tcPr>
            <w:tcW w:w="1546" w:type="dxa"/>
            <w:noWrap w:val="0"/>
            <w:vAlign w:val="top"/>
          </w:tcPr>
          <w:p w14:paraId="00FE565F">
            <w:pPr>
              <w:spacing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0.008%</w:t>
            </w:r>
          </w:p>
        </w:tc>
      </w:tr>
      <w:tr w14:paraId="6CFA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BEB5C9F">
            <w:pPr>
              <w:spacing w:line="360" w:lineRule="auto"/>
              <w:rPr>
                <w:rFonts w:hint="eastAsia" w:ascii="宋体" w:hAnsi="宋体" w:eastAsia="宋体" w:cs="宋体"/>
                <w:color w:val="auto"/>
                <w:szCs w:val="21"/>
              </w:rPr>
            </w:pPr>
            <w:r>
              <w:rPr>
                <w:rFonts w:hint="eastAsia" w:ascii="宋体" w:hAnsi="宋体" w:eastAsia="宋体" w:cs="宋体"/>
                <w:color w:val="auto"/>
                <w:szCs w:val="21"/>
              </w:rPr>
              <w:t>50～100亿元</w:t>
            </w:r>
          </w:p>
        </w:tc>
        <w:tc>
          <w:tcPr>
            <w:tcW w:w="1659" w:type="dxa"/>
            <w:noWrap w:val="0"/>
            <w:vAlign w:val="top"/>
          </w:tcPr>
          <w:p w14:paraId="13527AA5">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 0.006%</w:t>
            </w:r>
          </w:p>
        </w:tc>
        <w:tc>
          <w:tcPr>
            <w:tcW w:w="1532" w:type="dxa"/>
            <w:noWrap w:val="0"/>
            <w:vAlign w:val="top"/>
          </w:tcPr>
          <w:p w14:paraId="1FC7EEAA">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szCs w:val="21"/>
              </w:rPr>
              <w:t>0.006%</w:t>
            </w:r>
          </w:p>
        </w:tc>
        <w:tc>
          <w:tcPr>
            <w:tcW w:w="1546" w:type="dxa"/>
            <w:noWrap w:val="0"/>
            <w:vAlign w:val="top"/>
          </w:tcPr>
          <w:p w14:paraId="736BD6C0">
            <w:pPr>
              <w:spacing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0.006%</w:t>
            </w:r>
          </w:p>
        </w:tc>
      </w:tr>
      <w:tr w14:paraId="7A46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82F3283">
            <w:pPr>
              <w:spacing w:line="360" w:lineRule="auto"/>
              <w:rPr>
                <w:rFonts w:hint="eastAsia" w:ascii="宋体" w:hAnsi="宋体" w:eastAsia="宋体" w:cs="宋体"/>
                <w:color w:val="auto"/>
                <w:szCs w:val="21"/>
              </w:rPr>
            </w:pPr>
            <w:r>
              <w:rPr>
                <w:rFonts w:hint="eastAsia" w:ascii="宋体" w:hAnsi="宋体" w:eastAsia="宋体" w:cs="宋体"/>
                <w:color w:val="auto"/>
                <w:szCs w:val="21"/>
              </w:rPr>
              <w:t>100亿</w:t>
            </w:r>
            <w:r>
              <w:rPr>
                <w:rFonts w:hint="eastAsia" w:ascii="宋体" w:hAnsi="宋体" w:eastAsia="宋体" w:cs="宋体"/>
                <w:color w:val="auto"/>
                <w:szCs w:val="21"/>
                <w:lang w:val="en-US" w:eastAsia="zh-CN"/>
              </w:rPr>
              <w:t>元</w:t>
            </w:r>
            <w:r>
              <w:rPr>
                <w:rFonts w:hint="eastAsia" w:ascii="宋体" w:hAnsi="宋体" w:eastAsia="宋体" w:cs="宋体"/>
                <w:color w:val="auto"/>
                <w:szCs w:val="21"/>
              </w:rPr>
              <w:t>以上</w:t>
            </w:r>
          </w:p>
        </w:tc>
        <w:tc>
          <w:tcPr>
            <w:tcW w:w="1659" w:type="dxa"/>
            <w:noWrap w:val="0"/>
            <w:vAlign w:val="top"/>
          </w:tcPr>
          <w:p w14:paraId="47D6EFA8">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 0.004%</w:t>
            </w:r>
          </w:p>
        </w:tc>
        <w:tc>
          <w:tcPr>
            <w:tcW w:w="1532" w:type="dxa"/>
            <w:noWrap w:val="0"/>
            <w:vAlign w:val="top"/>
          </w:tcPr>
          <w:p w14:paraId="61C49534">
            <w:pPr>
              <w:spacing w:line="360" w:lineRule="auto"/>
              <w:ind w:firstLine="210" w:firstLineChars="100"/>
              <w:rPr>
                <w:rFonts w:hint="eastAsia" w:ascii="宋体" w:hAnsi="宋体" w:eastAsia="宋体" w:cs="宋体"/>
                <w:color w:val="auto"/>
                <w:szCs w:val="21"/>
              </w:rPr>
            </w:pPr>
            <w:r>
              <w:rPr>
                <w:rFonts w:hint="eastAsia" w:ascii="宋体" w:hAnsi="宋体" w:eastAsia="宋体" w:cs="宋体"/>
                <w:color w:val="auto"/>
                <w:szCs w:val="21"/>
              </w:rPr>
              <w:t>0.004%</w:t>
            </w:r>
          </w:p>
        </w:tc>
        <w:tc>
          <w:tcPr>
            <w:tcW w:w="1546" w:type="dxa"/>
            <w:noWrap w:val="0"/>
            <w:vAlign w:val="top"/>
          </w:tcPr>
          <w:p w14:paraId="01AB4C8C">
            <w:pPr>
              <w:spacing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0.004%</w:t>
            </w:r>
          </w:p>
        </w:tc>
      </w:tr>
    </w:tbl>
    <w:p w14:paraId="526EA534">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注： </w:t>
      </w:r>
    </w:p>
    <w:p w14:paraId="7625502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（1）按本表费率计算的收费为采购代理的收费基准价格；</w:t>
      </w:r>
    </w:p>
    <w:p w14:paraId="64F9784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（2）采购代理收费按差额定率累进法计算。</w:t>
      </w:r>
    </w:p>
    <w:p w14:paraId="6E68713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例如：某货物采购代理业务成交金额或者暂定价为150万元，计算采购代理收费额如下：</w:t>
      </w:r>
    </w:p>
    <w:p w14:paraId="7E1E9AAF">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100 万元 ×l.5 ％＝ 1.5 万元</w:t>
      </w:r>
    </w:p>
    <w:p w14:paraId="551AD1FA">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150 － 100 ）万元 ×1.1％＝ 0.55 万元</w:t>
      </w:r>
    </w:p>
    <w:p w14:paraId="5559F252">
      <w:pPr>
        <w:spacing w:line="360" w:lineRule="auto"/>
        <w:ind w:firstLine="420" w:firstLineChars="200"/>
        <w:rPr>
          <w:rFonts w:hint="eastAsia" w:ascii="宋体" w:hAnsi="宋体" w:eastAsia="宋体" w:cs="宋体"/>
          <w:color w:val="auto"/>
          <w:lang w:val="en-US" w:eastAsia="zh-CN"/>
        </w:rPr>
      </w:pPr>
      <w:r>
        <w:rPr>
          <w:rFonts w:hint="eastAsia" w:ascii="宋体" w:hAnsi="宋体" w:eastAsia="宋体" w:cs="宋体"/>
          <w:color w:val="auto"/>
        </w:rPr>
        <w:t>合计收费＝ 1.5 ＋ 0.55＝ 2.05 （万元）</w:t>
      </w:r>
    </w:p>
    <w:p w14:paraId="72E441D2">
      <w:pPr>
        <w:spacing w:line="360" w:lineRule="auto"/>
        <w:ind w:firstLine="420" w:firstLineChars="200"/>
        <w:rPr>
          <w:rFonts w:hint="eastAsia" w:ascii="宋体" w:hAnsi="宋体" w:eastAsia="宋体" w:cs="宋体"/>
          <w:color w:val="auto"/>
          <w:kern w:val="2"/>
          <w:sz w:val="21"/>
          <w:szCs w:val="21"/>
          <w:highlight w:val="none"/>
        </w:rPr>
      </w:pPr>
    </w:p>
    <w:p w14:paraId="45B9A574">
      <w:pPr>
        <w:spacing w:line="360" w:lineRule="auto"/>
        <w:ind w:firstLine="420"/>
        <w:rPr>
          <w:rFonts w:hint="eastAsia" w:ascii="宋体" w:hAnsi="宋体" w:eastAsia="宋体" w:cs="宋体"/>
          <w:color w:val="auto"/>
          <w:highlight w:val="none"/>
          <w:lang w:val="en-US" w:eastAsia="zh-CN"/>
        </w:rPr>
      </w:pPr>
    </w:p>
    <w:p w14:paraId="1058D67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.需要补充的其他内容</w:t>
      </w:r>
    </w:p>
    <w:p w14:paraId="03F4DD67">
      <w:pPr>
        <w:spacing w:line="360" w:lineRule="auto"/>
        <w:ind w:firstLine="42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.1本谈判文件解释规则详见“供应商须知前附表”。</w:t>
      </w:r>
    </w:p>
    <w:p w14:paraId="0211A58C">
      <w:pPr>
        <w:spacing w:line="360" w:lineRule="auto"/>
        <w:ind w:firstLine="420"/>
        <w:contextualSpacing/>
        <w:rPr>
          <w:rFonts w:hint="eastAsia" w:ascii="宋体" w:hAnsi="宋体" w:eastAsia="宋体" w:cs="宋体"/>
          <w:color w:val="auto"/>
          <w:szCs w:val="24"/>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 其他事</w:t>
      </w:r>
      <w:r>
        <w:rPr>
          <w:rFonts w:hint="eastAsia" w:ascii="宋体" w:hAnsi="宋体" w:eastAsia="宋体" w:cs="宋体"/>
          <w:color w:val="auto"/>
          <w:szCs w:val="24"/>
          <w:highlight w:val="none"/>
        </w:rPr>
        <w:t>项详见“供应商须知前附表”。</w:t>
      </w:r>
    </w:p>
    <w:p w14:paraId="195AE4F9">
      <w:pPr>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lang w:val="zh-CN"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.3</w:t>
      </w:r>
      <w:bookmarkStart w:id="100" w:name="_Hlk65857140"/>
      <w:r>
        <w:rPr>
          <w:rFonts w:hint="eastAsia" w:ascii="宋体" w:hAnsi="宋体" w:eastAsia="宋体" w:cs="宋体"/>
          <w:color w:val="auto"/>
          <w:sz w:val="21"/>
          <w:szCs w:val="21"/>
          <w:highlight w:val="none"/>
          <w:lang w:val="zh-CN" w:eastAsia="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sz w:val="21"/>
          <w:highlight w:val="none"/>
        </w:rPr>
        <w:t>在政府采购活动中，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2E124A9">
      <w:pPr>
        <w:pStyle w:val="24"/>
        <w:spacing w:before="0" w:after="0"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highlight w:val="none"/>
        </w:rPr>
        <w:t>在货物采购项目中，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提供的货物既有中小企业制造货物，也有大型企业制造货物的，不享受本文件规定的中小企业扶持政策。</w:t>
      </w: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w:t>
      </w:r>
    </w:p>
    <w:p w14:paraId="68EA458D">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依据本文件规定享受扶持政策获得政府采购合同的，小微企业不得将合同分包给大中型企业，中型企业不得将合同分包给大型企业。</w:t>
      </w:r>
      <w:bookmarkEnd w:id="100"/>
    </w:p>
    <w:p w14:paraId="55A7B347">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33.4</w:t>
      </w:r>
      <w:r>
        <w:rPr>
          <w:rFonts w:hint="eastAsia" w:ascii="宋体" w:hAnsi="宋体" w:eastAsia="宋体" w:cs="宋体"/>
          <w:i w:val="0"/>
          <w:iCs w:val="0"/>
          <w:caps w:val="0"/>
          <w:color w:val="auto"/>
          <w:spacing w:val="0"/>
          <w:sz w:val="21"/>
          <w:szCs w:val="20"/>
          <w:highlight w:val="none"/>
          <w:shd w:val="clear" w:color="auto" w:fill="auto"/>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D0DFDA0">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highlight w:val="none"/>
        </w:rPr>
        <w:t>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14:paraId="3075508E">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2F87926E">
      <w:pPr>
        <w:spacing w:line="580" w:lineRule="exact"/>
        <w:ind w:firstLine="420"/>
        <w:rPr>
          <w:rFonts w:hint="eastAsia" w:ascii="宋体" w:hAnsi="宋体" w:eastAsia="宋体" w:cs="宋体"/>
          <w:color w:val="auto"/>
          <w:szCs w:val="32"/>
          <w:highlight w:val="none"/>
        </w:rPr>
      </w:pPr>
    </w:p>
    <w:p w14:paraId="0EA80C47">
      <w:pPr>
        <w:spacing w:line="5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各供应商：</w:t>
      </w:r>
    </w:p>
    <w:p w14:paraId="7ECB27CA">
      <w:pPr>
        <w:spacing w:line="5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欢迎贵公司参与广西政府采购活动！</w:t>
      </w:r>
    </w:p>
    <w:p w14:paraId="58E0753C">
      <w:pPr>
        <w:spacing w:line="5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sz w:val="21"/>
          <w:szCs w:val="21"/>
          <w:highlight w:val="none"/>
          <w:lang w:val="en-US" w:eastAsia="zh-CN" w:bidi="ar-SA"/>
        </w:rPr>
        <w:t>银行业金融机构</w:t>
      </w:r>
      <w:r>
        <w:rPr>
          <w:rFonts w:hint="eastAsia" w:ascii="宋体" w:hAnsi="宋体" w:eastAsia="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eastAsia="宋体" w:cs="宋体"/>
          <w:color w:val="auto"/>
          <w:szCs w:val="21"/>
          <w:highlight w:val="none"/>
          <w:lang w:val="en-US" w:eastAsia="zh-CN"/>
        </w:rPr>
        <w:t>258</w:t>
      </w:r>
      <w:r>
        <w:rPr>
          <w:rFonts w:hint="eastAsia" w:ascii="宋体" w:hAnsi="宋体" w:eastAsia="宋体" w:cs="宋体"/>
          <w:color w:val="auto"/>
          <w:szCs w:val="21"/>
          <w:highlight w:val="none"/>
        </w:rPr>
        <w:t>号），按照双方自愿的原则提供便捷、优惠的贷款服务。</w:t>
      </w:r>
    </w:p>
    <w:p w14:paraId="27A0E017">
      <w:pPr>
        <w:spacing w:line="58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相关金融产品和</w:t>
      </w:r>
      <w:r>
        <w:rPr>
          <w:rFonts w:hint="eastAsia" w:ascii="宋体" w:hAnsi="宋体" w:eastAsia="宋体" w:cs="宋体"/>
          <w:color w:val="auto"/>
          <w:sz w:val="21"/>
          <w:szCs w:val="21"/>
          <w:highlight w:val="none"/>
          <w:lang w:val="en-US" w:eastAsia="zh-CN" w:bidi="ar-SA"/>
        </w:rPr>
        <w:t>银行业金融机构</w:t>
      </w:r>
      <w:r>
        <w:rPr>
          <w:rFonts w:hint="eastAsia" w:ascii="宋体" w:hAnsi="宋体" w:eastAsia="宋体" w:cs="宋体"/>
          <w:color w:val="auto"/>
          <w:szCs w:val="21"/>
          <w:highlight w:val="none"/>
        </w:rPr>
        <w:t>联系方式，可在中征应收账款融资服务平台查询</w:t>
      </w:r>
      <w:r>
        <w:rPr>
          <w:rFonts w:hint="eastAsia" w:ascii="宋体" w:hAnsi="宋体" w:eastAsia="宋体" w:cs="宋体"/>
          <w:color w:val="auto"/>
          <w:szCs w:val="21"/>
          <w:highlight w:val="none"/>
          <w:lang w:eastAsia="zh-CN"/>
        </w:rPr>
        <w:t>（网址：</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"https://www.crcrfsp.com/" </w:instrText>
      </w:r>
      <w:r>
        <w:rPr>
          <w:rFonts w:hint="eastAsia" w:ascii="宋体" w:hAnsi="宋体" w:eastAsia="宋体" w:cs="宋体"/>
          <w:color w:val="auto"/>
          <w:szCs w:val="21"/>
          <w:highlight w:val="none"/>
          <w:lang w:eastAsia="zh-CN"/>
        </w:rPr>
        <w:fldChar w:fldCharType="separate"/>
      </w:r>
      <w:r>
        <w:rPr>
          <w:rStyle w:val="51"/>
          <w:rFonts w:hint="eastAsia" w:ascii="宋体" w:hAnsi="宋体" w:eastAsia="宋体" w:cs="宋体"/>
          <w:color w:val="auto"/>
          <w:szCs w:val="21"/>
          <w:highlight w:val="none"/>
          <w:lang w:eastAsia="zh-CN"/>
        </w:rPr>
        <w:t>https://www.crcrfsp.com/</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，客服电话：</w:t>
      </w:r>
      <w:r>
        <w:rPr>
          <w:rFonts w:hint="eastAsia" w:ascii="宋体" w:hAnsi="宋体" w:eastAsia="宋体" w:cs="宋体"/>
          <w:color w:val="auto"/>
          <w:szCs w:val="21"/>
          <w:highlight w:val="none"/>
          <w:lang w:val="en-US" w:eastAsia="zh-CN"/>
        </w:rPr>
        <w:t>400-009-0001</w:t>
      </w:r>
      <w:r>
        <w:rPr>
          <w:rFonts w:hint="eastAsia" w:ascii="宋体" w:hAnsi="宋体" w:eastAsia="宋体" w:cs="宋体"/>
          <w:color w:val="auto"/>
          <w:szCs w:val="21"/>
          <w:highlight w:val="none"/>
          <w:lang w:eastAsia="zh-CN"/>
        </w:rPr>
        <w:t>）。</w:t>
      </w:r>
    </w:p>
    <w:p w14:paraId="2D25FADB">
      <w:pPr>
        <w:spacing w:line="360" w:lineRule="auto"/>
        <w:ind w:firstLine="402"/>
        <w:contextualSpacing/>
        <w:rPr>
          <w:rFonts w:hint="eastAsia" w:ascii="宋体" w:hAnsi="宋体" w:eastAsia="宋体" w:cs="宋体"/>
          <w:b/>
          <w:color w:val="auto"/>
          <w:sz w:val="20"/>
          <w:szCs w:val="21"/>
          <w:highlight w:val="none"/>
          <w:lang w:val="zh-CN" w:eastAsia="zh-CN"/>
        </w:rPr>
      </w:pPr>
    </w:p>
    <w:p w14:paraId="165FECFC">
      <w:pPr>
        <w:spacing w:line="240" w:lineRule="auto"/>
        <w:ind w:firstLine="0"/>
        <w:contextualSpacing w:val="0"/>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0"/>
          <w:szCs w:val="21"/>
          <w:highlight w:val="none"/>
          <w:lang w:val="zh-CN" w:eastAsia="zh-CN"/>
        </w:rPr>
        <w:br w:type="page" w:clear="all"/>
      </w:r>
    </w:p>
    <w:p w14:paraId="0578E361">
      <w:pPr>
        <w:pStyle w:val="2"/>
        <w:spacing w:line="360" w:lineRule="auto"/>
        <w:ind w:firstLine="1325"/>
        <w:rPr>
          <w:rFonts w:hint="eastAsia" w:ascii="宋体" w:hAnsi="宋体" w:eastAsia="宋体" w:cs="宋体"/>
          <w:color w:val="auto"/>
          <w:highlight w:val="none"/>
          <w:lang w:val="zh-CN" w:eastAsia="zh-CN"/>
        </w:rPr>
      </w:pPr>
      <w:bookmarkStart w:id="101" w:name="_Toc11174"/>
      <w:bookmarkStart w:id="102" w:name="_Toc17139"/>
      <w:bookmarkStart w:id="103" w:name="_Toc80205932"/>
      <w:bookmarkStart w:id="104" w:name="_Toc23199"/>
      <w:r>
        <w:rPr>
          <w:rFonts w:hint="eastAsia" w:ascii="宋体" w:hAnsi="宋体" w:eastAsia="宋体" w:cs="宋体"/>
          <w:color w:val="auto"/>
          <w:highlight w:val="none"/>
          <w:lang w:val="zh-CN" w:eastAsia="zh-CN"/>
        </w:rPr>
        <w:t>第四章 评审程序、评审方法和成交标准</w:t>
      </w:r>
      <w:bookmarkEnd w:id="101"/>
      <w:bookmarkEnd w:id="102"/>
      <w:bookmarkEnd w:id="103"/>
      <w:bookmarkEnd w:id="104"/>
    </w:p>
    <w:p w14:paraId="0AEFD81F">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05" w:name="_Toc80205933"/>
      <w:bookmarkStart w:id="106" w:name="_Toc18230"/>
      <w:bookmarkStart w:id="107" w:name="_Toc10464"/>
      <w:r>
        <w:rPr>
          <w:rFonts w:hint="eastAsia" w:ascii="宋体" w:hAnsi="宋体" w:eastAsia="宋体" w:cs="宋体"/>
          <w:bCs/>
          <w:color w:val="auto"/>
          <w:sz w:val="32"/>
          <w:szCs w:val="32"/>
          <w:highlight w:val="none"/>
          <w:lang w:val="zh-CN" w:eastAsia="zh-CN"/>
        </w:rPr>
        <w:t>第一节 评审程序和评审方法</w:t>
      </w:r>
      <w:bookmarkEnd w:id="105"/>
      <w:bookmarkEnd w:id="106"/>
      <w:bookmarkEnd w:id="107"/>
    </w:p>
    <w:p w14:paraId="2B66054E">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1.确认谈判文件</w:t>
      </w:r>
    </w:p>
    <w:p w14:paraId="5710978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11F320B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2.资格审查</w:t>
      </w:r>
    </w:p>
    <w:p w14:paraId="7538D2A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14:paraId="048F0F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41068949">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14:paraId="1911AD4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31CBFE5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r>
        <w:rPr>
          <w:rFonts w:hint="eastAsia" w:ascii="宋体" w:hAnsi="宋体" w:eastAsia="宋体" w:cs="宋体"/>
          <w:color w:val="auto"/>
          <w:sz w:val="22"/>
          <w:highlight w:val="none"/>
        </w:rPr>
        <w:t>在查询网站中直接查询，并将查询结果存为电子文档，作为评审资料保存。</w:t>
      </w:r>
    </w:p>
    <w:p w14:paraId="28EB9C3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511933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2AB662D7">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029754C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0885D6A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14:paraId="10E8D85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14:paraId="28E70641">
      <w:pPr>
        <w:spacing w:line="360" w:lineRule="auto"/>
        <w:ind w:firstLine="420"/>
        <w:rPr>
          <w:rFonts w:hint="eastAsia" w:ascii="宋体" w:hAnsi="宋体" w:eastAsia="宋体" w:cs="宋体"/>
          <w:color w:val="auto"/>
          <w:szCs w:val="21"/>
          <w:highlight w:val="none"/>
        </w:rPr>
      </w:pPr>
      <w:bookmarkStart w:id="108"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的。</w:t>
      </w:r>
      <w:bookmarkEnd w:id="108"/>
    </w:p>
    <w:p w14:paraId="1F161AE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0478008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3.符合性审查</w:t>
      </w:r>
    </w:p>
    <w:p w14:paraId="2C787B19">
      <w:pPr>
        <w:spacing w:line="360" w:lineRule="auto"/>
        <w:ind w:firstLine="420"/>
        <w:rPr>
          <w:rFonts w:hint="eastAsia" w:ascii="宋体" w:hAnsi="宋体" w:eastAsia="宋体" w:cs="宋体"/>
          <w:color w:val="auto"/>
          <w:szCs w:val="21"/>
          <w:highlight w:val="none"/>
        </w:rPr>
      </w:pPr>
      <w:bookmarkStart w:id="109"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bookmarkEnd w:id="109"/>
    </w:p>
    <w:p w14:paraId="4494902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4559D36">
      <w:pPr>
        <w:spacing w:line="360" w:lineRule="auto"/>
        <w:ind w:firstLine="42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w:t>
      </w:r>
      <w:r>
        <w:rPr>
          <w:rFonts w:hint="eastAsia" w:ascii="宋体" w:hAnsi="宋体" w:eastAsia="宋体" w:cs="宋体"/>
          <w:b w:val="0"/>
          <w:bCs w:val="0"/>
          <w:color w:val="auto"/>
          <w:sz w:val="21"/>
          <w:szCs w:val="21"/>
          <w:highlight w:val="none"/>
        </w:rPr>
        <w:t>由法定代表人或其授权代表签字或者</w:t>
      </w:r>
      <w:r>
        <w:rPr>
          <w:rFonts w:hint="eastAsia" w:ascii="宋体" w:hAnsi="宋体" w:eastAsia="宋体" w:cs="宋体"/>
          <w:color w:val="auto"/>
          <w:szCs w:val="21"/>
          <w:highlight w:val="none"/>
        </w:rPr>
        <w:t>加盖公章</w:t>
      </w:r>
      <w:r>
        <w:rPr>
          <w:rFonts w:hint="eastAsia" w:ascii="宋体" w:hAnsi="宋体" w:eastAsia="宋体" w:cs="宋体"/>
          <w:color w:val="auto"/>
          <w:spacing w:val="-6"/>
          <w:szCs w:val="21"/>
          <w:highlight w:val="none"/>
        </w:rPr>
        <w:t>。供应商为自然人的，必须由本人签字并附身份证明。</w:t>
      </w:r>
    </w:p>
    <w:p w14:paraId="7CFCAC6D">
      <w:pPr>
        <w:spacing w:line="360" w:lineRule="auto"/>
        <w:ind w:firstLine="396"/>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14:paraId="55CECC4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报价表内容与响应文件中相应内容不一致的，以响应报价表为准；</w:t>
      </w:r>
    </w:p>
    <w:p w14:paraId="3AC9E1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43E6A9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报价表的总价为准，并修改单价；</w:t>
      </w:r>
    </w:p>
    <w:p w14:paraId="26E437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42568ED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0A27AAF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0DD7921C">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11EDB1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62C3C4C4">
      <w:pPr>
        <w:tabs>
          <w:tab w:val="left" w:pos="399"/>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14:paraId="35FEB88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78F181F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）未对竞标有效期作出响应或者响应文件承诺的竞标有效期不满足谈判文件要求；</w:t>
      </w:r>
    </w:p>
    <w:p w14:paraId="41A337F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）响应文件的实质性内容未使用中文表述、使用计量单位不符合谈判文件要求；</w:t>
      </w:r>
    </w:p>
    <w:p w14:paraId="1BF361E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）响应文件中的文件资料因填写不齐全或者内容虚假或者出现其他情形而导致被谈判小组认定无效；</w:t>
      </w:r>
    </w:p>
    <w:p w14:paraId="5CE060F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）响应文件含有采购人不能接受的附加条件；</w:t>
      </w:r>
    </w:p>
    <w:p w14:paraId="06C2FA2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）属于“供应商须知正文”第7.5条情形；</w:t>
      </w:r>
    </w:p>
    <w:p w14:paraId="4D74944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）虚假竞标，或者出现其他情形而导致被谈判小组认定无效；</w:t>
      </w:r>
    </w:p>
    <w:p w14:paraId="2467B77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）竞标技术方案不明确，谈判文件未允许但响应文件中存在一个或者一个以上备选（替代）竞标方案；</w:t>
      </w:r>
    </w:p>
    <w:p w14:paraId="712918B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）响应文件标注的项目名称或者项目编号与竞争性谈判文件标注的项目名称或者项目编号不一致的；</w:t>
      </w:r>
    </w:p>
    <w:p w14:paraId="374E32D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）未响应谈判文件实质性要求</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w:t>
      </w:r>
    </w:p>
    <w:p w14:paraId="545F70FD">
      <w:pPr>
        <w:pStyle w:val="18"/>
        <w:ind w:firstLine="420"/>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）提交的</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保证金无效或者未按照</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谈判文件规定提交</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p>
    <w:p w14:paraId="0CC68E6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）法律、法规和谈判文件规定的其他无效情形。</w:t>
      </w:r>
    </w:p>
    <w:p w14:paraId="652F1E1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09D9660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4A7D3A9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14:paraId="0716ED2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分标进行报价或者存在漏项报价；供应商未就所竞标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分标的全部内容作唯一总价报价；供应商响应文件中存在有选择、有条件报价的（谈判文件允许有备选方案或者其他约定的除外）；</w:t>
      </w:r>
    </w:p>
    <w:p w14:paraId="36C6163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w:t>
      </w:r>
      <w:bookmarkStart w:id="110" w:name="_Hlk42596405"/>
      <w:r>
        <w:rPr>
          <w:rFonts w:hint="eastAsia" w:ascii="宋体" w:hAnsi="宋体" w:eastAsia="宋体" w:cs="宋体"/>
          <w:color w:val="auto"/>
          <w:szCs w:val="21"/>
          <w:highlight w:val="none"/>
        </w:rPr>
        <w:t>响应报价（包含首次报价、最后报价）</w:t>
      </w:r>
      <w:bookmarkEnd w:id="110"/>
      <w:bookmarkStart w:id="111" w:name="_Hlk42596276"/>
      <w:r>
        <w:rPr>
          <w:rFonts w:hint="eastAsia" w:ascii="宋体" w:hAnsi="宋体" w:eastAsia="宋体" w:cs="宋体"/>
          <w:color w:val="auto"/>
          <w:szCs w:val="21"/>
          <w:highlight w:val="none"/>
        </w:rPr>
        <w:t>超过谈判文件分项采购预算金额或者最高限价的</w:t>
      </w:r>
      <w:bookmarkEnd w:id="111"/>
      <w:r>
        <w:rPr>
          <w:rFonts w:hint="eastAsia" w:ascii="宋体" w:hAnsi="宋体" w:eastAsia="宋体" w:cs="宋体"/>
          <w:color w:val="auto"/>
          <w:szCs w:val="21"/>
          <w:highlight w:val="none"/>
        </w:rPr>
        <w:t>（如本项目公布了最高限价）；</w:t>
      </w:r>
    </w:p>
    <w:p w14:paraId="224C06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如本项目公布了最高限价）；或者经供应商确认修正后响应报价（包含首次报价、最后报价）超过谈判文件分项采购预算金额或者最高限价的（如本项目公布了最高限价）。</w:t>
      </w:r>
    </w:p>
    <w:p w14:paraId="56565DC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14:paraId="2E5AD6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处理。谈判小组应当将资格和符合性不通过的情况告知有关供应商。谈判小组从符合谈判文件规定的相应资格条件的供应商名单中确定不少于3家的供应商参加谈判。</w:t>
      </w:r>
    </w:p>
    <w:p w14:paraId="143C4B9A">
      <w:pPr>
        <w:widowControl/>
        <w:pBdr>
          <w:top w:val="none" w:color="000000" w:sz="0" w:space="0"/>
          <w:left w:val="none" w:color="000000" w:sz="0" w:space="0"/>
          <w:bottom w:val="none" w:color="000000" w:sz="0" w:space="0"/>
          <w:right w:val="none" w:color="000000" w:sz="0" w:space="0"/>
        </w:pBd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3.7通过符合性审查的合格供应商不足3家的，不得进入谈判环节，应当重新开展采购活动。</w:t>
      </w:r>
    </w:p>
    <w:p w14:paraId="6C72AEE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4.谈判程序</w:t>
      </w:r>
    </w:p>
    <w:p w14:paraId="49F5781A">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6D34A14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712B33A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06A65D4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w:t>
      </w:r>
      <w:r>
        <w:rPr>
          <w:rFonts w:hint="eastAsia" w:ascii="宋体" w:hAnsi="宋体" w:eastAsia="宋体" w:cs="宋体"/>
          <w:color w:val="auto"/>
          <w:szCs w:val="21"/>
          <w:highlight w:val="none"/>
          <w:lang w:eastAsia="zh-CN"/>
        </w:rPr>
        <w:t>供应商公章</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w:t>
      </w:r>
    </w:p>
    <w:p w14:paraId="2F68CEC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14:paraId="1EF782D7">
      <w:pPr>
        <w:spacing w:line="360" w:lineRule="auto"/>
        <w:ind w:firstLine="42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报告一部分，谈判小组在记录上签字确认。</w:t>
      </w:r>
    </w:p>
    <w:p w14:paraId="45704405">
      <w:pPr>
        <w:widowControl/>
        <w:tabs>
          <w:tab w:val="left" w:pos="540"/>
        </w:tabs>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14:paraId="380C2AE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54997A4E">
      <w:pPr>
        <w:spacing w:line="360" w:lineRule="auto"/>
        <w:ind w:firstLine="482"/>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5. 最后报价</w:t>
      </w:r>
    </w:p>
    <w:p w14:paraId="6D7318A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14:paraId="24829B4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远程不见面开标大厅响应最后报价。</w:t>
      </w:r>
    </w:p>
    <w:p w14:paraId="5C4972B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14:paraId="53E034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2214C9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14:paraId="459A25D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14:paraId="2FCEA49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5.7修正后的最</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rPr>
        <w:t>报价出现下列情形的，</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08171A1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5245B4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分标规定的采购预算金额或者最高限价的（如本项目公布了最高限价）（全流程电子化评标多轮报价设置了上</w:t>
      </w:r>
      <w:r>
        <w:rPr>
          <w:rFonts w:hint="eastAsia" w:ascii="宋体" w:hAnsi="宋体" w:eastAsia="宋体" w:cs="宋体"/>
          <w:color w:val="auto"/>
          <w:szCs w:val="21"/>
          <w:highlight w:val="none"/>
          <w:lang w:val="en-US" w:eastAsia="zh-CN"/>
        </w:rPr>
        <w:t>限</w:t>
      </w:r>
      <w:r>
        <w:rPr>
          <w:rFonts w:hint="eastAsia" w:ascii="宋体" w:hAnsi="宋体" w:eastAsia="宋体" w:cs="宋体"/>
          <w:color w:val="auto"/>
          <w:szCs w:val="21"/>
          <w:highlight w:val="none"/>
        </w:rPr>
        <w:t>控制价，即预算价）；</w:t>
      </w:r>
    </w:p>
    <w:p w14:paraId="3D9E2CC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03206AC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14:paraId="159B3C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5.9供应商出现最后报价</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响应处理或者响应文件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14:paraId="4906FE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14:paraId="066FCF1E">
      <w:pPr>
        <w:keepNext w:val="0"/>
        <w:keepLines w:val="0"/>
        <w:pageBreakBefore w:val="0"/>
        <w:widowControl/>
        <w:pBdr>
          <w:top w:val="none" w:color="000000" w:sz="0" w:space="0"/>
          <w:left w:val="none" w:color="000000" w:sz="0" w:space="0"/>
          <w:bottom w:val="none" w:color="000000" w:sz="0" w:space="0"/>
          <w:right w:val="none" w:color="000000" w:sz="0" w:space="0"/>
        </w:pBd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5.11</w:t>
      </w:r>
      <w:r>
        <w:rPr>
          <w:rFonts w:hint="eastAsia" w:ascii="宋体" w:hAnsi="宋体" w:eastAsia="宋体" w:cs="宋体"/>
          <w:i w:val="0"/>
          <w:iCs w:val="0"/>
          <w:caps w:val="0"/>
          <w:color w:val="auto"/>
          <w:spacing w:val="0"/>
          <w:sz w:val="21"/>
          <w:szCs w:val="21"/>
          <w:highlight w:val="none"/>
          <w:shd w:val="clear" w:color="auto" w:fill="FFFFFF"/>
        </w:rPr>
        <w:t>采购评审中出现下列情形之一的，</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应当启动异常低价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审查程序：</w:t>
      </w:r>
    </w:p>
    <w:p w14:paraId="15F80CD2">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A.最后报价</w:t>
      </w:r>
      <w:r>
        <w:rPr>
          <w:rFonts w:hint="eastAsia" w:ascii="宋体" w:hAnsi="宋体" w:eastAsia="宋体" w:cs="宋体"/>
          <w:i w:val="0"/>
          <w:iCs w:val="0"/>
          <w:caps w:val="0"/>
          <w:color w:val="auto"/>
          <w:spacing w:val="0"/>
          <w:sz w:val="21"/>
          <w:szCs w:val="21"/>
          <w:highlight w:val="none"/>
          <w:shd w:val="clear" w:color="auto" w:fill="FFFFFF"/>
        </w:rPr>
        <w:t>低于全部通过符合性审查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bookmarkStart w:id="112" w:name="OLE_LINK1"/>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w:t>
      </w:r>
      <w:bookmarkEnd w:id="112"/>
      <w:r>
        <w:rPr>
          <w:rFonts w:hint="eastAsia" w:ascii="宋体" w:hAnsi="宋体" w:eastAsia="宋体" w:cs="宋体"/>
          <w:i w:val="0"/>
          <w:iCs w:val="0"/>
          <w:caps w:val="0"/>
          <w:color w:val="auto"/>
          <w:spacing w:val="0"/>
          <w:sz w:val="21"/>
          <w:szCs w:val="21"/>
          <w:highlight w:val="none"/>
          <w:shd w:val="clear" w:color="auto" w:fill="FFFFFF"/>
        </w:rPr>
        <w:t>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65177846">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12E5DA20">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w:t>
      </w:r>
    </w:p>
    <w:p w14:paraId="66D3244D">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基于专业判断，认为</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报价过低，有可能影响产品质量或者不能诚信履约的其他情形。</w:t>
      </w:r>
    </w:p>
    <w:p w14:paraId="75656AA0">
      <w:pPr>
        <w:keepNext w:val="0"/>
        <w:keepLines w:val="0"/>
        <w:pageBreakBefore w:val="0"/>
        <w:widowControl w:val="0"/>
        <w:numPr>
          <w:ilvl w:val="0"/>
          <w:numId w:val="0"/>
        </w:numPr>
        <w:bidi w:val="0"/>
        <w:spacing w:line="360" w:lineRule="auto"/>
        <w:ind w:left="0"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报价有规定的，从其规定。</w:t>
      </w:r>
    </w:p>
    <w:p w14:paraId="173952D6">
      <w:pPr>
        <w:keepNext w:val="0"/>
        <w:keepLines w:val="0"/>
        <w:pageBreakBefore w:val="0"/>
        <w:widowControl w:val="0"/>
        <w:numPr>
          <w:ilvl w:val="0"/>
          <w:numId w:val="0"/>
        </w:numPr>
        <w:bidi w:val="0"/>
        <w:spacing w:line="360" w:lineRule="auto"/>
        <w:ind w:left="105"/>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审查后，属于上述A项至D项情形的，应当要求相关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现场合理的时间内对</w:t>
      </w:r>
      <w:r>
        <w:rPr>
          <w:rFonts w:hint="eastAsia" w:ascii="宋体" w:hAnsi="宋体" w:eastAsia="宋体" w:cs="宋体"/>
          <w:i w:val="0"/>
          <w:iCs w:val="0"/>
          <w:caps w:val="0"/>
          <w:color w:val="auto"/>
          <w:spacing w:val="0"/>
          <w:sz w:val="21"/>
          <w:szCs w:val="21"/>
          <w:highlight w:val="none"/>
          <w:shd w:val="clear" w:color="auto" w:fill="FFFFFF"/>
          <w:lang w:eastAsia="zh-CN"/>
        </w:rPr>
        <w:t>响应</w:t>
      </w:r>
      <w:r>
        <w:rPr>
          <w:rFonts w:hint="eastAsia" w:ascii="宋体" w:hAnsi="宋体" w:eastAsia="宋体" w:cs="宋体"/>
          <w:i w:val="0"/>
          <w:iCs w:val="0"/>
          <w:caps w:val="0"/>
          <w:color w:val="auto"/>
          <w:spacing w:val="0"/>
          <w:sz w:val="21"/>
          <w:szCs w:val="21"/>
          <w:highlight w:val="none"/>
          <w:shd w:val="clear" w:color="auto" w:fill="FFFFFF"/>
        </w:rPr>
        <w:t>价格作出解释，提供项目具体成本测算等与报价合理性相关的书面说明及必要的证明材料，包括但不限于原材料成本、人工成本、制造费用等，给予相关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的合理时间一般不少于30分钟。其中，属于上述C项情形，</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已随</w:t>
      </w:r>
      <w:r>
        <w:rPr>
          <w:rFonts w:hint="eastAsia" w:ascii="宋体" w:hAnsi="宋体" w:eastAsia="宋体" w:cs="宋体"/>
          <w:i w:val="0"/>
          <w:iCs w:val="0"/>
          <w:caps w:val="0"/>
          <w:color w:val="auto"/>
          <w:spacing w:val="0"/>
          <w:sz w:val="21"/>
          <w:szCs w:val="21"/>
          <w:highlight w:val="none"/>
          <w:shd w:val="clear" w:color="auto" w:fill="FFFFFF"/>
          <w:lang w:eastAsia="zh-CN"/>
        </w:rPr>
        <w:t>响应文件</w:t>
      </w:r>
      <w:r>
        <w:rPr>
          <w:rFonts w:hint="eastAsia" w:ascii="宋体" w:hAnsi="宋体" w:eastAsia="宋体" w:cs="宋体"/>
          <w:i w:val="0"/>
          <w:iCs w:val="0"/>
          <w:caps w:val="0"/>
          <w:color w:val="auto"/>
          <w:spacing w:val="0"/>
          <w:sz w:val="21"/>
          <w:szCs w:val="21"/>
          <w:highlight w:val="none"/>
          <w:shd w:val="clear" w:color="auto" w:fill="FFFFFF"/>
        </w:rPr>
        <w:t>一并提交相关书面说明及必要的证明材料的，在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现场可不再重复提交。</w:t>
      </w:r>
    </w:p>
    <w:p w14:paraId="614AB64C">
      <w:pPr>
        <w:spacing w:line="360" w:lineRule="auto"/>
        <w:ind w:firstLine="420"/>
        <w:rPr>
          <w:rFonts w:hint="eastAsia" w:ascii="宋体" w:hAnsi="宋体" w:eastAsia="宋体" w:cs="宋体"/>
          <w:color w:val="auto"/>
          <w:highlight w:val="none"/>
        </w:rPr>
      </w:pP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lang w:eastAsia="zh-CN"/>
        </w:rPr>
        <w:t>供应商</w:t>
      </w:r>
      <w:r>
        <w:rPr>
          <w:rFonts w:hint="eastAsia" w:ascii="宋体" w:hAnsi="宋体" w:eastAsia="宋体" w:cs="宋体"/>
          <w:b/>
          <w:bCs/>
          <w:i w:val="0"/>
          <w:iCs w:val="0"/>
          <w:caps w:val="0"/>
          <w:color w:val="auto"/>
          <w:spacing w:val="0"/>
          <w:sz w:val="21"/>
          <w:szCs w:val="21"/>
          <w:highlight w:val="none"/>
          <w:shd w:val="clear" w:color="auto" w:fill="FFFFFF"/>
        </w:rPr>
        <w:t>不能提供书面说明、证明材料，或者提供的书面说明、证明材料不能证明其报价合理性的，</w:t>
      </w:r>
      <w:r>
        <w:rPr>
          <w:rFonts w:hint="eastAsia" w:ascii="宋体" w:hAnsi="宋体" w:eastAsia="宋体" w:cs="宋体"/>
          <w:b/>
          <w:bCs/>
          <w:i w:val="0"/>
          <w:iCs w:val="0"/>
          <w:caps w:val="0"/>
          <w:color w:val="auto"/>
          <w:spacing w:val="0"/>
          <w:sz w:val="21"/>
          <w:szCs w:val="21"/>
          <w:highlight w:val="none"/>
          <w:shd w:val="clear" w:color="auto" w:fill="FFFFFF"/>
          <w:lang w:eastAsia="zh-CN"/>
        </w:rPr>
        <w:t>谈判小组</w:t>
      </w:r>
      <w:r>
        <w:rPr>
          <w:rFonts w:hint="eastAsia" w:ascii="宋体" w:hAnsi="宋体" w:eastAsia="宋体" w:cs="宋体"/>
          <w:b/>
          <w:bCs/>
          <w:i w:val="0"/>
          <w:iCs w:val="0"/>
          <w:caps w:val="0"/>
          <w:color w:val="auto"/>
          <w:spacing w:val="0"/>
          <w:sz w:val="21"/>
          <w:szCs w:val="21"/>
          <w:highlight w:val="none"/>
          <w:shd w:val="clear" w:color="auto" w:fill="FFFFFF"/>
        </w:rPr>
        <w:t>应当将其作为无效</w:t>
      </w:r>
      <w:r>
        <w:rPr>
          <w:rFonts w:hint="eastAsia" w:ascii="宋体" w:hAnsi="宋体" w:eastAsia="宋体" w:cs="宋体"/>
          <w:b/>
          <w:bCs/>
          <w:i w:val="0"/>
          <w:iCs w:val="0"/>
          <w:caps w:val="0"/>
          <w:color w:val="auto"/>
          <w:spacing w:val="0"/>
          <w:sz w:val="21"/>
          <w:szCs w:val="21"/>
          <w:highlight w:val="none"/>
          <w:shd w:val="clear" w:color="auto" w:fill="FFFFFF"/>
          <w:lang w:eastAsia="zh-CN"/>
        </w:rPr>
        <w:t>响应</w:t>
      </w:r>
      <w:r>
        <w:rPr>
          <w:rFonts w:hint="eastAsia" w:ascii="宋体" w:hAnsi="宋体" w:eastAsia="宋体" w:cs="宋体"/>
          <w:b/>
          <w:bCs/>
          <w:i w:val="0"/>
          <w:iCs w:val="0"/>
          <w:caps w:val="0"/>
          <w:color w:val="auto"/>
          <w:spacing w:val="0"/>
          <w:sz w:val="21"/>
          <w:szCs w:val="21"/>
          <w:highlight w:val="none"/>
          <w:shd w:val="clear" w:color="auto" w:fill="FFFFFF"/>
        </w:rPr>
        <w:t>处理。</w:t>
      </w:r>
    </w:p>
    <w:p w14:paraId="6B7D3E47">
      <w:pPr>
        <w:pStyle w:val="29"/>
        <w:rPr>
          <w:rFonts w:hint="eastAsia" w:ascii="宋体" w:hAnsi="宋体" w:eastAsia="宋体" w:cs="宋体"/>
          <w:b/>
          <w:bCs/>
          <w:color w:val="auto"/>
          <w:highlight w:val="none"/>
          <w:lang w:eastAsia="zh-CN"/>
        </w:rPr>
      </w:pPr>
    </w:p>
    <w:p w14:paraId="4A40EA09">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 最后报价政府采购政策性扣除</w:t>
      </w:r>
    </w:p>
    <w:p w14:paraId="44878A0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14:paraId="09A426A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政策性扣除计算方法。</w:t>
      </w:r>
    </w:p>
    <w:p w14:paraId="24788336">
      <w:pPr>
        <w:spacing w:line="360" w:lineRule="auto"/>
        <w:ind w:firstLine="422"/>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6.2.1对小微企业的</w:t>
      </w:r>
      <w:r>
        <w:rPr>
          <w:rFonts w:hint="eastAsia" w:ascii="宋体" w:hAnsi="宋体" w:eastAsia="宋体" w:cs="宋体"/>
          <w:b/>
          <w:bCs/>
          <w:color w:val="auto"/>
          <w:szCs w:val="21"/>
          <w:highlight w:val="none"/>
        </w:rPr>
        <w:t>价格评审</w:t>
      </w:r>
      <w:r>
        <w:rPr>
          <w:rFonts w:hint="eastAsia" w:ascii="宋体" w:hAnsi="宋体" w:eastAsia="宋体" w:cs="宋体"/>
          <w:b/>
          <w:bCs/>
          <w:color w:val="auto"/>
          <w:szCs w:val="21"/>
          <w:highlight w:val="none"/>
          <w:lang w:val="en-US" w:eastAsia="zh-CN"/>
        </w:rPr>
        <w:t>优惠</w:t>
      </w:r>
    </w:p>
    <w:p w14:paraId="0D453183">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eastAsia="zh-CN"/>
        </w:rPr>
        <w:t>☑适用于非专门面向中小企业采购项目</w:t>
      </w:r>
    </w:p>
    <w:p w14:paraId="40A2F19A">
      <w:pPr>
        <w:spacing w:line="360" w:lineRule="auto"/>
        <w:ind w:firstLine="420"/>
        <w:rPr>
          <w:rFonts w:hint="eastAsia" w:ascii="宋体" w:hAnsi="宋体" w:eastAsia="宋体" w:cs="宋体"/>
          <w:color w:val="auto"/>
          <w:highlight w:val="none"/>
        </w:rPr>
      </w:pPr>
      <w:r>
        <w:rPr>
          <w:rFonts w:hint="eastAsia" w:ascii="宋体" w:hAnsi="宋体" w:eastAsia="宋体" w:cs="宋体"/>
          <w:bCs/>
          <w:color w:val="auto"/>
          <w:szCs w:val="21"/>
          <w:highlight w:val="none"/>
          <w:lang w:eastAsia="zh-CN"/>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w:t>
      </w:r>
      <w:r>
        <w:rPr>
          <w:rFonts w:hint="eastAsia" w:ascii="宋体" w:hAnsi="宋体" w:eastAsia="宋体" w:cs="宋体"/>
          <w:bCs/>
          <w:color w:val="auto"/>
          <w:szCs w:val="21"/>
          <w:highlight w:val="none"/>
          <w:lang w:eastAsia="zh-CN"/>
        </w:rPr>
        <w:t>其</w:t>
      </w:r>
      <w:r>
        <w:rPr>
          <w:rFonts w:hint="eastAsia" w:ascii="宋体" w:hAnsi="宋体" w:eastAsia="宋体" w:cs="宋体"/>
          <w:color w:val="auto"/>
          <w:szCs w:val="21"/>
          <w:highlight w:val="none"/>
        </w:rPr>
        <w:t>提供的货物全部由符合政策要求的小</w:t>
      </w:r>
      <w:r>
        <w:rPr>
          <w:rFonts w:hint="eastAsia" w:ascii="宋体" w:hAnsi="宋体" w:eastAsia="宋体" w:cs="宋体"/>
          <w:color w:val="auto"/>
          <w:szCs w:val="21"/>
          <w:highlight w:val="none"/>
          <w:lang w:eastAsia="zh-CN"/>
        </w:rPr>
        <w:t>型、微型</w:t>
      </w:r>
      <w:r>
        <w:rPr>
          <w:rFonts w:hint="eastAsia" w:ascii="宋体" w:hAnsi="宋体" w:eastAsia="宋体" w:cs="宋体"/>
          <w:color w:val="auto"/>
          <w:szCs w:val="21"/>
          <w:highlight w:val="none"/>
        </w:rPr>
        <w:t>企业制造</w:t>
      </w:r>
      <w:r>
        <w:rPr>
          <w:rFonts w:hint="eastAsia" w:ascii="宋体" w:hAnsi="宋体" w:eastAsia="宋体" w:cs="宋体"/>
          <w:color w:val="auto"/>
          <w:szCs w:val="21"/>
          <w:highlight w:val="none"/>
          <w:lang w:eastAsia="zh-CN"/>
        </w:rPr>
        <w:t>，即货物由小型、微型企业生产且使用该</w:t>
      </w:r>
      <w:r>
        <w:rPr>
          <w:rFonts w:hint="eastAsia" w:ascii="宋体" w:hAnsi="宋体" w:eastAsia="宋体" w:cs="宋体"/>
          <w:color w:val="auto"/>
          <w:szCs w:val="21"/>
          <w:highlight w:val="none"/>
        </w:rPr>
        <w:t>小</w:t>
      </w:r>
      <w:r>
        <w:rPr>
          <w:rFonts w:hint="eastAsia" w:ascii="宋体" w:hAnsi="宋体" w:eastAsia="宋体" w:cs="宋体"/>
          <w:color w:val="auto"/>
          <w:szCs w:val="21"/>
          <w:highlight w:val="none"/>
          <w:lang w:eastAsia="zh-CN"/>
        </w:rPr>
        <w:t>型、微型企业商号或者注册商标的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该</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的</w:t>
      </w:r>
      <w:r>
        <w:rPr>
          <w:rFonts w:hint="eastAsia" w:ascii="宋体" w:hAnsi="宋体" w:eastAsia="宋体" w:cs="宋体"/>
          <w:bCs/>
          <w:color w:val="auto"/>
          <w:szCs w:val="21"/>
          <w:highlight w:val="none"/>
          <w:lang w:eastAsia="zh-CN"/>
        </w:rPr>
        <w:t>最后报价</w:t>
      </w:r>
      <w:r>
        <w:rPr>
          <w:rFonts w:hint="eastAsia" w:ascii="宋体" w:hAnsi="宋体" w:eastAsia="宋体" w:cs="宋体"/>
          <w:color w:val="auto"/>
          <w:szCs w:val="21"/>
          <w:highlight w:val="none"/>
        </w:rPr>
        <w:t>给予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bCs w:val="0"/>
          <w:color w:val="auto"/>
          <w:szCs w:val="21"/>
          <w:highlight w:val="none"/>
          <w:u w:val="single"/>
          <w:lang w:val="en-US" w:eastAsia="zh-CN"/>
        </w:rPr>
        <w:t>10</w:t>
      </w:r>
      <w:r>
        <w:rPr>
          <w:rFonts w:hint="eastAsia" w:ascii="宋体" w:hAnsi="宋体" w:eastAsia="宋体" w:cs="宋体"/>
          <w:b w:val="0"/>
          <w:bCs w:val="0"/>
          <w:color w:val="auto"/>
          <w:highlight w:val="none"/>
          <w:u w:val="single"/>
          <w:lang w:val="en-US" w:eastAsia="zh-CN"/>
        </w:rPr>
        <w:t>%</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ascii="宋体" w:hAnsi="宋体" w:eastAsia="宋体" w:cs="宋体"/>
          <w:b w:val="0"/>
          <w:bCs w:val="0"/>
          <w:color w:val="auto"/>
          <w:highlight w:val="none"/>
          <w:u w:val="singl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联合协议或者分包意向协议约定小微企业的合同份额占到合同总金额 30%以上的，对联合体或者大中型企业的</w:t>
      </w:r>
      <w:r>
        <w:rPr>
          <w:rFonts w:hint="eastAsia" w:ascii="宋体" w:hAnsi="宋体" w:eastAsia="宋体" w:cs="宋体"/>
          <w:color w:val="auto"/>
          <w:sz w:val="21"/>
          <w:szCs w:val="21"/>
          <w:highlight w:val="none"/>
          <w:lang w:eastAsia="zh-CN"/>
        </w:rPr>
        <w:t>最后</w:t>
      </w:r>
      <w:r>
        <w:rPr>
          <w:rFonts w:hint="eastAsia" w:ascii="宋体" w:hAnsi="宋体" w:eastAsia="宋体" w:cs="宋体"/>
          <w:color w:val="auto"/>
          <w:sz w:val="21"/>
          <w:szCs w:val="21"/>
          <w:highlight w:val="none"/>
        </w:rPr>
        <w:t>报价给予</w:t>
      </w:r>
      <w:r>
        <w:rPr>
          <w:rFonts w:hint="eastAsia" w:ascii="宋体" w:hAnsi="宋体" w:eastAsia="宋体" w:cs="宋体"/>
          <w:b w:val="0"/>
          <w:bCs w:val="0"/>
          <w:color w:val="auto"/>
          <w:sz w:val="21"/>
          <w:szCs w:val="21"/>
          <w:highlight w:val="none"/>
        </w:rPr>
        <w:t xml:space="preserve"> </w:t>
      </w:r>
      <w:r>
        <w:rPr>
          <w:rFonts w:hint="eastAsia" w:ascii="宋体" w:hAnsi="宋体" w:eastAsia="宋体" w:cs="宋体"/>
          <w:b w:val="0"/>
          <w:bCs w:val="0"/>
          <w:color w:val="auto"/>
          <w:highlight w:val="none"/>
          <w:u w:val="single"/>
          <w:lang w:val="en-US" w:eastAsia="zh-CN"/>
        </w:rPr>
        <w:t>4%</w:t>
      </w:r>
      <w:r>
        <w:rPr>
          <w:rFonts w:hint="eastAsia" w:ascii="宋体" w:hAnsi="宋体" w:eastAsia="宋体" w:cs="宋体"/>
          <w:color w:val="auto"/>
          <w:sz w:val="21"/>
          <w:szCs w:val="21"/>
          <w:highlight w:val="none"/>
        </w:rPr>
        <w:t>的扣除，用扣除后的价格参加评审</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b w:val="0"/>
          <w:bCs w:val="0"/>
          <w:color w:val="auto"/>
          <w:highlight w:val="none"/>
          <w:u w:val="singl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14EC61F3">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□适用于专门面向中小企业采购项目</w:t>
      </w:r>
    </w:p>
    <w:p w14:paraId="23D9F439">
      <w:pPr>
        <w:spacing w:line="360" w:lineRule="auto"/>
        <w:ind w:firstLine="420"/>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lang w:eastAsia="zh-CN"/>
        </w:rPr>
        <w:t>按照《政府采购促进中小企业发展管理办法》（财库〔2020〕46号）的规定，对小微企业的</w:t>
      </w:r>
      <w:r>
        <w:rPr>
          <w:rFonts w:hint="eastAsia" w:ascii="宋体" w:hAnsi="宋体" w:eastAsia="宋体" w:cs="宋体"/>
          <w:i w:val="0"/>
          <w:iCs w:val="0"/>
          <w:color w:val="auto"/>
          <w:szCs w:val="21"/>
          <w:highlight w:val="none"/>
          <w:lang w:val="en-US" w:eastAsia="zh-CN"/>
        </w:rPr>
        <w:t>最后</w:t>
      </w:r>
      <w:r>
        <w:rPr>
          <w:rFonts w:hint="eastAsia" w:ascii="宋体" w:hAnsi="宋体" w:eastAsia="宋体" w:cs="宋体"/>
          <w:i w:val="0"/>
          <w:iCs w:val="0"/>
          <w:color w:val="auto"/>
          <w:szCs w:val="21"/>
          <w:highlight w:val="none"/>
          <w:lang w:eastAsia="zh-CN"/>
        </w:rPr>
        <w:t>报价不再执行价格评审优惠的扶持政策。</w:t>
      </w:r>
    </w:p>
    <w:p w14:paraId="7A3F9270">
      <w:pPr>
        <w:spacing w:line="360" w:lineRule="auto"/>
        <w:ind w:firstLine="422"/>
        <w:rPr>
          <w:rFonts w:hint="eastAsia" w:ascii="宋体" w:hAnsi="宋体" w:eastAsia="宋体" w:cs="宋体"/>
          <w:color w:val="auto"/>
          <w:highlight w:val="none"/>
          <w:lang w:val="en-US" w:eastAsia="zh-CN"/>
        </w:rPr>
      </w:pPr>
      <w:r>
        <w:rPr>
          <w:rFonts w:hint="eastAsia" w:ascii="宋体" w:hAnsi="宋体" w:eastAsia="宋体" w:cs="宋体"/>
          <w:b/>
          <w:bCs/>
          <w:color w:val="auto"/>
          <w:szCs w:val="21"/>
          <w:highlight w:val="none"/>
          <w:lang w:val="en-US" w:eastAsia="zh-CN"/>
        </w:rPr>
        <w:t>6.2.2</w:t>
      </w:r>
      <w:r>
        <w:rPr>
          <w:rFonts w:hint="eastAsia" w:ascii="宋体" w:hAnsi="宋体" w:eastAsia="宋体" w:cs="宋体"/>
          <w:b/>
          <w:bCs/>
          <w:color w:val="auto"/>
          <w:szCs w:val="21"/>
          <w:highlight w:val="none"/>
        </w:rPr>
        <w:t>对本国产品的价格评审</w:t>
      </w:r>
      <w:r>
        <w:rPr>
          <w:rFonts w:hint="eastAsia" w:ascii="宋体" w:hAnsi="宋体" w:eastAsia="宋体" w:cs="宋体"/>
          <w:b/>
          <w:bCs/>
          <w:color w:val="auto"/>
          <w:szCs w:val="21"/>
          <w:highlight w:val="none"/>
          <w:lang w:val="en-US" w:eastAsia="zh-CN"/>
        </w:rPr>
        <w:t>优惠</w:t>
      </w:r>
    </w:p>
    <w:p w14:paraId="46E1CEC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对本国产品的支持政策：</w:t>
      </w:r>
      <w:r>
        <w:rPr>
          <w:rFonts w:hint="eastAsia" w:ascii="宋体" w:hAnsi="宋体" w:eastAsia="宋体" w:cs="宋体"/>
          <w:color w:val="auto"/>
          <w:szCs w:val="21"/>
          <w:highlight w:val="none"/>
        </w:rPr>
        <w:t>政府采购活动中既有本国产品又有非本国产品参与竞争的，依法对本国产品给予价格评审优惠，对本国产品的</w:t>
      </w:r>
      <w:r>
        <w:rPr>
          <w:rFonts w:hint="eastAsia" w:ascii="宋体" w:hAnsi="宋体" w:eastAsia="宋体" w:cs="宋体"/>
          <w:color w:val="auto"/>
          <w:szCs w:val="21"/>
          <w:highlight w:val="none"/>
          <w:lang w:val="en-US" w:eastAsia="zh-CN"/>
        </w:rPr>
        <w:t>最后</w:t>
      </w:r>
      <w:r>
        <w:rPr>
          <w:rFonts w:hint="eastAsia" w:ascii="宋体" w:hAnsi="宋体" w:eastAsia="宋体" w:cs="宋体"/>
          <w:color w:val="auto"/>
          <w:szCs w:val="21"/>
          <w:highlight w:val="none"/>
        </w:rPr>
        <w:t>报价给予20%的价格扣除，用扣除后的价格参与评审。</w:t>
      </w:r>
    </w:p>
    <w:p w14:paraId="578B650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当采购项目或者采购包中含有多种产品，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为该采购项目或者采购包提供的符合本国产品标准的产品成本之和占该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提供的全部产品成本之和的比例达到80%以上时，依法对该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提供的全部产品给予价格评审优惠，即对该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提供的全部产品的</w:t>
      </w:r>
      <w:r>
        <w:rPr>
          <w:rFonts w:hint="eastAsia" w:ascii="宋体" w:hAnsi="宋体" w:eastAsia="宋体" w:cs="宋体"/>
          <w:color w:val="auto"/>
          <w:szCs w:val="21"/>
          <w:highlight w:val="none"/>
          <w:lang w:eastAsia="zh-CN"/>
        </w:rPr>
        <w:t>最后</w:t>
      </w:r>
      <w:r>
        <w:rPr>
          <w:rFonts w:hint="eastAsia" w:ascii="宋体" w:hAnsi="宋体" w:eastAsia="宋体" w:cs="宋体"/>
          <w:color w:val="auto"/>
          <w:szCs w:val="21"/>
          <w:highlight w:val="none"/>
        </w:rPr>
        <w:t>总报价给予20%的价格扣除，用扣除后的价格参与评审。</w:t>
      </w:r>
    </w:p>
    <w:p w14:paraId="49A5004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除上述情况外，评审价＝最后报价。</w:t>
      </w:r>
    </w:p>
    <w:p w14:paraId="5343F334">
      <w:pPr>
        <w:widowControl/>
        <w:spacing w:line="360" w:lineRule="auto"/>
        <w:ind w:firstLine="420"/>
        <w:jc w:val="left"/>
        <w:rPr>
          <w:rFonts w:hint="eastAsia" w:ascii="宋体" w:hAnsi="宋体" w:eastAsia="宋体" w:cs="宋体"/>
          <w:color w:val="auto"/>
          <w:szCs w:val="21"/>
          <w:highlight w:val="none"/>
        </w:rPr>
      </w:pPr>
    </w:p>
    <w:p w14:paraId="16D643BF">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13" w:name="_Toc80205934"/>
      <w:bookmarkStart w:id="114" w:name="_Toc5389"/>
      <w:bookmarkStart w:id="115" w:name="_Toc17730"/>
      <w:r>
        <w:rPr>
          <w:rFonts w:hint="eastAsia" w:ascii="宋体" w:hAnsi="宋体" w:eastAsia="宋体" w:cs="宋体"/>
          <w:bCs/>
          <w:color w:val="auto"/>
          <w:sz w:val="32"/>
          <w:szCs w:val="32"/>
          <w:highlight w:val="none"/>
          <w:lang w:val="zh-CN" w:eastAsia="zh-CN"/>
        </w:rPr>
        <w:t>第二节 评审原则</w:t>
      </w:r>
      <w:bookmarkEnd w:id="113"/>
      <w:bookmarkEnd w:id="114"/>
      <w:bookmarkEnd w:id="115"/>
    </w:p>
    <w:p w14:paraId="6575B75C">
      <w:pPr>
        <w:spacing w:line="360" w:lineRule="auto"/>
        <w:ind w:firstLine="480"/>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1.评审原则</w:t>
      </w:r>
    </w:p>
    <w:p w14:paraId="28EF9AA1">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55D8A764">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sz w:val="21"/>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16" w:name="_Toc432106535"/>
      <w:bookmarkEnd w:id="116"/>
      <w:bookmarkStart w:id="117" w:name="_Toc432194885"/>
      <w:bookmarkEnd w:id="117"/>
      <w:bookmarkStart w:id="118" w:name="_Toc321836413"/>
      <w:bookmarkEnd w:id="118"/>
    </w:p>
    <w:p w14:paraId="6823EDB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E97D6B8">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2.终止竞争性谈判采购活动</w:t>
      </w:r>
    </w:p>
    <w:p w14:paraId="2F657AF7">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14:paraId="5D324802">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14:paraId="27E0C9A1">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14:paraId="3786A2B7">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14:paraId="01FD6F77">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19" w:name="_Toc80205935"/>
      <w:bookmarkStart w:id="120" w:name="_Toc9627"/>
      <w:bookmarkStart w:id="121" w:name="_Toc16039"/>
      <w:r>
        <w:rPr>
          <w:rFonts w:hint="eastAsia" w:ascii="宋体" w:hAnsi="宋体" w:eastAsia="宋体" w:cs="宋体"/>
          <w:bCs/>
          <w:color w:val="auto"/>
          <w:sz w:val="32"/>
          <w:szCs w:val="32"/>
          <w:highlight w:val="none"/>
          <w:lang w:val="zh-CN" w:eastAsia="zh-CN"/>
        </w:rPr>
        <w:t>第三节 评审报告</w:t>
      </w:r>
      <w:bookmarkEnd w:id="119"/>
      <w:bookmarkEnd w:id="120"/>
      <w:bookmarkEnd w:id="121"/>
    </w:p>
    <w:p w14:paraId="4AB932ED">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28F159B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w:t>
      </w:r>
      <w:r>
        <w:rPr>
          <w:rFonts w:hint="eastAsia" w:ascii="宋体" w:hAnsi="宋体" w:eastAsia="宋体" w:cs="宋体"/>
          <w:color w:val="auto"/>
          <w:szCs w:val="24"/>
          <w:highlight w:val="none"/>
          <w:lang w:val="en-US" w:eastAsia="zh-CN"/>
        </w:rPr>
        <w:t>25.1</w:t>
      </w:r>
      <w:r>
        <w:rPr>
          <w:rFonts w:hint="eastAsia" w:ascii="宋体" w:hAnsi="宋体" w:eastAsia="宋体" w:cs="宋体"/>
          <w:color w:val="auto"/>
          <w:szCs w:val="24"/>
          <w:highlight w:val="none"/>
        </w:rPr>
        <w:t>条规定的顺序推荐）,并在线编写电子评审报告。</w:t>
      </w:r>
    </w:p>
    <w:p w14:paraId="017C3F8E">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lang w:eastAsia="zh-CN"/>
        </w:rPr>
        <w:t>评审</w:t>
      </w:r>
      <w:r>
        <w:rPr>
          <w:rFonts w:hint="eastAsia" w:ascii="宋体" w:hAnsi="宋体" w:eastAsia="宋体" w:cs="宋体"/>
          <w:color w:val="auto"/>
          <w:sz w:val="24"/>
          <w:szCs w:val="32"/>
          <w:highlight w:val="none"/>
        </w:rPr>
        <w:t>争议事项处理</w:t>
      </w:r>
    </w:p>
    <w:p w14:paraId="510C8FE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谈判小组成员对需要共同认定的事项存在争议的，应当按照少数服从多数的原则作出结论。持不同意见的谈判小组成员应当在评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w:t>
      </w:r>
    </w:p>
    <w:p w14:paraId="00DC1067">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22" w:name="_Toc27241"/>
      <w:bookmarkStart w:id="123" w:name="_Toc17221"/>
      <w:bookmarkStart w:id="124" w:name="_Toc80205936"/>
      <w:r>
        <w:rPr>
          <w:rFonts w:hint="eastAsia" w:ascii="宋体" w:hAnsi="宋体" w:eastAsia="宋体" w:cs="宋体"/>
          <w:bCs/>
          <w:color w:val="auto"/>
          <w:sz w:val="32"/>
          <w:szCs w:val="32"/>
          <w:highlight w:val="none"/>
          <w:lang w:val="zh-CN" w:eastAsia="zh-CN"/>
        </w:rPr>
        <w:t>第四节 评审过程的保密与录像</w:t>
      </w:r>
      <w:bookmarkEnd w:id="122"/>
      <w:bookmarkEnd w:id="123"/>
      <w:bookmarkEnd w:id="124"/>
    </w:p>
    <w:p w14:paraId="3B2EA386">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5DC48C03">
      <w:pPr>
        <w:widowControl/>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lang w:eastAsia="zh-CN"/>
        </w:rPr>
        <w:t>谈判小组</w:t>
      </w:r>
      <w:r>
        <w:rPr>
          <w:rFonts w:hint="eastAsia" w:ascii="宋体" w:hAnsi="宋体" w:eastAsia="宋体" w:cs="宋体"/>
          <w:color w:val="auto"/>
          <w:szCs w:val="24"/>
          <w:highlight w:val="none"/>
        </w:rPr>
        <w:t>成员、采购人和采购机构工作人员、相关监督人员等与评审有关的人员应当予以保密。</w:t>
      </w:r>
    </w:p>
    <w:p w14:paraId="05FCE0B1">
      <w:pPr>
        <w:widowControl/>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5EAB7881">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hint="eastAsia" w:ascii="宋体" w:hAnsi="宋体" w:eastAsia="宋体" w:cs="宋体"/>
          <w:color w:val="auto"/>
          <w:szCs w:val="24"/>
          <w:highlight w:val="none"/>
        </w:rPr>
        <w:br w:type="page" w:clear="all"/>
      </w:r>
    </w:p>
    <w:p w14:paraId="1A3BC85C">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18B9E7B9">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0523DA5A">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67C36EB0">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19E6D4B1">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2AE95233">
      <w:pPr>
        <w:pStyle w:val="44"/>
        <w:rPr>
          <w:rFonts w:hint="eastAsia" w:ascii="宋体" w:hAnsi="宋体" w:eastAsia="宋体" w:cs="宋体"/>
          <w:color w:val="auto"/>
          <w:highlight w:val="none"/>
          <w:lang w:val="zh-CN" w:eastAsia="zh-CN"/>
        </w:rPr>
      </w:pPr>
    </w:p>
    <w:p w14:paraId="5144A3B7">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pPr>
      <w:bookmarkStart w:id="125" w:name="_Toc80205937"/>
      <w:bookmarkStart w:id="126" w:name="_Toc21666"/>
      <w:bookmarkStart w:id="127" w:name="_Toc71"/>
      <w:bookmarkStart w:id="128" w:name="_Toc25678"/>
      <w:bookmarkStart w:id="129" w:name="_Toc916"/>
      <w:bookmarkStart w:id="130" w:name="_Toc9300"/>
      <w:bookmarkStart w:id="131" w:name="_Toc28917"/>
      <w:bookmarkStart w:id="132" w:name="_Toc4187"/>
      <w:bookmarkStart w:id="133" w:name="_Toc30615"/>
      <w:r>
        <w:rPr>
          <w:rFonts w:hint="eastAsia" w:ascii="宋体" w:hAnsi="宋体" w:eastAsia="宋体" w:cs="宋体"/>
          <w:b/>
          <w:bCs/>
          <w:color w:val="auto"/>
          <w:sz w:val="44"/>
          <w:szCs w:val="44"/>
          <w:highlight w:val="none"/>
          <w:lang w:val="zh-CN" w:eastAsia="zh-CN"/>
        </w:rPr>
        <w:t>第五章 响应文件格式</w:t>
      </w:r>
      <w:bookmarkEnd w:id="125"/>
      <w:r>
        <w:rPr>
          <w:rFonts w:hint="eastAsia" w:ascii="宋体" w:hAnsi="宋体" w:eastAsia="宋体" w:cs="宋体"/>
          <w:b/>
          <w:bCs/>
          <w:color w:val="auto"/>
          <w:sz w:val="44"/>
          <w:szCs w:val="44"/>
          <w:highlight w:val="none"/>
          <w:lang w:val="zh-CN" w:eastAsia="zh-CN"/>
        </w:rPr>
        <w:br w:type="page" w:clear="all"/>
      </w:r>
      <w:bookmarkEnd w:id="126"/>
      <w:bookmarkEnd w:id="127"/>
      <w:bookmarkEnd w:id="128"/>
      <w:bookmarkEnd w:id="129"/>
      <w:bookmarkEnd w:id="130"/>
      <w:bookmarkEnd w:id="131"/>
      <w:bookmarkEnd w:id="132"/>
      <w:bookmarkEnd w:id="133"/>
    </w:p>
    <w:p w14:paraId="30A162FB">
      <w:pPr>
        <w:spacing w:line="240" w:lineRule="atLeast"/>
        <w:rPr>
          <w:rFonts w:hint="eastAsia" w:ascii="宋体" w:hAnsi="宋体" w:eastAsia="宋体" w:cs="宋体"/>
          <w:b/>
          <w:bCs/>
          <w:color w:val="auto"/>
          <w:szCs w:val="24"/>
          <w:highlight w:val="none"/>
        </w:rPr>
      </w:pPr>
    </w:p>
    <w:p w14:paraId="1DE2D7E8">
      <w:pPr>
        <w:spacing w:before="120" w:after="50" w:line="360" w:lineRule="auto"/>
        <w:jc w:val="center"/>
        <w:outlineLvl w:val="1"/>
        <w:rPr>
          <w:rFonts w:hint="eastAsia" w:ascii="宋体" w:hAnsi="宋体" w:eastAsia="宋体" w:cs="宋体"/>
          <w:bCs/>
          <w:color w:val="auto"/>
          <w:sz w:val="32"/>
          <w:szCs w:val="32"/>
          <w:highlight w:val="none"/>
        </w:rPr>
      </w:pPr>
      <w:bookmarkStart w:id="134" w:name="_Toc17254"/>
      <w:bookmarkStart w:id="135" w:name="_Toc10486"/>
      <w:bookmarkStart w:id="136" w:name="_Toc80205939"/>
      <w:r>
        <w:rPr>
          <w:rFonts w:hint="eastAsia" w:ascii="宋体" w:hAnsi="宋体" w:eastAsia="宋体" w:cs="宋体"/>
          <w:bCs/>
          <w:color w:val="auto"/>
          <w:sz w:val="32"/>
          <w:szCs w:val="32"/>
          <w:highlight w:val="none"/>
        </w:rPr>
        <w:t>第</w:t>
      </w:r>
      <w:r>
        <w:rPr>
          <w:rFonts w:hint="eastAsia" w:ascii="宋体" w:hAnsi="宋体" w:eastAsia="宋体" w:cs="宋体"/>
          <w:bCs/>
          <w:color w:val="auto"/>
          <w:sz w:val="32"/>
          <w:szCs w:val="32"/>
          <w:highlight w:val="none"/>
          <w:lang w:eastAsia="zh-CN"/>
        </w:rPr>
        <w:t>一</w:t>
      </w:r>
      <w:r>
        <w:rPr>
          <w:rFonts w:hint="eastAsia" w:ascii="宋体" w:hAnsi="宋体" w:eastAsia="宋体" w:cs="宋体"/>
          <w:bCs/>
          <w:color w:val="auto"/>
          <w:sz w:val="32"/>
          <w:szCs w:val="32"/>
          <w:highlight w:val="none"/>
        </w:rPr>
        <w:t>节 资格文件格式</w:t>
      </w:r>
      <w:bookmarkEnd w:id="134"/>
      <w:bookmarkEnd w:id="135"/>
      <w:bookmarkEnd w:id="136"/>
    </w:p>
    <w:p w14:paraId="1718E040">
      <w:pPr>
        <w:pStyle w:val="29"/>
        <w:rPr>
          <w:rFonts w:hint="eastAsia" w:ascii="宋体" w:hAnsi="宋体" w:eastAsia="宋体" w:cs="宋体"/>
          <w:b/>
          <w:bCs/>
          <w:color w:val="auto"/>
          <w:sz w:val="28"/>
          <w:szCs w:val="28"/>
          <w:highlight w:val="none"/>
        </w:rPr>
      </w:pPr>
    </w:p>
    <w:p w14:paraId="31187011">
      <w:pPr>
        <w:pStyle w:val="2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1.资格文件封面</w:t>
      </w:r>
      <w:r>
        <w:rPr>
          <w:rFonts w:hint="eastAsia" w:ascii="宋体" w:hAnsi="宋体" w:eastAsia="宋体" w:cs="宋体"/>
          <w:b/>
          <w:bCs/>
          <w:color w:val="auto"/>
          <w:sz w:val="28"/>
          <w:szCs w:val="28"/>
          <w:highlight w:val="none"/>
          <w:lang w:eastAsia="zh-CN"/>
        </w:rPr>
        <w:t>的</w:t>
      </w:r>
      <w:r>
        <w:rPr>
          <w:rFonts w:hint="eastAsia" w:ascii="宋体" w:hAnsi="宋体" w:eastAsia="宋体" w:cs="宋体"/>
          <w:b/>
          <w:bCs/>
          <w:color w:val="auto"/>
          <w:sz w:val="28"/>
          <w:szCs w:val="28"/>
          <w:highlight w:val="none"/>
        </w:rPr>
        <w:t>格式（参照此格式自拟）：</w:t>
      </w:r>
    </w:p>
    <w:p w14:paraId="4266AFF5">
      <w:pPr>
        <w:spacing w:before="120" w:after="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AB10AED">
      <w:pPr>
        <w:spacing w:before="120" w:after="50"/>
        <w:ind w:firstLine="576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6C95A7C5">
      <w:pPr>
        <w:spacing w:before="120" w:after="50"/>
        <w:rPr>
          <w:rFonts w:hint="eastAsia" w:ascii="宋体" w:hAnsi="宋体" w:eastAsia="宋体" w:cs="宋体"/>
          <w:color w:val="auto"/>
          <w:sz w:val="24"/>
          <w:szCs w:val="20"/>
          <w:highlight w:val="none"/>
        </w:rPr>
      </w:pPr>
    </w:p>
    <w:p w14:paraId="47B42C0C">
      <w:pPr>
        <w:spacing w:before="120" w:after="50"/>
        <w:rPr>
          <w:rFonts w:hint="eastAsia" w:ascii="宋体" w:hAnsi="宋体" w:eastAsia="宋体" w:cs="宋体"/>
          <w:color w:val="auto"/>
          <w:sz w:val="24"/>
          <w:szCs w:val="20"/>
          <w:highlight w:val="none"/>
        </w:rPr>
      </w:pPr>
    </w:p>
    <w:p w14:paraId="6AF246C1">
      <w:pPr>
        <w:spacing w:before="12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文  件</w:t>
      </w:r>
    </w:p>
    <w:p w14:paraId="7F3CF4A0">
      <w:pPr>
        <w:spacing w:before="120" w:after="50"/>
        <w:rPr>
          <w:rFonts w:hint="eastAsia" w:ascii="宋体" w:hAnsi="宋体" w:eastAsia="宋体" w:cs="宋体"/>
          <w:bCs/>
          <w:color w:val="auto"/>
          <w:sz w:val="24"/>
          <w:szCs w:val="20"/>
          <w:highlight w:val="none"/>
        </w:rPr>
      </w:pPr>
    </w:p>
    <w:p w14:paraId="26D69255">
      <w:pPr>
        <w:spacing w:before="120" w:after="50"/>
        <w:rPr>
          <w:rFonts w:hint="eastAsia" w:ascii="宋体" w:hAnsi="宋体" w:eastAsia="宋体" w:cs="宋体"/>
          <w:bCs/>
          <w:color w:val="auto"/>
          <w:sz w:val="24"/>
          <w:szCs w:val="20"/>
          <w:highlight w:val="none"/>
        </w:rPr>
      </w:pPr>
    </w:p>
    <w:p w14:paraId="5AE83E00">
      <w:pPr>
        <w:spacing w:before="120" w:after="50"/>
        <w:rPr>
          <w:rFonts w:hint="eastAsia" w:ascii="宋体" w:hAnsi="宋体" w:eastAsia="宋体" w:cs="宋体"/>
          <w:bCs/>
          <w:color w:val="auto"/>
          <w:sz w:val="24"/>
          <w:szCs w:val="20"/>
          <w:highlight w:val="none"/>
        </w:rPr>
      </w:pPr>
    </w:p>
    <w:p w14:paraId="5ECF4DA5">
      <w:pPr>
        <w:spacing w:before="120" w:after="50"/>
        <w:rPr>
          <w:rFonts w:hint="eastAsia" w:ascii="宋体" w:hAnsi="宋体" w:eastAsia="宋体" w:cs="宋体"/>
          <w:bCs/>
          <w:color w:val="auto"/>
          <w:sz w:val="24"/>
          <w:szCs w:val="20"/>
          <w:highlight w:val="none"/>
        </w:rPr>
      </w:pPr>
    </w:p>
    <w:p w14:paraId="7A82F483">
      <w:pPr>
        <w:spacing w:before="120" w:after="50"/>
        <w:rPr>
          <w:rFonts w:hint="eastAsia" w:ascii="宋体" w:hAnsi="宋体" w:eastAsia="宋体" w:cs="宋体"/>
          <w:bCs/>
          <w:color w:val="auto"/>
          <w:sz w:val="24"/>
          <w:szCs w:val="20"/>
          <w:highlight w:val="none"/>
        </w:rPr>
      </w:pPr>
    </w:p>
    <w:p w14:paraId="3B8C2AA4">
      <w:pPr>
        <w:spacing w:before="120" w:after="50"/>
        <w:ind w:firstLine="64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46B4B901">
      <w:pPr>
        <w:spacing w:before="120" w:after="50"/>
        <w:ind w:firstLine="720"/>
        <w:rPr>
          <w:rFonts w:hint="eastAsia" w:ascii="宋体" w:hAnsi="宋体" w:eastAsia="宋体" w:cs="宋体"/>
          <w:bCs/>
          <w:color w:val="auto"/>
          <w:sz w:val="32"/>
          <w:szCs w:val="32"/>
          <w:highlight w:val="none"/>
        </w:rPr>
      </w:pPr>
    </w:p>
    <w:p w14:paraId="0B0C9B18">
      <w:pPr>
        <w:spacing w:before="120" w:after="50"/>
        <w:ind w:firstLine="72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290B0B43">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4236388">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A6F8BDF">
      <w:pPr>
        <w:spacing w:before="120" w:after="50"/>
        <w:ind w:firstLine="720"/>
        <w:rPr>
          <w:rFonts w:hint="eastAsia" w:ascii="宋体" w:hAnsi="宋体" w:eastAsia="宋体" w:cs="宋体"/>
          <w:bCs/>
          <w:color w:val="auto"/>
          <w:sz w:val="32"/>
          <w:szCs w:val="32"/>
          <w:highlight w:val="none"/>
        </w:rPr>
      </w:pPr>
    </w:p>
    <w:p w14:paraId="5FD91591">
      <w:pPr>
        <w:spacing w:before="5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5D57CA8F">
      <w:pPr>
        <w:spacing w:before="50" w:after="50"/>
        <w:ind w:firstLine="720"/>
        <w:rPr>
          <w:rFonts w:hint="eastAsia" w:ascii="宋体" w:hAnsi="宋体" w:eastAsia="宋体" w:cs="宋体"/>
          <w:bCs/>
          <w:color w:val="auto"/>
          <w:sz w:val="32"/>
          <w:szCs w:val="32"/>
          <w:highlight w:val="none"/>
        </w:rPr>
      </w:pPr>
    </w:p>
    <w:p w14:paraId="173ADF99">
      <w:pPr>
        <w:spacing w:before="50" w:after="50"/>
        <w:ind w:firstLine="720"/>
        <w:rPr>
          <w:rFonts w:hint="eastAsia" w:ascii="宋体" w:hAnsi="宋体" w:eastAsia="宋体" w:cs="宋体"/>
          <w:bCs/>
          <w:color w:val="auto"/>
          <w:sz w:val="32"/>
          <w:szCs w:val="32"/>
          <w:highlight w:val="none"/>
        </w:rPr>
      </w:pPr>
    </w:p>
    <w:p w14:paraId="6F5F1401">
      <w:pPr>
        <w:spacing w:before="50" w:after="50"/>
        <w:ind w:firstLine="720"/>
        <w:rPr>
          <w:rFonts w:hint="eastAsia" w:ascii="宋体" w:hAnsi="宋体" w:eastAsia="宋体" w:cs="宋体"/>
          <w:bCs/>
          <w:color w:val="auto"/>
          <w:sz w:val="32"/>
          <w:szCs w:val="32"/>
          <w:highlight w:val="none"/>
        </w:rPr>
      </w:pPr>
    </w:p>
    <w:p w14:paraId="02E19078">
      <w:pPr>
        <w:spacing w:before="50" w:after="50"/>
        <w:ind w:firstLine="1280"/>
        <w:rPr>
          <w:rFonts w:hint="eastAsia" w:ascii="宋体" w:hAnsi="宋体" w:eastAsia="宋体" w:cs="宋体"/>
          <w:bCs/>
          <w:color w:val="auto"/>
          <w:sz w:val="32"/>
          <w:szCs w:val="32"/>
          <w:highlight w:val="none"/>
        </w:rPr>
      </w:pPr>
    </w:p>
    <w:p w14:paraId="370757E8">
      <w:pPr>
        <w:spacing w:before="12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B0F264E">
      <w:pPr>
        <w:spacing w:before="156" w:after="50" w:line="360" w:lineRule="auto"/>
        <w:ind w:left="142"/>
        <w:jc w:val="left"/>
        <w:rPr>
          <w:rFonts w:hint="eastAsia" w:ascii="宋体" w:hAnsi="宋体" w:eastAsia="宋体" w:cs="宋体"/>
          <w:b/>
          <w:bCs/>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rPr>
        <w:t>2.资格文件目录</w:t>
      </w:r>
    </w:p>
    <w:p w14:paraId="3D4F4A34">
      <w:pPr>
        <w:spacing w:line="360" w:lineRule="auto"/>
        <w:ind w:firstLine="56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宋体" w:hAnsi="宋体" w:eastAsia="宋体" w:cs="宋体"/>
          <w:color w:val="auto"/>
          <w:sz w:val="24"/>
          <w:szCs w:val="24"/>
          <w:highlight w:val="none"/>
        </w:rPr>
        <w:br w:type="page" w:clear="all"/>
      </w:r>
    </w:p>
    <w:p w14:paraId="1F63935A">
      <w:pPr>
        <w:spacing w:before="50" w:after="120" w:line="360" w:lineRule="auto"/>
        <w:jc w:val="both"/>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3.</w:t>
      </w: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直接控股股东信息表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709E4388">
      <w:pPr>
        <w:spacing w:before="50" w:after="12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直接控股股东信息表</w:t>
      </w:r>
    </w:p>
    <w:tbl>
      <w:tblPr>
        <w:tblStyle w:val="45"/>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1E26B1D1">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11FAE6">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7330C5">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6A3C81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3B91D8">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343028">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14:paraId="7F923E8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6B3C4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409970">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DC99E9">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753521">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960DE4">
            <w:pPr>
              <w:spacing w:line="360" w:lineRule="auto"/>
              <w:jc w:val="center"/>
              <w:rPr>
                <w:rFonts w:hint="eastAsia" w:ascii="宋体" w:hAnsi="宋体" w:eastAsia="宋体" w:cs="宋体"/>
                <w:color w:val="auto"/>
                <w:sz w:val="24"/>
                <w:highlight w:val="none"/>
              </w:rPr>
            </w:pPr>
          </w:p>
        </w:tc>
      </w:tr>
      <w:tr w14:paraId="5840F3E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835DA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FB4662">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C0AB7C">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11487C">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C59E3A">
            <w:pPr>
              <w:spacing w:line="360" w:lineRule="auto"/>
              <w:jc w:val="center"/>
              <w:rPr>
                <w:rFonts w:hint="eastAsia" w:ascii="宋体" w:hAnsi="宋体" w:eastAsia="宋体" w:cs="宋体"/>
                <w:color w:val="auto"/>
                <w:sz w:val="24"/>
                <w:highlight w:val="none"/>
              </w:rPr>
            </w:pPr>
          </w:p>
        </w:tc>
      </w:tr>
      <w:tr w14:paraId="4671C8D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5FAEA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218AA4">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ECE3AF">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78A195">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A2753E">
            <w:pPr>
              <w:spacing w:line="360" w:lineRule="auto"/>
              <w:jc w:val="center"/>
              <w:rPr>
                <w:rFonts w:hint="eastAsia" w:ascii="宋体" w:hAnsi="宋体" w:eastAsia="宋体" w:cs="宋体"/>
                <w:color w:val="auto"/>
                <w:sz w:val="24"/>
                <w:highlight w:val="none"/>
              </w:rPr>
            </w:pPr>
          </w:p>
        </w:tc>
      </w:tr>
      <w:tr w14:paraId="203E00F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DF0D9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693E5F">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2DD41D">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BE2377">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E7ED9A">
            <w:pPr>
              <w:spacing w:line="360" w:lineRule="auto"/>
              <w:jc w:val="center"/>
              <w:rPr>
                <w:rFonts w:hint="eastAsia" w:ascii="宋体" w:hAnsi="宋体" w:eastAsia="宋体" w:cs="宋体"/>
                <w:color w:val="auto"/>
                <w:sz w:val="24"/>
                <w:highlight w:val="none"/>
              </w:rPr>
            </w:pPr>
          </w:p>
        </w:tc>
      </w:tr>
    </w:tbl>
    <w:p w14:paraId="5890BA26">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76734A69">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E5A6991">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5B623C39">
      <w:pPr>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3.供应商不存在直接控股股东的，则填“无”。</w:t>
      </w:r>
    </w:p>
    <w:p w14:paraId="48DF56D1">
      <w:pPr>
        <w:spacing w:line="360" w:lineRule="auto"/>
        <w:jc w:val="left"/>
        <w:rPr>
          <w:rFonts w:hint="eastAsia" w:ascii="宋体" w:hAnsi="宋体" w:eastAsia="宋体" w:cs="宋体"/>
          <w:color w:val="auto"/>
          <w:sz w:val="24"/>
          <w:highlight w:val="none"/>
        </w:rPr>
      </w:pPr>
    </w:p>
    <w:p w14:paraId="2C5A87FC">
      <w:pPr>
        <w:spacing w:line="360" w:lineRule="auto"/>
        <w:jc w:val="left"/>
        <w:rPr>
          <w:rFonts w:hint="eastAsia" w:ascii="宋体" w:hAnsi="宋体" w:eastAsia="宋体" w:cs="宋体"/>
          <w:color w:val="auto"/>
          <w:sz w:val="24"/>
          <w:highlight w:val="none"/>
        </w:rPr>
      </w:pPr>
    </w:p>
    <w:p w14:paraId="58D8B977">
      <w:pPr>
        <w:spacing w:line="360" w:lineRule="auto"/>
        <w:ind w:firstLine="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供应商名称(盖公章)：</w:t>
      </w:r>
    </w:p>
    <w:p w14:paraId="3222A987">
      <w:pPr>
        <w:spacing w:line="360" w:lineRule="auto"/>
        <w:ind w:firstLine="0"/>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522C50A8">
      <w:pPr>
        <w:jc w:val="both"/>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clear="all"/>
      </w:r>
      <w:r>
        <w:rPr>
          <w:rFonts w:hint="eastAsia" w:ascii="宋体" w:hAnsi="宋体" w:eastAsia="宋体" w:cs="宋体"/>
          <w:b/>
          <w:color w:val="auto"/>
          <w:sz w:val="32"/>
          <w:szCs w:val="32"/>
          <w:highlight w:val="none"/>
          <w:lang w:val="en-US" w:eastAsia="zh-CN"/>
        </w:rPr>
        <w:t>4.</w:t>
      </w: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3EBAF1B2">
      <w:pPr>
        <w:spacing w:line="360" w:lineRule="auto"/>
        <w:jc w:val="center"/>
        <w:rPr>
          <w:rFonts w:hint="eastAsia" w:ascii="宋体" w:hAnsi="宋体" w:eastAsia="宋体" w:cs="宋体"/>
          <w:b/>
          <w:color w:val="auto"/>
          <w:sz w:val="32"/>
          <w:szCs w:val="32"/>
          <w:highlight w:val="none"/>
        </w:rPr>
      </w:pPr>
    </w:p>
    <w:p w14:paraId="78A1ACD0">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p>
    <w:tbl>
      <w:tblPr>
        <w:tblStyle w:val="4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EF51E22">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C7E4B43">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BCC3810">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F78A35">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834B4E">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14:paraId="49FDA14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E2992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175EA3">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6B1439">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69AB6D">
            <w:pPr>
              <w:spacing w:line="360" w:lineRule="auto"/>
              <w:jc w:val="center"/>
              <w:rPr>
                <w:rFonts w:hint="eastAsia" w:ascii="宋体" w:hAnsi="宋体" w:eastAsia="宋体" w:cs="宋体"/>
                <w:color w:val="auto"/>
                <w:sz w:val="24"/>
                <w:highlight w:val="none"/>
              </w:rPr>
            </w:pPr>
          </w:p>
        </w:tc>
      </w:tr>
      <w:tr w14:paraId="593FA84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92537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2FB43F">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BFCED4">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7866BE">
            <w:pPr>
              <w:spacing w:line="360" w:lineRule="auto"/>
              <w:jc w:val="center"/>
              <w:rPr>
                <w:rFonts w:hint="eastAsia" w:ascii="宋体" w:hAnsi="宋体" w:eastAsia="宋体" w:cs="宋体"/>
                <w:color w:val="auto"/>
                <w:sz w:val="24"/>
                <w:highlight w:val="none"/>
              </w:rPr>
            </w:pPr>
          </w:p>
        </w:tc>
      </w:tr>
      <w:tr w14:paraId="4EFF875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C4DE8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D7DDEE">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B3D45D">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E8A5BC">
            <w:pPr>
              <w:spacing w:line="360" w:lineRule="auto"/>
              <w:jc w:val="center"/>
              <w:rPr>
                <w:rFonts w:hint="eastAsia" w:ascii="宋体" w:hAnsi="宋体" w:eastAsia="宋体" w:cs="宋体"/>
                <w:color w:val="auto"/>
                <w:sz w:val="24"/>
                <w:highlight w:val="none"/>
              </w:rPr>
            </w:pPr>
          </w:p>
        </w:tc>
      </w:tr>
      <w:tr w14:paraId="7CB6852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D2651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AE7622">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2DB375">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8270B6">
            <w:pPr>
              <w:spacing w:line="360" w:lineRule="auto"/>
              <w:jc w:val="center"/>
              <w:rPr>
                <w:rFonts w:hint="eastAsia" w:ascii="宋体" w:hAnsi="宋体" w:eastAsia="宋体" w:cs="宋体"/>
                <w:color w:val="auto"/>
                <w:sz w:val="24"/>
                <w:highlight w:val="none"/>
              </w:rPr>
            </w:pPr>
          </w:p>
        </w:tc>
      </w:tr>
    </w:tbl>
    <w:p w14:paraId="632A4440">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85F76E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62CE7923">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3A6D9543">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2B73B360">
      <w:pPr>
        <w:spacing w:line="360" w:lineRule="auto"/>
        <w:jc w:val="left"/>
        <w:rPr>
          <w:rFonts w:hint="eastAsia" w:ascii="宋体" w:hAnsi="宋体" w:eastAsia="宋体" w:cs="宋体"/>
          <w:color w:val="auto"/>
          <w:sz w:val="24"/>
          <w:highlight w:val="none"/>
        </w:rPr>
      </w:pPr>
    </w:p>
    <w:p w14:paraId="3C0FF13B">
      <w:pPr>
        <w:spacing w:line="360" w:lineRule="auto"/>
        <w:jc w:val="left"/>
        <w:rPr>
          <w:rFonts w:hint="eastAsia" w:ascii="宋体" w:hAnsi="宋体" w:eastAsia="宋体" w:cs="宋体"/>
          <w:color w:val="auto"/>
          <w:sz w:val="24"/>
          <w:highlight w:val="none"/>
        </w:rPr>
      </w:pPr>
    </w:p>
    <w:p w14:paraId="2827BD44">
      <w:pPr>
        <w:spacing w:line="360" w:lineRule="auto"/>
        <w:jc w:val="left"/>
        <w:rPr>
          <w:rFonts w:hint="eastAsia" w:ascii="宋体" w:hAnsi="宋体" w:eastAsia="宋体" w:cs="宋体"/>
          <w:color w:val="auto"/>
          <w:sz w:val="24"/>
          <w:highlight w:val="none"/>
        </w:rPr>
      </w:pPr>
    </w:p>
    <w:p w14:paraId="7C3FF8CB">
      <w:pPr>
        <w:spacing w:line="360" w:lineRule="auto"/>
        <w:ind w:firstLine="0"/>
        <w:jc w:val="center"/>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zh-CN"/>
        </w:rPr>
        <w:t>供应商名称(盖公章)：</w:t>
      </w:r>
    </w:p>
    <w:p w14:paraId="022697CF">
      <w:pPr>
        <w:spacing w:line="360" w:lineRule="auto"/>
        <w:ind w:firstLine="0"/>
        <w:jc w:val="center"/>
        <w:rPr>
          <w:rFonts w:hint="eastAsia" w:ascii="宋体" w:hAnsi="宋体" w:eastAsia="宋体" w:cs="宋体"/>
          <w:b w:val="0"/>
          <w:bCs w:val="0"/>
          <w:color w:val="auto"/>
          <w:sz w:val="24"/>
          <w:highlight w:val="none"/>
          <w:lang w:val="zh-CN"/>
        </w:rPr>
      </w:pPr>
      <w:r>
        <w:rPr>
          <w:rFonts w:hint="eastAsia" w:ascii="宋体" w:hAnsi="宋体" w:eastAsia="宋体" w:cs="宋体"/>
          <w:b w:val="0"/>
          <w:bCs w:val="0"/>
          <w:color w:val="auto"/>
          <w:sz w:val="24"/>
          <w:highlight w:val="none"/>
          <w:lang w:val="zh-CN"/>
        </w:rPr>
        <w:t>日期</w:t>
      </w:r>
      <w:r>
        <w:rPr>
          <w:rFonts w:hint="eastAsia" w:ascii="宋体" w:hAnsi="宋体" w:eastAsia="宋体" w:cs="宋体"/>
          <w:b w:val="0"/>
          <w:bCs w:val="0"/>
          <w:color w:val="auto"/>
          <w:sz w:val="24"/>
          <w:highlight w:val="none"/>
        </w:rPr>
        <w:t xml:space="preserve">：  年  </w:t>
      </w:r>
      <w:r>
        <w:rPr>
          <w:rFonts w:hint="eastAsia" w:ascii="宋体" w:hAnsi="宋体" w:eastAsia="宋体" w:cs="宋体"/>
          <w:b w:val="0"/>
          <w:bCs w:val="0"/>
          <w:color w:val="auto"/>
          <w:sz w:val="24"/>
          <w:highlight w:val="none"/>
          <w:lang w:val="zh-CN"/>
        </w:rPr>
        <w:t>月</w:t>
      </w:r>
      <w:r>
        <w:rPr>
          <w:rFonts w:hint="eastAsia" w:ascii="宋体" w:hAnsi="宋体" w:eastAsia="宋体" w:cs="宋体"/>
          <w:b w:val="0"/>
          <w:bCs w:val="0"/>
          <w:color w:val="auto"/>
          <w:sz w:val="24"/>
          <w:highlight w:val="none"/>
        </w:rPr>
        <w:t xml:space="preserve">   </w:t>
      </w:r>
      <w:r>
        <w:rPr>
          <w:rFonts w:hint="eastAsia" w:ascii="宋体" w:hAnsi="宋体" w:eastAsia="宋体" w:cs="宋体"/>
          <w:b w:val="0"/>
          <w:bCs w:val="0"/>
          <w:color w:val="auto"/>
          <w:sz w:val="24"/>
          <w:highlight w:val="none"/>
          <w:lang w:val="zh-CN"/>
        </w:rPr>
        <w:t>日</w:t>
      </w:r>
    </w:p>
    <w:p w14:paraId="4BD3F945">
      <w:pPr>
        <w:spacing w:line="320" w:lineRule="exact"/>
        <w:ind w:firstLine="0"/>
        <w:jc w:val="left"/>
        <w:rPr>
          <w:rFonts w:hint="eastAsia" w:ascii="宋体" w:hAnsi="宋体" w:eastAsia="宋体" w:cs="宋体"/>
          <w:b/>
          <w:bCs/>
          <w:color w:val="auto"/>
          <w:sz w:val="28"/>
          <w:szCs w:val="28"/>
          <w:highlight w:val="none"/>
          <w:lang w:val="en-US" w:eastAsia="zh-CN"/>
        </w:rPr>
      </w:pPr>
    </w:p>
    <w:p w14:paraId="25575625">
      <w:pPr>
        <w:spacing w:line="320" w:lineRule="exact"/>
        <w:ind w:firstLine="0"/>
        <w:jc w:val="left"/>
        <w:rPr>
          <w:rFonts w:hint="eastAsia" w:ascii="宋体" w:hAnsi="宋体" w:eastAsia="宋体" w:cs="宋体"/>
          <w:b/>
          <w:bCs/>
          <w:color w:val="auto"/>
          <w:sz w:val="28"/>
          <w:szCs w:val="28"/>
          <w:highlight w:val="none"/>
          <w:lang w:val="en-US" w:eastAsia="zh-CN"/>
        </w:rPr>
      </w:pPr>
    </w:p>
    <w:p w14:paraId="3CE9F47C">
      <w:pPr>
        <w:spacing w:line="320" w:lineRule="exact"/>
        <w:ind w:firstLine="0"/>
        <w:jc w:val="left"/>
        <w:rPr>
          <w:rFonts w:hint="eastAsia" w:ascii="宋体" w:hAnsi="宋体" w:eastAsia="宋体" w:cs="宋体"/>
          <w:b/>
          <w:bCs/>
          <w:color w:val="auto"/>
          <w:sz w:val="28"/>
          <w:szCs w:val="28"/>
          <w:highlight w:val="none"/>
          <w:lang w:val="en-US" w:eastAsia="zh-CN"/>
        </w:rPr>
      </w:pPr>
    </w:p>
    <w:p w14:paraId="7D222059">
      <w:pPr>
        <w:spacing w:line="320" w:lineRule="exact"/>
        <w:ind w:firstLine="0"/>
        <w:jc w:val="left"/>
        <w:rPr>
          <w:rFonts w:hint="eastAsia" w:ascii="宋体" w:hAnsi="宋体" w:eastAsia="宋体" w:cs="宋体"/>
          <w:b/>
          <w:bCs/>
          <w:color w:val="auto"/>
          <w:sz w:val="28"/>
          <w:szCs w:val="28"/>
          <w:highlight w:val="none"/>
          <w:lang w:val="en-US" w:eastAsia="zh-CN"/>
        </w:rPr>
      </w:pPr>
    </w:p>
    <w:p w14:paraId="4A404CD3">
      <w:pPr>
        <w:spacing w:line="320" w:lineRule="exact"/>
        <w:ind w:firstLine="0"/>
        <w:jc w:val="left"/>
        <w:rPr>
          <w:rFonts w:hint="eastAsia" w:ascii="宋体" w:hAnsi="宋体" w:eastAsia="宋体" w:cs="宋体"/>
          <w:b/>
          <w:bCs/>
          <w:color w:val="auto"/>
          <w:sz w:val="28"/>
          <w:szCs w:val="28"/>
          <w:highlight w:val="none"/>
          <w:lang w:val="en-US" w:eastAsia="zh-CN"/>
        </w:rPr>
      </w:pPr>
    </w:p>
    <w:p w14:paraId="056455ED">
      <w:pPr>
        <w:spacing w:line="320" w:lineRule="exact"/>
        <w:ind w:firstLine="0"/>
        <w:jc w:val="left"/>
        <w:rPr>
          <w:rFonts w:hint="eastAsia" w:ascii="宋体" w:hAnsi="宋体" w:eastAsia="宋体" w:cs="宋体"/>
          <w:b/>
          <w:bCs/>
          <w:color w:val="auto"/>
          <w:sz w:val="28"/>
          <w:szCs w:val="28"/>
          <w:highlight w:val="none"/>
          <w:lang w:val="en-US" w:eastAsia="zh-CN"/>
        </w:rPr>
      </w:pPr>
    </w:p>
    <w:p w14:paraId="47EB96AE">
      <w:pPr>
        <w:spacing w:line="320" w:lineRule="exact"/>
        <w:ind w:firstLine="0"/>
        <w:jc w:val="left"/>
        <w:rPr>
          <w:rFonts w:hint="eastAsia" w:ascii="宋体" w:hAnsi="宋体" w:eastAsia="宋体" w:cs="宋体"/>
          <w:b/>
          <w:bCs/>
          <w:color w:val="auto"/>
          <w:sz w:val="28"/>
          <w:szCs w:val="28"/>
          <w:highlight w:val="none"/>
          <w:lang w:val="en-US" w:eastAsia="zh-CN"/>
        </w:rPr>
      </w:pPr>
    </w:p>
    <w:p w14:paraId="4C439E8F">
      <w:pPr>
        <w:spacing w:line="320" w:lineRule="exact"/>
        <w:ind w:firstLine="0"/>
        <w:jc w:val="left"/>
        <w:rPr>
          <w:rFonts w:hint="eastAsia" w:ascii="宋体" w:hAnsi="宋体" w:eastAsia="宋体" w:cs="宋体"/>
          <w:b/>
          <w:bCs/>
          <w:color w:val="auto"/>
          <w:sz w:val="28"/>
          <w:szCs w:val="28"/>
          <w:highlight w:val="none"/>
          <w:lang w:val="en-US" w:eastAsia="zh-CN"/>
        </w:rPr>
      </w:pPr>
    </w:p>
    <w:p w14:paraId="6CB6D7A5">
      <w:pPr>
        <w:spacing w:line="320" w:lineRule="exact"/>
        <w:ind w:firstLine="0"/>
        <w:jc w:val="left"/>
        <w:rPr>
          <w:rFonts w:hint="eastAsia" w:ascii="宋体" w:hAnsi="宋体" w:eastAsia="宋体" w:cs="宋体"/>
          <w:b/>
          <w:bCs/>
          <w:color w:val="auto"/>
          <w:sz w:val="28"/>
          <w:szCs w:val="28"/>
          <w:highlight w:val="none"/>
          <w:lang w:val="en-US" w:eastAsia="zh-CN"/>
        </w:rPr>
      </w:pPr>
    </w:p>
    <w:p w14:paraId="1CEB2699">
      <w:pPr>
        <w:spacing w:line="320" w:lineRule="exact"/>
        <w:ind w:firstLine="0"/>
        <w:jc w:val="left"/>
        <w:rPr>
          <w:rFonts w:hint="eastAsia" w:ascii="宋体" w:hAnsi="宋体" w:eastAsia="宋体" w:cs="宋体"/>
          <w:b/>
          <w:bCs/>
          <w:color w:val="auto"/>
          <w:sz w:val="28"/>
          <w:szCs w:val="28"/>
          <w:highlight w:val="none"/>
          <w:lang w:val="en-US" w:eastAsia="zh-CN"/>
        </w:rPr>
      </w:pPr>
    </w:p>
    <w:p w14:paraId="35E32C17">
      <w:pPr>
        <w:spacing w:line="320" w:lineRule="exact"/>
        <w:ind w:firstLine="0"/>
        <w:jc w:val="left"/>
        <w:rPr>
          <w:rFonts w:hint="eastAsia" w:ascii="宋体" w:hAnsi="宋体" w:eastAsia="宋体" w:cs="宋体"/>
          <w:b/>
          <w:bCs/>
          <w:color w:val="auto"/>
          <w:sz w:val="28"/>
          <w:szCs w:val="28"/>
          <w:highlight w:val="none"/>
          <w:lang w:val="en-US" w:eastAsia="zh-CN"/>
        </w:rPr>
      </w:pPr>
    </w:p>
    <w:p w14:paraId="58C51D16">
      <w:pPr>
        <w:spacing w:line="320" w:lineRule="exact"/>
        <w:ind w:firstLine="0"/>
        <w:jc w:val="left"/>
        <w:rPr>
          <w:rFonts w:hint="eastAsia" w:ascii="宋体" w:hAnsi="宋体" w:eastAsia="宋体" w:cs="宋体"/>
          <w:b/>
          <w:bCs/>
          <w:color w:val="auto"/>
          <w:sz w:val="28"/>
          <w:szCs w:val="28"/>
          <w:highlight w:val="none"/>
          <w:lang w:val="en-US" w:eastAsia="zh-CN"/>
        </w:rPr>
      </w:pPr>
    </w:p>
    <w:p w14:paraId="5F5D8DA7">
      <w:pPr>
        <w:spacing w:line="320" w:lineRule="exact"/>
        <w:ind w:firstLine="0"/>
        <w:jc w:val="left"/>
        <w:rPr>
          <w:rFonts w:hint="eastAsia" w:ascii="宋体" w:hAnsi="宋体" w:eastAsia="宋体" w:cs="宋体"/>
          <w:b/>
          <w:bCs/>
          <w:color w:val="auto"/>
          <w:sz w:val="28"/>
          <w:szCs w:val="28"/>
          <w:highlight w:val="none"/>
          <w:lang w:val="en-US" w:eastAsia="zh-CN"/>
        </w:rPr>
      </w:pPr>
    </w:p>
    <w:p w14:paraId="6736ED91">
      <w:pPr>
        <w:spacing w:line="320" w:lineRule="exact"/>
        <w:ind w:firstLine="0"/>
        <w:jc w:val="left"/>
        <w:rPr>
          <w:rFonts w:hint="eastAsia" w:ascii="宋体" w:hAnsi="宋体" w:eastAsia="宋体" w:cs="宋体"/>
          <w:b/>
          <w:bCs/>
          <w:color w:val="auto"/>
          <w:sz w:val="28"/>
          <w:szCs w:val="28"/>
          <w:highlight w:val="none"/>
          <w:lang w:val="en-US" w:eastAsia="zh-CN"/>
        </w:rPr>
      </w:pPr>
    </w:p>
    <w:p w14:paraId="27ED1B44">
      <w:pPr>
        <w:spacing w:line="320" w:lineRule="exact"/>
        <w:ind w:firstLine="0"/>
        <w:jc w:val="left"/>
        <w:rPr>
          <w:rFonts w:hint="eastAsia" w:ascii="宋体" w:hAnsi="宋体" w:eastAsia="宋体" w:cs="宋体"/>
          <w:b/>
          <w:bCs/>
          <w:color w:val="auto"/>
          <w:sz w:val="28"/>
          <w:szCs w:val="28"/>
          <w:highlight w:val="none"/>
          <w:lang w:val="en-US" w:eastAsia="zh-CN"/>
        </w:rPr>
      </w:pPr>
    </w:p>
    <w:p w14:paraId="1620140A">
      <w:pPr>
        <w:spacing w:line="320" w:lineRule="exact"/>
        <w:ind w:firstLine="0"/>
        <w:jc w:val="lef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5</w:t>
      </w:r>
      <w:r>
        <w:rPr>
          <w:rFonts w:hint="eastAsia" w:ascii="宋体" w:hAnsi="宋体" w:eastAsia="宋体" w:cs="宋体"/>
          <w:b/>
          <w:color w:val="auto"/>
          <w:sz w:val="28"/>
          <w:szCs w:val="28"/>
          <w:highlight w:val="none"/>
          <w:lang w:val="en-US" w:eastAsia="zh-CN"/>
        </w:rPr>
        <w:t>.</w:t>
      </w:r>
      <w:r>
        <w:rPr>
          <w:rFonts w:hint="eastAsia" w:ascii="宋体" w:hAnsi="宋体" w:eastAsia="宋体" w:cs="宋体"/>
          <w:b/>
          <w:color w:val="auto"/>
          <w:sz w:val="28"/>
          <w:szCs w:val="28"/>
          <w:highlight w:val="none"/>
        </w:rPr>
        <w:t>声明函</w:t>
      </w:r>
      <w:r>
        <w:rPr>
          <w:rFonts w:hint="eastAsia" w:ascii="宋体" w:hAnsi="宋体" w:eastAsia="宋体" w:cs="宋体"/>
          <w:b/>
          <w:color w:val="auto"/>
          <w:sz w:val="28"/>
          <w:szCs w:val="28"/>
          <w:highlight w:val="none"/>
          <w:lang w:eastAsia="zh-CN"/>
        </w:rPr>
        <w:t>的格式：</w:t>
      </w:r>
    </w:p>
    <w:p w14:paraId="202EF12A">
      <w:pPr>
        <w:spacing w:line="320" w:lineRule="exact"/>
        <w:jc w:val="center"/>
        <w:rPr>
          <w:rFonts w:hint="eastAsia" w:ascii="宋体" w:hAnsi="宋体" w:eastAsia="宋体" w:cs="宋体"/>
          <w:b/>
          <w:color w:val="auto"/>
          <w:sz w:val="32"/>
          <w:szCs w:val="32"/>
          <w:highlight w:val="none"/>
        </w:rPr>
      </w:pPr>
    </w:p>
    <w:p w14:paraId="1720C960">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声明函</w:t>
      </w:r>
    </w:p>
    <w:p w14:paraId="6D2617DC">
      <w:pPr>
        <w:spacing w:line="320" w:lineRule="exact"/>
        <w:jc w:val="center"/>
        <w:rPr>
          <w:rFonts w:hint="eastAsia" w:ascii="宋体" w:hAnsi="宋体" w:eastAsia="宋体" w:cs="宋体"/>
          <w:color w:val="auto"/>
          <w:sz w:val="24"/>
          <w:szCs w:val="20"/>
          <w:highlight w:val="none"/>
        </w:rPr>
      </w:pPr>
    </w:p>
    <w:p w14:paraId="35BED2F5">
      <w:pPr>
        <w:spacing w:line="360" w:lineRule="exact"/>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eastAsia="zh-CN"/>
        </w:rPr>
        <w:t>广西桂盛项目管理有限公司</w:t>
      </w:r>
      <w:r>
        <w:rPr>
          <w:rFonts w:hint="eastAsia" w:ascii="宋体" w:hAnsi="宋体" w:eastAsia="宋体" w:cs="宋体"/>
          <w:color w:val="auto"/>
          <w:sz w:val="24"/>
          <w:szCs w:val="24"/>
          <w:highlight w:val="none"/>
        </w:rPr>
        <w:t>：</w:t>
      </w:r>
    </w:p>
    <w:p w14:paraId="194AE657">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B9A823E">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37" w:name="PO_3000001871_PM002_4"/>
      <w:r>
        <w:rPr>
          <w:rFonts w:hint="eastAsia" w:ascii="宋体" w:hAnsi="宋体" w:eastAsia="宋体" w:cs="宋体"/>
          <w:i/>
          <w:iCs/>
          <w:color w:val="auto"/>
          <w:sz w:val="24"/>
          <w:szCs w:val="24"/>
          <w:highlight w:val="none"/>
          <w:lang w:eastAsia="zh-CN"/>
        </w:rPr>
        <w:t>（</w:t>
      </w:r>
      <w:bookmarkEnd w:id="137"/>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lang w:eastAsia="zh-CN"/>
        </w:rPr>
        <w:t>）</w:t>
      </w:r>
      <w:r>
        <w:rPr>
          <w:rFonts w:hint="eastAsia" w:ascii="宋体" w:hAnsi="宋体" w:eastAsia="宋体" w:cs="宋体"/>
          <w:color w:val="auto"/>
          <w:sz w:val="24"/>
          <w:szCs w:val="24"/>
          <w:highlight w:val="none"/>
        </w:rPr>
        <w:t>项目的竞标，为便于贵方公正、择优地确定成交供应商及其竞标产品和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，我方就本次竞标有关事项郑重声明如下：</w:t>
      </w:r>
    </w:p>
    <w:p w14:paraId="5E773D1E">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14:paraId="5F2C98AA">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的供应商；在获知本项目采购信息后，与采购人聘请的为此项目提供咨询</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的公司及其附属机构没有任何联系。</w:t>
      </w:r>
    </w:p>
    <w:p w14:paraId="6F40DFA5">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14:paraId="7E4183D7">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14:paraId="119CB926">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613D9F09">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14:paraId="42641BA6">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7DED83FD">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17DF7D14">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□我方本次响应文件内容中未涉及商业秘密；</w:t>
      </w:r>
    </w:p>
    <w:p w14:paraId="3DA5B60A">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□我方本次响应文件涉及商业秘密的内容有：</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4AA55F7">
      <w:pPr>
        <w:tabs>
          <w:tab w:val="left" w:pos="939"/>
        </w:tabs>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.以上事项如有虚假或者隐瞒，我方愿意承担一切后果，并不再寻求任何旨在减轻或者免除法律责任的辩解。</w:t>
      </w:r>
    </w:p>
    <w:p w14:paraId="1055028C">
      <w:pPr>
        <w:tabs>
          <w:tab w:val="left" w:pos="939"/>
        </w:tabs>
        <w:spacing w:line="360" w:lineRule="exact"/>
        <w:ind w:left="141" w:firstLine="36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12303C47">
      <w:pPr>
        <w:tabs>
          <w:tab w:val="left" w:pos="939"/>
        </w:tabs>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w:t>
      </w:r>
      <w:r>
        <w:rPr>
          <w:rFonts w:hint="eastAsia" w:ascii="宋体" w:hAnsi="宋体" w:eastAsia="宋体" w:cs="宋体"/>
          <w:color w:val="auto"/>
          <w:sz w:val="24"/>
          <w:szCs w:val="24"/>
          <w:highlight w:val="none"/>
          <w:lang w:eastAsia="zh-CN"/>
        </w:rPr>
        <w:t>作无效</w:t>
      </w:r>
      <w:r>
        <w:rPr>
          <w:rFonts w:hint="eastAsia" w:ascii="宋体" w:hAnsi="宋体" w:eastAsia="宋体" w:cs="宋体"/>
          <w:color w:val="auto"/>
          <w:sz w:val="24"/>
          <w:szCs w:val="24"/>
          <w:highlight w:val="none"/>
        </w:rPr>
        <w:t>响应处理。</w:t>
      </w:r>
    </w:p>
    <w:p w14:paraId="2F5BBD33">
      <w:pPr>
        <w:tabs>
          <w:tab w:val="left" w:pos="939"/>
        </w:tabs>
        <w:spacing w:line="360" w:lineRule="exact"/>
        <w:ind w:firstLine="480"/>
        <w:contextualSpacing/>
        <w:rPr>
          <w:rFonts w:hint="eastAsia" w:ascii="宋体" w:hAnsi="宋体" w:eastAsia="宋体" w:cs="宋体"/>
          <w:color w:val="auto"/>
          <w:sz w:val="24"/>
          <w:szCs w:val="24"/>
          <w:highlight w:val="none"/>
        </w:rPr>
      </w:pPr>
    </w:p>
    <w:p w14:paraId="5E20F04B">
      <w:pPr>
        <w:spacing w:line="360" w:lineRule="exact"/>
        <w:ind w:left="4365" w:hanging="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3AE6414A">
      <w:pPr>
        <w:spacing w:line="360" w:lineRule="exact"/>
        <w:ind w:firstLine="6120"/>
        <w:rPr>
          <w:rFonts w:hint="eastAsia" w:ascii="宋体" w:hAnsi="宋体" w:eastAsia="宋体" w:cs="宋体"/>
          <w:color w:val="auto"/>
          <w:sz w:val="24"/>
          <w:szCs w:val="24"/>
          <w:highlight w:val="none"/>
          <w:lang w:val="zh-CN"/>
        </w:rPr>
        <w:sectPr>
          <w:footerReference r:id="rId9" w:type="default"/>
          <w:pgSz w:w="11910" w:h="16840"/>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14:paraId="04435C3E">
      <w:pPr>
        <w:spacing w:line="520" w:lineRule="exact"/>
        <w:rPr>
          <w:rFonts w:hint="eastAsia" w:ascii="宋体" w:hAnsi="宋体" w:eastAsia="宋体" w:cs="宋体"/>
          <w:b/>
          <w:bCs/>
          <w:color w:val="auto"/>
          <w:sz w:val="32"/>
          <w:szCs w:val="32"/>
          <w:highlight w:val="none"/>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lang w:eastAsia="zh-CN"/>
        </w:rPr>
        <w:t>联合体竞标协议书的格式：</w:t>
      </w:r>
    </w:p>
    <w:p w14:paraId="2B799E6E">
      <w:pPr>
        <w:spacing w:line="600" w:lineRule="exact"/>
        <w:jc w:val="center"/>
        <w:rPr>
          <w:rFonts w:hint="eastAsia" w:ascii="宋体" w:hAnsi="宋体" w:eastAsia="宋体" w:cs="宋体"/>
          <w:color w:val="auto"/>
          <w:sz w:val="44"/>
          <w:szCs w:val="44"/>
          <w:highlight w:val="none"/>
          <w:lang w:val="zh-CN" w:eastAsia="zh-CN"/>
        </w:rPr>
      </w:pPr>
    </w:p>
    <w:p w14:paraId="2C57D217">
      <w:pPr>
        <w:spacing w:line="600" w:lineRule="exact"/>
        <w:jc w:val="center"/>
        <w:rPr>
          <w:rFonts w:hint="eastAsia" w:ascii="宋体" w:hAnsi="宋体" w:eastAsia="宋体" w:cs="宋体"/>
          <w:color w:val="auto"/>
          <w:sz w:val="44"/>
          <w:szCs w:val="44"/>
          <w:highlight w:val="none"/>
          <w:lang w:val="zh-CN" w:eastAsia="zh-CN"/>
        </w:rPr>
      </w:pPr>
      <w:r>
        <w:rPr>
          <w:rFonts w:hint="eastAsia" w:ascii="宋体" w:hAnsi="宋体" w:eastAsia="宋体" w:cs="宋体"/>
          <w:b/>
          <w:bCs/>
          <w:color w:val="auto"/>
          <w:sz w:val="32"/>
          <w:szCs w:val="32"/>
          <w:highlight w:val="none"/>
          <w:lang w:val="zh-CN" w:eastAsia="zh-CN"/>
        </w:rPr>
        <w:t>联合体竞标协议书</w:t>
      </w:r>
    </w:p>
    <w:p w14:paraId="56CAB8AE">
      <w:pPr>
        <w:spacing w:line="360" w:lineRule="auto"/>
        <w:jc w:val="left"/>
        <w:rPr>
          <w:rFonts w:hint="eastAsia" w:ascii="宋体" w:hAnsi="宋体" w:eastAsia="宋体" w:cs="宋体"/>
          <w:color w:val="auto"/>
          <w:szCs w:val="21"/>
          <w:highlight w:val="none"/>
          <w:u w:val="single"/>
        </w:rPr>
      </w:pPr>
    </w:p>
    <w:p w14:paraId="66F36FBE">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（所有成员单位名称）自愿组成联合体，共同参加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广西桂盛项目管理有限公司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（项目编号：</w:t>
      </w:r>
      <w:bookmarkStart w:id="138" w:name="PO_3000001871_PM001_4"/>
      <w:r>
        <w:rPr>
          <w:rFonts w:hint="eastAsia" w:ascii="宋体" w:hAnsi="宋体" w:eastAsia="宋体" w:cs="宋体"/>
          <w:i/>
          <w:iCs/>
          <w:color w:val="auto"/>
          <w:sz w:val="24"/>
          <w:szCs w:val="24"/>
          <w:highlight w:val="none"/>
          <w:lang w:eastAsia="zh-CN"/>
        </w:rPr>
        <w:t>（</w:t>
      </w:r>
      <w:bookmarkEnd w:id="138"/>
      <w:r>
        <w:rPr>
          <w:rFonts w:hint="eastAsia" w:ascii="宋体" w:hAnsi="宋体" w:eastAsia="宋体" w:cs="宋体"/>
          <w:i/>
          <w:iCs/>
          <w:color w:val="auto"/>
          <w:sz w:val="24"/>
          <w:szCs w:val="24"/>
          <w:highlight w:val="none"/>
          <w:u w:val="single"/>
          <w:lang w:eastAsia="zh-CN"/>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）竞争性谈判采购。现就联合体竞标事宜订立如下协议：</w:t>
      </w:r>
    </w:p>
    <w:p w14:paraId="57543E98">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（某成员单位名称）为联合体名称牵头人。</w:t>
      </w:r>
    </w:p>
    <w:p w14:paraId="3D5943B7">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0CF8FBCB">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3AF56326">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AE91AF6">
      <w:pPr>
        <w:spacing w:line="360" w:lineRule="exact"/>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5、本联合体中</w:t>
      </w:r>
      <w:r>
        <w:rPr>
          <w:rFonts w:hint="eastAsia" w:ascii="宋体" w:hAnsi="宋体" w:eastAsia="宋体" w:cs="宋体"/>
          <w:color w:val="auto"/>
          <w:sz w:val="24"/>
          <w:szCs w:val="24"/>
          <w:highlight w:val="none"/>
          <w:u w:val="none"/>
          <w:lang w:val="zh-CN"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zh-CN" w:eastAsia="zh-CN"/>
        </w:rPr>
        <w:t>（某成员单位名称）为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eastAsia="zh-CN"/>
        </w:rPr>
        <w:t>（请填写：中型、小型、微型）企业，其协议合同金额占联合体协议合同总金额的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eastAsia="zh-CN"/>
        </w:rPr>
        <w:t>%。【如联合体成员中有小型、微型企业的，请填写此条，否则无需填写；如联合体成员中有多个小型、微型企业的，请逐一列出。】</w:t>
      </w:r>
    </w:p>
    <w:p w14:paraId="6F363751">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6、本协议书自签署之日起生效，合同履行完毕后自动失效。</w:t>
      </w:r>
    </w:p>
    <w:p w14:paraId="4FE27E49">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份，联合体成员和采购代理机构各执一份。</w:t>
      </w:r>
    </w:p>
    <w:p w14:paraId="0AD48C06">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注：本协议书由法定代表人签字的，应附法定代表人身份证明；本协议书由委托代理人签字的，应附法定代表人授权委托书。</w:t>
      </w:r>
    </w:p>
    <w:p w14:paraId="2221BB03">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2E7584B2">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498412C6">
      <w:pPr>
        <w:spacing w:line="360" w:lineRule="exact"/>
        <w:jc w:val="left"/>
        <w:rPr>
          <w:rFonts w:hint="eastAsia" w:ascii="宋体" w:hAnsi="宋体" w:eastAsia="宋体" w:cs="宋体"/>
          <w:color w:val="auto"/>
          <w:sz w:val="24"/>
          <w:szCs w:val="24"/>
          <w:highlight w:val="none"/>
        </w:rPr>
      </w:pPr>
    </w:p>
    <w:p w14:paraId="6A659729">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成员一名称：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2F436445">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0E3334CB">
      <w:pPr>
        <w:spacing w:line="360" w:lineRule="exact"/>
        <w:jc w:val="left"/>
        <w:rPr>
          <w:rFonts w:hint="eastAsia" w:ascii="宋体" w:hAnsi="宋体" w:eastAsia="宋体" w:cs="宋体"/>
          <w:color w:val="auto"/>
          <w:szCs w:val="21"/>
          <w:highlight w:val="none"/>
        </w:rPr>
      </w:pPr>
    </w:p>
    <w:p w14:paraId="5D1B91ED">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5A74048C">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（签字）</w:t>
      </w:r>
    </w:p>
    <w:p w14:paraId="3E90F23C">
      <w:pPr>
        <w:pStyle w:val="7"/>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56AAD94B">
      <w:pPr>
        <w:spacing w:line="360" w:lineRule="exact"/>
        <w:jc w:val="left"/>
        <w:rPr>
          <w:rFonts w:hint="eastAsia" w:ascii="宋体" w:hAnsi="宋体" w:eastAsia="宋体" w:cs="宋体"/>
          <w:color w:val="auto"/>
          <w:sz w:val="24"/>
          <w:szCs w:val="24"/>
          <w:highlight w:val="none"/>
        </w:rPr>
      </w:pPr>
    </w:p>
    <w:p w14:paraId="4F002E2E">
      <w:pPr>
        <w:spacing w:line="360" w:lineRule="exact"/>
        <w:jc w:val="left"/>
        <w:rPr>
          <w:rFonts w:hint="eastAsia" w:ascii="宋体" w:hAnsi="宋体" w:eastAsia="宋体" w:cs="宋体"/>
          <w:color w:val="auto"/>
          <w:sz w:val="24"/>
          <w:szCs w:val="24"/>
          <w:highlight w:val="none"/>
        </w:rPr>
      </w:pPr>
    </w:p>
    <w:p w14:paraId="0A76E7DB">
      <w:pPr>
        <w:spacing w:line="360" w:lineRule="exact"/>
        <w:ind w:left="4365" w:hanging="480"/>
        <w:rPr>
          <w:rFonts w:hint="eastAsia" w:ascii="宋体" w:hAnsi="宋体" w:eastAsia="宋体" w:cs="宋体"/>
          <w:color w:val="auto"/>
          <w:sz w:val="24"/>
          <w:szCs w:val="24"/>
          <w:highlight w:val="none"/>
        </w:rPr>
      </w:pPr>
    </w:p>
    <w:p w14:paraId="40BB5252">
      <w:pPr>
        <w:spacing w:line="360" w:lineRule="exact"/>
        <w:ind w:firstLine="61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5EA1D0AD">
      <w:pPr>
        <w:spacing w:line="360" w:lineRule="exact"/>
        <w:ind w:firstLine="6120"/>
        <w:rPr>
          <w:rFonts w:hint="eastAsia" w:ascii="宋体" w:hAnsi="宋体" w:eastAsia="宋体" w:cs="宋体"/>
          <w:color w:val="auto"/>
          <w:sz w:val="24"/>
          <w:szCs w:val="24"/>
          <w:highlight w:val="none"/>
          <w:lang w:val="zh-CN"/>
        </w:rPr>
      </w:pPr>
    </w:p>
    <w:p w14:paraId="7BCE56CB">
      <w:pPr>
        <w:spacing w:line="360" w:lineRule="auto"/>
        <w:ind w:firstLine="6120"/>
        <w:rPr>
          <w:rFonts w:hint="eastAsia" w:ascii="宋体" w:hAnsi="宋体" w:eastAsia="宋体" w:cs="宋体"/>
          <w:color w:val="auto"/>
          <w:sz w:val="24"/>
          <w:szCs w:val="24"/>
          <w:highlight w:val="none"/>
          <w:lang w:val="zh-CN"/>
        </w:rPr>
      </w:pPr>
    </w:p>
    <w:p w14:paraId="4F2F435B">
      <w:pPr>
        <w:keepNext/>
        <w:keepLines/>
        <w:spacing w:before="260" w:after="260" w:line="416" w:lineRule="auto"/>
        <w:jc w:val="center"/>
        <w:outlineLvl w:val="1"/>
        <w:rPr>
          <w:rFonts w:hint="eastAsia" w:ascii="宋体" w:hAnsi="宋体" w:eastAsia="宋体" w:cs="宋体"/>
          <w:bCs/>
          <w:color w:val="auto"/>
          <w:sz w:val="32"/>
          <w:szCs w:val="32"/>
          <w:highlight w:val="none"/>
          <w:lang w:val="zh-CN" w:eastAsia="zh-CN"/>
        </w:rPr>
      </w:pPr>
      <w:bookmarkStart w:id="139" w:name="_Toc80205940"/>
      <w:bookmarkStart w:id="140" w:name="_Toc26899"/>
      <w:bookmarkStart w:id="141" w:name="_Toc798"/>
      <w:r>
        <w:rPr>
          <w:rFonts w:hint="eastAsia" w:ascii="宋体" w:hAnsi="宋体" w:eastAsia="宋体" w:cs="宋体"/>
          <w:color w:val="auto"/>
          <w:sz w:val="32"/>
          <w:szCs w:val="32"/>
          <w:highlight w:val="none"/>
          <w:lang w:val="zh-CN" w:eastAsia="zh-CN"/>
        </w:rPr>
        <w:t xml:space="preserve">第二节 </w:t>
      </w:r>
      <w:r>
        <w:rPr>
          <w:rFonts w:hint="eastAsia" w:ascii="宋体" w:hAnsi="宋体" w:eastAsia="宋体" w:cs="宋体"/>
          <w:bCs/>
          <w:color w:val="auto"/>
          <w:sz w:val="32"/>
          <w:szCs w:val="32"/>
          <w:highlight w:val="none"/>
          <w:lang w:val="zh-CN" w:eastAsia="zh-CN"/>
        </w:rPr>
        <w:t>商务技术文件格式</w:t>
      </w:r>
      <w:bookmarkEnd w:id="139"/>
      <w:bookmarkEnd w:id="140"/>
      <w:bookmarkEnd w:id="141"/>
    </w:p>
    <w:p w14:paraId="39BD6F87">
      <w:pPr>
        <w:spacing w:before="120" w:after="50"/>
        <w:rPr>
          <w:rFonts w:hint="eastAsia" w:ascii="宋体" w:hAnsi="宋体" w:eastAsia="宋体" w:cs="宋体"/>
          <w:color w:val="auto"/>
          <w:sz w:val="24"/>
          <w:szCs w:val="24"/>
          <w:highlight w:val="none"/>
        </w:rPr>
      </w:pP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w:t>
      </w:r>
      <w:r>
        <w:rPr>
          <w:rFonts w:hint="eastAsia" w:ascii="宋体" w:hAnsi="宋体" w:eastAsia="宋体" w:cs="宋体"/>
          <w:b/>
          <w:color w:val="auto"/>
          <w:sz w:val="28"/>
          <w:szCs w:val="28"/>
          <w:highlight w:val="none"/>
          <w:lang w:eastAsia="zh-CN"/>
        </w:rPr>
        <w:t>技术</w:t>
      </w:r>
      <w:r>
        <w:rPr>
          <w:rFonts w:hint="eastAsia" w:ascii="宋体" w:hAnsi="宋体" w:eastAsia="宋体" w:cs="宋体"/>
          <w:b/>
          <w:color w:val="auto"/>
          <w:sz w:val="28"/>
          <w:szCs w:val="28"/>
          <w:highlight w:val="none"/>
        </w:rPr>
        <w:t>文件封面</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宋体"/>
          <w:color w:val="auto"/>
          <w:sz w:val="24"/>
          <w:szCs w:val="24"/>
          <w:highlight w:val="none"/>
        </w:rPr>
        <w:t xml:space="preserve">                                                   </w:t>
      </w:r>
    </w:p>
    <w:p w14:paraId="1E7C7897">
      <w:pPr>
        <w:spacing w:before="120" w:after="50"/>
        <w:ind w:firstLine="648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6197C14D">
      <w:pPr>
        <w:spacing w:before="120" w:after="50"/>
        <w:rPr>
          <w:rFonts w:hint="eastAsia" w:ascii="宋体" w:hAnsi="宋体" w:eastAsia="宋体" w:cs="宋体"/>
          <w:color w:val="auto"/>
          <w:sz w:val="24"/>
          <w:szCs w:val="20"/>
          <w:highlight w:val="none"/>
        </w:rPr>
      </w:pPr>
    </w:p>
    <w:p w14:paraId="309EC721">
      <w:pPr>
        <w:spacing w:before="120" w:after="50"/>
        <w:rPr>
          <w:rFonts w:hint="eastAsia" w:ascii="宋体" w:hAnsi="宋体" w:eastAsia="宋体" w:cs="宋体"/>
          <w:color w:val="auto"/>
          <w:sz w:val="24"/>
          <w:szCs w:val="20"/>
          <w:highlight w:val="none"/>
        </w:rPr>
      </w:pPr>
    </w:p>
    <w:p w14:paraId="54B46E29">
      <w:pPr>
        <w:spacing w:before="120" w:after="50"/>
        <w:rPr>
          <w:rFonts w:hint="eastAsia" w:ascii="宋体" w:hAnsi="宋体" w:eastAsia="宋体" w:cs="宋体"/>
          <w:color w:val="auto"/>
          <w:sz w:val="24"/>
          <w:szCs w:val="20"/>
          <w:highlight w:val="none"/>
        </w:rPr>
      </w:pPr>
    </w:p>
    <w:p w14:paraId="064C9547">
      <w:pPr>
        <w:spacing w:before="12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w:t>
      </w:r>
    </w:p>
    <w:p w14:paraId="5FD54271">
      <w:pPr>
        <w:spacing w:before="120" w:after="50"/>
        <w:rPr>
          <w:rFonts w:hint="eastAsia" w:ascii="宋体" w:hAnsi="宋体" w:eastAsia="宋体" w:cs="宋体"/>
          <w:bCs/>
          <w:color w:val="auto"/>
          <w:sz w:val="24"/>
          <w:szCs w:val="20"/>
          <w:highlight w:val="none"/>
        </w:rPr>
      </w:pPr>
    </w:p>
    <w:p w14:paraId="6A7A828A">
      <w:pPr>
        <w:spacing w:before="120" w:after="50"/>
        <w:rPr>
          <w:rFonts w:hint="eastAsia" w:ascii="宋体" w:hAnsi="宋体" w:eastAsia="宋体" w:cs="宋体"/>
          <w:bCs/>
          <w:color w:val="auto"/>
          <w:sz w:val="24"/>
          <w:szCs w:val="20"/>
          <w:highlight w:val="none"/>
        </w:rPr>
      </w:pPr>
    </w:p>
    <w:p w14:paraId="6FAE3181">
      <w:pPr>
        <w:spacing w:before="120" w:after="50"/>
        <w:rPr>
          <w:rFonts w:hint="eastAsia" w:ascii="宋体" w:hAnsi="宋体" w:eastAsia="宋体" w:cs="宋体"/>
          <w:bCs/>
          <w:color w:val="auto"/>
          <w:sz w:val="24"/>
          <w:szCs w:val="20"/>
          <w:highlight w:val="none"/>
        </w:rPr>
      </w:pPr>
    </w:p>
    <w:p w14:paraId="1BADA859">
      <w:pPr>
        <w:spacing w:before="120" w:after="50"/>
        <w:rPr>
          <w:rFonts w:hint="eastAsia" w:ascii="宋体" w:hAnsi="宋体" w:eastAsia="宋体" w:cs="宋体"/>
          <w:bCs/>
          <w:color w:val="auto"/>
          <w:sz w:val="24"/>
          <w:szCs w:val="20"/>
          <w:highlight w:val="none"/>
        </w:rPr>
      </w:pPr>
    </w:p>
    <w:p w14:paraId="5FD4C0BD">
      <w:pPr>
        <w:spacing w:before="120" w:after="50"/>
        <w:rPr>
          <w:rFonts w:hint="eastAsia" w:ascii="宋体" w:hAnsi="宋体" w:eastAsia="宋体" w:cs="宋体"/>
          <w:bCs/>
          <w:color w:val="auto"/>
          <w:sz w:val="24"/>
          <w:szCs w:val="20"/>
          <w:highlight w:val="none"/>
        </w:rPr>
      </w:pPr>
    </w:p>
    <w:p w14:paraId="3AF1B065">
      <w:pPr>
        <w:spacing w:before="120" w:after="50"/>
        <w:ind w:firstLine="64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58BAB342">
      <w:pPr>
        <w:spacing w:before="120" w:after="50"/>
        <w:ind w:firstLine="720"/>
        <w:rPr>
          <w:rFonts w:hint="eastAsia" w:ascii="宋体" w:hAnsi="宋体" w:eastAsia="宋体" w:cs="宋体"/>
          <w:bCs/>
          <w:color w:val="auto"/>
          <w:sz w:val="32"/>
          <w:szCs w:val="32"/>
          <w:highlight w:val="none"/>
        </w:rPr>
      </w:pPr>
    </w:p>
    <w:p w14:paraId="6260D438">
      <w:pPr>
        <w:spacing w:before="120" w:after="50"/>
        <w:ind w:firstLine="640"/>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4105153B">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A1DDC06">
      <w:pPr>
        <w:spacing w:before="12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3A89AF0">
      <w:pPr>
        <w:spacing w:before="120" w:after="50"/>
        <w:ind w:firstLine="720"/>
        <w:rPr>
          <w:rFonts w:hint="eastAsia" w:ascii="宋体" w:hAnsi="宋体" w:eastAsia="宋体" w:cs="宋体"/>
          <w:bCs/>
          <w:color w:val="auto"/>
          <w:sz w:val="32"/>
          <w:szCs w:val="32"/>
          <w:highlight w:val="none"/>
        </w:rPr>
      </w:pPr>
    </w:p>
    <w:p w14:paraId="128330F1">
      <w:pPr>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D84E5AE">
      <w:pPr>
        <w:spacing w:before="50" w:after="50"/>
        <w:ind w:firstLine="720"/>
        <w:rPr>
          <w:rFonts w:hint="eastAsia" w:ascii="宋体" w:hAnsi="宋体" w:eastAsia="宋体" w:cs="宋体"/>
          <w:bCs/>
          <w:color w:val="auto"/>
          <w:sz w:val="32"/>
          <w:szCs w:val="32"/>
          <w:highlight w:val="none"/>
        </w:rPr>
      </w:pPr>
    </w:p>
    <w:p w14:paraId="4311ED56">
      <w:pPr>
        <w:spacing w:before="50" w:after="50"/>
        <w:ind w:firstLine="720"/>
        <w:rPr>
          <w:rFonts w:hint="eastAsia" w:ascii="宋体" w:hAnsi="宋体" w:eastAsia="宋体" w:cs="宋体"/>
          <w:bCs/>
          <w:color w:val="auto"/>
          <w:sz w:val="32"/>
          <w:szCs w:val="32"/>
          <w:highlight w:val="none"/>
        </w:rPr>
      </w:pPr>
    </w:p>
    <w:p w14:paraId="52505888">
      <w:pPr>
        <w:spacing w:before="50" w:after="50"/>
        <w:ind w:firstLine="1280"/>
        <w:rPr>
          <w:rFonts w:hint="eastAsia" w:ascii="宋体" w:hAnsi="宋体" w:eastAsia="宋体" w:cs="宋体"/>
          <w:bCs/>
          <w:color w:val="auto"/>
          <w:sz w:val="32"/>
          <w:szCs w:val="32"/>
          <w:highlight w:val="none"/>
        </w:rPr>
      </w:pPr>
    </w:p>
    <w:p w14:paraId="16C85F28">
      <w:pPr>
        <w:spacing w:before="12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A30789A">
      <w:pPr>
        <w:spacing w:line="360" w:lineRule="auto"/>
        <w:ind w:right="420"/>
        <w:rPr>
          <w:rFonts w:hint="eastAsia" w:ascii="宋体" w:hAnsi="宋体" w:eastAsia="宋体" w:cs="宋体"/>
          <w:color w:val="auto"/>
          <w:sz w:val="24"/>
          <w:szCs w:val="20"/>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w:t>
      </w:r>
      <w:r>
        <w:rPr>
          <w:rFonts w:hint="eastAsia" w:ascii="宋体" w:hAnsi="宋体" w:eastAsia="宋体" w:cs="宋体"/>
          <w:b/>
          <w:bCs/>
          <w:color w:val="auto"/>
          <w:sz w:val="28"/>
          <w:szCs w:val="28"/>
          <w:highlight w:val="none"/>
          <w:lang w:eastAsia="zh-CN"/>
        </w:rPr>
        <w:t>技术</w:t>
      </w:r>
      <w:r>
        <w:rPr>
          <w:rFonts w:hint="eastAsia" w:ascii="宋体" w:hAnsi="宋体" w:eastAsia="宋体" w:cs="宋体"/>
          <w:b/>
          <w:bCs/>
          <w:color w:val="auto"/>
          <w:sz w:val="28"/>
          <w:szCs w:val="28"/>
          <w:highlight w:val="none"/>
        </w:rPr>
        <w:t>文件目录</w:t>
      </w:r>
    </w:p>
    <w:p w14:paraId="431D4E9C">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根据竞争性谈判文件规定及</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提供的材料自行编写目录（部分格式后附）。</w:t>
      </w:r>
    </w:p>
    <w:p w14:paraId="225FC3D7">
      <w:pPr>
        <w:spacing w:before="120" w:after="50" w:line="360" w:lineRule="auto"/>
        <w:ind w:left="142" w:firstLine="640"/>
        <w:jc w:val="left"/>
        <w:rPr>
          <w:rFonts w:hint="eastAsia" w:ascii="宋体" w:hAnsi="宋体" w:eastAsia="宋体" w:cs="宋体"/>
          <w:color w:val="auto"/>
          <w:sz w:val="32"/>
          <w:szCs w:val="32"/>
          <w:highlight w:val="none"/>
        </w:rPr>
      </w:pPr>
    </w:p>
    <w:p w14:paraId="5FD0D795">
      <w:pPr>
        <w:spacing w:line="520" w:lineRule="exact"/>
        <w:ind w:firstLine="22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44"/>
          <w:szCs w:val="44"/>
          <w:highlight w:val="none"/>
        </w:rPr>
        <w:br w:type="page" w:clear="all"/>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eastAsia="zh-CN"/>
        </w:rPr>
        <w:t>无串通竞标行为的承诺函的格式：</w:t>
      </w:r>
    </w:p>
    <w:p w14:paraId="1470CCA4">
      <w:pPr>
        <w:spacing w:line="520" w:lineRule="exact"/>
        <w:jc w:val="center"/>
        <w:rPr>
          <w:rFonts w:hint="eastAsia" w:ascii="宋体" w:hAnsi="宋体" w:eastAsia="宋体" w:cs="宋体"/>
          <w:color w:val="auto"/>
          <w:sz w:val="44"/>
          <w:szCs w:val="44"/>
          <w:highlight w:val="none"/>
        </w:rPr>
      </w:pPr>
    </w:p>
    <w:p w14:paraId="27183D24">
      <w:pPr>
        <w:spacing w:line="520" w:lineRule="exact"/>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14:paraId="1F69627E">
      <w:pPr>
        <w:spacing w:line="400" w:lineRule="exact"/>
        <w:contextualSpacing/>
        <w:rPr>
          <w:rFonts w:hint="eastAsia" w:ascii="宋体" w:hAnsi="宋体" w:eastAsia="宋体" w:cs="宋体"/>
          <w:color w:val="auto"/>
          <w:sz w:val="32"/>
          <w:szCs w:val="32"/>
          <w:highlight w:val="none"/>
        </w:rPr>
      </w:pPr>
    </w:p>
    <w:p w14:paraId="4318E346">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一、我方承诺无下列相互串通竞标的情形：</w:t>
      </w:r>
    </w:p>
    <w:p w14:paraId="70777E87">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1.不同供应商的响应文件由同一单位或者个人编制；或不同供应商报名的IP地址一致的；</w:t>
      </w:r>
    </w:p>
    <w:p w14:paraId="7B98E600">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2.不同供应商委托同一单位或者个人办理竞标事宜；</w:t>
      </w:r>
    </w:p>
    <w:p w14:paraId="31708679">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3.不同的供应商的响应文件载明的项目管理员为同一个人；</w:t>
      </w:r>
    </w:p>
    <w:p w14:paraId="2C6BAAA3">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w:t>
      </w:r>
      <w:r>
        <w:rPr>
          <w:rFonts w:hint="eastAsia" w:ascii="宋体" w:hAnsi="宋体" w:eastAsia="宋体" w:cs="宋体"/>
          <w:color w:val="auto"/>
          <w:spacing w:val="-6"/>
          <w:sz w:val="24"/>
          <w:szCs w:val="24"/>
          <w:highlight w:val="none"/>
        </w:rPr>
        <w:t>同供应商的响应文件异常一致或者</w:t>
      </w:r>
      <w:r>
        <w:rPr>
          <w:rFonts w:hint="eastAsia" w:ascii="宋体" w:hAnsi="宋体" w:eastAsia="宋体" w:cs="宋体"/>
          <w:color w:val="auto"/>
          <w:spacing w:val="-6"/>
          <w:sz w:val="24"/>
          <w:szCs w:val="24"/>
          <w:highlight w:val="none"/>
          <w:lang w:eastAsia="zh-CN"/>
        </w:rPr>
        <w:t>响应报价</w:t>
      </w:r>
      <w:r>
        <w:rPr>
          <w:rFonts w:hint="eastAsia" w:ascii="宋体" w:hAnsi="宋体" w:eastAsia="宋体" w:cs="宋体"/>
          <w:color w:val="auto"/>
          <w:spacing w:val="-6"/>
          <w:sz w:val="24"/>
          <w:szCs w:val="24"/>
          <w:highlight w:val="none"/>
        </w:rPr>
        <w:t>呈规律性差异；</w:t>
      </w:r>
    </w:p>
    <w:p w14:paraId="7FE4E639">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5.不同供应商的响应文件相互混装；</w:t>
      </w:r>
    </w:p>
    <w:p w14:paraId="0BCA2F57">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6.不同供应商的</w:t>
      </w:r>
      <w:r>
        <w:rPr>
          <w:rFonts w:hint="eastAsia" w:ascii="宋体" w:hAnsi="宋体" w:eastAsia="宋体" w:cs="宋体"/>
          <w:color w:val="auto"/>
          <w:sz w:val="24"/>
          <w:szCs w:val="24"/>
          <w:highlight w:val="none"/>
          <w:lang w:eastAsia="zh-CN"/>
        </w:rPr>
        <w:t>谈判保证金</w:t>
      </w:r>
      <w:r>
        <w:rPr>
          <w:rFonts w:hint="eastAsia" w:ascii="宋体" w:hAnsi="宋体" w:eastAsia="宋体" w:cs="宋体"/>
          <w:color w:val="auto"/>
          <w:sz w:val="24"/>
          <w:szCs w:val="24"/>
          <w:highlight w:val="none"/>
        </w:rPr>
        <w:t>从同一单位或者个人账户转出。</w:t>
      </w:r>
    </w:p>
    <w:p w14:paraId="46525834">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二、我方承诺无下列恶意串通的情形：</w:t>
      </w:r>
    </w:p>
    <w:p w14:paraId="18C98772">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1.供应商直接或者间接从采购人或者采购代理机构处获得其他供应商的相关信息并修改其响应文件；</w:t>
      </w:r>
    </w:p>
    <w:p w14:paraId="2A48992D">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2.供应商按照采购人或者采购代理机构的授意撤换、修改响应文件；</w:t>
      </w:r>
    </w:p>
    <w:p w14:paraId="166FD895">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w:t>
      </w:r>
      <w:r>
        <w:rPr>
          <w:rFonts w:hint="eastAsia" w:ascii="宋体" w:hAnsi="宋体" w:eastAsia="宋体" w:cs="宋体"/>
          <w:color w:val="auto"/>
          <w:spacing w:val="-6"/>
          <w:sz w:val="24"/>
          <w:szCs w:val="24"/>
          <w:highlight w:val="none"/>
        </w:rPr>
        <w:t>应商之间协商报价、技术方案等响应文件的实质性内容；</w:t>
      </w:r>
    </w:p>
    <w:p w14:paraId="6ABCB5A3">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4.属于同一集团、协会、商会等组织成员的供应商按照该组织要求协同参加政府采购活动；</w:t>
      </w:r>
    </w:p>
    <w:p w14:paraId="34C54E5E">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5.供应商之间事先约定一致抬高或者压低</w:t>
      </w:r>
      <w:r>
        <w:rPr>
          <w:rFonts w:hint="eastAsia" w:ascii="宋体" w:hAnsi="宋体" w:eastAsia="宋体" w:cs="宋体"/>
          <w:color w:val="auto"/>
          <w:sz w:val="24"/>
          <w:szCs w:val="24"/>
          <w:highlight w:val="none"/>
          <w:lang w:eastAsia="zh-CN"/>
        </w:rPr>
        <w:t>响应报价</w:t>
      </w:r>
      <w:r>
        <w:rPr>
          <w:rFonts w:hint="eastAsia" w:ascii="宋体" w:hAnsi="宋体" w:eastAsia="宋体" w:cs="宋体"/>
          <w:color w:val="auto"/>
          <w:sz w:val="24"/>
          <w:szCs w:val="24"/>
          <w:highlight w:val="none"/>
        </w:rPr>
        <w:t>,或者在竞争性谈判项目中事先约定轮流以高价位或者低价位成交,或者事先约定由某一特定供应商成交,然后再参加竞标；</w:t>
      </w:r>
    </w:p>
    <w:p w14:paraId="43BB03F9">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6.供应商之间商定部分供应商放弃参加政府采购活动或者放弃成交；</w:t>
      </w:r>
    </w:p>
    <w:p w14:paraId="3F68A7E6">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7.供应商与采购人或者采购代理机构之间、供应商相互之间，为</w:t>
      </w:r>
      <w:r>
        <w:rPr>
          <w:rFonts w:hint="eastAsia" w:ascii="宋体" w:hAnsi="宋体" w:eastAsia="宋体" w:cs="宋体"/>
          <w:color w:val="auto"/>
          <w:spacing w:val="-6"/>
          <w:sz w:val="24"/>
          <w:szCs w:val="24"/>
          <w:highlight w:val="none"/>
        </w:rPr>
        <w:t>谋求特定供应商成交或者排斥其他供应商的其他串通行为。</w:t>
      </w:r>
    </w:p>
    <w:p w14:paraId="7EB485A8">
      <w:pPr>
        <w:spacing w:line="400" w:lineRule="exact"/>
        <w:ind w:firstLine="480"/>
        <w:contextualSpacing/>
        <w:rPr>
          <w:rFonts w:hint="eastAsia" w:ascii="宋体" w:hAnsi="宋体" w:eastAsia="宋体" w:cs="宋体"/>
          <w:color w:val="auto"/>
          <w:sz w:val="24"/>
          <w:szCs w:val="24"/>
          <w:highlight w:val="none"/>
        </w:rPr>
      </w:pPr>
    </w:p>
    <w:p w14:paraId="0737B5A2">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6C78F886">
      <w:pPr>
        <w:pStyle w:val="29"/>
        <w:rPr>
          <w:rFonts w:hint="eastAsia" w:ascii="宋体" w:hAnsi="宋体" w:eastAsia="宋体" w:cs="宋体"/>
          <w:b/>
          <w:bCs/>
          <w:color w:val="auto"/>
          <w:sz w:val="24"/>
          <w:szCs w:val="24"/>
          <w:highlight w:val="none"/>
        </w:rPr>
      </w:pPr>
    </w:p>
    <w:p w14:paraId="52E556F1">
      <w:pPr>
        <w:pStyle w:val="29"/>
        <w:rPr>
          <w:rFonts w:hint="eastAsia" w:ascii="宋体" w:hAnsi="宋体" w:eastAsia="宋体" w:cs="宋体"/>
          <w:b/>
          <w:bCs/>
          <w:color w:val="auto"/>
          <w:sz w:val="24"/>
          <w:szCs w:val="24"/>
          <w:highlight w:val="none"/>
        </w:rPr>
      </w:pPr>
    </w:p>
    <w:p w14:paraId="4CD5FEDA">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74983A9">
      <w:pPr>
        <w:spacing w:line="520" w:lineRule="exact"/>
        <w:ind w:firstLine="6360"/>
        <w:jc w:val="left"/>
        <w:rPr>
          <w:rFonts w:hint="eastAsia" w:ascii="宋体" w:hAnsi="宋体" w:eastAsia="宋体" w:cs="宋体"/>
          <w:b/>
          <w:color w:val="auto"/>
          <w:sz w:val="28"/>
          <w:szCs w:val="28"/>
          <w:highlight w:val="none"/>
          <w:lang w:eastAsia="zh-CN"/>
        </w:rPr>
      </w:pPr>
      <w:r>
        <w:rPr>
          <w:rFonts w:hint="eastAsia" w:ascii="宋体" w:hAnsi="宋体" w:eastAsia="宋体" w:cs="宋体"/>
          <w:color w:val="auto"/>
          <w:sz w:val="24"/>
          <w:szCs w:val="24"/>
          <w:highlight w:val="none"/>
          <w:lang w:val="zh-CN"/>
        </w:rPr>
        <w:t xml:space="preserve">日期：  年  月   日        </w:t>
      </w:r>
      <w:r>
        <w:rPr>
          <w:rFonts w:hint="eastAsia" w:ascii="宋体" w:hAnsi="宋体" w:eastAsia="宋体" w:cs="宋体"/>
          <w:b/>
          <w:bCs/>
          <w:color w:val="auto"/>
          <w:sz w:val="32"/>
          <w:szCs w:val="32"/>
          <w:highlight w:val="none"/>
        </w:rPr>
        <w:br w:type="page" w:clear="all"/>
      </w: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法定代表人身份证明</w:t>
      </w:r>
      <w:r>
        <w:rPr>
          <w:rFonts w:hint="eastAsia" w:ascii="宋体" w:hAnsi="宋体" w:eastAsia="宋体" w:cs="宋体"/>
          <w:b/>
          <w:color w:val="auto"/>
          <w:sz w:val="28"/>
          <w:szCs w:val="28"/>
          <w:highlight w:val="none"/>
          <w:lang w:eastAsia="zh-CN"/>
        </w:rPr>
        <w:t>的格式：</w:t>
      </w:r>
    </w:p>
    <w:p w14:paraId="03F36FE2">
      <w:pPr>
        <w:pStyle w:val="29"/>
        <w:rPr>
          <w:rFonts w:hint="eastAsia" w:ascii="宋体" w:hAnsi="宋体" w:eastAsia="宋体" w:cs="宋体"/>
          <w:color w:val="auto"/>
          <w:highlight w:val="none"/>
          <w:lang w:eastAsia="zh-CN"/>
        </w:rPr>
      </w:pPr>
    </w:p>
    <w:p w14:paraId="4B75D850">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b/>
          <w:bCs w:val="0"/>
          <w:color w:val="auto"/>
          <w:sz w:val="32"/>
          <w:szCs w:val="32"/>
          <w:highlight w:val="none"/>
        </w:rPr>
        <w:t>法定代表人</w:t>
      </w:r>
      <w:r>
        <w:rPr>
          <w:rFonts w:hint="eastAsia" w:ascii="宋体" w:hAnsi="宋体" w:eastAsia="宋体" w:cs="宋体"/>
          <w:b/>
          <w:bCs w:val="0"/>
          <w:color w:val="auto"/>
          <w:sz w:val="32"/>
          <w:szCs w:val="32"/>
          <w:highlight w:val="none"/>
          <w:lang w:eastAsia="zh-CN"/>
        </w:rPr>
        <w:t>身份</w:t>
      </w:r>
      <w:r>
        <w:rPr>
          <w:rFonts w:hint="eastAsia" w:ascii="宋体" w:hAnsi="宋体" w:eastAsia="宋体" w:cs="宋体"/>
          <w:b/>
          <w:bCs w:val="0"/>
          <w:color w:val="auto"/>
          <w:sz w:val="32"/>
          <w:szCs w:val="32"/>
          <w:highlight w:val="none"/>
        </w:rPr>
        <w:t>证明</w:t>
      </w:r>
    </w:p>
    <w:p w14:paraId="1DAF9860">
      <w:pPr>
        <w:spacing w:line="360" w:lineRule="auto"/>
        <w:ind w:left="540"/>
        <w:contextualSpacing/>
        <w:rPr>
          <w:rFonts w:hint="eastAsia" w:ascii="宋体" w:hAnsi="宋体" w:eastAsia="宋体" w:cs="宋体"/>
          <w:color w:val="auto"/>
          <w:sz w:val="32"/>
          <w:szCs w:val="32"/>
          <w:highlight w:val="none"/>
        </w:rPr>
      </w:pPr>
    </w:p>
    <w:p w14:paraId="588784B0">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14:paraId="7D66BC68">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4CD2F3A">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15B050FD">
      <w:pPr>
        <w:spacing w:line="360" w:lineRule="auto"/>
        <w:ind w:left="54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43FA2794">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24DED25">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14:paraId="5BED675F">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397574AE">
      <w:pPr>
        <w:spacing w:line="360" w:lineRule="auto"/>
        <w:ind w:left="540"/>
        <w:contextualSpacing/>
        <w:rPr>
          <w:rFonts w:hint="eastAsia" w:ascii="宋体" w:hAnsi="宋体" w:eastAsia="宋体" w:cs="宋体"/>
          <w:color w:val="auto"/>
          <w:sz w:val="24"/>
          <w:szCs w:val="24"/>
          <w:highlight w:val="none"/>
        </w:rPr>
      </w:pPr>
    </w:p>
    <w:p w14:paraId="41E52D1D">
      <w:pPr>
        <w:spacing w:line="360" w:lineRule="auto"/>
        <w:ind w:left="540"/>
        <w:contextualSpacing/>
        <w:rPr>
          <w:rFonts w:hint="eastAsia" w:ascii="宋体" w:hAnsi="宋体" w:eastAsia="宋体" w:cs="宋体"/>
          <w:color w:val="auto"/>
          <w:sz w:val="24"/>
          <w:szCs w:val="24"/>
          <w:highlight w:val="none"/>
        </w:rPr>
      </w:pPr>
    </w:p>
    <w:p w14:paraId="6FFA091F">
      <w:pPr>
        <w:spacing w:line="360" w:lineRule="auto"/>
        <w:ind w:left="540"/>
        <w:contextualSpacing/>
        <w:rPr>
          <w:rFonts w:hint="eastAsia" w:ascii="宋体" w:hAnsi="宋体" w:eastAsia="宋体" w:cs="宋体"/>
          <w:color w:val="auto"/>
          <w:sz w:val="24"/>
          <w:szCs w:val="24"/>
          <w:highlight w:val="none"/>
        </w:rPr>
      </w:pPr>
    </w:p>
    <w:p w14:paraId="5ACFA5DA">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12B13C67">
      <w:pPr>
        <w:spacing w:line="360" w:lineRule="auto"/>
        <w:ind w:left="540"/>
        <w:contextualSpacing/>
        <w:rPr>
          <w:rFonts w:hint="eastAsia" w:ascii="宋体" w:hAnsi="宋体" w:eastAsia="宋体" w:cs="宋体"/>
          <w:color w:val="auto"/>
          <w:sz w:val="24"/>
          <w:szCs w:val="24"/>
          <w:highlight w:val="none"/>
        </w:rPr>
      </w:pPr>
    </w:p>
    <w:p w14:paraId="3E1155CE">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181671CA">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7A728EC0">
      <w:pPr>
        <w:spacing w:line="360" w:lineRule="auto"/>
        <w:contextualSpacing/>
        <w:jc w:val="left"/>
        <w:rPr>
          <w:rFonts w:hint="eastAsia" w:ascii="宋体" w:hAnsi="宋体" w:eastAsia="宋体" w:cs="宋体"/>
          <w:color w:val="auto"/>
          <w:sz w:val="24"/>
          <w:szCs w:val="24"/>
          <w:highlight w:val="none"/>
        </w:rPr>
      </w:pPr>
    </w:p>
    <w:p w14:paraId="54D79324">
      <w:pPr>
        <w:spacing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14:paraId="1130BBDD">
      <w:pPr>
        <w:spacing w:line="360" w:lineRule="auto"/>
        <w:ind w:firstLine="480"/>
        <w:contextualSpacing/>
        <w:jc w:val="left"/>
        <w:rPr>
          <w:rFonts w:hint="eastAsia" w:ascii="宋体" w:hAnsi="宋体" w:eastAsia="宋体" w:cs="宋体"/>
          <w:color w:val="auto"/>
          <w:sz w:val="24"/>
          <w:szCs w:val="24"/>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45"/>
        <w:tblpPr w:leftFromText="180" w:rightFromText="180" w:vertAnchor="text" w:horzAnchor="margin" w:tblpXSpec="left"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7A0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tcPr>
          <w:p w14:paraId="430316E8">
            <w:pPr>
              <w:spacing w:line="360" w:lineRule="auto"/>
              <w:rPr>
                <w:rFonts w:hint="eastAsia" w:ascii="宋体" w:hAnsi="宋体" w:eastAsia="宋体" w:cs="宋体"/>
                <w:b/>
                <w:color w:val="auto"/>
                <w:sz w:val="24"/>
                <w:szCs w:val="24"/>
                <w:highlight w:val="none"/>
              </w:rPr>
            </w:pPr>
          </w:p>
          <w:p w14:paraId="79B08358">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w:t>
            </w:r>
            <w:r>
              <w:rPr>
                <w:rFonts w:hint="eastAsia" w:ascii="宋体" w:hAnsi="宋体" w:eastAsia="宋体" w:cs="宋体"/>
                <w:b/>
                <w:color w:val="auto"/>
                <w:sz w:val="24"/>
                <w:szCs w:val="24"/>
                <w:highlight w:val="none"/>
                <w:lang w:val="en-US" w:eastAsia="zh-CN"/>
              </w:rPr>
              <w:t>人</w:t>
            </w:r>
            <w:r>
              <w:rPr>
                <w:rFonts w:hint="eastAsia" w:ascii="宋体" w:hAnsi="宋体" w:eastAsia="宋体" w:cs="宋体"/>
                <w:b/>
                <w:color w:val="auto"/>
                <w:sz w:val="24"/>
                <w:szCs w:val="24"/>
                <w:highlight w:val="none"/>
              </w:rPr>
              <w:t>身份证复印件粘</w:t>
            </w:r>
            <w:r>
              <w:rPr>
                <w:rFonts w:hint="eastAsia" w:ascii="宋体" w:hAnsi="宋体" w:eastAsia="宋体" w:cs="宋体"/>
                <w:b/>
                <w:color w:val="auto"/>
                <w:sz w:val="24"/>
                <w:szCs w:val="24"/>
                <w:highlight w:val="none"/>
                <w:lang w:eastAsia="zh-CN"/>
              </w:rPr>
              <w:t>贴</w:t>
            </w:r>
            <w:r>
              <w:rPr>
                <w:rFonts w:hint="eastAsia" w:ascii="宋体" w:hAnsi="宋体" w:eastAsia="宋体" w:cs="宋体"/>
                <w:b/>
                <w:color w:val="auto"/>
                <w:sz w:val="24"/>
                <w:szCs w:val="24"/>
                <w:highlight w:val="none"/>
              </w:rPr>
              <w:t>处（正、反面）</w:t>
            </w:r>
          </w:p>
        </w:tc>
      </w:tr>
    </w:tbl>
    <w:p w14:paraId="658DC76F">
      <w:pPr>
        <w:spacing w:line="360" w:lineRule="auto"/>
        <w:ind w:firstLine="482"/>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szCs w:val="24"/>
          <w:highlight w:val="none"/>
        </w:rPr>
        <w:t>附件：</w:t>
      </w:r>
    </w:p>
    <w:p w14:paraId="7D8FEFAF">
      <w:pPr>
        <w:spacing w:line="300" w:lineRule="auto"/>
        <w:jc w:val="left"/>
        <w:rPr>
          <w:rFonts w:hint="eastAsia" w:ascii="宋体" w:hAnsi="宋体" w:eastAsia="宋体" w:cs="宋体"/>
          <w:b/>
          <w:color w:val="auto"/>
          <w:szCs w:val="21"/>
          <w:highlight w:val="none"/>
        </w:rPr>
      </w:pPr>
    </w:p>
    <w:p w14:paraId="60EE1E5D">
      <w:pPr>
        <w:spacing w:line="360" w:lineRule="auto"/>
        <w:ind w:firstLine="0"/>
        <w:jc w:val="left"/>
        <w:rPr>
          <w:rFonts w:hint="eastAsia" w:ascii="宋体" w:hAnsi="宋体" w:eastAsia="宋体" w:cs="宋体"/>
          <w:b/>
          <w:bCs w:val="0"/>
          <w:color w:val="auto"/>
          <w:sz w:val="28"/>
          <w:szCs w:val="28"/>
          <w:highlight w:val="none"/>
        </w:rPr>
      </w:pPr>
      <w:r>
        <w:rPr>
          <w:rFonts w:hint="eastAsia" w:ascii="宋体" w:hAnsi="宋体" w:eastAsia="宋体" w:cs="宋体"/>
          <w:color w:val="auto"/>
          <w:sz w:val="44"/>
          <w:szCs w:val="44"/>
          <w:highlight w:val="none"/>
        </w:rPr>
        <w:br w:type="page" w:clear="all"/>
      </w:r>
      <w:r>
        <w:rPr>
          <w:rFonts w:hint="eastAsia" w:ascii="宋体" w:hAnsi="宋体" w:eastAsia="宋体" w:cs="宋体"/>
          <w:b/>
          <w:bCs w:val="0"/>
          <w:color w:val="auto"/>
          <w:sz w:val="28"/>
          <w:szCs w:val="28"/>
          <w:highlight w:val="none"/>
          <w:lang w:val="en-US" w:eastAsia="zh-CN"/>
        </w:rPr>
        <w:t>5.</w:t>
      </w:r>
      <w:r>
        <w:rPr>
          <w:rFonts w:hint="eastAsia" w:ascii="宋体" w:hAnsi="宋体" w:eastAsia="宋体" w:cs="宋体"/>
          <w:b/>
          <w:bCs w:val="0"/>
          <w:color w:val="auto"/>
          <w:sz w:val="28"/>
          <w:szCs w:val="28"/>
          <w:highlight w:val="none"/>
        </w:rPr>
        <w:t>法定代表人授权委托书</w:t>
      </w:r>
      <w:r>
        <w:rPr>
          <w:rFonts w:hint="eastAsia" w:ascii="宋体" w:hAnsi="宋体" w:eastAsia="宋体" w:cs="宋体"/>
          <w:b/>
          <w:bCs w:val="0"/>
          <w:color w:val="auto"/>
          <w:sz w:val="28"/>
          <w:szCs w:val="28"/>
          <w:highlight w:val="none"/>
          <w:lang w:eastAsia="zh-CN"/>
        </w:rPr>
        <w:t>的格式：</w:t>
      </w:r>
    </w:p>
    <w:p w14:paraId="6F7C5F2E">
      <w:pPr>
        <w:spacing w:line="500" w:lineRule="exact"/>
        <w:jc w:val="center"/>
        <w:rPr>
          <w:rFonts w:hint="eastAsia" w:ascii="宋体" w:hAnsi="宋体" w:eastAsia="宋体" w:cs="宋体"/>
          <w:color w:val="auto"/>
          <w:sz w:val="44"/>
          <w:szCs w:val="44"/>
          <w:highlight w:val="none"/>
        </w:rPr>
      </w:pPr>
    </w:p>
    <w:p w14:paraId="11BA9D29">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授权委托书（非联合体竞标格式）</w:t>
      </w:r>
    </w:p>
    <w:p w14:paraId="742B303E">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5B73BC82">
      <w:pPr>
        <w:spacing w:line="520" w:lineRule="exact"/>
        <w:rPr>
          <w:rFonts w:hint="eastAsia" w:ascii="宋体" w:hAnsi="宋体" w:eastAsia="宋体" w:cs="宋体"/>
          <w:color w:val="auto"/>
          <w:sz w:val="32"/>
          <w:szCs w:val="32"/>
          <w:highlight w:val="none"/>
        </w:rPr>
      </w:pPr>
    </w:p>
    <w:p w14:paraId="276EEFF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eastAsia="zh-CN"/>
        </w:rPr>
        <w:t>广西桂盛项目管理有限公司</w:t>
      </w:r>
      <w:r>
        <w:rPr>
          <w:rFonts w:hint="eastAsia" w:ascii="宋体" w:hAnsi="宋体" w:eastAsia="宋体" w:cs="宋体"/>
          <w:color w:val="auto"/>
          <w:sz w:val="24"/>
          <w:szCs w:val="24"/>
          <w:highlight w:val="none"/>
        </w:rPr>
        <w:t>：</w:t>
      </w:r>
    </w:p>
    <w:p w14:paraId="4497AC93">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14:paraId="7B1BDA1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14:paraId="4850E494">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6D51749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2B13DF55">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14:paraId="778DBC62">
      <w:pPr>
        <w:spacing w:line="360" w:lineRule="auto"/>
        <w:rPr>
          <w:rFonts w:hint="eastAsia" w:ascii="宋体" w:hAnsi="宋体" w:eastAsia="宋体" w:cs="宋体"/>
          <w:color w:val="auto"/>
          <w:sz w:val="24"/>
          <w:szCs w:val="24"/>
          <w:highlight w:val="none"/>
        </w:rPr>
      </w:pPr>
    </w:p>
    <w:p w14:paraId="4BE9A7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14:paraId="60B6CD5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14:paraId="53032A2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ED1542A">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257CE3F6">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20B194C3">
      <w:pPr>
        <w:spacing w:line="360" w:lineRule="auto"/>
        <w:rPr>
          <w:rFonts w:hint="eastAsia" w:ascii="宋体" w:hAnsi="宋体" w:eastAsia="宋体" w:cs="宋体"/>
          <w:color w:val="auto"/>
          <w:sz w:val="24"/>
          <w:szCs w:val="24"/>
          <w:highlight w:val="none"/>
        </w:rPr>
      </w:pPr>
    </w:p>
    <w:p w14:paraId="6A6F272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7F74760D">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3A7A90F">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14:paraId="687D8A22">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clear="all"/>
      </w:r>
      <w:r>
        <w:rPr>
          <w:rFonts w:hint="eastAsia" w:ascii="宋体" w:hAnsi="宋体" w:eastAsia="宋体" w:cs="宋体"/>
          <w:b/>
          <w:bCs/>
          <w:color w:val="auto"/>
          <w:sz w:val="32"/>
          <w:szCs w:val="32"/>
          <w:highlight w:val="none"/>
        </w:rPr>
        <w:t>授权委托书（联合体竞标格式）</w:t>
      </w:r>
    </w:p>
    <w:p w14:paraId="00036959">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4A4B64B3">
      <w:pPr>
        <w:spacing w:line="500" w:lineRule="exact"/>
        <w:jc w:val="center"/>
        <w:rPr>
          <w:rFonts w:hint="eastAsia" w:ascii="宋体" w:hAnsi="宋体" w:eastAsia="宋体" w:cs="宋体"/>
          <w:color w:val="auto"/>
          <w:sz w:val="44"/>
          <w:szCs w:val="44"/>
          <w:highlight w:val="none"/>
        </w:rPr>
      </w:pPr>
    </w:p>
    <w:p w14:paraId="42EDC83D">
      <w:pPr>
        <w:spacing w:line="500" w:lineRule="exact"/>
        <w:jc w:val="center"/>
        <w:rPr>
          <w:rFonts w:hint="eastAsia" w:ascii="宋体" w:hAnsi="宋体" w:eastAsia="宋体" w:cs="宋体"/>
          <w:color w:val="auto"/>
          <w:sz w:val="32"/>
          <w:szCs w:val="32"/>
          <w:highlight w:val="none"/>
        </w:rPr>
      </w:pPr>
    </w:p>
    <w:p w14:paraId="304C113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本授权委托书声明：根据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（联合体其他成员名称）签订的《联合体竞标协议书》的内容，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（牵头人名称）的法定代表人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为联合委托代理人，并代表我方全权办理针对上述项目的所有采购程序和环节的具体事务和签署相关文件。</w:t>
      </w:r>
    </w:p>
    <w:p w14:paraId="477B4368">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我方对委托代理人的签字事项负全部责任。</w:t>
      </w:r>
    </w:p>
    <w:p w14:paraId="0762210F">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11E65DD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4EDD500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color w:val="auto"/>
          <w:highlight w:val="none"/>
        </w:rPr>
        <w:t>附：委托代理人有效身份证正反面复印件</w:t>
      </w:r>
    </w:p>
    <w:p w14:paraId="2ECD4C34">
      <w:pPr>
        <w:spacing w:line="360" w:lineRule="auto"/>
        <w:ind w:firstLine="1560"/>
        <w:rPr>
          <w:rFonts w:hint="eastAsia" w:ascii="宋体" w:hAnsi="宋体" w:eastAsia="宋体" w:cs="宋体"/>
          <w:color w:val="auto"/>
          <w:sz w:val="24"/>
          <w:szCs w:val="24"/>
          <w:highlight w:val="none"/>
        </w:rPr>
      </w:pPr>
    </w:p>
    <w:p w14:paraId="2A0A3E44">
      <w:pPr>
        <w:spacing w:line="360" w:lineRule="auto"/>
        <w:ind w:firstLine="1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牵头人法定代表人（签字）：</w:t>
      </w:r>
    </w:p>
    <w:p w14:paraId="077BDDF1">
      <w:pPr>
        <w:spacing w:line="360" w:lineRule="auto"/>
        <w:ind w:firstLine="3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6EAC38FB">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937AD12">
      <w:pPr>
        <w:spacing w:line="360" w:lineRule="auto"/>
        <w:rPr>
          <w:rFonts w:hint="eastAsia" w:ascii="宋体" w:hAnsi="宋体" w:eastAsia="宋体" w:cs="宋体"/>
          <w:color w:val="auto"/>
          <w:sz w:val="24"/>
          <w:szCs w:val="24"/>
          <w:highlight w:val="none"/>
        </w:rPr>
      </w:pPr>
    </w:p>
    <w:p w14:paraId="24F81B95">
      <w:pPr>
        <w:spacing w:line="360" w:lineRule="auto"/>
        <w:ind w:firstLine="3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p>
    <w:p w14:paraId="14191222">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7BB8F5D9">
      <w:pPr>
        <w:spacing w:line="360" w:lineRule="auto"/>
        <w:rPr>
          <w:rFonts w:hint="eastAsia" w:ascii="宋体" w:hAnsi="宋体" w:eastAsia="宋体" w:cs="宋体"/>
          <w:color w:val="auto"/>
          <w:sz w:val="24"/>
          <w:szCs w:val="24"/>
          <w:highlight w:val="none"/>
        </w:rPr>
      </w:pPr>
    </w:p>
    <w:p w14:paraId="55DD9D56">
      <w:pPr>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6D723164">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2.本授权委托书应由联合体牵头人的法定代表人按上述规定签署。</w:t>
      </w:r>
    </w:p>
    <w:p w14:paraId="582B587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73F34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4.法人、其他组织竞标时“我方”是指“我单位”，自然人竞标时“我方”是指“本人”。</w:t>
      </w:r>
    </w:p>
    <w:p w14:paraId="31FAE9E0">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clear="all"/>
      </w:r>
    </w:p>
    <w:p w14:paraId="658814B8">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45"/>
        <w:tblpPr w:leftFromText="180" w:rightFromText="180" w:vertAnchor="text" w:horzAnchor="margin" w:tblpXSpec="left"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3BBA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7F601B28">
            <w:pPr>
              <w:spacing w:line="360" w:lineRule="auto"/>
              <w:rPr>
                <w:rFonts w:hint="eastAsia" w:ascii="宋体" w:hAnsi="宋体" w:eastAsia="宋体" w:cs="宋体"/>
                <w:b/>
                <w:color w:val="auto"/>
                <w:sz w:val="24"/>
                <w:highlight w:val="none"/>
              </w:rPr>
            </w:pPr>
          </w:p>
          <w:p w14:paraId="3A6BF312">
            <w:pPr>
              <w:spacing w:line="360" w:lineRule="auto"/>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委托代理人有效</w:t>
            </w:r>
            <w:r>
              <w:rPr>
                <w:rFonts w:hint="eastAsia" w:ascii="宋体" w:hAnsi="宋体" w:eastAsia="宋体" w:cs="宋体"/>
                <w:b/>
                <w:color w:val="auto"/>
                <w:sz w:val="24"/>
                <w:highlight w:val="none"/>
              </w:rPr>
              <w:t>身份证复印件粘</w:t>
            </w:r>
            <w:r>
              <w:rPr>
                <w:rFonts w:hint="eastAsia" w:ascii="宋体" w:hAnsi="宋体" w:eastAsia="宋体" w:cs="宋体"/>
                <w:b/>
                <w:color w:val="auto"/>
                <w:sz w:val="24"/>
                <w:highlight w:val="none"/>
                <w:lang w:val="en-US" w:eastAsia="zh-CN"/>
              </w:rPr>
              <w:t>贴</w:t>
            </w:r>
            <w:r>
              <w:rPr>
                <w:rFonts w:hint="eastAsia" w:ascii="宋体" w:hAnsi="宋体" w:eastAsia="宋体" w:cs="宋体"/>
                <w:b/>
                <w:color w:val="auto"/>
                <w:sz w:val="24"/>
                <w:highlight w:val="none"/>
              </w:rPr>
              <w:t>处（正、反面）</w:t>
            </w:r>
          </w:p>
        </w:tc>
      </w:tr>
    </w:tbl>
    <w:p w14:paraId="26FCA614">
      <w:pPr>
        <w:spacing w:line="360" w:lineRule="auto"/>
        <w:ind w:firstLine="420"/>
        <w:jc w:val="left"/>
        <w:rPr>
          <w:rFonts w:hint="eastAsia" w:ascii="宋体" w:hAnsi="宋体" w:eastAsia="宋体" w:cs="宋体"/>
          <w:color w:val="auto"/>
          <w:szCs w:val="21"/>
          <w:highlight w:val="none"/>
        </w:rPr>
      </w:pPr>
    </w:p>
    <w:p w14:paraId="5B0C24F9">
      <w:pPr>
        <w:spacing w:line="360" w:lineRule="auto"/>
        <w:ind w:firstLine="0"/>
        <w:rPr>
          <w:rFonts w:hint="eastAsia" w:ascii="宋体" w:hAnsi="宋体" w:eastAsia="宋体" w:cs="宋体"/>
          <w:b/>
          <w:bCs/>
          <w:color w:val="auto"/>
          <w:sz w:val="32"/>
          <w:szCs w:val="32"/>
          <w:highlight w:val="none"/>
          <w:lang w:val="en-US" w:eastAsia="zh-CN"/>
        </w:rPr>
      </w:pPr>
      <w:r>
        <w:rPr>
          <w:rFonts w:hint="eastAsia" w:ascii="宋体" w:hAnsi="宋体" w:eastAsia="宋体" w:cs="宋体"/>
          <w:color w:val="auto"/>
          <w:sz w:val="32"/>
          <w:szCs w:val="32"/>
          <w:highlight w:val="none"/>
        </w:rPr>
        <w:br w:type="page" w:clear="all"/>
      </w: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eastAsia="宋体" w:cs="宋体"/>
          <w:b/>
          <w:color w:val="auto"/>
          <w:sz w:val="28"/>
          <w:szCs w:val="28"/>
          <w:highlight w:val="none"/>
          <w:lang w:eastAsia="zh-CN"/>
        </w:rPr>
        <w:t>的格式：</w:t>
      </w:r>
    </w:p>
    <w:p w14:paraId="4E455153">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商务条款偏离表</w:t>
      </w:r>
    </w:p>
    <w:p w14:paraId="0E83B095">
      <w:pPr>
        <w:spacing w:line="360" w:lineRule="auto"/>
        <w:ind w:firstLine="0"/>
        <w:contextualSpacing/>
        <w:rPr>
          <w:rFonts w:hint="eastAsia" w:ascii="宋体" w:hAnsi="宋体" w:eastAsia="宋体" w:cs="宋体"/>
          <w:color w:val="auto"/>
          <w:sz w:val="24"/>
          <w:highlight w:val="none"/>
        </w:rPr>
      </w:pPr>
    </w:p>
    <w:p w14:paraId="6A6E03A1">
      <w:pPr>
        <w:spacing w:line="360" w:lineRule="auto"/>
        <w:ind w:firstLine="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1EA01EB1">
      <w:pPr>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4DF41753">
      <w:pPr>
        <w:spacing w:line="36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tbl>
      <w:tblPr>
        <w:tblStyle w:val="4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4CBC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8579909">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142F061B">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竞争性谈判文件的商务</w:t>
            </w:r>
            <w:r>
              <w:rPr>
                <w:rFonts w:hint="eastAsia" w:ascii="宋体" w:hAnsi="宋体" w:eastAsia="宋体" w:cs="宋体"/>
                <w:color w:val="auto"/>
                <w:szCs w:val="21"/>
                <w:highlight w:val="none"/>
                <w:lang w:val="en-US" w:eastAsia="zh-CN"/>
              </w:rPr>
              <w:t>条款</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076370FE">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E9E9DF9">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F9E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tcPr>
          <w:p w14:paraId="43FE3EF2">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tcPr>
          <w:p w14:paraId="388572D2">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2D0B2141">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5209AD96">
            <w:pPr>
              <w:spacing w:line="300" w:lineRule="exact"/>
              <w:rPr>
                <w:rFonts w:hint="eastAsia" w:ascii="宋体" w:hAnsi="宋体" w:eastAsia="宋体" w:cs="宋体"/>
                <w:color w:val="auto"/>
                <w:szCs w:val="21"/>
                <w:highlight w:val="none"/>
              </w:rPr>
            </w:pPr>
          </w:p>
        </w:tc>
      </w:tr>
      <w:tr w14:paraId="2F55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tcPr>
          <w:p w14:paraId="5715DC6B">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tcPr>
          <w:p w14:paraId="63DB9AAA">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3A4BD506">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7B68CAA7">
            <w:pPr>
              <w:spacing w:line="300" w:lineRule="exact"/>
              <w:rPr>
                <w:rFonts w:hint="eastAsia" w:ascii="宋体" w:hAnsi="宋体" w:eastAsia="宋体" w:cs="宋体"/>
                <w:color w:val="auto"/>
                <w:szCs w:val="21"/>
                <w:highlight w:val="none"/>
              </w:rPr>
            </w:pPr>
          </w:p>
        </w:tc>
      </w:tr>
      <w:tr w14:paraId="5F08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tcPr>
          <w:p w14:paraId="40772F85">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tcPr>
          <w:p w14:paraId="31902736">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4BAB9C8F">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0EDA4125">
            <w:pPr>
              <w:spacing w:line="300" w:lineRule="exact"/>
              <w:rPr>
                <w:rFonts w:hint="eastAsia" w:ascii="宋体" w:hAnsi="宋体" w:eastAsia="宋体" w:cs="宋体"/>
                <w:color w:val="auto"/>
                <w:szCs w:val="21"/>
                <w:highlight w:val="none"/>
              </w:rPr>
            </w:pPr>
          </w:p>
        </w:tc>
      </w:tr>
    </w:tbl>
    <w:p w14:paraId="648EAFC8">
      <w:pPr>
        <w:spacing w:line="400" w:lineRule="exact"/>
        <w:ind w:left="42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注：</w:t>
      </w:r>
    </w:p>
    <w:p w14:paraId="5DE80693">
      <w:pPr>
        <w:spacing w:line="400" w:lineRule="exact"/>
        <w:ind w:left="420" w:firstLine="0"/>
        <w:contextualSpacing/>
        <w:rPr>
          <w:rFonts w:hint="eastAsia" w:ascii="宋体" w:hAnsi="宋体" w:eastAsia="宋体" w:cs="宋体"/>
          <w:color w:val="auto"/>
          <w:highlight w:val="none"/>
          <w:lang w:val="en-US" w:eastAsia="zh-CN"/>
        </w:rPr>
      </w:pPr>
      <w:r>
        <w:rPr>
          <w:rFonts w:hint="eastAsia" w:ascii="宋体" w:hAnsi="宋体" w:eastAsia="宋体" w:cs="宋体"/>
          <w:bCs/>
          <w:color w:val="auto"/>
          <w:highlight w:val="none"/>
        </w:rPr>
        <w:t>▲</w:t>
      </w: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highlight w:val="none"/>
          <w:lang w:eastAsia="zh-CN"/>
        </w:rPr>
        <w:t>必须</w:t>
      </w:r>
      <w:r>
        <w:rPr>
          <w:rFonts w:hint="eastAsia" w:ascii="宋体" w:hAnsi="宋体" w:eastAsia="宋体" w:cs="宋体"/>
          <w:color w:val="auto"/>
          <w:highlight w:val="none"/>
        </w:rPr>
        <w:t>对本项目</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文件“第二章</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sz w:val="21"/>
          <w:szCs w:val="21"/>
          <w:highlight w:val="none"/>
        </w:rPr>
        <w:t>采购需求</w:t>
      </w:r>
      <w:r>
        <w:rPr>
          <w:rFonts w:hint="eastAsia" w:ascii="宋体" w:hAnsi="宋体" w:eastAsia="宋体" w:cs="宋体"/>
          <w:color w:val="auto"/>
          <w:highlight w:val="none"/>
        </w:rPr>
        <w:t>”中“商务条款”的</w:t>
      </w:r>
      <w:r>
        <w:rPr>
          <w:rFonts w:hint="eastAsia" w:ascii="宋体" w:hAnsi="宋体" w:eastAsia="宋体" w:cs="宋体"/>
          <w:color w:val="auto"/>
          <w:highlight w:val="none"/>
          <w:lang w:val="en-US" w:eastAsia="zh-CN"/>
        </w:rPr>
        <w:t>全部</w:t>
      </w:r>
      <w:r>
        <w:rPr>
          <w:rFonts w:hint="eastAsia" w:ascii="宋体" w:hAnsi="宋体" w:eastAsia="宋体" w:cs="宋体"/>
          <w:color w:val="auto"/>
          <w:highlight w:val="none"/>
          <w:lang w:eastAsia="zh-CN"/>
        </w:rPr>
        <w:t>条款</w:t>
      </w:r>
      <w:r>
        <w:rPr>
          <w:rFonts w:hint="eastAsia" w:ascii="宋体" w:hAnsi="宋体" w:eastAsia="宋体" w:cs="宋体"/>
          <w:color w:val="auto"/>
          <w:highlight w:val="none"/>
        </w:rPr>
        <w:t>，详细填写</w:t>
      </w:r>
      <w:r>
        <w:rPr>
          <w:rFonts w:hint="eastAsia" w:ascii="宋体" w:hAnsi="宋体" w:eastAsia="宋体" w:cs="宋体"/>
          <w:color w:val="auto"/>
          <w:highlight w:val="none"/>
          <w:lang w:val="en-US" w:eastAsia="zh-CN"/>
        </w:rPr>
        <w:t>响</w:t>
      </w:r>
    </w:p>
    <w:p w14:paraId="4BD73D06">
      <w:pPr>
        <w:spacing w:line="400" w:lineRule="exact"/>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的具体内容</w:t>
      </w:r>
      <w:r>
        <w:rPr>
          <w:rFonts w:hint="eastAsia" w:ascii="宋体" w:hAnsi="宋体" w:eastAsia="宋体" w:cs="宋体"/>
          <w:color w:val="auto"/>
          <w:highlight w:val="none"/>
          <w:lang w:eastAsia="zh-CN"/>
        </w:rPr>
        <w:t>，</w:t>
      </w:r>
      <w:r>
        <w:rPr>
          <w:rFonts w:hint="eastAsia" w:ascii="宋体" w:hAnsi="宋体" w:eastAsia="宋体" w:cs="宋体"/>
          <w:b w:val="0"/>
          <w:bCs w:val="0"/>
          <w:color w:val="auto"/>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14:paraId="70AC6472">
      <w:pPr>
        <w:spacing w:line="40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.表格内容均需按要求填写并盖</w:t>
      </w:r>
      <w:r>
        <w:rPr>
          <w:rFonts w:hint="eastAsia" w:ascii="宋体" w:hAnsi="宋体" w:eastAsia="宋体" w:cs="宋体"/>
          <w:color w:val="auto"/>
          <w:sz w:val="21"/>
          <w:szCs w:val="21"/>
          <w:highlight w:val="none"/>
          <w:lang w:val="en-US" w:eastAsia="zh-CN"/>
        </w:rPr>
        <w:t>公</w:t>
      </w:r>
      <w:r>
        <w:rPr>
          <w:rFonts w:hint="eastAsia" w:ascii="宋体" w:hAnsi="宋体" w:eastAsia="宋体" w:cs="宋体"/>
          <w:color w:val="auto"/>
          <w:sz w:val="21"/>
          <w:szCs w:val="21"/>
          <w:highlight w:val="none"/>
        </w:rPr>
        <w:t>章，不得留空，</w:t>
      </w:r>
      <w:r>
        <w:rPr>
          <w:rFonts w:hint="eastAsia" w:ascii="宋体" w:hAnsi="宋体" w:eastAsia="宋体" w:cs="宋体"/>
          <w:b/>
          <w:bCs/>
          <w:color w:val="auto"/>
          <w:sz w:val="21"/>
          <w:szCs w:val="21"/>
          <w:highlight w:val="none"/>
        </w:rPr>
        <w:t>否则按</w:t>
      </w:r>
      <w:r>
        <w:rPr>
          <w:rFonts w:hint="eastAsia" w:ascii="宋体" w:hAnsi="宋体" w:eastAsia="宋体" w:cs="宋体"/>
          <w:b/>
          <w:bCs/>
          <w:color w:val="auto"/>
          <w:sz w:val="21"/>
          <w:szCs w:val="21"/>
          <w:highlight w:val="none"/>
          <w:lang w:eastAsia="zh-CN"/>
        </w:rPr>
        <w:t>响应无效</w:t>
      </w:r>
      <w:r>
        <w:rPr>
          <w:rFonts w:hint="eastAsia" w:ascii="宋体" w:hAnsi="宋体" w:eastAsia="宋体" w:cs="宋体"/>
          <w:b/>
          <w:bCs/>
          <w:color w:val="auto"/>
          <w:sz w:val="21"/>
          <w:szCs w:val="21"/>
          <w:highlight w:val="none"/>
        </w:rPr>
        <w:t>处理</w:t>
      </w:r>
      <w:r>
        <w:rPr>
          <w:rFonts w:hint="eastAsia" w:ascii="宋体" w:hAnsi="宋体" w:eastAsia="宋体" w:cs="宋体"/>
          <w:color w:val="auto"/>
          <w:sz w:val="21"/>
          <w:szCs w:val="21"/>
          <w:highlight w:val="none"/>
        </w:rPr>
        <w:t>。</w:t>
      </w:r>
    </w:p>
    <w:p w14:paraId="42CB6916">
      <w:pPr>
        <w:spacing w:line="400" w:lineRule="exact"/>
        <w:ind w:firstLine="480"/>
        <w:contextualSpacing/>
        <w:rPr>
          <w:rFonts w:hint="eastAsia" w:ascii="宋体" w:hAnsi="宋体" w:eastAsia="宋体" w:cs="宋体"/>
          <w:color w:val="auto"/>
          <w:sz w:val="24"/>
          <w:szCs w:val="24"/>
          <w:highlight w:val="none"/>
          <w:lang w:val="zh-CN" w:eastAsia="zh-CN"/>
        </w:rPr>
      </w:pPr>
    </w:p>
    <w:p w14:paraId="331CF595">
      <w:pPr>
        <w:spacing w:line="400" w:lineRule="exact"/>
        <w:ind w:firstLine="480"/>
        <w:contextualSpacing/>
        <w:rPr>
          <w:rFonts w:hint="eastAsia" w:ascii="宋体" w:hAnsi="宋体" w:eastAsia="宋体" w:cs="宋体"/>
          <w:color w:val="auto"/>
          <w:sz w:val="24"/>
          <w:szCs w:val="24"/>
          <w:highlight w:val="none"/>
          <w:lang w:val="zh-CN" w:eastAsia="zh-CN"/>
        </w:rPr>
      </w:pPr>
    </w:p>
    <w:p w14:paraId="4D054D8D">
      <w:pPr>
        <w:spacing w:line="360" w:lineRule="auto"/>
        <w:ind w:right="-817"/>
        <w:contextualSpacing/>
        <w:rPr>
          <w:rFonts w:hint="eastAsia" w:ascii="宋体" w:hAnsi="宋体" w:eastAsia="宋体" w:cs="宋体"/>
          <w:color w:val="auto"/>
          <w:sz w:val="24"/>
          <w:szCs w:val="24"/>
          <w:highlight w:val="none"/>
        </w:rPr>
      </w:pPr>
    </w:p>
    <w:p w14:paraId="4FDA1713">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332C32F4">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7AB40CA8">
      <w:pPr>
        <w:spacing w:line="360" w:lineRule="auto"/>
        <w:ind w:firstLine="602"/>
        <w:rPr>
          <w:rFonts w:hint="eastAsia" w:ascii="宋体" w:hAnsi="宋体" w:eastAsia="宋体" w:cs="宋体"/>
          <w:b/>
          <w:color w:val="auto"/>
          <w:sz w:val="30"/>
          <w:szCs w:val="30"/>
          <w:highlight w:val="none"/>
        </w:rPr>
      </w:pPr>
    </w:p>
    <w:p w14:paraId="51E30DCB">
      <w:pPr>
        <w:spacing w:line="360" w:lineRule="auto"/>
        <w:ind w:firstLine="602"/>
        <w:rPr>
          <w:rFonts w:hint="eastAsia" w:ascii="宋体" w:hAnsi="宋体" w:eastAsia="宋体" w:cs="宋体"/>
          <w:b/>
          <w:color w:val="auto"/>
          <w:sz w:val="30"/>
          <w:szCs w:val="30"/>
          <w:highlight w:val="none"/>
        </w:rPr>
      </w:pPr>
    </w:p>
    <w:p w14:paraId="0B25ABB3">
      <w:pPr>
        <w:spacing w:line="360" w:lineRule="auto"/>
        <w:ind w:firstLine="602"/>
        <w:rPr>
          <w:rFonts w:hint="eastAsia" w:ascii="宋体" w:hAnsi="宋体" w:eastAsia="宋体" w:cs="宋体"/>
          <w:b/>
          <w:color w:val="auto"/>
          <w:sz w:val="30"/>
          <w:szCs w:val="30"/>
          <w:highlight w:val="none"/>
        </w:rPr>
      </w:pPr>
    </w:p>
    <w:p w14:paraId="4D4C40BE">
      <w:pPr>
        <w:spacing w:line="360" w:lineRule="auto"/>
        <w:ind w:firstLine="602"/>
        <w:rPr>
          <w:rFonts w:hint="eastAsia" w:ascii="宋体" w:hAnsi="宋体" w:eastAsia="宋体" w:cs="宋体"/>
          <w:b/>
          <w:color w:val="auto"/>
          <w:sz w:val="30"/>
          <w:szCs w:val="30"/>
          <w:highlight w:val="none"/>
        </w:rPr>
      </w:pPr>
    </w:p>
    <w:p w14:paraId="78447A7D">
      <w:pPr>
        <w:spacing w:before="120" w:after="50"/>
        <w:ind w:firstLine="0"/>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lang w:val="en-US" w:eastAsia="zh-CN"/>
        </w:rPr>
        <w:t>7.</w:t>
      </w:r>
      <w:r>
        <w:rPr>
          <w:rFonts w:hint="eastAsia" w:ascii="宋体" w:hAnsi="宋体" w:eastAsia="宋体" w:cs="宋体"/>
          <w:b/>
          <w:color w:val="auto"/>
          <w:sz w:val="28"/>
          <w:szCs w:val="28"/>
          <w:highlight w:val="none"/>
        </w:rPr>
        <w:t>供应商类似的业绩证明文件</w:t>
      </w:r>
      <w:r>
        <w:rPr>
          <w:rFonts w:hint="eastAsia" w:ascii="宋体" w:hAnsi="宋体" w:eastAsia="宋体" w:cs="宋体"/>
          <w:b/>
          <w:bCs/>
          <w:color w:val="auto"/>
          <w:sz w:val="30"/>
          <w:szCs w:val="30"/>
          <w:highlight w:val="none"/>
        </w:rPr>
        <w:t>（如有要求）</w:t>
      </w:r>
      <w:r>
        <w:rPr>
          <w:rFonts w:hint="eastAsia" w:ascii="宋体" w:hAnsi="宋体" w:eastAsia="宋体" w:cs="宋体"/>
          <w:b/>
          <w:bCs/>
          <w:color w:val="auto"/>
          <w:sz w:val="30"/>
          <w:szCs w:val="30"/>
          <w:highlight w:val="none"/>
          <w:lang w:eastAsia="zh-CN"/>
        </w:rPr>
        <w:t>：</w:t>
      </w:r>
    </w:p>
    <w:p w14:paraId="0D0C5DF2">
      <w:pPr>
        <w:ind w:left="480" w:hanging="480"/>
        <w:contextualSpacing/>
        <w:rPr>
          <w:rFonts w:hint="eastAsia" w:ascii="宋体" w:hAnsi="宋体" w:eastAsia="宋体" w:cs="宋体"/>
          <w:color w:val="auto"/>
          <w:sz w:val="24"/>
          <w:szCs w:val="24"/>
          <w:highlight w:val="none"/>
        </w:rPr>
      </w:pPr>
    </w:p>
    <w:tbl>
      <w:tblPr>
        <w:tblStyle w:val="45"/>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6F06D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noWrap w:val="0"/>
            <w:vAlign w:val="center"/>
          </w:tcPr>
          <w:p w14:paraId="332D0890">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noWrap w:val="0"/>
            <w:vAlign w:val="center"/>
          </w:tcPr>
          <w:p w14:paraId="25885269">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noWrap w:val="0"/>
            <w:vAlign w:val="center"/>
          </w:tcPr>
          <w:p w14:paraId="746CBAED">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p w14:paraId="6708A64C">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w:t>
            </w:r>
          </w:p>
          <w:p w14:paraId="5024CE3B">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noWrap w:val="0"/>
            <w:vAlign w:val="center"/>
          </w:tcPr>
          <w:p w14:paraId="62FE38F7">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394BE023">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采购人联系人及联系电话</w:t>
            </w:r>
          </w:p>
        </w:tc>
      </w:tr>
      <w:tr w14:paraId="620952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noWrap w:val="0"/>
            <w:vAlign w:val="center"/>
          </w:tcPr>
          <w:p w14:paraId="1EB1295F">
            <w:pPr>
              <w:jc w:val="left"/>
              <w:rPr>
                <w:rFonts w:hint="eastAsia" w:ascii="宋体" w:hAnsi="宋体" w:eastAsia="宋体" w:cs="宋体"/>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noWrap w:val="0"/>
            <w:vAlign w:val="center"/>
          </w:tcPr>
          <w:p w14:paraId="6DB57992">
            <w:pPr>
              <w:jc w:val="left"/>
              <w:rPr>
                <w:rFonts w:hint="eastAsia" w:ascii="宋体" w:hAnsi="宋体" w:eastAsia="宋体" w:cs="宋体"/>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40A05764">
            <w:pPr>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28C46041">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1ED28F5B">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B9C8D72">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用户</w:t>
            </w:r>
          </w:p>
          <w:p w14:paraId="2D7C6000">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0CBA307C">
            <w:pPr>
              <w:jc w:val="left"/>
              <w:rPr>
                <w:rFonts w:hint="eastAsia" w:ascii="宋体" w:hAnsi="宋体" w:eastAsia="宋体" w:cs="宋体"/>
                <w:color w:val="auto"/>
                <w:sz w:val="24"/>
                <w:szCs w:val="24"/>
                <w:highlight w:val="none"/>
              </w:rPr>
            </w:pPr>
          </w:p>
        </w:tc>
      </w:tr>
      <w:tr w14:paraId="23A05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noWrap w:val="0"/>
          </w:tcPr>
          <w:p w14:paraId="7CC8D91E">
            <w:pPr>
              <w:spacing w:line="24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5A1B3A16">
            <w:pPr>
              <w:spacing w:line="24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18F41711">
            <w:pPr>
              <w:spacing w:line="24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556B785B">
            <w:pPr>
              <w:spacing w:line="24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1C71AEDF">
            <w:pPr>
              <w:spacing w:line="24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7A7FC958">
            <w:pPr>
              <w:spacing w:line="24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195E1588">
            <w:pPr>
              <w:spacing w:line="240" w:lineRule="exact"/>
              <w:jc w:val="left"/>
              <w:rPr>
                <w:rFonts w:hint="eastAsia" w:ascii="宋体" w:hAnsi="宋体" w:eastAsia="宋体" w:cs="宋体"/>
                <w:color w:val="auto"/>
                <w:sz w:val="24"/>
                <w:szCs w:val="24"/>
                <w:highlight w:val="none"/>
              </w:rPr>
            </w:pPr>
          </w:p>
        </w:tc>
      </w:tr>
      <w:tr w14:paraId="6F0F5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noWrap w:val="0"/>
          </w:tcPr>
          <w:p w14:paraId="0B4C6177">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4F9F1FDF">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5577D510">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0B0375BA">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5D9F63E7">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59CB4D6D">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55335601">
            <w:pPr>
              <w:spacing w:before="50" w:after="120" w:line="400" w:lineRule="exact"/>
              <w:jc w:val="left"/>
              <w:rPr>
                <w:rFonts w:hint="eastAsia" w:ascii="宋体" w:hAnsi="宋体" w:eastAsia="宋体" w:cs="宋体"/>
                <w:color w:val="auto"/>
                <w:sz w:val="24"/>
                <w:szCs w:val="24"/>
                <w:highlight w:val="none"/>
              </w:rPr>
            </w:pPr>
          </w:p>
        </w:tc>
      </w:tr>
      <w:tr w14:paraId="1528F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noWrap w:val="0"/>
          </w:tcPr>
          <w:p w14:paraId="67025F37">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067262AE">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39A01559">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767DB44F">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3D4046E2">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5F0ADDDA">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68F64D5F">
            <w:pPr>
              <w:spacing w:before="50" w:after="120" w:line="400" w:lineRule="exact"/>
              <w:jc w:val="left"/>
              <w:rPr>
                <w:rFonts w:hint="eastAsia" w:ascii="宋体" w:hAnsi="宋体" w:eastAsia="宋体" w:cs="宋体"/>
                <w:color w:val="auto"/>
                <w:sz w:val="24"/>
                <w:szCs w:val="24"/>
                <w:highlight w:val="none"/>
              </w:rPr>
            </w:pPr>
          </w:p>
        </w:tc>
      </w:tr>
      <w:tr w14:paraId="704EFB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noWrap w:val="0"/>
          </w:tcPr>
          <w:p w14:paraId="2F4F423B">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4012C819">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0CE00320">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753402A9">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1B1459BC">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0804A43A">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4801A6E5">
            <w:pPr>
              <w:spacing w:before="50" w:after="120" w:line="400" w:lineRule="exact"/>
              <w:jc w:val="left"/>
              <w:rPr>
                <w:rFonts w:hint="eastAsia" w:ascii="宋体" w:hAnsi="宋体" w:eastAsia="宋体" w:cs="宋体"/>
                <w:color w:val="auto"/>
                <w:sz w:val="24"/>
                <w:szCs w:val="24"/>
                <w:highlight w:val="none"/>
              </w:rPr>
            </w:pPr>
          </w:p>
        </w:tc>
      </w:tr>
      <w:tr w14:paraId="662E4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noWrap w:val="0"/>
          </w:tcPr>
          <w:p w14:paraId="052A243C">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3A8CAA54">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5DC40EA7">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5BF580D0">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4A8C5A87">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1A189E4F">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5991225A">
            <w:pPr>
              <w:spacing w:before="50" w:after="120" w:line="400" w:lineRule="exact"/>
              <w:jc w:val="left"/>
              <w:rPr>
                <w:rFonts w:hint="eastAsia" w:ascii="宋体" w:hAnsi="宋体" w:eastAsia="宋体" w:cs="宋体"/>
                <w:color w:val="auto"/>
                <w:sz w:val="24"/>
                <w:szCs w:val="24"/>
                <w:highlight w:val="none"/>
              </w:rPr>
            </w:pPr>
          </w:p>
        </w:tc>
      </w:tr>
    </w:tbl>
    <w:p w14:paraId="14EA12D6">
      <w:pPr>
        <w:ind w:left="480" w:hanging="480"/>
        <w:contextualSpacing/>
        <w:rPr>
          <w:rFonts w:hint="eastAsia" w:ascii="宋体" w:hAnsi="宋体" w:eastAsia="宋体" w:cs="宋体"/>
          <w:color w:val="auto"/>
          <w:sz w:val="24"/>
          <w:szCs w:val="24"/>
          <w:highlight w:val="none"/>
        </w:rPr>
      </w:pPr>
    </w:p>
    <w:p w14:paraId="6185862F">
      <w:pPr>
        <w:ind w:left="480" w:hanging="480"/>
        <w:contextualSpacing/>
        <w:rPr>
          <w:rFonts w:hint="eastAsia" w:ascii="宋体" w:hAnsi="宋体" w:eastAsia="宋体" w:cs="宋体"/>
          <w:color w:val="auto"/>
          <w:sz w:val="24"/>
          <w:szCs w:val="24"/>
          <w:highlight w:val="none"/>
        </w:rPr>
      </w:pPr>
    </w:p>
    <w:p w14:paraId="4D668C74">
      <w:pPr>
        <w:spacing w:line="360" w:lineRule="auto"/>
        <w:ind w:left="-420" w:firstLine="2425"/>
        <w:rPr>
          <w:rFonts w:hint="eastAsia"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类似项目的业绩一览表</w:t>
      </w:r>
    </w:p>
    <w:p w14:paraId="43B8AED7">
      <w:pPr>
        <w:spacing w:line="360" w:lineRule="auto"/>
        <w:ind w:left="0" w:firstLine="0"/>
        <w:rPr>
          <w:rFonts w:hint="eastAsia" w:ascii="宋体" w:hAnsi="宋体" w:eastAsia="宋体" w:cs="宋体"/>
          <w:color w:val="auto"/>
          <w:sz w:val="32"/>
          <w:szCs w:val="32"/>
          <w:highlight w:val="none"/>
          <w:lang w:eastAsia="zh-CN"/>
        </w:rPr>
      </w:pPr>
    </w:p>
    <w:p w14:paraId="007CF7C6">
      <w:pPr>
        <w:spacing w:line="360" w:lineRule="auto"/>
        <w:ind w:left="-218" w:firstLine="480"/>
        <w:rPr>
          <w:rFonts w:hint="eastAsia" w:ascii="宋体" w:hAnsi="宋体" w:eastAsia="宋体" w:cs="宋体"/>
          <w:color w:val="auto"/>
          <w:sz w:val="20"/>
          <w:szCs w:val="21"/>
          <w:highlight w:val="none"/>
          <w:lang w:val="zh-CN"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14:paraId="34CC9C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14:paraId="09BAB807">
      <w:pPr>
        <w:spacing w:line="360" w:lineRule="auto"/>
        <w:ind w:firstLine="4935"/>
        <w:rPr>
          <w:rFonts w:hint="eastAsia" w:ascii="宋体" w:hAnsi="宋体" w:eastAsia="宋体" w:cs="宋体"/>
          <w:color w:val="auto"/>
          <w:szCs w:val="21"/>
          <w:highlight w:val="none"/>
        </w:rPr>
      </w:pPr>
    </w:p>
    <w:p w14:paraId="2D3D12E0">
      <w:pPr>
        <w:spacing w:line="360" w:lineRule="auto"/>
        <w:ind w:left="4410" w:firstLine="5670"/>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4"/>
          <w:highlight w:val="none"/>
          <w:lang w:val="zh-CN"/>
        </w:rPr>
        <w:t>供应商名称(盖公章)：</w:t>
      </w:r>
    </w:p>
    <w:p w14:paraId="2E20E841">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lang w:val="zh-CN"/>
        </w:rPr>
        <w:t xml:space="preserve">                                                     日期</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日</w:t>
      </w:r>
    </w:p>
    <w:p w14:paraId="0707E6EA">
      <w:pPr>
        <w:spacing w:line="360" w:lineRule="auto"/>
        <w:ind w:firstLine="0"/>
        <w:jc w:val="left"/>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8.</w:t>
      </w:r>
      <w:r>
        <w:rPr>
          <w:rFonts w:hint="eastAsia" w:ascii="宋体" w:hAnsi="宋体" w:eastAsia="宋体" w:cs="宋体"/>
          <w:b/>
          <w:color w:val="auto"/>
          <w:sz w:val="30"/>
          <w:szCs w:val="30"/>
          <w:highlight w:val="none"/>
          <w:lang w:eastAsia="zh-CN"/>
        </w:rPr>
        <w:t>技术</w:t>
      </w:r>
      <w:r>
        <w:rPr>
          <w:rFonts w:hint="eastAsia" w:ascii="宋体" w:hAnsi="宋体" w:eastAsia="宋体" w:cs="宋体"/>
          <w:b/>
          <w:color w:val="auto"/>
          <w:sz w:val="30"/>
          <w:szCs w:val="30"/>
          <w:highlight w:val="none"/>
        </w:rPr>
        <w:t>需求偏离表</w:t>
      </w:r>
      <w:r>
        <w:rPr>
          <w:rFonts w:hint="eastAsia" w:ascii="宋体" w:hAnsi="宋体" w:eastAsia="宋体" w:cs="宋体"/>
          <w:b/>
          <w:color w:val="auto"/>
          <w:sz w:val="30"/>
          <w:szCs w:val="30"/>
          <w:highlight w:val="none"/>
          <w:lang w:eastAsia="zh-CN"/>
        </w:rPr>
        <w:t>的格式：</w:t>
      </w:r>
    </w:p>
    <w:p w14:paraId="74DE41AA">
      <w:pPr>
        <w:spacing w:line="500" w:lineRule="exact"/>
        <w:jc w:val="center"/>
        <w:rPr>
          <w:rFonts w:hint="eastAsia" w:ascii="宋体" w:hAnsi="宋体" w:eastAsia="宋体" w:cs="宋体"/>
          <w:color w:val="auto"/>
          <w:sz w:val="32"/>
          <w:szCs w:val="32"/>
          <w:highlight w:val="none"/>
        </w:rPr>
      </w:pPr>
    </w:p>
    <w:p w14:paraId="25F70324">
      <w:pPr>
        <w:spacing w:line="500" w:lineRule="exact"/>
        <w:jc w:val="center"/>
        <w:rPr>
          <w:rFonts w:hint="eastAsia" w:ascii="宋体" w:hAnsi="宋体" w:eastAsia="宋体" w:cs="宋体"/>
          <w:b/>
          <w:bCs w:val="0"/>
          <w:color w:val="auto"/>
          <w:sz w:val="36"/>
          <w:szCs w:val="36"/>
          <w:highlight w:val="none"/>
        </w:rPr>
      </w:pPr>
      <w:r>
        <w:rPr>
          <w:rFonts w:hint="eastAsia" w:ascii="宋体" w:hAnsi="宋体" w:eastAsia="宋体" w:cs="宋体"/>
          <w:b/>
          <w:bCs w:val="0"/>
          <w:color w:val="auto"/>
          <w:sz w:val="32"/>
          <w:szCs w:val="32"/>
          <w:highlight w:val="none"/>
          <w:lang w:eastAsia="zh-CN"/>
        </w:rPr>
        <w:t>技术</w:t>
      </w:r>
      <w:r>
        <w:rPr>
          <w:rFonts w:hint="eastAsia" w:ascii="宋体" w:hAnsi="宋体" w:eastAsia="宋体" w:cs="宋体"/>
          <w:b/>
          <w:bCs w:val="0"/>
          <w:color w:val="auto"/>
          <w:sz w:val="32"/>
          <w:szCs w:val="32"/>
          <w:highlight w:val="none"/>
        </w:rPr>
        <w:t>需求偏离表</w:t>
      </w:r>
    </w:p>
    <w:p w14:paraId="7FF4814D">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21"/>
          <w:szCs w:val="21"/>
          <w:highlight w:val="none"/>
        </w:rPr>
        <w:t>(注：按采购需求具体条款</w:t>
      </w:r>
      <w:r>
        <w:rPr>
          <w:rFonts w:hint="eastAsia" w:ascii="宋体" w:hAnsi="宋体" w:eastAsia="宋体" w:cs="宋体"/>
          <w:bCs/>
          <w:color w:val="auto"/>
          <w:sz w:val="21"/>
          <w:szCs w:val="21"/>
          <w:highlight w:val="none"/>
          <w:lang w:val="en-US" w:eastAsia="zh-CN"/>
        </w:rPr>
        <w:t>编制</w:t>
      </w:r>
      <w:r>
        <w:rPr>
          <w:rFonts w:hint="eastAsia" w:ascii="宋体" w:hAnsi="宋体" w:eastAsia="宋体" w:cs="宋体"/>
          <w:bCs/>
          <w:color w:val="auto"/>
          <w:sz w:val="21"/>
          <w:szCs w:val="21"/>
          <w:highlight w:val="none"/>
        </w:rPr>
        <w:t>)</w:t>
      </w:r>
    </w:p>
    <w:p w14:paraId="5F389860">
      <w:pPr>
        <w:spacing w:line="360" w:lineRule="auto"/>
        <w:contextualSpacing/>
        <w:jc w:val="left"/>
        <w:rPr>
          <w:rFonts w:hint="eastAsia" w:ascii="宋体" w:hAnsi="宋体" w:eastAsia="宋体" w:cs="宋体"/>
          <w:color w:val="auto"/>
          <w:sz w:val="24"/>
          <w:szCs w:val="24"/>
          <w:highlight w:val="none"/>
        </w:rPr>
      </w:pPr>
    </w:p>
    <w:p w14:paraId="4EAF109C">
      <w:pPr>
        <w:spacing w:line="360" w:lineRule="auto"/>
        <w:ind w:firstLine="2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7B81EFB5">
      <w:pPr>
        <w:spacing w:line="360" w:lineRule="auto"/>
        <w:ind w:firstLine="2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6972BBD6">
      <w:pPr>
        <w:spacing w:line="360" w:lineRule="auto"/>
        <w:ind w:firstLine="24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tbl>
      <w:tblPr>
        <w:tblStyle w:val="45"/>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14:paraId="15D1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9F1169F">
            <w:pPr>
              <w:widowControl/>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项号</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1A70596">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货物名称</w:t>
            </w:r>
          </w:p>
        </w:tc>
        <w:tc>
          <w:tcPr>
            <w:tcW w:w="2288" w:type="dxa"/>
            <w:tcBorders>
              <w:top w:val="single" w:color="auto" w:sz="4" w:space="0"/>
              <w:left w:val="single" w:color="auto" w:sz="4" w:space="0"/>
              <w:bottom w:val="single" w:color="auto" w:sz="4" w:space="0"/>
              <w:right w:val="single" w:color="auto" w:sz="4" w:space="0"/>
            </w:tcBorders>
            <w:noWrap w:val="0"/>
            <w:vAlign w:val="center"/>
          </w:tcPr>
          <w:p w14:paraId="45CF663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eastAsia="宋体" w:cs="宋体"/>
                <w:color w:val="auto"/>
                <w:szCs w:val="21"/>
                <w:highlight w:val="none"/>
                <w:lang w:eastAsia="zh-CN"/>
              </w:rPr>
              <w:t>采购需求</w:t>
            </w:r>
            <w:r>
              <w:rPr>
                <w:rFonts w:hint="eastAsia" w:ascii="宋体" w:hAnsi="宋体" w:eastAsia="宋体" w:cs="宋体"/>
                <w:color w:val="auto"/>
                <w:szCs w:val="21"/>
                <w:highlight w:val="none"/>
                <w:lang w:val="en-US" w:eastAsia="zh-CN"/>
              </w:rPr>
              <w:t>中的</w:t>
            </w:r>
            <w:r>
              <w:rPr>
                <w:rFonts w:hint="eastAsia" w:ascii="宋体" w:hAnsi="宋体" w:eastAsia="宋体" w:cs="宋体"/>
                <w:color w:val="auto"/>
                <w:sz w:val="21"/>
                <w:szCs w:val="21"/>
                <w:highlight w:val="none"/>
                <w:lang w:eastAsia="zh-CN"/>
              </w:rPr>
              <w:t>参数</w:t>
            </w:r>
          </w:p>
        </w:tc>
        <w:tc>
          <w:tcPr>
            <w:tcW w:w="2786" w:type="dxa"/>
            <w:tcBorders>
              <w:top w:val="single" w:color="auto" w:sz="4" w:space="0"/>
              <w:left w:val="single" w:color="auto" w:sz="4" w:space="0"/>
              <w:bottom w:val="single" w:color="auto" w:sz="4" w:space="0"/>
              <w:right w:val="single" w:color="auto" w:sz="4" w:space="0"/>
            </w:tcBorders>
            <w:noWrap w:val="0"/>
            <w:vAlign w:val="center"/>
          </w:tcPr>
          <w:p w14:paraId="2D3C8C9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响应的</w:t>
            </w:r>
            <w:r>
              <w:rPr>
                <w:rFonts w:hint="eastAsia" w:ascii="宋体" w:hAnsi="宋体" w:eastAsia="宋体" w:cs="宋体"/>
                <w:color w:val="auto"/>
                <w:sz w:val="21"/>
                <w:szCs w:val="21"/>
                <w:highlight w:val="none"/>
                <w:lang w:eastAsia="zh-CN"/>
              </w:rPr>
              <w:t>参数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1DB0972">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098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6E371B1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22FF62A">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70963813">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4AE33D6F">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FD58915">
            <w:pPr>
              <w:rPr>
                <w:rFonts w:hint="eastAsia" w:ascii="宋体" w:hAnsi="宋体" w:eastAsia="宋体" w:cs="宋体"/>
                <w:color w:val="auto"/>
                <w:szCs w:val="21"/>
                <w:highlight w:val="none"/>
              </w:rPr>
            </w:pPr>
          </w:p>
        </w:tc>
      </w:tr>
      <w:tr w14:paraId="76DD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CF26A7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F3497A3">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40FFE020">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7790EF2A">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2422A3F">
            <w:pPr>
              <w:rPr>
                <w:rFonts w:hint="eastAsia" w:ascii="宋体" w:hAnsi="宋体" w:eastAsia="宋体" w:cs="宋体"/>
                <w:color w:val="auto"/>
                <w:szCs w:val="21"/>
                <w:highlight w:val="none"/>
              </w:rPr>
            </w:pPr>
          </w:p>
        </w:tc>
      </w:tr>
      <w:tr w14:paraId="5C1A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2CCECA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A6BE090">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1E85E946">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693C7E8F">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4B0743C">
            <w:pPr>
              <w:rPr>
                <w:rFonts w:hint="eastAsia" w:ascii="宋体" w:hAnsi="宋体" w:eastAsia="宋体" w:cs="宋体"/>
                <w:color w:val="auto"/>
                <w:szCs w:val="21"/>
                <w:highlight w:val="none"/>
              </w:rPr>
            </w:pPr>
          </w:p>
        </w:tc>
      </w:tr>
      <w:tr w14:paraId="3B6D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noWrap w:val="0"/>
            <w:vAlign w:val="center"/>
          </w:tcPr>
          <w:p w14:paraId="6A93A20B">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u w:val="none"/>
                <w:lang w:eastAsia="zh-CN"/>
              </w:rPr>
              <w:t>竞</w:t>
            </w:r>
            <w:r>
              <w:rPr>
                <w:rFonts w:hint="eastAsia" w:ascii="宋体" w:hAnsi="宋体" w:eastAsia="宋体" w:cs="宋体"/>
                <w:color w:val="auto"/>
                <w:sz w:val="21"/>
                <w:szCs w:val="21"/>
                <w:highlight w:val="none"/>
                <w:u w:val="none"/>
              </w:rPr>
              <w:t>标货物中，属于优先采购节能产品</w:t>
            </w:r>
            <w:r>
              <w:rPr>
                <w:rFonts w:hint="eastAsia" w:ascii="宋体" w:hAnsi="宋体" w:eastAsia="宋体" w:cs="宋体"/>
                <w:color w:val="auto"/>
                <w:highlight w:val="none"/>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lang w:val="en-US" w:eastAsia="zh-CN"/>
              </w:rPr>
              <w:t>货物名称</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属于优先采购环境标志产品</w:t>
            </w:r>
            <w:r>
              <w:rPr>
                <w:rFonts w:hint="eastAsia" w:ascii="宋体" w:hAnsi="宋体" w:eastAsia="宋体" w:cs="宋体"/>
                <w:color w:val="auto"/>
                <w:sz w:val="21"/>
                <w:szCs w:val="21"/>
                <w:highlight w:val="none"/>
                <w:u w:val="none"/>
                <w:lang w:val="en-US" w:eastAsia="zh-CN"/>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lang w:val="en-US" w:eastAsia="zh-CN"/>
              </w:rPr>
              <w:t>货物名称</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 w:val="21"/>
                <w:szCs w:val="21"/>
                <w:highlight w:val="none"/>
                <w:u w:val="none"/>
                <w:lang w:eastAsia="zh-CN"/>
              </w:rPr>
              <w:t>（注：如有，请逐项列出，如无填写“无”或者留空。）</w:t>
            </w:r>
          </w:p>
        </w:tc>
      </w:tr>
    </w:tbl>
    <w:p w14:paraId="32868023">
      <w:pPr>
        <w:spacing w:line="360" w:lineRule="auto"/>
        <w:contextualSpacing/>
        <w:rPr>
          <w:rFonts w:hint="eastAsia" w:ascii="宋体" w:hAnsi="宋体" w:eastAsia="宋体" w:cs="宋体"/>
          <w:color w:val="auto"/>
          <w:szCs w:val="21"/>
          <w:highlight w:val="none"/>
          <w:lang w:val="zh-CN" w:eastAsia="zh-CN"/>
        </w:rPr>
      </w:pPr>
    </w:p>
    <w:p w14:paraId="50C03342">
      <w:pPr>
        <w:spacing w:line="360" w:lineRule="auto"/>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注：</w:t>
      </w:r>
    </w:p>
    <w:p w14:paraId="031F7062">
      <w:pPr>
        <w:spacing w:line="360" w:lineRule="auto"/>
        <w:ind w:left="0" w:firstLine="420"/>
        <w:contextualSpacing w:val="0"/>
        <w:rPr>
          <w:rFonts w:hint="eastAsia" w:ascii="宋体" w:hAnsi="宋体" w:eastAsia="宋体" w:cs="宋体"/>
          <w:color w:val="auto"/>
          <w:sz w:val="21"/>
          <w:szCs w:val="21"/>
          <w:highlight w:val="none"/>
          <w:lang w:val="zh-CN" w:eastAsia="zh-CN"/>
        </w:rPr>
      </w:pPr>
      <w:r>
        <w:rPr>
          <w:rFonts w:hint="eastAsia" w:ascii="宋体" w:hAnsi="宋体" w:eastAsia="宋体" w:cs="宋体"/>
          <w:bCs w:val="0"/>
          <w:color w:val="auto"/>
          <w:szCs w:val="21"/>
          <w:highlight w:val="none"/>
        </w:rPr>
        <w:t>▲</w:t>
      </w: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Cs w:val="21"/>
          <w:highlight w:val="none"/>
          <w:lang w:eastAsia="zh-CN"/>
        </w:rPr>
        <w:t>必须</w:t>
      </w:r>
      <w:r>
        <w:rPr>
          <w:rFonts w:hint="eastAsia" w:ascii="宋体" w:hAnsi="宋体" w:eastAsia="宋体" w:cs="宋体"/>
          <w:color w:val="auto"/>
          <w:szCs w:val="21"/>
          <w:highlight w:val="none"/>
        </w:rPr>
        <w:t>对本项目</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文件“第二章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color w:val="auto"/>
          <w:sz w:val="21"/>
          <w:szCs w:val="21"/>
          <w:highlight w:val="none"/>
        </w:rPr>
        <w:t>采购需求</w:t>
      </w:r>
      <w:r>
        <w:rPr>
          <w:rFonts w:hint="eastAsia" w:ascii="宋体" w:hAnsi="宋体" w:eastAsia="宋体" w:cs="宋体"/>
          <w:color w:val="auto"/>
          <w:szCs w:val="21"/>
          <w:highlight w:val="none"/>
        </w:rPr>
        <w:t>”中“</w:t>
      </w:r>
      <w:r>
        <w:rPr>
          <w:rFonts w:hint="eastAsia" w:ascii="宋体" w:hAnsi="宋体" w:eastAsia="宋体" w:cs="宋体"/>
          <w:color w:val="auto"/>
          <w:szCs w:val="21"/>
          <w:highlight w:val="none"/>
          <w:lang w:val="en-US" w:eastAsia="zh-CN"/>
        </w:rPr>
        <w:t>参数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highlight w:val="none"/>
          <w:lang w:val="en-US" w:eastAsia="zh-CN"/>
        </w:rPr>
        <w:t>全部</w:t>
      </w:r>
      <w:r>
        <w:rPr>
          <w:rFonts w:hint="eastAsia" w:ascii="宋体" w:hAnsi="宋体" w:eastAsia="宋体" w:cs="宋体"/>
          <w:color w:val="auto"/>
          <w:szCs w:val="21"/>
          <w:highlight w:val="none"/>
          <w:lang w:eastAsia="zh-CN"/>
        </w:rPr>
        <w:t>条款</w:t>
      </w:r>
      <w:r>
        <w:rPr>
          <w:rFonts w:hint="eastAsia" w:ascii="宋体" w:hAnsi="宋体" w:eastAsia="宋体" w:cs="宋体"/>
          <w:color w:val="auto"/>
          <w:szCs w:val="21"/>
          <w:highlight w:val="none"/>
        </w:rPr>
        <w:t>，详细填写</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的具体内容</w:t>
      </w:r>
      <w:r>
        <w:rPr>
          <w:rFonts w:hint="eastAsia" w:ascii="宋体" w:hAnsi="宋体" w:eastAsia="宋体" w:cs="宋体"/>
          <w:color w:val="auto"/>
          <w:szCs w:val="21"/>
          <w:highlight w:val="none"/>
          <w:lang w:eastAsia="zh-CN"/>
        </w:rPr>
        <w:t>，</w:t>
      </w:r>
      <w:r>
        <w:rPr>
          <w:rFonts w:hint="eastAsia" w:ascii="宋体" w:hAnsi="宋体" w:eastAsia="宋体" w:cs="宋体"/>
          <w:b w:val="0"/>
          <w:bCs w:val="0"/>
          <w:color w:val="auto"/>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rPr>
        <w:t>“偏离说明”一栏应当选择“正偏离”</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“负偏离”或“无偏离”进行填写。</w:t>
      </w:r>
    </w:p>
    <w:p w14:paraId="40CA210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.表格内容均需按要求填写并盖</w:t>
      </w:r>
      <w:r>
        <w:rPr>
          <w:rFonts w:hint="eastAsia" w:ascii="宋体" w:hAnsi="宋体" w:eastAsia="宋体" w:cs="宋体"/>
          <w:color w:val="auto"/>
          <w:szCs w:val="21"/>
          <w:highlight w:val="none"/>
          <w:lang w:eastAsia="zh-CN"/>
        </w:rPr>
        <w:t>公</w:t>
      </w:r>
      <w:r>
        <w:rPr>
          <w:rFonts w:hint="eastAsia" w:ascii="宋体" w:hAnsi="宋体" w:eastAsia="宋体" w:cs="宋体"/>
          <w:color w:val="auto"/>
          <w:szCs w:val="21"/>
          <w:highlight w:val="none"/>
        </w:rPr>
        <w:t>章，不得留空，</w:t>
      </w:r>
      <w:r>
        <w:rPr>
          <w:rFonts w:hint="eastAsia" w:ascii="宋体" w:hAnsi="宋体" w:eastAsia="宋体" w:cs="宋体"/>
          <w:b/>
          <w:bCs/>
          <w:color w:val="auto"/>
          <w:szCs w:val="21"/>
          <w:highlight w:val="none"/>
        </w:rPr>
        <w:t>否则按</w:t>
      </w:r>
      <w:r>
        <w:rPr>
          <w:rFonts w:hint="eastAsia" w:ascii="宋体" w:hAnsi="宋体" w:eastAsia="宋体" w:cs="宋体"/>
          <w:b/>
          <w:bCs/>
          <w:color w:val="auto"/>
          <w:szCs w:val="21"/>
          <w:highlight w:val="none"/>
          <w:lang w:eastAsia="zh-CN"/>
        </w:rPr>
        <w:t>响应无效</w:t>
      </w:r>
      <w:r>
        <w:rPr>
          <w:rFonts w:hint="eastAsia" w:ascii="宋体" w:hAnsi="宋体" w:eastAsia="宋体" w:cs="宋体"/>
          <w:b/>
          <w:bCs/>
          <w:color w:val="auto"/>
          <w:szCs w:val="21"/>
          <w:highlight w:val="none"/>
        </w:rPr>
        <w:t>处理。</w:t>
      </w:r>
    </w:p>
    <w:p w14:paraId="19A4A46C">
      <w:pPr>
        <w:spacing w:line="360" w:lineRule="auto"/>
        <w:ind w:left="4335" w:hanging="240"/>
        <w:rPr>
          <w:rFonts w:hint="eastAsia" w:ascii="宋体" w:hAnsi="宋体" w:eastAsia="宋体" w:cs="宋体"/>
          <w:color w:val="auto"/>
          <w:sz w:val="24"/>
          <w:szCs w:val="24"/>
          <w:highlight w:val="none"/>
        </w:rPr>
      </w:pPr>
    </w:p>
    <w:p w14:paraId="3E9065AA">
      <w:pPr>
        <w:spacing w:line="360" w:lineRule="auto"/>
        <w:ind w:left="4335" w:hanging="240"/>
        <w:rPr>
          <w:rFonts w:hint="eastAsia" w:ascii="宋体" w:hAnsi="宋体" w:eastAsia="宋体" w:cs="宋体"/>
          <w:color w:val="auto"/>
          <w:sz w:val="24"/>
          <w:szCs w:val="24"/>
          <w:highlight w:val="none"/>
        </w:rPr>
      </w:pPr>
    </w:p>
    <w:p w14:paraId="6B3F0324">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10657422">
      <w:pPr>
        <w:spacing w:line="360" w:lineRule="auto"/>
        <w:ind w:firstLine="648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日期：  年  月   日</w:t>
      </w:r>
    </w:p>
    <w:p w14:paraId="4AAEF84D">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cols w:space="720" w:num="1"/>
        </w:sectPr>
      </w:pPr>
    </w:p>
    <w:p w14:paraId="4AA6F3DF">
      <w:pPr>
        <w:spacing w:before="120" w:after="50"/>
        <w:ind w:left="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9.</w:t>
      </w:r>
      <w:r>
        <w:rPr>
          <w:rFonts w:hint="eastAsia" w:ascii="宋体" w:hAnsi="宋体" w:eastAsia="宋体" w:cs="宋体"/>
          <w:b/>
          <w:color w:val="auto"/>
          <w:sz w:val="28"/>
          <w:szCs w:val="28"/>
          <w:highlight w:val="none"/>
        </w:rPr>
        <w:t>售后服务方案</w:t>
      </w:r>
    </w:p>
    <w:p w14:paraId="19362EB0">
      <w:pPr>
        <w:spacing w:before="120" w:after="50" w:line="360" w:lineRule="auto"/>
        <w:ind w:left="143"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由</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按本项目竞争性谈判文件</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第二章</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采购需求”中商务条款部分的售后服务要求自行</w:t>
      </w:r>
      <w:r>
        <w:rPr>
          <w:rFonts w:hint="eastAsia" w:ascii="宋体" w:hAnsi="宋体" w:eastAsia="宋体" w:cs="宋体"/>
          <w:color w:val="auto"/>
          <w:szCs w:val="24"/>
          <w:highlight w:val="none"/>
          <w:lang w:val="en-US" w:eastAsia="zh-CN"/>
        </w:rPr>
        <w:t>编制</w:t>
      </w:r>
    </w:p>
    <w:p w14:paraId="4001AAD4">
      <w:pPr>
        <w:spacing w:before="120" w:after="50"/>
        <w:ind w:left="142"/>
        <w:jc w:val="center"/>
        <w:rPr>
          <w:rFonts w:hint="eastAsia" w:ascii="宋体" w:hAnsi="宋体" w:eastAsia="宋体" w:cs="宋体"/>
          <w:b/>
          <w:color w:val="auto"/>
          <w:sz w:val="32"/>
          <w:szCs w:val="32"/>
          <w:highlight w:val="none"/>
        </w:rPr>
      </w:pPr>
    </w:p>
    <w:p w14:paraId="306DF0E3">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14:paraId="785C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04401A21">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340" w:type="dxa"/>
            <w:noWrap w:val="0"/>
            <w:vAlign w:val="center"/>
          </w:tcPr>
          <w:p w14:paraId="3121108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机构名称</w:t>
            </w:r>
          </w:p>
        </w:tc>
        <w:tc>
          <w:tcPr>
            <w:tcW w:w="1278" w:type="dxa"/>
            <w:noWrap w:val="0"/>
            <w:vAlign w:val="center"/>
          </w:tcPr>
          <w:p w14:paraId="4D0C4575">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机构性质</w:t>
            </w:r>
          </w:p>
        </w:tc>
        <w:tc>
          <w:tcPr>
            <w:tcW w:w="1523" w:type="dxa"/>
            <w:noWrap w:val="0"/>
            <w:vAlign w:val="center"/>
          </w:tcPr>
          <w:p w14:paraId="71971DA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注册地址</w:t>
            </w:r>
          </w:p>
        </w:tc>
        <w:tc>
          <w:tcPr>
            <w:tcW w:w="1246" w:type="dxa"/>
            <w:noWrap w:val="0"/>
            <w:vAlign w:val="center"/>
          </w:tcPr>
          <w:p w14:paraId="0EC3B345">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货物技术人员数量</w:t>
            </w:r>
          </w:p>
        </w:tc>
        <w:tc>
          <w:tcPr>
            <w:tcW w:w="1533" w:type="dxa"/>
            <w:noWrap w:val="0"/>
            <w:vAlign w:val="center"/>
          </w:tcPr>
          <w:p w14:paraId="1DE1C25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联系电话</w:t>
            </w:r>
          </w:p>
        </w:tc>
      </w:tr>
      <w:tr w14:paraId="2126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7D41AE52">
            <w:pPr>
              <w:spacing w:line="360" w:lineRule="auto"/>
              <w:jc w:val="center"/>
              <w:rPr>
                <w:rFonts w:hint="eastAsia" w:ascii="宋体" w:hAnsi="宋体" w:eastAsia="宋体" w:cs="宋体"/>
                <w:color w:val="auto"/>
                <w:sz w:val="21"/>
                <w:szCs w:val="21"/>
                <w:highlight w:val="none"/>
              </w:rPr>
            </w:pPr>
          </w:p>
        </w:tc>
        <w:tc>
          <w:tcPr>
            <w:tcW w:w="2340" w:type="dxa"/>
            <w:noWrap w:val="0"/>
          </w:tcPr>
          <w:p w14:paraId="0E184739">
            <w:pPr>
              <w:spacing w:line="360" w:lineRule="auto"/>
              <w:jc w:val="center"/>
              <w:rPr>
                <w:rFonts w:hint="eastAsia" w:ascii="宋体" w:hAnsi="宋体" w:eastAsia="宋体" w:cs="宋体"/>
                <w:color w:val="auto"/>
                <w:sz w:val="21"/>
                <w:szCs w:val="21"/>
                <w:highlight w:val="none"/>
              </w:rPr>
            </w:pPr>
          </w:p>
        </w:tc>
        <w:tc>
          <w:tcPr>
            <w:tcW w:w="1278" w:type="dxa"/>
            <w:noWrap w:val="0"/>
          </w:tcPr>
          <w:p w14:paraId="6A896277">
            <w:pPr>
              <w:spacing w:line="360" w:lineRule="auto"/>
              <w:jc w:val="center"/>
              <w:rPr>
                <w:rFonts w:hint="eastAsia" w:ascii="宋体" w:hAnsi="宋体" w:eastAsia="宋体" w:cs="宋体"/>
                <w:color w:val="auto"/>
                <w:sz w:val="21"/>
                <w:szCs w:val="21"/>
                <w:highlight w:val="none"/>
              </w:rPr>
            </w:pPr>
          </w:p>
        </w:tc>
        <w:tc>
          <w:tcPr>
            <w:tcW w:w="1523" w:type="dxa"/>
            <w:noWrap w:val="0"/>
          </w:tcPr>
          <w:p w14:paraId="54B062BA">
            <w:pPr>
              <w:spacing w:line="360" w:lineRule="auto"/>
              <w:jc w:val="center"/>
              <w:rPr>
                <w:rFonts w:hint="eastAsia" w:ascii="宋体" w:hAnsi="宋体" w:eastAsia="宋体" w:cs="宋体"/>
                <w:color w:val="auto"/>
                <w:sz w:val="21"/>
                <w:szCs w:val="21"/>
                <w:highlight w:val="none"/>
              </w:rPr>
            </w:pPr>
          </w:p>
        </w:tc>
        <w:tc>
          <w:tcPr>
            <w:tcW w:w="1246" w:type="dxa"/>
            <w:noWrap w:val="0"/>
          </w:tcPr>
          <w:p w14:paraId="5C19CBC7">
            <w:pPr>
              <w:spacing w:line="360" w:lineRule="auto"/>
              <w:jc w:val="center"/>
              <w:rPr>
                <w:rFonts w:hint="eastAsia" w:ascii="宋体" w:hAnsi="宋体" w:eastAsia="宋体" w:cs="宋体"/>
                <w:color w:val="auto"/>
                <w:sz w:val="21"/>
                <w:szCs w:val="21"/>
                <w:highlight w:val="none"/>
              </w:rPr>
            </w:pPr>
          </w:p>
        </w:tc>
        <w:tc>
          <w:tcPr>
            <w:tcW w:w="1533" w:type="dxa"/>
            <w:noWrap w:val="0"/>
          </w:tcPr>
          <w:p w14:paraId="39ABF730">
            <w:pPr>
              <w:spacing w:line="360" w:lineRule="auto"/>
              <w:jc w:val="center"/>
              <w:rPr>
                <w:rFonts w:hint="eastAsia" w:ascii="宋体" w:hAnsi="宋体" w:eastAsia="宋体" w:cs="宋体"/>
                <w:color w:val="auto"/>
                <w:sz w:val="21"/>
                <w:szCs w:val="21"/>
                <w:highlight w:val="none"/>
              </w:rPr>
            </w:pPr>
          </w:p>
        </w:tc>
      </w:tr>
      <w:tr w14:paraId="1980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64510DA1">
            <w:pPr>
              <w:spacing w:line="360" w:lineRule="auto"/>
              <w:jc w:val="center"/>
              <w:rPr>
                <w:rFonts w:hint="eastAsia" w:ascii="宋体" w:hAnsi="宋体" w:eastAsia="宋体" w:cs="宋体"/>
                <w:color w:val="auto"/>
                <w:sz w:val="21"/>
                <w:szCs w:val="21"/>
                <w:highlight w:val="none"/>
              </w:rPr>
            </w:pPr>
          </w:p>
        </w:tc>
        <w:tc>
          <w:tcPr>
            <w:tcW w:w="2340" w:type="dxa"/>
            <w:noWrap w:val="0"/>
          </w:tcPr>
          <w:p w14:paraId="78219D68">
            <w:pPr>
              <w:spacing w:line="360" w:lineRule="auto"/>
              <w:jc w:val="center"/>
              <w:rPr>
                <w:rFonts w:hint="eastAsia" w:ascii="宋体" w:hAnsi="宋体" w:eastAsia="宋体" w:cs="宋体"/>
                <w:color w:val="auto"/>
                <w:sz w:val="21"/>
                <w:szCs w:val="21"/>
                <w:highlight w:val="none"/>
              </w:rPr>
            </w:pPr>
          </w:p>
        </w:tc>
        <w:tc>
          <w:tcPr>
            <w:tcW w:w="1278" w:type="dxa"/>
            <w:noWrap w:val="0"/>
          </w:tcPr>
          <w:p w14:paraId="3A43E01C">
            <w:pPr>
              <w:spacing w:line="360" w:lineRule="auto"/>
              <w:jc w:val="center"/>
              <w:rPr>
                <w:rFonts w:hint="eastAsia" w:ascii="宋体" w:hAnsi="宋体" w:eastAsia="宋体" w:cs="宋体"/>
                <w:color w:val="auto"/>
                <w:sz w:val="21"/>
                <w:szCs w:val="21"/>
                <w:highlight w:val="none"/>
              </w:rPr>
            </w:pPr>
          </w:p>
        </w:tc>
        <w:tc>
          <w:tcPr>
            <w:tcW w:w="1523" w:type="dxa"/>
            <w:noWrap w:val="0"/>
          </w:tcPr>
          <w:p w14:paraId="4D24D4F9">
            <w:pPr>
              <w:spacing w:line="360" w:lineRule="auto"/>
              <w:jc w:val="center"/>
              <w:rPr>
                <w:rFonts w:hint="eastAsia" w:ascii="宋体" w:hAnsi="宋体" w:eastAsia="宋体" w:cs="宋体"/>
                <w:color w:val="auto"/>
                <w:sz w:val="21"/>
                <w:szCs w:val="21"/>
                <w:highlight w:val="none"/>
              </w:rPr>
            </w:pPr>
          </w:p>
        </w:tc>
        <w:tc>
          <w:tcPr>
            <w:tcW w:w="1246" w:type="dxa"/>
            <w:noWrap w:val="0"/>
          </w:tcPr>
          <w:p w14:paraId="5CE22268">
            <w:pPr>
              <w:spacing w:line="360" w:lineRule="auto"/>
              <w:jc w:val="center"/>
              <w:rPr>
                <w:rFonts w:hint="eastAsia" w:ascii="宋体" w:hAnsi="宋体" w:eastAsia="宋体" w:cs="宋体"/>
                <w:color w:val="auto"/>
                <w:sz w:val="21"/>
                <w:szCs w:val="21"/>
                <w:highlight w:val="none"/>
              </w:rPr>
            </w:pPr>
          </w:p>
        </w:tc>
        <w:tc>
          <w:tcPr>
            <w:tcW w:w="1533" w:type="dxa"/>
            <w:noWrap w:val="0"/>
          </w:tcPr>
          <w:p w14:paraId="58918582">
            <w:pPr>
              <w:spacing w:line="360" w:lineRule="auto"/>
              <w:jc w:val="center"/>
              <w:rPr>
                <w:rFonts w:hint="eastAsia" w:ascii="宋体" w:hAnsi="宋体" w:eastAsia="宋体" w:cs="宋体"/>
                <w:color w:val="auto"/>
                <w:sz w:val="21"/>
                <w:szCs w:val="21"/>
                <w:highlight w:val="none"/>
              </w:rPr>
            </w:pPr>
          </w:p>
        </w:tc>
      </w:tr>
      <w:tr w14:paraId="5034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255502F5">
            <w:pPr>
              <w:spacing w:line="360" w:lineRule="auto"/>
              <w:jc w:val="center"/>
              <w:rPr>
                <w:rFonts w:hint="eastAsia" w:ascii="宋体" w:hAnsi="宋体" w:eastAsia="宋体" w:cs="宋体"/>
                <w:color w:val="auto"/>
                <w:sz w:val="21"/>
                <w:szCs w:val="21"/>
                <w:highlight w:val="none"/>
              </w:rPr>
            </w:pPr>
          </w:p>
        </w:tc>
        <w:tc>
          <w:tcPr>
            <w:tcW w:w="2340" w:type="dxa"/>
            <w:noWrap w:val="0"/>
          </w:tcPr>
          <w:p w14:paraId="4030E430">
            <w:pPr>
              <w:spacing w:line="360" w:lineRule="auto"/>
              <w:jc w:val="center"/>
              <w:rPr>
                <w:rFonts w:hint="eastAsia" w:ascii="宋体" w:hAnsi="宋体" w:eastAsia="宋体" w:cs="宋体"/>
                <w:color w:val="auto"/>
                <w:sz w:val="21"/>
                <w:szCs w:val="21"/>
                <w:highlight w:val="none"/>
              </w:rPr>
            </w:pPr>
          </w:p>
        </w:tc>
        <w:tc>
          <w:tcPr>
            <w:tcW w:w="1278" w:type="dxa"/>
            <w:noWrap w:val="0"/>
          </w:tcPr>
          <w:p w14:paraId="3E4EAB5B">
            <w:pPr>
              <w:spacing w:line="360" w:lineRule="auto"/>
              <w:jc w:val="center"/>
              <w:rPr>
                <w:rFonts w:hint="eastAsia" w:ascii="宋体" w:hAnsi="宋体" w:eastAsia="宋体" w:cs="宋体"/>
                <w:color w:val="auto"/>
                <w:sz w:val="21"/>
                <w:szCs w:val="21"/>
                <w:highlight w:val="none"/>
              </w:rPr>
            </w:pPr>
          </w:p>
        </w:tc>
        <w:tc>
          <w:tcPr>
            <w:tcW w:w="1523" w:type="dxa"/>
            <w:noWrap w:val="0"/>
          </w:tcPr>
          <w:p w14:paraId="3BA88B52">
            <w:pPr>
              <w:spacing w:line="360" w:lineRule="auto"/>
              <w:jc w:val="center"/>
              <w:rPr>
                <w:rFonts w:hint="eastAsia" w:ascii="宋体" w:hAnsi="宋体" w:eastAsia="宋体" w:cs="宋体"/>
                <w:color w:val="auto"/>
                <w:sz w:val="21"/>
                <w:szCs w:val="21"/>
                <w:highlight w:val="none"/>
              </w:rPr>
            </w:pPr>
          </w:p>
        </w:tc>
        <w:tc>
          <w:tcPr>
            <w:tcW w:w="1246" w:type="dxa"/>
            <w:noWrap w:val="0"/>
          </w:tcPr>
          <w:p w14:paraId="18D2253E">
            <w:pPr>
              <w:spacing w:line="360" w:lineRule="auto"/>
              <w:jc w:val="center"/>
              <w:rPr>
                <w:rFonts w:hint="eastAsia" w:ascii="宋体" w:hAnsi="宋体" w:eastAsia="宋体" w:cs="宋体"/>
                <w:color w:val="auto"/>
                <w:sz w:val="21"/>
                <w:szCs w:val="21"/>
                <w:highlight w:val="none"/>
              </w:rPr>
            </w:pPr>
          </w:p>
        </w:tc>
        <w:tc>
          <w:tcPr>
            <w:tcW w:w="1533" w:type="dxa"/>
            <w:noWrap w:val="0"/>
          </w:tcPr>
          <w:p w14:paraId="0425E94B">
            <w:pPr>
              <w:spacing w:line="360" w:lineRule="auto"/>
              <w:jc w:val="center"/>
              <w:rPr>
                <w:rFonts w:hint="eastAsia" w:ascii="宋体" w:hAnsi="宋体" w:eastAsia="宋体" w:cs="宋体"/>
                <w:color w:val="auto"/>
                <w:sz w:val="21"/>
                <w:szCs w:val="21"/>
                <w:highlight w:val="none"/>
              </w:rPr>
            </w:pPr>
          </w:p>
        </w:tc>
      </w:tr>
    </w:tbl>
    <w:p w14:paraId="7E50FE8E">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val="0"/>
          <w:bCs/>
          <w:color w:val="auto"/>
          <w:sz w:val="21"/>
          <w:szCs w:val="21"/>
          <w:highlight w:val="none"/>
        </w:rPr>
        <w:t>注：关于项目涉及的所有售后服务机构均在本表注明，包括供应商本单位和符合条件的第三方</w:t>
      </w:r>
      <w:r>
        <w:rPr>
          <w:rFonts w:hint="eastAsia" w:ascii="宋体" w:hAnsi="宋体" w:eastAsia="宋体" w:cs="宋体"/>
          <w:b w:val="0"/>
          <w:bCs/>
          <w:color w:val="auto"/>
          <w:sz w:val="21"/>
          <w:szCs w:val="21"/>
          <w:highlight w:val="none"/>
          <w:lang w:val="en-US" w:eastAsia="zh-CN"/>
        </w:rPr>
        <w:t>服务</w:t>
      </w:r>
      <w:r>
        <w:rPr>
          <w:rFonts w:hint="eastAsia" w:ascii="宋体" w:hAnsi="宋体" w:eastAsia="宋体" w:cs="宋体"/>
          <w:b w:val="0"/>
          <w:bCs/>
          <w:color w:val="auto"/>
          <w:sz w:val="21"/>
          <w:szCs w:val="21"/>
          <w:highlight w:val="none"/>
        </w:rPr>
        <w:t>机构</w:t>
      </w:r>
      <w:r>
        <w:rPr>
          <w:rFonts w:hint="eastAsia" w:ascii="宋体" w:hAnsi="宋体" w:eastAsia="宋体" w:cs="宋体"/>
          <w:b w:val="0"/>
          <w:bCs/>
          <w:color w:val="auto"/>
          <w:sz w:val="21"/>
          <w:szCs w:val="21"/>
          <w:highlight w:val="none"/>
          <w:lang w:eastAsia="zh-CN"/>
        </w:rPr>
        <w:t>。</w:t>
      </w:r>
    </w:p>
    <w:p w14:paraId="7E02B61D">
      <w:pPr>
        <w:spacing w:line="360" w:lineRule="auto"/>
        <w:rPr>
          <w:rFonts w:hint="eastAsia" w:ascii="宋体" w:hAnsi="宋体" w:eastAsia="宋体" w:cs="宋体"/>
          <w:b/>
          <w:color w:val="auto"/>
          <w:sz w:val="24"/>
          <w:szCs w:val="24"/>
          <w:highlight w:val="none"/>
        </w:rPr>
      </w:pPr>
    </w:p>
    <w:p w14:paraId="47DC2B84">
      <w:pPr>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附表B：售后服务人员情况表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5"/>
        <w:tblW w:w="4462" w:type="pct"/>
        <w:jc w:val="center"/>
        <w:tblLayout w:type="autofit"/>
        <w:tblCellMar>
          <w:top w:w="0" w:type="dxa"/>
          <w:left w:w="108" w:type="dxa"/>
          <w:bottom w:w="0" w:type="dxa"/>
          <w:right w:w="108" w:type="dxa"/>
        </w:tblCellMar>
      </w:tblPr>
      <w:tblGrid>
        <w:gridCol w:w="601"/>
        <w:gridCol w:w="1104"/>
        <w:gridCol w:w="753"/>
        <w:gridCol w:w="444"/>
        <w:gridCol w:w="858"/>
        <w:gridCol w:w="844"/>
        <w:gridCol w:w="902"/>
        <w:gridCol w:w="1140"/>
        <w:gridCol w:w="832"/>
        <w:gridCol w:w="1123"/>
      </w:tblGrid>
      <w:tr w14:paraId="12369769">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noWrap w:val="0"/>
            <w:vAlign w:val="center"/>
          </w:tcPr>
          <w:p w14:paraId="41112A7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1" w:type="pct"/>
            <w:tcBorders>
              <w:top w:val="single" w:color="auto" w:sz="6" w:space="0"/>
              <w:left w:val="single" w:color="auto" w:sz="4" w:space="0"/>
              <w:bottom w:val="single" w:color="auto" w:sz="6" w:space="0"/>
              <w:right w:val="single" w:color="auto" w:sz="6" w:space="0"/>
            </w:tcBorders>
            <w:noWrap w:val="0"/>
            <w:vAlign w:val="center"/>
          </w:tcPr>
          <w:p w14:paraId="3845885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437" w:type="pct"/>
            <w:tcBorders>
              <w:top w:val="single" w:color="auto" w:sz="6" w:space="0"/>
              <w:left w:val="single" w:color="auto" w:sz="6" w:space="0"/>
              <w:bottom w:val="single" w:color="auto" w:sz="6" w:space="0"/>
              <w:right w:val="single" w:color="auto" w:sz="6" w:space="0"/>
            </w:tcBorders>
            <w:noWrap w:val="0"/>
            <w:vAlign w:val="center"/>
          </w:tcPr>
          <w:p w14:paraId="7061E8A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258" w:type="pct"/>
            <w:tcBorders>
              <w:top w:val="single" w:color="auto" w:sz="6" w:space="0"/>
              <w:left w:val="single" w:color="auto" w:sz="6" w:space="0"/>
              <w:bottom w:val="single" w:color="auto" w:sz="6" w:space="0"/>
              <w:right w:val="single" w:color="auto" w:sz="6" w:space="0"/>
            </w:tcBorders>
            <w:noWrap w:val="0"/>
            <w:vAlign w:val="center"/>
          </w:tcPr>
          <w:p w14:paraId="6FD103A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498" w:type="pct"/>
            <w:tcBorders>
              <w:top w:val="single" w:color="auto" w:sz="6" w:space="0"/>
              <w:left w:val="single" w:color="auto" w:sz="6" w:space="0"/>
              <w:bottom w:val="single" w:color="auto" w:sz="6" w:space="0"/>
              <w:right w:val="single" w:color="auto" w:sz="6" w:space="0"/>
            </w:tcBorders>
            <w:noWrap w:val="0"/>
            <w:vAlign w:val="center"/>
          </w:tcPr>
          <w:p w14:paraId="15FA0BB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490" w:type="pct"/>
            <w:tcBorders>
              <w:top w:val="single" w:color="auto" w:sz="6" w:space="0"/>
              <w:left w:val="single" w:color="auto" w:sz="6" w:space="0"/>
              <w:bottom w:val="single" w:color="auto" w:sz="6" w:space="0"/>
              <w:right w:val="single" w:color="auto" w:sz="6" w:space="0"/>
            </w:tcBorders>
            <w:noWrap w:val="0"/>
            <w:vAlign w:val="center"/>
          </w:tcPr>
          <w:p w14:paraId="6F2CCC6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524" w:type="pct"/>
            <w:tcBorders>
              <w:top w:val="single" w:color="auto" w:sz="6" w:space="0"/>
              <w:left w:val="single" w:color="auto" w:sz="6" w:space="0"/>
              <w:bottom w:val="single" w:color="auto" w:sz="6" w:space="0"/>
              <w:right w:val="single" w:color="auto" w:sz="6" w:space="0"/>
            </w:tcBorders>
            <w:noWrap w:val="0"/>
            <w:vAlign w:val="center"/>
          </w:tcPr>
          <w:p w14:paraId="56CBAE3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/职业资格证书</w:t>
            </w:r>
          </w:p>
        </w:tc>
        <w:tc>
          <w:tcPr>
            <w:tcW w:w="662" w:type="pct"/>
            <w:tcBorders>
              <w:top w:val="single" w:color="auto" w:sz="6" w:space="0"/>
              <w:left w:val="single" w:color="auto" w:sz="6" w:space="0"/>
              <w:bottom w:val="single" w:color="auto" w:sz="6" w:space="0"/>
              <w:right w:val="single" w:color="auto" w:sz="6" w:space="0"/>
            </w:tcBorders>
            <w:noWrap w:val="0"/>
            <w:vAlign w:val="center"/>
          </w:tcPr>
          <w:p w14:paraId="7006D66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中的</w:t>
            </w:r>
            <w:r>
              <w:rPr>
                <w:rFonts w:hint="eastAsia" w:ascii="宋体" w:hAnsi="宋体" w:eastAsia="宋体" w:cs="宋体"/>
                <w:color w:val="auto"/>
                <w:sz w:val="21"/>
                <w:szCs w:val="21"/>
                <w:highlight w:val="none"/>
              </w:rPr>
              <w:t>职责</w:t>
            </w:r>
          </w:p>
        </w:tc>
        <w:tc>
          <w:tcPr>
            <w:tcW w:w="483" w:type="pct"/>
            <w:tcBorders>
              <w:top w:val="single" w:color="auto" w:sz="6" w:space="0"/>
              <w:left w:val="single" w:color="auto" w:sz="6" w:space="0"/>
              <w:bottom w:val="single" w:color="auto" w:sz="6" w:space="0"/>
              <w:right w:val="single" w:color="auto" w:sz="6" w:space="0"/>
            </w:tcBorders>
            <w:noWrap w:val="0"/>
            <w:vAlign w:val="center"/>
          </w:tcPr>
          <w:p w14:paraId="3EA4F77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noWrap w:val="0"/>
            <w:vAlign w:val="center"/>
          </w:tcPr>
          <w:p w14:paraId="6CD4832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承诺</w:t>
            </w:r>
            <w:r>
              <w:rPr>
                <w:rFonts w:hint="eastAsia" w:ascii="宋体" w:hAnsi="宋体" w:eastAsia="宋体" w:cs="宋体"/>
                <w:color w:val="auto"/>
                <w:sz w:val="21"/>
                <w:szCs w:val="21"/>
                <w:highlight w:val="none"/>
              </w:rPr>
              <w:t>到达现场时间</w:t>
            </w:r>
          </w:p>
        </w:tc>
      </w:tr>
      <w:tr w14:paraId="032CC78F">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474303C7">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161FD71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noWrap w:val="0"/>
          </w:tcPr>
          <w:p w14:paraId="1D54279E">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1953EB69">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7BF26337">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4E4853E4">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2C3D0A7C">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22082988">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0152101F">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26B1B7F1">
            <w:pPr>
              <w:spacing w:line="360" w:lineRule="auto"/>
              <w:rPr>
                <w:rFonts w:hint="eastAsia" w:ascii="宋体" w:hAnsi="宋体" w:eastAsia="宋体" w:cs="宋体"/>
                <w:color w:val="auto"/>
                <w:sz w:val="21"/>
                <w:szCs w:val="21"/>
                <w:highlight w:val="none"/>
              </w:rPr>
            </w:pPr>
          </w:p>
        </w:tc>
      </w:tr>
      <w:tr w14:paraId="0C56AEBC">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485813E6">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6553E13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noWrap w:val="0"/>
          </w:tcPr>
          <w:p w14:paraId="09090EF6">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708EA734">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64CA1A47">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754FF11D">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5794F2D2">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57D59F0E">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683DF60F">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6B895E6E">
            <w:pPr>
              <w:spacing w:line="360" w:lineRule="auto"/>
              <w:rPr>
                <w:rFonts w:hint="eastAsia" w:ascii="宋体" w:hAnsi="宋体" w:eastAsia="宋体" w:cs="宋体"/>
                <w:color w:val="auto"/>
                <w:sz w:val="21"/>
                <w:szCs w:val="21"/>
                <w:highlight w:val="none"/>
              </w:rPr>
            </w:pPr>
          </w:p>
        </w:tc>
      </w:tr>
      <w:tr w14:paraId="7B5E882D">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1AA9CC54">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4F55926F">
            <w:pPr>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noWrap w:val="0"/>
          </w:tcPr>
          <w:p w14:paraId="56D38E3E">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109D4CFE">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708586E6">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0234FA9D">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227E5102">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4E7FC196">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2CF04C30">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415F2CCD">
            <w:pPr>
              <w:spacing w:line="360" w:lineRule="auto"/>
              <w:rPr>
                <w:rFonts w:hint="eastAsia" w:ascii="宋体" w:hAnsi="宋体" w:eastAsia="宋体" w:cs="宋体"/>
                <w:color w:val="auto"/>
                <w:sz w:val="21"/>
                <w:szCs w:val="21"/>
                <w:highlight w:val="none"/>
              </w:rPr>
            </w:pPr>
          </w:p>
        </w:tc>
      </w:tr>
      <w:tr w14:paraId="4795E1DA">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3AA3EE4E">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7D2BD8F7">
            <w:pPr>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noWrap w:val="0"/>
          </w:tcPr>
          <w:p w14:paraId="0D9F9270">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1FBDD997">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049D723B">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3162845B">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6207DBAD">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6524034E">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481E02C0">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6DAF14DE">
            <w:pPr>
              <w:spacing w:line="360" w:lineRule="auto"/>
              <w:rPr>
                <w:rFonts w:hint="eastAsia" w:ascii="宋体" w:hAnsi="宋体" w:eastAsia="宋体" w:cs="宋体"/>
                <w:color w:val="auto"/>
                <w:sz w:val="21"/>
                <w:szCs w:val="21"/>
                <w:highlight w:val="none"/>
              </w:rPr>
            </w:pPr>
          </w:p>
        </w:tc>
      </w:tr>
    </w:tbl>
    <w:p w14:paraId="5DA995BD">
      <w:pPr>
        <w:spacing w:line="440" w:lineRule="exact"/>
        <w:ind w:firstLine="396"/>
        <w:rPr>
          <w:rFonts w:hint="eastAsia" w:ascii="宋体" w:hAnsi="宋体" w:eastAsia="宋体" w:cs="宋体"/>
          <w:color w:val="auto"/>
          <w:sz w:val="20"/>
          <w:szCs w:val="21"/>
          <w:highlight w:val="none"/>
          <w:lang w:val="zh-CN" w:eastAsia="zh-CN"/>
        </w:rPr>
      </w:pPr>
    </w:p>
    <w:p w14:paraId="179656F6">
      <w:pPr>
        <w:spacing w:line="500" w:lineRule="exact"/>
        <w:rPr>
          <w:rFonts w:hint="eastAsia" w:ascii="宋体" w:hAnsi="宋体" w:eastAsia="宋体" w:cs="宋体"/>
          <w:color w:val="auto"/>
          <w:sz w:val="32"/>
          <w:szCs w:val="32"/>
          <w:highlight w:val="none"/>
        </w:rPr>
      </w:pPr>
    </w:p>
    <w:p w14:paraId="2B8901C8">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04CD1E5E">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0DAB693C">
      <w:pPr>
        <w:spacing w:line="360" w:lineRule="auto"/>
        <w:ind w:firstLine="0"/>
        <w:rPr>
          <w:rFonts w:hint="eastAsia" w:ascii="宋体" w:hAnsi="宋体" w:eastAsia="宋体" w:cs="宋体"/>
          <w:b/>
          <w:color w:val="auto"/>
          <w:sz w:val="28"/>
          <w:szCs w:val="28"/>
          <w:highlight w:val="none"/>
          <w:lang w:val="en-US" w:eastAsia="zh-CN"/>
        </w:rPr>
      </w:pPr>
    </w:p>
    <w:p w14:paraId="3D6F8CFD">
      <w:pPr>
        <w:spacing w:line="360" w:lineRule="auto"/>
        <w:ind w:firstLine="0"/>
        <w:rPr>
          <w:rFonts w:hint="eastAsia" w:ascii="宋体" w:hAnsi="宋体" w:eastAsia="宋体" w:cs="宋体"/>
          <w:b/>
          <w:color w:val="auto"/>
          <w:sz w:val="28"/>
          <w:szCs w:val="28"/>
          <w:highlight w:val="none"/>
          <w:lang w:val="en-US" w:eastAsia="zh-CN"/>
        </w:rPr>
      </w:pPr>
    </w:p>
    <w:p w14:paraId="38A0BD01">
      <w:pPr>
        <w:spacing w:line="360" w:lineRule="auto"/>
        <w:ind w:firstLine="0"/>
        <w:rPr>
          <w:rFonts w:hint="eastAsia" w:ascii="宋体" w:hAnsi="宋体" w:eastAsia="宋体" w:cs="宋体"/>
          <w:b/>
          <w:color w:val="auto"/>
          <w:sz w:val="28"/>
          <w:szCs w:val="28"/>
          <w:highlight w:val="none"/>
          <w:lang w:val="en-US" w:eastAsia="zh-CN"/>
        </w:rPr>
      </w:pPr>
    </w:p>
    <w:p w14:paraId="39E4FD8D">
      <w:pPr>
        <w:spacing w:line="360" w:lineRule="auto"/>
        <w:ind w:firstLine="0"/>
        <w:rPr>
          <w:rFonts w:hint="eastAsia" w:ascii="宋体" w:hAnsi="宋体" w:eastAsia="宋体" w:cs="宋体"/>
          <w:b/>
          <w:color w:val="auto"/>
          <w:sz w:val="28"/>
          <w:szCs w:val="28"/>
          <w:highlight w:val="none"/>
          <w:lang w:val="en-US" w:eastAsia="zh-CN"/>
        </w:rPr>
      </w:pPr>
    </w:p>
    <w:p w14:paraId="5D7464F2">
      <w:pPr>
        <w:spacing w:line="360" w:lineRule="auto"/>
        <w:ind w:firstLine="0"/>
        <w:rPr>
          <w:rFonts w:hint="eastAsia" w:ascii="宋体" w:hAnsi="宋体" w:eastAsia="宋体" w:cs="宋体"/>
          <w:b/>
          <w:color w:val="auto"/>
          <w:sz w:val="28"/>
          <w:szCs w:val="28"/>
          <w:highlight w:val="none"/>
          <w:lang w:val="en-US" w:eastAsia="zh-CN"/>
        </w:rPr>
      </w:pPr>
    </w:p>
    <w:p w14:paraId="2B5A3C59">
      <w:pPr>
        <w:spacing w:line="360" w:lineRule="auto"/>
        <w:ind w:firstLine="0"/>
        <w:rPr>
          <w:rFonts w:hint="eastAsia" w:ascii="宋体" w:hAnsi="宋体" w:eastAsia="宋体" w:cs="宋体"/>
          <w:b/>
          <w:color w:val="auto"/>
          <w:sz w:val="28"/>
          <w:szCs w:val="28"/>
          <w:highlight w:val="none"/>
          <w:lang w:val="en-US" w:eastAsia="zh-CN"/>
        </w:rPr>
      </w:pPr>
    </w:p>
    <w:p w14:paraId="2716A896">
      <w:pPr>
        <w:spacing w:line="360" w:lineRule="auto"/>
        <w:ind w:firstLine="0"/>
        <w:rPr>
          <w:rFonts w:hint="eastAsia"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lang w:val="en-US" w:eastAsia="zh-CN"/>
        </w:rPr>
        <w:t>10.</w:t>
      </w:r>
      <w:r>
        <w:rPr>
          <w:rFonts w:hint="eastAsia" w:ascii="宋体" w:hAnsi="宋体" w:eastAsia="宋体" w:cs="宋体"/>
          <w:b/>
          <w:color w:val="auto"/>
          <w:sz w:val="28"/>
          <w:szCs w:val="28"/>
          <w:highlight w:val="none"/>
        </w:rPr>
        <w:t>项目实施人员一览表（如有要求）</w:t>
      </w:r>
    </w:p>
    <w:p w14:paraId="7A34310D">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（由供应商根据采购需求及采购文件要求编制）</w:t>
      </w:r>
    </w:p>
    <w:p w14:paraId="17023429">
      <w:pPr>
        <w:pStyle w:val="29"/>
        <w:rPr>
          <w:rFonts w:hint="eastAsia" w:ascii="宋体" w:hAnsi="宋体" w:eastAsia="宋体" w:cs="宋体"/>
          <w:color w:val="auto"/>
          <w:highlight w:val="none"/>
        </w:rPr>
      </w:pPr>
    </w:p>
    <w:p w14:paraId="4379FBA3">
      <w:pP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所竞分标（此处有分标时填写具体分标号，无分标时填写“无”）：</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u w:val="single"/>
          <w:lang w:val="en-US" w:eastAsia="zh-CN"/>
        </w:rPr>
        <w:t xml:space="preserve"> </w:t>
      </w:r>
    </w:p>
    <w:p w14:paraId="7FEB77CB">
      <w:pPr>
        <w:keepNext/>
        <w:spacing w:line="360" w:lineRule="auto"/>
        <w:ind w:firstLine="47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45"/>
        <w:tblW w:w="8755" w:type="dxa"/>
        <w:tblInd w:w="0" w:type="dxa"/>
        <w:tblLayout w:type="fixed"/>
        <w:tblCellMar>
          <w:top w:w="0" w:type="dxa"/>
          <w:left w:w="108" w:type="dxa"/>
          <w:bottom w:w="0" w:type="dxa"/>
          <w:right w:w="108" w:type="dxa"/>
        </w:tblCellMar>
      </w:tblPr>
      <w:tblGrid>
        <w:gridCol w:w="2224"/>
        <w:gridCol w:w="1124"/>
        <w:gridCol w:w="1260"/>
        <w:gridCol w:w="4147"/>
      </w:tblGrid>
      <w:tr w14:paraId="3782156F">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C4891D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7B22C3B5">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D2CCCF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00E18A1D">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响应截止时间前三年业绩及承担的主要工作情况，曾担任项目经理的项目应列明细</w:t>
            </w:r>
            <w:r>
              <w:rPr>
                <w:rFonts w:hint="eastAsia" w:ascii="宋体" w:hAnsi="宋体" w:eastAsia="宋体" w:cs="宋体"/>
                <w:color w:val="auto"/>
                <w:sz w:val="21"/>
                <w:szCs w:val="21"/>
                <w:highlight w:val="none"/>
                <w:lang w:eastAsia="zh-CN"/>
              </w:rPr>
              <w:t>。</w:t>
            </w:r>
          </w:p>
        </w:tc>
      </w:tr>
      <w:tr w14:paraId="72AAE8D1">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15977D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D6F32B6">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417E7E7C">
            <w:pPr>
              <w:spacing w:line="360" w:lineRule="auto"/>
              <w:jc w:val="center"/>
              <w:rPr>
                <w:rFonts w:hint="eastAsia" w:ascii="宋体" w:hAnsi="宋体" w:eastAsia="宋体" w:cs="宋体"/>
                <w:color w:val="auto"/>
                <w:sz w:val="21"/>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26FB444C">
            <w:pPr>
              <w:spacing w:line="360" w:lineRule="auto"/>
              <w:jc w:val="center"/>
              <w:rPr>
                <w:rFonts w:hint="eastAsia" w:ascii="宋体" w:hAnsi="宋体" w:eastAsia="宋体" w:cs="宋体"/>
                <w:color w:val="auto"/>
                <w:sz w:val="21"/>
                <w:szCs w:val="21"/>
                <w:highlight w:val="none"/>
              </w:rPr>
            </w:pPr>
          </w:p>
        </w:tc>
      </w:tr>
      <w:tr w14:paraId="19290E34">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36FE8C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178100F">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4C8FE2A">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9F78958">
            <w:pPr>
              <w:spacing w:line="360" w:lineRule="auto"/>
              <w:jc w:val="center"/>
              <w:rPr>
                <w:rFonts w:hint="eastAsia" w:ascii="宋体" w:hAnsi="宋体" w:eastAsia="宋体" w:cs="宋体"/>
                <w:color w:val="auto"/>
                <w:sz w:val="21"/>
                <w:szCs w:val="21"/>
                <w:highlight w:val="none"/>
              </w:rPr>
            </w:pPr>
          </w:p>
        </w:tc>
      </w:tr>
      <w:tr w14:paraId="02E5D917">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7E4766FC">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或职业资格证书</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541B5D58">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E316DBB">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51DD6A2">
            <w:pPr>
              <w:spacing w:line="360" w:lineRule="auto"/>
              <w:jc w:val="center"/>
              <w:rPr>
                <w:rFonts w:hint="eastAsia" w:ascii="宋体" w:hAnsi="宋体" w:eastAsia="宋体" w:cs="宋体"/>
                <w:color w:val="auto"/>
                <w:sz w:val="21"/>
                <w:szCs w:val="21"/>
                <w:highlight w:val="none"/>
              </w:rPr>
            </w:pPr>
          </w:p>
        </w:tc>
      </w:tr>
      <w:tr w14:paraId="4D6AEED8">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6610BA1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1DEECB29">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C947C2F">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9658DC8">
            <w:pPr>
              <w:spacing w:line="360" w:lineRule="auto"/>
              <w:jc w:val="center"/>
              <w:rPr>
                <w:rFonts w:hint="eastAsia" w:ascii="宋体" w:hAnsi="宋体" w:eastAsia="宋体" w:cs="宋体"/>
                <w:color w:val="auto"/>
                <w:sz w:val="21"/>
                <w:szCs w:val="21"/>
                <w:highlight w:val="none"/>
              </w:rPr>
            </w:pPr>
          </w:p>
        </w:tc>
      </w:tr>
      <w:tr w14:paraId="61506B47">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noWrap w:val="0"/>
            <w:vAlign w:val="center"/>
          </w:tcPr>
          <w:p w14:paraId="3AD7D66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tc>
        <w:tc>
          <w:tcPr>
            <w:tcW w:w="1124" w:type="dxa"/>
            <w:tcBorders>
              <w:top w:val="single" w:color="auto" w:sz="6" w:space="0"/>
              <w:left w:val="single" w:color="auto" w:sz="6" w:space="0"/>
              <w:right w:val="single" w:color="auto" w:sz="4" w:space="0"/>
            </w:tcBorders>
            <w:noWrap w:val="0"/>
            <w:vAlign w:val="center"/>
          </w:tcPr>
          <w:p w14:paraId="5A5446D2">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BA210CD">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72CEE8">
            <w:pPr>
              <w:spacing w:line="360" w:lineRule="auto"/>
              <w:jc w:val="center"/>
              <w:rPr>
                <w:rFonts w:hint="eastAsia" w:ascii="宋体" w:hAnsi="宋体" w:eastAsia="宋体" w:cs="宋体"/>
                <w:color w:val="auto"/>
                <w:sz w:val="21"/>
                <w:szCs w:val="21"/>
                <w:highlight w:val="none"/>
              </w:rPr>
            </w:pPr>
          </w:p>
        </w:tc>
      </w:tr>
      <w:tr w14:paraId="417757E7">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5F71757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或资格</w:t>
            </w:r>
            <w:r>
              <w:rPr>
                <w:rFonts w:hint="eastAsia" w:ascii="宋体" w:hAnsi="宋体" w:eastAsia="宋体" w:cs="宋体"/>
                <w:color w:val="auto"/>
                <w:sz w:val="21"/>
                <w:szCs w:val="21"/>
                <w:highlight w:val="none"/>
              </w:rPr>
              <w:t>证书编号</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129CC180">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9012AC4">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1A14DAC">
            <w:pPr>
              <w:spacing w:line="360" w:lineRule="auto"/>
              <w:jc w:val="center"/>
              <w:rPr>
                <w:rFonts w:hint="eastAsia" w:ascii="宋体" w:hAnsi="宋体" w:eastAsia="宋体" w:cs="宋体"/>
                <w:color w:val="auto"/>
                <w:sz w:val="21"/>
                <w:szCs w:val="21"/>
                <w:highlight w:val="none"/>
              </w:rPr>
            </w:pPr>
          </w:p>
        </w:tc>
      </w:tr>
      <w:tr w14:paraId="1DA7CE24">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0CBDFB0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eastAsia="zh-CN"/>
              </w:rPr>
              <w:t>证书</w:t>
            </w:r>
            <w:r>
              <w:rPr>
                <w:rFonts w:hint="eastAsia" w:ascii="宋体" w:hAnsi="宋体" w:eastAsia="宋体" w:cs="宋体"/>
                <w:color w:val="auto"/>
                <w:sz w:val="21"/>
                <w:szCs w:val="21"/>
                <w:highlight w:val="none"/>
              </w:rPr>
              <w:t>情况</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43D365BB">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909DB80">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6D3DBBF">
            <w:pPr>
              <w:spacing w:line="360" w:lineRule="auto"/>
              <w:jc w:val="center"/>
              <w:rPr>
                <w:rFonts w:hint="eastAsia" w:ascii="宋体" w:hAnsi="宋体" w:eastAsia="宋体" w:cs="宋体"/>
                <w:color w:val="auto"/>
                <w:sz w:val="21"/>
                <w:szCs w:val="21"/>
                <w:highlight w:val="none"/>
              </w:rPr>
            </w:pPr>
          </w:p>
        </w:tc>
      </w:tr>
      <w:tr w14:paraId="053815B7">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C213FB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103B82B">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4243B70">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1A5A5F3">
            <w:pPr>
              <w:spacing w:line="360" w:lineRule="auto"/>
              <w:jc w:val="center"/>
              <w:rPr>
                <w:rFonts w:hint="eastAsia" w:ascii="宋体" w:hAnsi="宋体" w:eastAsia="宋体" w:cs="宋体"/>
                <w:color w:val="auto"/>
                <w:sz w:val="21"/>
                <w:szCs w:val="21"/>
                <w:highlight w:val="none"/>
              </w:rPr>
            </w:pPr>
          </w:p>
        </w:tc>
      </w:tr>
    </w:tbl>
    <w:p w14:paraId="55809EF1">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17372411">
      <w:pPr>
        <w:spacing w:line="360" w:lineRule="auto"/>
        <w:rPr>
          <w:rFonts w:hint="eastAsia" w:ascii="宋体" w:hAnsi="宋体" w:eastAsia="宋体" w:cs="宋体"/>
          <w:b/>
          <w:color w:val="auto"/>
          <w:sz w:val="24"/>
          <w:szCs w:val="24"/>
          <w:highlight w:val="none"/>
        </w:rPr>
      </w:pPr>
    </w:p>
    <w:p w14:paraId="5339E569">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5"/>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14:paraId="4BB599B8">
        <w:tc>
          <w:tcPr>
            <w:tcW w:w="420" w:type="dxa"/>
            <w:tcBorders>
              <w:top w:val="single" w:color="auto" w:sz="6" w:space="0"/>
              <w:left w:val="single" w:color="auto" w:sz="6" w:space="0"/>
              <w:bottom w:val="single" w:color="auto" w:sz="6" w:space="0"/>
              <w:right w:val="single" w:color="auto" w:sz="6" w:space="0"/>
            </w:tcBorders>
            <w:noWrap w:val="0"/>
            <w:vAlign w:val="center"/>
          </w:tcPr>
          <w:p w14:paraId="50A4C6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107ABF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55D53B8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578CC0F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062816B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p w14:paraId="72AE84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917" w:type="dxa"/>
            <w:tcBorders>
              <w:top w:val="single" w:color="auto" w:sz="6" w:space="0"/>
              <w:left w:val="single" w:color="auto" w:sz="6" w:space="0"/>
              <w:bottom w:val="single" w:color="auto" w:sz="6" w:space="0"/>
              <w:right w:val="single" w:color="auto" w:sz="6" w:space="0"/>
            </w:tcBorders>
            <w:noWrap w:val="0"/>
            <w:vAlign w:val="center"/>
          </w:tcPr>
          <w:p w14:paraId="799FBE0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p w14:paraId="4DEEF7C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noWrap w:val="0"/>
            <w:vAlign w:val="center"/>
          </w:tcPr>
          <w:p w14:paraId="2E8F0C9B">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或职业资格证书</w:t>
            </w:r>
          </w:p>
          <w:p w14:paraId="59D6650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noWrap w:val="0"/>
            <w:vAlign w:val="center"/>
          </w:tcPr>
          <w:p w14:paraId="269C375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588172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68FD7E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参与本项目的到位情况</w:t>
            </w:r>
          </w:p>
        </w:tc>
      </w:tr>
      <w:tr w14:paraId="0866AF99">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tcPr>
          <w:p w14:paraId="23B961D4">
            <w:pPr>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0"/>
          </w:tcPr>
          <w:p w14:paraId="2DABFD0F">
            <w:pPr>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0"/>
          </w:tcPr>
          <w:p w14:paraId="5F830F27">
            <w:pPr>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0"/>
          </w:tcPr>
          <w:p w14:paraId="0E14A610">
            <w:pPr>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0"/>
          </w:tcPr>
          <w:p w14:paraId="1525BF51">
            <w:pPr>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noWrap w:val="0"/>
          </w:tcPr>
          <w:p w14:paraId="1CCCD7C3">
            <w:pPr>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noWrap w:val="0"/>
          </w:tcPr>
          <w:p w14:paraId="5A95567D">
            <w:pPr>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noWrap w:val="0"/>
          </w:tcPr>
          <w:p w14:paraId="2D866AC4">
            <w:pPr>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tcPr>
          <w:p w14:paraId="01837C11">
            <w:pPr>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0"/>
          </w:tcPr>
          <w:p w14:paraId="20CD78F9">
            <w:pPr>
              <w:spacing w:line="360" w:lineRule="auto"/>
              <w:rPr>
                <w:rFonts w:hint="eastAsia" w:ascii="宋体" w:hAnsi="宋体" w:eastAsia="宋体" w:cs="宋体"/>
                <w:color w:val="auto"/>
                <w:sz w:val="21"/>
                <w:szCs w:val="21"/>
                <w:highlight w:val="none"/>
              </w:rPr>
            </w:pPr>
          </w:p>
        </w:tc>
      </w:tr>
      <w:tr w14:paraId="4018E38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tcPr>
          <w:p w14:paraId="052B9057">
            <w:pPr>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0"/>
          </w:tcPr>
          <w:p w14:paraId="3DE263EC">
            <w:pPr>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0"/>
          </w:tcPr>
          <w:p w14:paraId="14EF6C93">
            <w:pPr>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0"/>
          </w:tcPr>
          <w:p w14:paraId="30CA21D1">
            <w:pPr>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0"/>
          </w:tcPr>
          <w:p w14:paraId="515970A8">
            <w:pPr>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noWrap w:val="0"/>
          </w:tcPr>
          <w:p w14:paraId="53D3750A">
            <w:pPr>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noWrap w:val="0"/>
          </w:tcPr>
          <w:p w14:paraId="4AAE4D86">
            <w:pPr>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noWrap w:val="0"/>
          </w:tcPr>
          <w:p w14:paraId="051271C4">
            <w:pPr>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tcPr>
          <w:p w14:paraId="02F30116">
            <w:pPr>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0"/>
          </w:tcPr>
          <w:p w14:paraId="134E230C">
            <w:pPr>
              <w:spacing w:line="360" w:lineRule="auto"/>
              <w:rPr>
                <w:rFonts w:hint="eastAsia" w:ascii="宋体" w:hAnsi="宋体" w:eastAsia="宋体" w:cs="宋体"/>
                <w:color w:val="auto"/>
                <w:sz w:val="21"/>
                <w:szCs w:val="21"/>
                <w:highlight w:val="none"/>
              </w:rPr>
            </w:pPr>
          </w:p>
        </w:tc>
      </w:tr>
    </w:tbl>
    <w:p w14:paraId="00AF7AE2">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69D1B964">
      <w:pPr>
        <w:spacing w:line="360" w:lineRule="auto"/>
        <w:ind w:firstLine="602"/>
        <w:rPr>
          <w:rFonts w:hint="eastAsia" w:ascii="宋体" w:hAnsi="宋体" w:eastAsia="宋体" w:cs="宋体"/>
          <w:b/>
          <w:color w:val="auto"/>
          <w:sz w:val="30"/>
          <w:szCs w:val="30"/>
          <w:highlight w:val="none"/>
        </w:rPr>
      </w:pPr>
    </w:p>
    <w:p w14:paraId="191118E3">
      <w:pPr>
        <w:spacing w:line="360" w:lineRule="auto"/>
        <w:ind w:firstLine="6505"/>
        <w:rPr>
          <w:rFonts w:hint="eastAsia" w:ascii="宋体" w:hAnsi="宋体" w:eastAsia="宋体" w:cs="宋体"/>
          <w:b/>
          <w:bCs/>
          <w:color w:val="auto"/>
          <w:sz w:val="24"/>
          <w:szCs w:val="24"/>
          <w:highlight w:val="none"/>
        </w:rPr>
      </w:pPr>
    </w:p>
    <w:p w14:paraId="44CFCC03">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16AE0F0D">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0BC5725D">
      <w:pPr>
        <w:spacing w:line="500" w:lineRule="exact"/>
        <w:rPr>
          <w:rFonts w:hint="eastAsia" w:ascii="宋体" w:hAnsi="宋体" w:eastAsia="宋体" w:cs="宋体"/>
          <w:color w:val="auto"/>
          <w:sz w:val="32"/>
          <w:szCs w:val="32"/>
          <w:highlight w:val="none"/>
        </w:rPr>
      </w:pPr>
    </w:p>
    <w:p w14:paraId="0696C5A2">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bookmarkStart w:id="142" w:name="_Toc80205941"/>
      <w:bookmarkStart w:id="143" w:name="_Toc17296"/>
      <w:bookmarkStart w:id="144" w:name="_Toc13020"/>
      <w:r>
        <w:rPr>
          <w:rFonts w:hint="eastAsia" w:ascii="宋体" w:hAnsi="宋体" w:eastAsia="宋体" w:cs="宋体"/>
          <w:b/>
          <w:bCs/>
          <w:color w:val="auto"/>
          <w:sz w:val="32"/>
          <w:szCs w:val="32"/>
          <w:highlight w:val="none"/>
          <w:lang w:val="zh-CN" w:eastAsia="zh-CN"/>
        </w:rPr>
        <w:t>第三节 报价文件格式</w:t>
      </w:r>
      <w:bookmarkEnd w:id="142"/>
      <w:bookmarkEnd w:id="143"/>
      <w:bookmarkEnd w:id="144"/>
    </w:p>
    <w:p w14:paraId="1113E81B">
      <w:pPr>
        <w:pStyle w:val="29"/>
        <w:rPr>
          <w:rFonts w:hint="eastAsia" w:ascii="宋体" w:hAnsi="宋体" w:eastAsia="宋体" w:cs="宋体"/>
          <w:color w:val="auto"/>
          <w:highlight w:val="none"/>
          <w:lang w:val="zh-CN" w:eastAsia="zh-CN"/>
        </w:rPr>
      </w:pPr>
    </w:p>
    <w:p w14:paraId="2A27A3E3">
      <w:pPr>
        <w:pStyle w:val="29"/>
        <w:rPr>
          <w:rFonts w:hint="eastAsia" w:ascii="宋体" w:hAnsi="宋体" w:eastAsia="宋体" w:cs="宋体"/>
          <w:color w:val="auto"/>
          <w:highlight w:val="none"/>
          <w:lang w:val="zh-CN" w:eastAsia="zh-CN"/>
        </w:rPr>
      </w:pP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报价文件</w:t>
      </w:r>
      <w:r>
        <w:rPr>
          <w:rFonts w:hint="eastAsia" w:ascii="宋体" w:hAnsi="宋体" w:eastAsia="宋体" w:cs="宋体"/>
          <w:b/>
          <w:bCs/>
          <w:color w:val="auto"/>
          <w:sz w:val="28"/>
          <w:szCs w:val="28"/>
          <w:highlight w:val="none"/>
          <w:lang w:eastAsia="zh-CN"/>
        </w:rPr>
        <w:t>封面的格式</w:t>
      </w:r>
      <w:r>
        <w:rPr>
          <w:rFonts w:hint="eastAsia" w:ascii="宋体" w:hAnsi="宋体" w:eastAsia="宋体" w:cs="宋体"/>
          <w:b/>
          <w:color w:val="auto"/>
          <w:sz w:val="28"/>
          <w:szCs w:val="28"/>
          <w:highlight w:val="none"/>
        </w:rPr>
        <w:t>（参照此格式自拟）</w:t>
      </w:r>
      <w:r>
        <w:rPr>
          <w:rFonts w:hint="eastAsia" w:ascii="宋体" w:hAnsi="宋体" w:eastAsia="宋体" w:cs="宋体"/>
          <w:b/>
          <w:bCs/>
          <w:color w:val="auto"/>
          <w:sz w:val="28"/>
          <w:szCs w:val="28"/>
          <w:highlight w:val="none"/>
          <w:lang w:eastAsia="zh-CN"/>
        </w:rPr>
        <w:t>：</w:t>
      </w:r>
    </w:p>
    <w:p w14:paraId="6F42AE95">
      <w:pPr>
        <w:spacing w:before="165" w:after="5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668F4C2E">
      <w:pPr>
        <w:spacing w:before="165" w:after="50"/>
        <w:rPr>
          <w:rFonts w:hint="eastAsia" w:ascii="宋体" w:hAnsi="宋体" w:eastAsia="宋体" w:cs="宋体"/>
          <w:color w:val="auto"/>
          <w:sz w:val="24"/>
          <w:szCs w:val="20"/>
          <w:highlight w:val="none"/>
        </w:rPr>
      </w:pPr>
    </w:p>
    <w:p w14:paraId="379A4D19">
      <w:pPr>
        <w:spacing w:before="165" w:after="50"/>
        <w:rPr>
          <w:rFonts w:hint="eastAsia" w:ascii="宋体" w:hAnsi="宋体" w:eastAsia="宋体" w:cs="宋体"/>
          <w:color w:val="auto"/>
          <w:sz w:val="24"/>
          <w:szCs w:val="20"/>
          <w:highlight w:val="none"/>
        </w:rPr>
      </w:pPr>
    </w:p>
    <w:p w14:paraId="6252E115">
      <w:pPr>
        <w:spacing w:before="165" w:after="50"/>
        <w:rPr>
          <w:rFonts w:hint="eastAsia" w:ascii="宋体" w:hAnsi="宋体" w:eastAsia="宋体" w:cs="宋体"/>
          <w:color w:val="auto"/>
          <w:sz w:val="24"/>
          <w:szCs w:val="20"/>
          <w:highlight w:val="none"/>
        </w:rPr>
      </w:pPr>
    </w:p>
    <w:p w14:paraId="0013A1B3">
      <w:pPr>
        <w:spacing w:before="165"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w:t>
      </w:r>
    </w:p>
    <w:p w14:paraId="5DF5D781">
      <w:pPr>
        <w:spacing w:before="165" w:after="50"/>
        <w:rPr>
          <w:rFonts w:hint="eastAsia" w:ascii="宋体" w:hAnsi="宋体" w:eastAsia="宋体" w:cs="宋体"/>
          <w:bCs/>
          <w:color w:val="auto"/>
          <w:sz w:val="24"/>
          <w:szCs w:val="20"/>
          <w:highlight w:val="none"/>
        </w:rPr>
      </w:pPr>
    </w:p>
    <w:p w14:paraId="63C9F7F9">
      <w:pPr>
        <w:spacing w:before="165" w:after="50"/>
        <w:rPr>
          <w:rFonts w:hint="eastAsia" w:ascii="宋体" w:hAnsi="宋体" w:eastAsia="宋体" w:cs="宋体"/>
          <w:bCs/>
          <w:color w:val="auto"/>
          <w:sz w:val="24"/>
          <w:szCs w:val="20"/>
          <w:highlight w:val="none"/>
        </w:rPr>
      </w:pPr>
    </w:p>
    <w:p w14:paraId="672D3B1C">
      <w:pPr>
        <w:spacing w:before="165" w:after="50"/>
        <w:rPr>
          <w:rFonts w:hint="eastAsia" w:ascii="宋体" w:hAnsi="宋体" w:eastAsia="宋体" w:cs="宋体"/>
          <w:bCs/>
          <w:color w:val="auto"/>
          <w:sz w:val="24"/>
          <w:szCs w:val="20"/>
          <w:highlight w:val="none"/>
        </w:rPr>
      </w:pPr>
    </w:p>
    <w:p w14:paraId="6CCF9F47">
      <w:pPr>
        <w:spacing w:before="165" w:after="50"/>
        <w:rPr>
          <w:rFonts w:hint="eastAsia" w:ascii="宋体" w:hAnsi="宋体" w:eastAsia="宋体" w:cs="宋体"/>
          <w:bCs/>
          <w:color w:val="auto"/>
          <w:sz w:val="24"/>
          <w:szCs w:val="20"/>
          <w:highlight w:val="none"/>
        </w:rPr>
      </w:pPr>
    </w:p>
    <w:p w14:paraId="23A9B821">
      <w:pPr>
        <w:spacing w:before="165" w:after="50"/>
        <w:rPr>
          <w:rFonts w:hint="eastAsia" w:ascii="宋体" w:hAnsi="宋体" w:eastAsia="宋体" w:cs="宋体"/>
          <w:bCs/>
          <w:color w:val="auto"/>
          <w:sz w:val="24"/>
          <w:szCs w:val="20"/>
          <w:highlight w:val="none"/>
        </w:rPr>
      </w:pPr>
    </w:p>
    <w:p w14:paraId="43EFDDFE">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A114534">
      <w:pPr>
        <w:spacing w:before="165" w:after="50"/>
        <w:ind w:firstLine="720"/>
        <w:rPr>
          <w:rFonts w:hint="eastAsia" w:ascii="宋体" w:hAnsi="宋体" w:eastAsia="宋体" w:cs="宋体"/>
          <w:bCs/>
          <w:color w:val="auto"/>
          <w:sz w:val="32"/>
          <w:szCs w:val="32"/>
          <w:highlight w:val="none"/>
        </w:rPr>
      </w:pPr>
    </w:p>
    <w:p w14:paraId="503BF2F6">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05BB6402">
      <w:pPr>
        <w:spacing w:before="165"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811AD59">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120391E7">
      <w:pPr>
        <w:spacing w:before="165" w:after="50"/>
        <w:ind w:firstLine="720"/>
        <w:rPr>
          <w:rFonts w:hint="eastAsia" w:ascii="宋体" w:hAnsi="宋体" w:eastAsia="宋体" w:cs="宋体"/>
          <w:bCs/>
          <w:color w:val="auto"/>
          <w:sz w:val="32"/>
          <w:szCs w:val="32"/>
          <w:highlight w:val="none"/>
        </w:rPr>
      </w:pPr>
    </w:p>
    <w:p w14:paraId="00E0F526">
      <w:pPr>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D001521">
      <w:pPr>
        <w:spacing w:before="50" w:after="50"/>
        <w:ind w:firstLine="720"/>
        <w:rPr>
          <w:rFonts w:hint="eastAsia" w:ascii="宋体" w:hAnsi="宋体" w:eastAsia="宋体" w:cs="宋体"/>
          <w:bCs/>
          <w:color w:val="auto"/>
          <w:sz w:val="32"/>
          <w:szCs w:val="32"/>
          <w:highlight w:val="none"/>
        </w:rPr>
      </w:pPr>
    </w:p>
    <w:p w14:paraId="14B739D4">
      <w:pPr>
        <w:spacing w:before="50" w:after="50"/>
        <w:ind w:firstLine="720"/>
        <w:rPr>
          <w:rFonts w:hint="eastAsia" w:ascii="宋体" w:hAnsi="宋体" w:eastAsia="宋体" w:cs="宋体"/>
          <w:bCs/>
          <w:color w:val="auto"/>
          <w:sz w:val="32"/>
          <w:szCs w:val="32"/>
          <w:highlight w:val="none"/>
        </w:rPr>
      </w:pPr>
    </w:p>
    <w:p w14:paraId="27CAA4D2">
      <w:pPr>
        <w:spacing w:before="50" w:after="50"/>
        <w:ind w:firstLine="1280"/>
        <w:rPr>
          <w:rFonts w:hint="eastAsia" w:ascii="宋体" w:hAnsi="宋体" w:eastAsia="宋体" w:cs="宋体"/>
          <w:bCs/>
          <w:color w:val="auto"/>
          <w:sz w:val="32"/>
          <w:szCs w:val="32"/>
          <w:highlight w:val="none"/>
        </w:rPr>
      </w:pPr>
    </w:p>
    <w:p w14:paraId="64C1280F">
      <w:pPr>
        <w:spacing w:before="165"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D41E8A4">
      <w:pPr>
        <w:spacing w:before="120" w:after="50"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5B6F34BF">
      <w:pPr>
        <w:spacing w:before="50" w:after="12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eastAsia="宋体" w:cs="宋体"/>
          <w:color w:val="auto"/>
          <w:sz w:val="28"/>
          <w:szCs w:val="28"/>
          <w:highlight w:val="none"/>
          <w:lang w:eastAsia="zh-CN"/>
        </w:rPr>
        <w:t>竞争性谈判</w:t>
      </w:r>
      <w:r>
        <w:rPr>
          <w:rFonts w:hint="eastAsia" w:ascii="宋体" w:hAnsi="宋体" w:eastAsia="宋体" w:cs="宋体"/>
          <w:color w:val="auto"/>
          <w:sz w:val="28"/>
          <w:szCs w:val="28"/>
          <w:highlight w:val="none"/>
        </w:rPr>
        <w:t>文件规定及</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提供的材料自行编写目录（部分格式后附）。</w:t>
      </w:r>
    </w:p>
    <w:p w14:paraId="65257015">
      <w:pPr>
        <w:spacing w:line="360" w:lineRule="auto"/>
        <w:rPr>
          <w:rFonts w:hint="eastAsia" w:ascii="宋体" w:hAnsi="宋体" w:eastAsia="宋体" w:cs="宋体"/>
          <w:b/>
          <w:bCs/>
          <w:i/>
          <w:iCs/>
          <w:color w:val="auto"/>
          <w:sz w:val="24"/>
          <w:szCs w:val="24"/>
          <w:highlight w:val="none"/>
          <w:lang w:eastAsia="zh-CN"/>
        </w:rPr>
      </w:pPr>
    </w:p>
    <w:p w14:paraId="6FA57D52">
      <w:pPr>
        <w:spacing w:before="165" w:after="50" w:line="360" w:lineRule="auto"/>
        <w:ind w:left="142" w:firstLine="640"/>
        <w:jc w:val="left"/>
        <w:rPr>
          <w:rFonts w:hint="eastAsia" w:ascii="宋体" w:hAnsi="宋体" w:eastAsia="宋体" w:cs="宋体"/>
          <w:color w:val="auto"/>
          <w:sz w:val="32"/>
          <w:szCs w:val="32"/>
          <w:highlight w:val="none"/>
        </w:rPr>
      </w:pPr>
    </w:p>
    <w:p w14:paraId="58620E42">
      <w:pPr>
        <w:spacing w:line="500" w:lineRule="exact"/>
        <w:ind w:firstLine="0"/>
        <w:rPr>
          <w:rFonts w:hint="eastAsia" w:ascii="宋体" w:hAnsi="宋体" w:eastAsia="宋体" w:cs="宋体"/>
          <w:color w:val="auto"/>
          <w:sz w:val="24"/>
          <w:szCs w:val="21"/>
          <w:highlight w:val="none"/>
          <w:lang w:val="zh-CN" w:eastAsia="zh-CN"/>
        </w:rPr>
      </w:pPr>
      <w:r>
        <w:rPr>
          <w:rFonts w:hint="eastAsia" w:ascii="宋体" w:hAnsi="宋体" w:eastAsia="宋体" w:cs="宋体"/>
          <w:color w:val="auto"/>
          <w:sz w:val="24"/>
          <w:szCs w:val="21"/>
          <w:highlight w:val="none"/>
          <w:lang w:val="zh-CN" w:eastAsia="zh-CN"/>
        </w:rPr>
        <w:br w:type="page" w:clear="all"/>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val="zh-CN" w:eastAsia="zh-CN"/>
        </w:rPr>
        <w:t>响应函的格式：</w:t>
      </w:r>
    </w:p>
    <w:p w14:paraId="0A5A3E8E">
      <w:pPr>
        <w:spacing w:line="500" w:lineRule="exact"/>
        <w:jc w:val="center"/>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响应函</w:t>
      </w:r>
    </w:p>
    <w:p w14:paraId="1ED854D3">
      <w:pPr>
        <w:spacing w:line="360" w:lineRule="auto"/>
        <w:rPr>
          <w:rFonts w:hint="eastAsia" w:ascii="宋体" w:hAnsi="宋体" w:eastAsia="宋体" w:cs="宋体"/>
          <w:color w:val="auto"/>
          <w:sz w:val="20"/>
          <w:szCs w:val="21"/>
          <w:highlight w:val="none"/>
          <w:lang w:val="zh-CN" w:eastAsia="zh-CN"/>
        </w:rPr>
      </w:pPr>
    </w:p>
    <w:p w14:paraId="0B9DC527">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致：</w:t>
      </w:r>
      <w:r>
        <w:rPr>
          <w:rFonts w:hint="eastAsia" w:ascii="宋体" w:hAnsi="宋体" w:eastAsia="宋体" w:cs="宋体"/>
          <w:color w:val="auto"/>
          <w:sz w:val="21"/>
          <w:szCs w:val="21"/>
          <w:highlight w:val="none"/>
          <w:u w:val="single"/>
          <w:lang w:val="zh-CN" w:eastAsia="zh-CN"/>
        </w:rPr>
        <w:t xml:space="preserve"> </w:t>
      </w:r>
      <w:r>
        <w:rPr>
          <w:rFonts w:hint="eastAsia" w:ascii="宋体" w:hAnsi="宋体" w:eastAsia="宋体" w:cs="宋体"/>
          <w:color w:val="auto"/>
          <w:sz w:val="21"/>
          <w:szCs w:val="21"/>
          <w:highlight w:val="none"/>
          <w:u w:val="single"/>
          <w:lang w:val="en-US" w:eastAsia="zh-CN"/>
        </w:rPr>
        <w:t xml:space="preserve">广西桂盛项目管理有限公司         </w:t>
      </w:r>
    </w:p>
    <w:p w14:paraId="35305745">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我方已仔细阅读了贵方组织的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eastAsia="zh-CN"/>
        </w:rPr>
        <w:t>项目（项目编号：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zh-CN" w:eastAsia="zh-CN"/>
        </w:rPr>
        <w:t>）的竞争性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 xml:space="preserve">文件的全部内容，现正式提交下述文件参加贵方组织的本次政府采购活动： </w:t>
      </w:r>
    </w:p>
    <w:p w14:paraId="24239BDF">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一、首次报价文件</w:t>
      </w:r>
      <w:r>
        <w:rPr>
          <w:rFonts w:hint="eastAsia" w:ascii="宋体" w:hAnsi="宋体" w:eastAsia="宋体" w:cs="宋体"/>
          <w:color w:val="auto"/>
          <w:sz w:val="21"/>
          <w:szCs w:val="21"/>
          <w:highlight w:val="none"/>
          <w:lang w:val="zh-CN"/>
        </w:rPr>
        <w:t>电子版</w:t>
      </w:r>
      <w:r>
        <w:rPr>
          <w:rFonts w:hint="eastAsia" w:ascii="宋体" w:hAnsi="宋体" w:eastAsia="宋体" w:cs="宋体"/>
          <w:color w:val="auto"/>
          <w:sz w:val="21"/>
          <w:szCs w:val="21"/>
          <w:highlight w:val="none"/>
          <w:lang w:val="zh-CN" w:eastAsia="zh-CN"/>
        </w:rPr>
        <w:t>（包含按</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提交的全部文件）；</w:t>
      </w:r>
    </w:p>
    <w:p w14:paraId="76885958">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二、商务技术文件</w:t>
      </w:r>
      <w:r>
        <w:rPr>
          <w:rFonts w:hint="eastAsia" w:ascii="宋体" w:hAnsi="宋体" w:eastAsia="宋体" w:cs="宋体"/>
          <w:color w:val="auto"/>
          <w:sz w:val="21"/>
          <w:szCs w:val="21"/>
          <w:highlight w:val="none"/>
          <w:lang w:val="zh-CN"/>
        </w:rPr>
        <w:t>电子版</w:t>
      </w:r>
      <w:r>
        <w:rPr>
          <w:rFonts w:hint="eastAsia" w:ascii="宋体" w:hAnsi="宋体" w:eastAsia="宋体" w:cs="宋体"/>
          <w:color w:val="auto"/>
          <w:sz w:val="21"/>
          <w:szCs w:val="21"/>
          <w:highlight w:val="none"/>
          <w:lang w:val="zh-CN" w:eastAsia="zh-CN"/>
        </w:rPr>
        <w:t>（包含按</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提交的全部文件）；</w:t>
      </w:r>
    </w:p>
    <w:p w14:paraId="7A0C4256">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三、资格文件电子版（包含按“第三章供应商须知”提交的全部文件）。</w:t>
      </w:r>
    </w:p>
    <w:p w14:paraId="5AA96B7C">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据此函，</w:t>
      </w:r>
      <w:r>
        <w:rPr>
          <w:rFonts w:hint="eastAsia" w:ascii="宋体" w:hAnsi="宋体" w:eastAsia="宋体" w:cs="宋体"/>
          <w:color w:val="auto"/>
          <w:sz w:val="21"/>
          <w:szCs w:val="21"/>
          <w:highlight w:val="none"/>
          <w:lang w:val="en-US" w:eastAsia="zh-CN"/>
        </w:rPr>
        <w:t>我方</w:t>
      </w:r>
      <w:r>
        <w:rPr>
          <w:rFonts w:hint="eastAsia" w:ascii="宋体" w:hAnsi="宋体" w:eastAsia="宋体" w:cs="宋体"/>
          <w:color w:val="auto"/>
          <w:sz w:val="21"/>
          <w:szCs w:val="21"/>
          <w:highlight w:val="none"/>
          <w:lang w:val="zh-CN" w:eastAsia="zh-CN"/>
        </w:rPr>
        <w:t>兹宣布：</w:t>
      </w:r>
    </w:p>
    <w:p w14:paraId="0DDFB15D">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1、我方愿意以</w:t>
      </w:r>
      <w:r>
        <w:rPr>
          <w:rFonts w:hint="eastAsia" w:ascii="宋体" w:hAnsi="宋体" w:eastAsia="宋体" w:cs="宋体"/>
          <w:color w:val="auto"/>
          <w:sz w:val="21"/>
          <w:szCs w:val="21"/>
          <w:highlight w:val="none"/>
          <w:lang w:eastAsia="zh-CN"/>
        </w:rPr>
        <w:t>竞标总</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zh-CN" w:eastAsia="zh-CN"/>
        </w:rPr>
        <w:t>，提供本项目竞争性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文件“第</w:t>
      </w:r>
      <w:r>
        <w:rPr>
          <w:rFonts w:hint="eastAsia" w:ascii="宋体" w:hAnsi="宋体" w:eastAsia="宋体" w:cs="宋体"/>
          <w:color w:val="auto"/>
          <w:sz w:val="21"/>
          <w:szCs w:val="21"/>
          <w:highlight w:val="none"/>
          <w:lang w:val="zh-CN"/>
        </w:rPr>
        <w:t>二</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en-US" w:eastAsia="zh-CN"/>
        </w:rPr>
        <w:t xml:space="preserve">  采购需求</w:t>
      </w:r>
      <w:r>
        <w:rPr>
          <w:rFonts w:hint="eastAsia" w:ascii="宋体" w:hAnsi="宋体" w:eastAsia="宋体" w:cs="宋体"/>
          <w:color w:val="auto"/>
          <w:sz w:val="21"/>
          <w:szCs w:val="21"/>
          <w:highlight w:val="none"/>
          <w:lang w:val="zh-CN" w:eastAsia="zh-CN"/>
        </w:rPr>
        <w:t>”的“</w:t>
      </w:r>
      <w:r>
        <w:rPr>
          <w:rFonts w:hint="eastAsia" w:ascii="宋体" w:hAnsi="宋体" w:eastAsia="宋体" w:cs="宋体"/>
          <w:color w:val="auto"/>
          <w:sz w:val="21"/>
          <w:szCs w:val="21"/>
          <w:highlight w:val="none"/>
          <w:lang w:val="en-US" w:eastAsia="zh-CN"/>
        </w:rPr>
        <w:t>货物名称</w:t>
      </w:r>
      <w:r>
        <w:rPr>
          <w:rFonts w:hint="eastAsia" w:ascii="宋体" w:hAnsi="宋体" w:eastAsia="宋体" w:cs="宋体"/>
          <w:color w:val="auto"/>
          <w:sz w:val="21"/>
          <w:szCs w:val="21"/>
          <w:highlight w:val="none"/>
          <w:lang w:val="zh-CN" w:eastAsia="zh-CN"/>
        </w:rPr>
        <w:t>”中相应的采购内容</w:t>
      </w:r>
      <w:r>
        <w:rPr>
          <w:rFonts w:hint="eastAsia" w:ascii="宋体" w:hAnsi="宋体" w:eastAsia="宋体" w:cs="宋体"/>
          <w:color w:val="auto"/>
          <w:sz w:val="21"/>
          <w:szCs w:val="21"/>
          <w:highlight w:val="none"/>
          <w:lang w:eastAsia="zh-CN"/>
        </w:rPr>
        <w:t>，具体详见最后报价表</w:t>
      </w:r>
      <w:r>
        <w:rPr>
          <w:rFonts w:hint="eastAsia" w:ascii="宋体" w:hAnsi="宋体" w:eastAsia="宋体" w:cs="宋体"/>
          <w:color w:val="auto"/>
          <w:sz w:val="21"/>
          <w:szCs w:val="21"/>
          <w:highlight w:val="none"/>
          <w:lang w:val="zh-CN" w:eastAsia="zh-CN"/>
        </w:rPr>
        <w:t>。</w:t>
      </w:r>
    </w:p>
    <w:p w14:paraId="2806F22B">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2、我方同意自本项目竞争性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w:t>
      </w:r>
      <w:r>
        <w:rPr>
          <w:rFonts w:hint="eastAsia" w:ascii="宋体" w:hAnsi="宋体" w:eastAsia="宋体" w:cs="宋体"/>
          <w:color w:val="auto"/>
          <w:sz w:val="21"/>
          <w:szCs w:val="21"/>
          <w:highlight w:val="none"/>
          <w:lang w:val="zh-CN"/>
        </w:rPr>
        <w:t>采购公告</w:t>
      </w:r>
      <w:r>
        <w:rPr>
          <w:rFonts w:hint="eastAsia" w:ascii="宋体" w:hAnsi="宋体" w:eastAsia="宋体" w:cs="宋体"/>
          <w:color w:val="auto"/>
          <w:sz w:val="21"/>
          <w:szCs w:val="21"/>
          <w:highlight w:val="none"/>
          <w:lang w:val="zh-CN" w:eastAsia="zh-CN"/>
        </w:rPr>
        <w:t>规定的提交响应文件截止时间起遵循本响应函，并承诺在</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规定的</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lang w:val="zh-CN" w:eastAsia="zh-CN"/>
        </w:rPr>
        <w:t>有效期内不修改、撤销</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w:t>
      </w:r>
    </w:p>
    <w:p w14:paraId="0C31A238">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3、我方在此声明，所提交的</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文件及有关资料内容完整、真实和准确。</w:t>
      </w:r>
    </w:p>
    <w:p w14:paraId="3DF664D6">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4、如本项目采购内容涉及须符合国家强制规定的，我方承诺我方本次竞标均符合国家有关强制规定。</w:t>
      </w:r>
    </w:p>
    <w:p w14:paraId="285F1BB3">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5</w:t>
      </w:r>
      <w:r>
        <w:rPr>
          <w:rFonts w:hint="eastAsia" w:ascii="宋体" w:hAnsi="宋体" w:eastAsia="宋体" w:cs="宋体"/>
          <w:color w:val="auto"/>
          <w:sz w:val="21"/>
          <w:szCs w:val="21"/>
          <w:highlight w:val="none"/>
          <w:lang w:val="zh-CN" w:eastAsia="zh-CN"/>
        </w:rPr>
        <w:t>、如我方成交，我方承诺在收到成交通知书后，在成交通知书规定的期限内，根据竞争性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文件、我方的</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文件及有关澄清承诺书的要求按第</w:t>
      </w:r>
      <w:r>
        <w:rPr>
          <w:rFonts w:hint="eastAsia" w:ascii="宋体" w:hAnsi="宋体" w:eastAsia="宋体" w:cs="宋体"/>
          <w:color w:val="auto"/>
          <w:sz w:val="21"/>
          <w:szCs w:val="21"/>
          <w:highlight w:val="none"/>
          <w:lang w:val="zh-CN"/>
        </w:rPr>
        <w:t>六</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zh-CN"/>
        </w:rPr>
        <w:t>合同文本</w:t>
      </w:r>
      <w:r>
        <w:rPr>
          <w:rFonts w:hint="eastAsia" w:ascii="宋体" w:hAnsi="宋体" w:eastAsia="宋体" w:cs="宋体"/>
          <w:color w:val="auto"/>
          <w:sz w:val="21"/>
          <w:szCs w:val="21"/>
          <w:highlight w:val="none"/>
          <w:lang w:val="zh-CN" w:eastAsia="zh-CN"/>
        </w:rPr>
        <w:t>”与采购人订立书面合同，并按照合同约定承担完成合同的责任和义务。</w:t>
      </w:r>
    </w:p>
    <w:p w14:paraId="37303356">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6</w:t>
      </w:r>
      <w:r>
        <w:rPr>
          <w:rFonts w:hint="eastAsia" w:ascii="宋体" w:hAnsi="宋体" w:eastAsia="宋体" w:cs="宋体"/>
          <w:color w:val="auto"/>
          <w:sz w:val="21"/>
          <w:szCs w:val="21"/>
          <w:highlight w:val="none"/>
          <w:lang w:val="zh-CN" w:eastAsia="zh-CN"/>
        </w:rPr>
        <w:t>、我方已详细审核竞争性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文件，我方知道必须放弃提出含糊不清或误解问题的权利。</w:t>
      </w:r>
    </w:p>
    <w:p w14:paraId="59751CDC">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7</w:t>
      </w:r>
      <w:r>
        <w:rPr>
          <w:rFonts w:hint="eastAsia" w:ascii="宋体" w:hAnsi="宋体" w:eastAsia="宋体" w:cs="宋体"/>
          <w:color w:val="auto"/>
          <w:sz w:val="21"/>
          <w:szCs w:val="21"/>
          <w:highlight w:val="none"/>
          <w:lang w:val="zh-CN" w:eastAsia="zh-CN"/>
        </w:rPr>
        <w:t>、我方承诺满足竞争性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文件第</w:t>
      </w:r>
      <w:r>
        <w:rPr>
          <w:rFonts w:hint="eastAsia" w:ascii="宋体" w:hAnsi="宋体" w:eastAsia="宋体" w:cs="宋体"/>
          <w:color w:val="auto"/>
          <w:sz w:val="21"/>
          <w:szCs w:val="21"/>
          <w:highlight w:val="none"/>
          <w:lang w:val="zh-CN"/>
        </w:rPr>
        <w:t>六</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zh-CN"/>
        </w:rPr>
        <w:t>合同文本</w:t>
      </w:r>
      <w:r>
        <w:rPr>
          <w:rFonts w:hint="eastAsia" w:ascii="宋体" w:hAnsi="宋体" w:eastAsia="宋体" w:cs="宋体"/>
          <w:color w:val="auto"/>
          <w:sz w:val="21"/>
          <w:szCs w:val="21"/>
          <w:highlight w:val="none"/>
          <w:lang w:val="zh-CN" w:eastAsia="zh-CN"/>
        </w:rPr>
        <w:t>”的条款，承担完成合同的责任和义务。</w:t>
      </w:r>
    </w:p>
    <w:p w14:paraId="48A591E1">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8</w:t>
      </w:r>
      <w:r>
        <w:rPr>
          <w:rFonts w:hint="eastAsia" w:ascii="宋体" w:hAnsi="宋体" w:eastAsia="宋体" w:cs="宋体"/>
          <w:color w:val="auto"/>
          <w:sz w:val="21"/>
          <w:szCs w:val="21"/>
          <w:highlight w:val="none"/>
          <w:lang w:val="zh-CN" w:eastAsia="zh-CN"/>
        </w:rPr>
        <w:t>、我方同意应贵方要求提供与本竞标有关的任何数据或资料。若贵方需要，我方愿意提供我方作出的一切承诺的证明材料。</w:t>
      </w:r>
    </w:p>
    <w:p w14:paraId="452D5675">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9</w:t>
      </w:r>
      <w:r>
        <w:rPr>
          <w:rFonts w:hint="eastAsia" w:ascii="宋体" w:hAnsi="宋体" w:eastAsia="宋体" w:cs="宋体"/>
          <w:color w:val="auto"/>
          <w:sz w:val="21"/>
          <w:szCs w:val="21"/>
          <w:highlight w:val="none"/>
          <w:lang w:val="zh-CN" w:eastAsia="zh-CN"/>
        </w:rPr>
        <w:t>、我方完全理解贵方不一定接受响应报价最低的供应商为成交供应商的行为。</w:t>
      </w:r>
    </w:p>
    <w:p w14:paraId="6E1D53A0">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10</w:t>
      </w:r>
      <w:r>
        <w:rPr>
          <w:rFonts w:hint="eastAsia" w:ascii="宋体" w:hAnsi="宋体" w:eastAsia="宋体" w:cs="宋体"/>
          <w:color w:val="auto"/>
          <w:sz w:val="21"/>
          <w:szCs w:val="21"/>
          <w:highlight w:val="none"/>
          <w:lang w:val="zh-CN" w:eastAsia="zh-CN"/>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BE5A744">
      <w:pPr>
        <w:numPr>
          <w:ilvl w:val="0"/>
          <w:numId w:val="10"/>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提供虚假材料谋取中标、成交的；</w:t>
      </w:r>
    </w:p>
    <w:p w14:paraId="336718B7">
      <w:pPr>
        <w:numPr>
          <w:ilvl w:val="0"/>
          <w:numId w:val="10"/>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采取不正当手段诋毁、排挤其他供应商的；</w:t>
      </w:r>
    </w:p>
    <w:p w14:paraId="74F3BC44">
      <w:pPr>
        <w:numPr>
          <w:ilvl w:val="0"/>
          <w:numId w:val="10"/>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与采购人、其他供应商或者采购代理机构恶意串通的；</w:t>
      </w:r>
    </w:p>
    <w:p w14:paraId="46E1A28F">
      <w:pPr>
        <w:numPr>
          <w:ilvl w:val="0"/>
          <w:numId w:val="10"/>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向采购人、采购代理机构行贿或者提供其他不正当利益的；</w:t>
      </w:r>
    </w:p>
    <w:p w14:paraId="02EC2969">
      <w:pPr>
        <w:numPr>
          <w:ilvl w:val="0"/>
          <w:numId w:val="10"/>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在采购过程中与采购人进行协商谈判的；</w:t>
      </w:r>
    </w:p>
    <w:p w14:paraId="074AAD3D">
      <w:pPr>
        <w:numPr>
          <w:ilvl w:val="0"/>
          <w:numId w:val="10"/>
        </w:numPr>
        <w:tabs>
          <w:tab w:val="left" w:pos="945"/>
        </w:tabs>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拒绝有关部门监督检查或提供虚假情况的。</w:t>
      </w:r>
    </w:p>
    <w:p w14:paraId="02C00AAF">
      <w:pPr>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以上事项如有虚假或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隐瞒，我方愿意承担一切后果，并不再寻求任何旨在减轻或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免除法律责任的辩解</w:t>
      </w:r>
      <w:r>
        <w:rPr>
          <w:rFonts w:hint="eastAsia" w:ascii="宋体" w:hAnsi="宋体" w:eastAsia="宋体" w:cs="宋体"/>
          <w:color w:val="auto"/>
          <w:sz w:val="21"/>
          <w:szCs w:val="21"/>
          <w:highlight w:val="none"/>
          <w:lang w:eastAsia="zh-CN"/>
        </w:rPr>
        <w:t>。</w:t>
      </w:r>
    </w:p>
    <w:p w14:paraId="49EAD768">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与本</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有关的一切正式往来信函请寄：</w:t>
      </w:r>
    </w:p>
    <w:p w14:paraId="575E2B1D">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地址：</w:t>
      </w:r>
      <w:r>
        <w:rPr>
          <w:rFonts w:hint="eastAsia" w:ascii="宋体" w:hAnsi="宋体" w:eastAsia="宋体" w:cs="宋体"/>
          <w:color w:val="auto"/>
          <w:sz w:val="21"/>
          <w:szCs w:val="21"/>
          <w:highlight w:val="none"/>
          <w:u w:val="single"/>
          <w:lang w:val="zh-CN" w:eastAsia="zh-CN"/>
        </w:rPr>
        <w:t xml:space="preserve">                                                        </w:t>
      </w:r>
      <w:r>
        <w:rPr>
          <w:rFonts w:hint="eastAsia" w:ascii="宋体" w:hAnsi="宋体" w:eastAsia="宋体" w:cs="宋体"/>
          <w:color w:val="auto"/>
          <w:sz w:val="21"/>
          <w:szCs w:val="21"/>
          <w:highlight w:val="none"/>
          <w:lang w:val="zh-CN" w:eastAsia="zh-CN"/>
        </w:rPr>
        <w:t xml:space="preserve"> </w:t>
      </w:r>
    </w:p>
    <w:p w14:paraId="7A18F610">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电话：</w:t>
      </w:r>
      <w:r>
        <w:rPr>
          <w:rFonts w:hint="eastAsia" w:ascii="宋体" w:hAnsi="宋体" w:eastAsia="宋体" w:cs="宋体"/>
          <w:color w:val="auto"/>
          <w:sz w:val="21"/>
          <w:szCs w:val="21"/>
          <w:highlight w:val="none"/>
          <w:u w:val="single"/>
          <w:lang w:val="zh-CN" w:eastAsia="zh-CN"/>
        </w:rPr>
        <w:t xml:space="preserve">                                      　　　　　　　　　</w:t>
      </w:r>
    </w:p>
    <w:p w14:paraId="5BC62DDD">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传真：</w:t>
      </w:r>
      <w:r>
        <w:rPr>
          <w:rFonts w:hint="eastAsia" w:ascii="宋体" w:hAnsi="宋体" w:eastAsia="宋体" w:cs="宋体"/>
          <w:color w:val="auto"/>
          <w:sz w:val="21"/>
          <w:szCs w:val="21"/>
          <w:highlight w:val="none"/>
          <w:u w:val="single"/>
          <w:lang w:val="zh-CN" w:eastAsia="zh-CN"/>
        </w:rPr>
        <w:t>　　　　　　　　　　　　　　　　　　　　　　　　　　　　</w:t>
      </w:r>
    </w:p>
    <w:p w14:paraId="51F3DB83">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电子邮箱：</w:t>
      </w:r>
      <w:r>
        <w:rPr>
          <w:rFonts w:hint="eastAsia" w:ascii="宋体" w:hAnsi="宋体" w:eastAsia="宋体" w:cs="宋体"/>
          <w:color w:val="auto"/>
          <w:sz w:val="21"/>
          <w:szCs w:val="21"/>
          <w:highlight w:val="none"/>
          <w:u w:val="single"/>
          <w:lang w:val="zh-CN" w:eastAsia="zh-CN"/>
        </w:rPr>
        <w:t>　　　　　　　　　　　　　　　　　　　　　　　　　　</w:t>
      </w:r>
    </w:p>
    <w:p w14:paraId="5F0A5124">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邮政编码：</w:t>
      </w:r>
      <w:r>
        <w:rPr>
          <w:rFonts w:hint="eastAsia" w:ascii="宋体" w:hAnsi="宋体" w:eastAsia="宋体" w:cs="宋体"/>
          <w:color w:val="auto"/>
          <w:sz w:val="21"/>
          <w:szCs w:val="21"/>
          <w:highlight w:val="none"/>
          <w:u w:val="single"/>
          <w:lang w:val="zh-CN" w:eastAsia="zh-CN"/>
        </w:rPr>
        <w:t xml:space="preserve">                                                    </w:t>
      </w:r>
    </w:p>
    <w:p w14:paraId="663EA867">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开户名称：</w:t>
      </w:r>
      <w:r>
        <w:rPr>
          <w:rFonts w:hint="eastAsia" w:ascii="宋体" w:hAnsi="宋体" w:eastAsia="宋体" w:cs="宋体"/>
          <w:color w:val="auto"/>
          <w:sz w:val="21"/>
          <w:szCs w:val="21"/>
          <w:highlight w:val="none"/>
          <w:u w:val="single"/>
          <w:lang w:val="zh-CN" w:eastAsia="zh-CN"/>
        </w:rPr>
        <w:t xml:space="preserve">                                                    </w:t>
      </w:r>
    </w:p>
    <w:p w14:paraId="498CAAF5">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开户银行：</w:t>
      </w:r>
      <w:r>
        <w:rPr>
          <w:rFonts w:hint="eastAsia" w:ascii="宋体" w:hAnsi="宋体" w:eastAsia="宋体" w:cs="宋体"/>
          <w:color w:val="auto"/>
          <w:sz w:val="21"/>
          <w:szCs w:val="21"/>
          <w:highlight w:val="none"/>
          <w:u w:val="single"/>
          <w:lang w:val="zh-CN" w:eastAsia="zh-CN"/>
        </w:rPr>
        <w:t xml:space="preserve">                                                    </w:t>
      </w:r>
    </w:p>
    <w:p w14:paraId="66990DDA">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银行账号：</w:t>
      </w:r>
      <w:r>
        <w:rPr>
          <w:rFonts w:hint="eastAsia" w:ascii="宋体" w:hAnsi="宋体" w:eastAsia="宋体" w:cs="宋体"/>
          <w:color w:val="auto"/>
          <w:sz w:val="21"/>
          <w:szCs w:val="21"/>
          <w:highlight w:val="none"/>
          <w:u w:val="single"/>
          <w:lang w:val="zh-CN" w:eastAsia="zh-CN"/>
        </w:rPr>
        <w:t xml:space="preserve">                                                    </w:t>
      </w:r>
    </w:p>
    <w:p w14:paraId="0891FD38">
      <w:pPr>
        <w:tabs>
          <w:tab w:val="left" w:pos="939"/>
        </w:tabs>
        <w:spacing w:line="360" w:lineRule="auto"/>
        <w:ind w:left="141" w:firstLine="315"/>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77DAEE5A">
      <w:pPr>
        <w:pStyle w:val="58"/>
        <w:rPr>
          <w:rFonts w:hint="eastAsia"/>
          <w:color w:val="auto"/>
        </w:rPr>
      </w:pPr>
    </w:p>
    <w:p w14:paraId="2DE70B94">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1A5CB23">
      <w:pPr>
        <w:ind w:firstLine="6000"/>
        <w:rPr>
          <w:rFonts w:hint="eastAsia" w:ascii="宋体" w:hAnsi="宋体" w:eastAsia="宋体" w:cs="宋体"/>
          <w:color w:val="auto"/>
          <w:sz w:val="24"/>
          <w:szCs w:val="24"/>
          <w:highlight w:val="none"/>
          <w:lang w:val="zh-CN"/>
        </w:rPr>
        <w:sectPr>
          <w:pgSz w:w="11906" w:h="16838"/>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14:paraId="5E8A354A">
      <w:pPr>
        <w:ind w:firstLine="5250"/>
        <w:rPr>
          <w:rFonts w:hint="eastAsia" w:ascii="宋体" w:hAnsi="宋体" w:eastAsia="宋体" w:cs="宋体"/>
          <w:color w:val="auto"/>
          <w:szCs w:val="24"/>
          <w:highlight w:val="none"/>
        </w:rPr>
      </w:pPr>
    </w:p>
    <w:p w14:paraId="23951BE2">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lang w:val="zh-CN" w:eastAsia="zh-CN"/>
        </w:rPr>
        <w:t>响应报价表的格式：</w:t>
      </w:r>
      <w:r>
        <w:rPr>
          <w:rFonts w:hint="eastAsia" w:ascii="宋体" w:hAnsi="宋体" w:eastAsia="宋体" w:cs="宋体"/>
          <w:b/>
          <w:color w:val="auto"/>
          <w:sz w:val="30"/>
          <w:szCs w:val="30"/>
          <w:highlight w:val="none"/>
          <w:lang w:val="zh-CN" w:eastAsia="zh-CN"/>
        </w:rPr>
        <w:t xml:space="preserve"> </w:t>
      </w:r>
    </w:p>
    <w:p w14:paraId="7EAB300F">
      <w:pPr>
        <w:spacing w:before="50" w:after="50" w:line="360" w:lineRule="auto"/>
        <w:ind w:firstLine="4518"/>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响应报价表</w:t>
      </w:r>
    </w:p>
    <w:p w14:paraId="6B8B7FD2">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6B76C03">
      <w:pPr>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68E4F33D">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45"/>
        <w:tblW w:w="10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204"/>
        <w:gridCol w:w="1177"/>
        <w:gridCol w:w="924"/>
        <w:gridCol w:w="871"/>
        <w:gridCol w:w="871"/>
        <w:gridCol w:w="1263"/>
        <w:gridCol w:w="1619"/>
        <w:gridCol w:w="1566"/>
      </w:tblGrid>
      <w:tr w14:paraId="4118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81" w:type="dxa"/>
            <w:tcBorders>
              <w:top w:val="single" w:color="auto" w:sz="4" w:space="0"/>
              <w:left w:val="single" w:color="auto" w:sz="4" w:space="0"/>
              <w:bottom w:val="single" w:color="auto" w:sz="4" w:space="0"/>
              <w:right w:val="single" w:color="auto" w:sz="4" w:space="0"/>
            </w:tcBorders>
            <w:noWrap w:val="0"/>
            <w:vAlign w:val="center"/>
          </w:tcPr>
          <w:p w14:paraId="30FC89E5">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744468C">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货物名称</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64F6392A">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24" w:type="dxa"/>
            <w:tcBorders>
              <w:top w:val="single" w:color="auto" w:sz="4" w:space="0"/>
              <w:left w:val="single" w:color="auto" w:sz="4" w:space="0"/>
              <w:bottom w:val="single" w:color="auto" w:sz="4" w:space="0"/>
              <w:right w:val="single" w:color="auto" w:sz="4" w:space="0"/>
            </w:tcBorders>
            <w:noWrap w:val="0"/>
            <w:vAlign w:val="center"/>
          </w:tcPr>
          <w:p w14:paraId="3C1077C8">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8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3B8741">
            <w:pPr>
              <w:jc w:val="cente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8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23296E">
            <w:pP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rPr>
              <w:t>单价(元)②</w:t>
            </w:r>
          </w:p>
        </w:tc>
        <w:tc>
          <w:tcPr>
            <w:tcW w:w="12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98C5B6">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73B5A054">
            <w:pP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rPr>
              <w:t>③＝①×②</w:t>
            </w:r>
          </w:p>
        </w:tc>
        <w:tc>
          <w:tcPr>
            <w:tcW w:w="16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F148BA">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制造商名称</w:t>
            </w:r>
          </w:p>
          <w:p w14:paraId="330E9823">
            <w:pPr>
              <w:jc w:val="cente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lang w:val="en-US" w:eastAsia="zh-CN"/>
              </w:rPr>
              <w:t>及产地</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75C048D5">
            <w:pPr>
              <w:jc w:val="center"/>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制造商是否为中小企业（是/否）</w:t>
            </w:r>
          </w:p>
        </w:tc>
      </w:tr>
      <w:tr w14:paraId="565C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681" w:type="dxa"/>
            <w:tcBorders>
              <w:top w:val="single" w:color="auto" w:sz="4" w:space="0"/>
              <w:left w:val="single" w:color="auto" w:sz="4" w:space="0"/>
              <w:bottom w:val="single" w:color="auto" w:sz="4" w:space="0"/>
              <w:right w:val="single" w:color="auto" w:sz="4" w:space="0"/>
            </w:tcBorders>
            <w:noWrap w:val="0"/>
            <w:vAlign w:val="center"/>
          </w:tcPr>
          <w:p w14:paraId="2A7E5858">
            <w:pPr>
              <w:jc w:val="center"/>
              <w:rPr>
                <w:rFonts w:hint="eastAsia" w:ascii="宋体" w:hAnsi="宋体" w:eastAsia="宋体" w:cs="宋体"/>
                <w:color w:val="auto"/>
                <w:highlight w:val="none"/>
              </w:rPr>
            </w:pPr>
            <w:r>
              <w:rPr>
                <w:rFonts w:hint="eastAsia" w:ascii="宋体" w:hAnsi="宋体" w:eastAsia="宋体" w:cs="宋体"/>
                <w:color w:val="auto"/>
              </w:rPr>
              <w:t>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4770887">
            <w:pPr>
              <w:rPr>
                <w:rFonts w:hint="eastAsia" w:ascii="宋体" w:hAnsi="宋体" w:eastAsia="宋体" w:cs="宋体"/>
                <w:color w:val="auto"/>
                <w:highlight w:val="none"/>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14:paraId="24336D21">
            <w:pPr>
              <w:rPr>
                <w:rFonts w:hint="eastAsia" w:ascii="宋体" w:hAnsi="宋体" w:eastAsia="宋体" w:cs="宋体"/>
                <w:color w:val="auto"/>
                <w:highlight w:val="none"/>
              </w:rPr>
            </w:pPr>
          </w:p>
        </w:tc>
        <w:tc>
          <w:tcPr>
            <w:tcW w:w="924" w:type="dxa"/>
            <w:tcBorders>
              <w:top w:val="single" w:color="auto" w:sz="4" w:space="0"/>
              <w:left w:val="single" w:color="auto" w:sz="4" w:space="0"/>
              <w:bottom w:val="single" w:color="auto" w:sz="4" w:space="0"/>
              <w:right w:val="single" w:color="auto" w:sz="4" w:space="0"/>
            </w:tcBorders>
            <w:noWrap w:val="0"/>
            <w:vAlign w:val="center"/>
          </w:tcPr>
          <w:p w14:paraId="5B52BC20">
            <w:pPr>
              <w:rPr>
                <w:rFonts w:hint="eastAsia" w:ascii="宋体" w:hAnsi="宋体" w:eastAsia="宋体" w:cs="宋体"/>
                <w:color w:val="auto"/>
                <w:highlight w:val="none"/>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5B6F4262">
            <w:pPr>
              <w:rPr>
                <w:rFonts w:hint="eastAsia" w:ascii="宋体" w:hAnsi="宋体" w:eastAsia="宋体" w:cs="宋体"/>
                <w:color w:val="auto"/>
                <w:highlight w:val="none"/>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7C1B1CA8">
            <w:pPr>
              <w:rPr>
                <w:rFonts w:hint="eastAsia" w:ascii="宋体" w:hAnsi="宋体" w:eastAsia="宋体" w:cs="宋体"/>
                <w:color w:val="auto"/>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C75B38C">
            <w:pPr>
              <w:rPr>
                <w:rFonts w:hint="eastAsia" w:ascii="宋体" w:hAnsi="宋体" w:eastAsia="宋体" w:cs="宋体"/>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center"/>
          </w:tcPr>
          <w:p w14:paraId="76FB2F90">
            <w:pPr>
              <w:rPr>
                <w:rFonts w:hint="eastAsia" w:ascii="宋体" w:hAnsi="宋体" w:eastAsia="宋体" w:cs="宋体"/>
                <w:color w:val="auto"/>
                <w:highlight w:val="none"/>
              </w:rPr>
            </w:pPr>
          </w:p>
        </w:tc>
        <w:tc>
          <w:tcPr>
            <w:tcW w:w="1566" w:type="dxa"/>
            <w:tcBorders>
              <w:top w:val="single" w:color="auto" w:sz="4" w:space="0"/>
              <w:left w:val="single" w:color="auto" w:sz="4" w:space="0"/>
              <w:bottom w:val="single" w:color="auto" w:sz="4" w:space="0"/>
              <w:right w:val="single" w:color="auto" w:sz="4" w:space="0"/>
            </w:tcBorders>
            <w:noWrap w:val="0"/>
          </w:tcPr>
          <w:p w14:paraId="15B8617A">
            <w:pPr>
              <w:rPr>
                <w:rFonts w:hint="eastAsia" w:ascii="宋体" w:hAnsi="宋体" w:eastAsia="宋体" w:cs="宋体"/>
                <w:color w:val="auto"/>
                <w:highlight w:val="none"/>
              </w:rPr>
            </w:pPr>
          </w:p>
        </w:tc>
      </w:tr>
      <w:tr w14:paraId="307F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681" w:type="dxa"/>
            <w:tcBorders>
              <w:top w:val="single" w:color="auto" w:sz="4" w:space="0"/>
              <w:left w:val="single" w:color="auto" w:sz="4" w:space="0"/>
              <w:bottom w:val="single" w:color="auto" w:sz="4" w:space="0"/>
              <w:right w:val="single" w:color="auto" w:sz="4" w:space="0"/>
            </w:tcBorders>
            <w:noWrap w:val="0"/>
            <w:vAlign w:val="center"/>
          </w:tcPr>
          <w:p w14:paraId="7EE10708">
            <w:pPr>
              <w:jc w:val="center"/>
              <w:rPr>
                <w:rFonts w:hint="eastAsia" w:ascii="宋体" w:hAnsi="宋体" w:eastAsia="宋体" w:cs="宋体"/>
                <w:color w:val="auto"/>
                <w:highlight w:val="none"/>
              </w:rPr>
            </w:pPr>
            <w:r>
              <w:rPr>
                <w:rFonts w:hint="eastAsia" w:ascii="宋体" w:hAnsi="宋体" w:eastAsia="宋体" w:cs="宋体"/>
                <w:color w:val="auto"/>
              </w:rPr>
              <w:t>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A61B249">
            <w:pPr>
              <w:rPr>
                <w:rFonts w:hint="eastAsia" w:ascii="宋体" w:hAnsi="宋体" w:eastAsia="宋体" w:cs="宋体"/>
                <w:color w:val="auto"/>
                <w:highlight w:val="none"/>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14:paraId="1FD7B651">
            <w:pPr>
              <w:rPr>
                <w:rFonts w:hint="eastAsia" w:ascii="宋体" w:hAnsi="宋体" w:eastAsia="宋体" w:cs="宋体"/>
                <w:color w:val="auto"/>
                <w:highlight w:val="none"/>
              </w:rPr>
            </w:pPr>
          </w:p>
        </w:tc>
        <w:tc>
          <w:tcPr>
            <w:tcW w:w="924" w:type="dxa"/>
            <w:tcBorders>
              <w:top w:val="single" w:color="auto" w:sz="4" w:space="0"/>
              <w:left w:val="single" w:color="auto" w:sz="4" w:space="0"/>
              <w:bottom w:val="single" w:color="auto" w:sz="4" w:space="0"/>
              <w:right w:val="single" w:color="auto" w:sz="4" w:space="0"/>
            </w:tcBorders>
            <w:noWrap w:val="0"/>
            <w:vAlign w:val="center"/>
          </w:tcPr>
          <w:p w14:paraId="297249F5">
            <w:pPr>
              <w:rPr>
                <w:rFonts w:hint="eastAsia" w:ascii="宋体" w:hAnsi="宋体" w:eastAsia="宋体" w:cs="宋体"/>
                <w:color w:val="auto"/>
                <w:highlight w:val="none"/>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675C71D1">
            <w:pPr>
              <w:rPr>
                <w:rFonts w:hint="eastAsia" w:ascii="宋体" w:hAnsi="宋体" w:eastAsia="宋体" w:cs="宋体"/>
                <w:color w:val="auto"/>
                <w:highlight w:val="none"/>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2FEA1EC3">
            <w:pPr>
              <w:rPr>
                <w:rFonts w:hint="eastAsia" w:ascii="宋体" w:hAnsi="宋体" w:eastAsia="宋体" w:cs="宋体"/>
                <w:color w:val="auto"/>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A0684E3">
            <w:pPr>
              <w:rPr>
                <w:rFonts w:hint="eastAsia" w:ascii="宋体" w:hAnsi="宋体" w:eastAsia="宋体" w:cs="宋体"/>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center"/>
          </w:tcPr>
          <w:p w14:paraId="6C53345D">
            <w:pPr>
              <w:rPr>
                <w:rFonts w:hint="eastAsia" w:ascii="宋体" w:hAnsi="宋体" w:eastAsia="宋体" w:cs="宋体"/>
                <w:color w:val="auto"/>
                <w:highlight w:val="none"/>
              </w:rPr>
            </w:pPr>
          </w:p>
        </w:tc>
        <w:tc>
          <w:tcPr>
            <w:tcW w:w="1566" w:type="dxa"/>
            <w:tcBorders>
              <w:top w:val="single" w:color="auto" w:sz="4" w:space="0"/>
              <w:left w:val="single" w:color="auto" w:sz="4" w:space="0"/>
              <w:bottom w:val="single" w:color="auto" w:sz="4" w:space="0"/>
              <w:right w:val="single" w:color="auto" w:sz="4" w:space="0"/>
            </w:tcBorders>
            <w:noWrap w:val="0"/>
          </w:tcPr>
          <w:p w14:paraId="0A4101FE">
            <w:pPr>
              <w:rPr>
                <w:rFonts w:hint="eastAsia" w:ascii="宋体" w:hAnsi="宋体" w:eastAsia="宋体" w:cs="宋体"/>
                <w:color w:val="auto"/>
                <w:highlight w:val="none"/>
              </w:rPr>
            </w:pPr>
          </w:p>
        </w:tc>
      </w:tr>
      <w:tr w14:paraId="4564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681" w:type="dxa"/>
            <w:tcBorders>
              <w:top w:val="single" w:color="auto" w:sz="4" w:space="0"/>
              <w:left w:val="single" w:color="auto" w:sz="4" w:space="0"/>
              <w:bottom w:val="single" w:color="auto" w:sz="4" w:space="0"/>
              <w:right w:val="single" w:color="auto" w:sz="4" w:space="0"/>
            </w:tcBorders>
            <w:noWrap w:val="0"/>
            <w:vAlign w:val="center"/>
          </w:tcPr>
          <w:p w14:paraId="717452D8">
            <w:pPr>
              <w:jc w:val="center"/>
              <w:rPr>
                <w:rFonts w:hint="eastAsia" w:ascii="宋体" w:hAnsi="宋体" w:eastAsia="宋体" w:cs="宋体"/>
                <w:color w:val="auto"/>
                <w:highlight w:val="none"/>
              </w:rPr>
            </w:pPr>
            <w:r>
              <w:rPr>
                <w:rFonts w:hint="eastAsia" w:ascii="宋体" w:hAnsi="宋体" w:eastAsia="宋体" w:cs="宋体"/>
                <w:color w:val="auto"/>
              </w:rPr>
              <w:t>...</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0223755">
            <w:pPr>
              <w:rPr>
                <w:rFonts w:hint="eastAsia" w:ascii="宋体" w:hAnsi="宋体" w:eastAsia="宋体" w:cs="宋体"/>
                <w:color w:val="auto"/>
                <w:highlight w:val="none"/>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14:paraId="5BFA8DAB">
            <w:pPr>
              <w:rPr>
                <w:rFonts w:hint="eastAsia" w:ascii="宋体" w:hAnsi="宋体" w:eastAsia="宋体" w:cs="宋体"/>
                <w:color w:val="auto"/>
                <w:highlight w:val="none"/>
              </w:rPr>
            </w:pPr>
          </w:p>
        </w:tc>
        <w:tc>
          <w:tcPr>
            <w:tcW w:w="924" w:type="dxa"/>
            <w:tcBorders>
              <w:top w:val="single" w:color="auto" w:sz="4" w:space="0"/>
              <w:left w:val="single" w:color="auto" w:sz="4" w:space="0"/>
              <w:bottom w:val="single" w:color="auto" w:sz="4" w:space="0"/>
              <w:right w:val="single" w:color="auto" w:sz="4" w:space="0"/>
            </w:tcBorders>
            <w:noWrap w:val="0"/>
            <w:vAlign w:val="center"/>
          </w:tcPr>
          <w:p w14:paraId="1B00E180">
            <w:pPr>
              <w:rPr>
                <w:rFonts w:hint="eastAsia" w:ascii="宋体" w:hAnsi="宋体" w:eastAsia="宋体" w:cs="宋体"/>
                <w:color w:val="auto"/>
                <w:highlight w:val="none"/>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57F954C1">
            <w:pPr>
              <w:rPr>
                <w:rFonts w:hint="eastAsia" w:ascii="宋体" w:hAnsi="宋体" w:eastAsia="宋体" w:cs="宋体"/>
                <w:color w:val="auto"/>
                <w:highlight w:val="none"/>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585BF6F6">
            <w:pPr>
              <w:rPr>
                <w:rFonts w:hint="eastAsia" w:ascii="宋体" w:hAnsi="宋体" w:eastAsia="宋体" w:cs="宋体"/>
                <w:color w:val="auto"/>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14:paraId="3C09BC09">
            <w:pPr>
              <w:rPr>
                <w:rFonts w:hint="eastAsia" w:ascii="宋体" w:hAnsi="宋体" w:eastAsia="宋体" w:cs="宋体"/>
                <w:color w:val="auto"/>
                <w:highlight w:val="none"/>
              </w:rPr>
            </w:pPr>
          </w:p>
        </w:tc>
        <w:tc>
          <w:tcPr>
            <w:tcW w:w="1619" w:type="dxa"/>
            <w:tcBorders>
              <w:top w:val="single" w:color="auto" w:sz="4" w:space="0"/>
              <w:left w:val="single" w:color="auto" w:sz="4" w:space="0"/>
              <w:bottom w:val="single" w:color="auto" w:sz="4" w:space="0"/>
              <w:right w:val="single" w:color="auto" w:sz="4" w:space="0"/>
            </w:tcBorders>
            <w:noWrap w:val="0"/>
            <w:vAlign w:val="center"/>
          </w:tcPr>
          <w:p w14:paraId="6BC72C08">
            <w:pPr>
              <w:rPr>
                <w:rFonts w:hint="eastAsia" w:ascii="宋体" w:hAnsi="宋体" w:eastAsia="宋体" w:cs="宋体"/>
                <w:color w:val="auto"/>
                <w:highlight w:val="none"/>
              </w:rPr>
            </w:pPr>
          </w:p>
        </w:tc>
        <w:tc>
          <w:tcPr>
            <w:tcW w:w="1566" w:type="dxa"/>
            <w:tcBorders>
              <w:top w:val="single" w:color="auto" w:sz="4" w:space="0"/>
              <w:left w:val="single" w:color="auto" w:sz="4" w:space="0"/>
              <w:bottom w:val="single" w:color="auto" w:sz="4" w:space="0"/>
              <w:right w:val="single" w:color="auto" w:sz="4" w:space="0"/>
            </w:tcBorders>
            <w:noWrap w:val="0"/>
          </w:tcPr>
          <w:p w14:paraId="12CA4660">
            <w:pPr>
              <w:rPr>
                <w:rFonts w:hint="eastAsia" w:ascii="宋体" w:hAnsi="宋体" w:eastAsia="宋体" w:cs="宋体"/>
                <w:color w:val="auto"/>
                <w:highlight w:val="none"/>
              </w:rPr>
            </w:pPr>
          </w:p>
        </w:tc>
      </w:tr>
      <w:tr w14:paraId="7C9B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10176" w:type="dxa"/>
            <w:gridSpan w:val="9"/>
            <w:tcBorders>
              <w:top w:val="single" w:color="auto" w:sz="4" w:space="0"/>
              <w:left w:val="single" w:color="auto" w:sz="4" w:space="0"/>
              <w:bottom w:val="single" w:color="auto" w:sz="4" w:space="0"/>
              <w:right w:val="single" w:color="auto" w:sz="4" w:space="0"/>
            </w:tcBorders>
            <w:noWrap w:val="0"/>
            <w:vAlign w:val="center"/>
          </w:tcPr>
          <w:p w14:paraId="13D7017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118B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10176" w:type="dxa"/>
            <w:gridSpan w:val="9"/>
            <w:tcBorders>
              <w:top w:val="single" w:color="auto" w:sz="4" w:space="0"/>
              <w:left w:val="single" w:color="auto" w:sz="4" w:space="0"/>
              <w:bottom w:val="single" w:color="auto" w:sz="4" w:space="0"/>
              <w:right w:val="single" w:color="auto" w:sz="4" w:space="0"/>
            </w:tcBorders>
            <w:noWrap w:val="0"/>
            <w:vAlign w:val="center"/>
          </w:tcPr>
          <w:p w14:paraId="62980E8A">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5933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trPr>
        <w:tc>
          <w:tcPr>
            <w:tcW w:w="681" w:type="dxa"/>
            <w:tcBorders>
              <w:top w:val="single" w:color="auto" w:sz="4" w:space="0"/>
              <w:left w:val="single" w:color="auto" w:sz="4" w:space="0"/>
              <w:bottom w:val="single" w:color="auto" w:sz="4" w:space="0"/>
              <w:right w:val="single" w:color="auto" w:sz="4" w:space="0"/>
            </w:tcBorders>
            <w:noWrap w:val="0"/>
            <w:vAlign w:val="center"/>
          </w:tcPr>
          <w:p w14:paraId="249561D5">
            <w:pPr>
              <w:spacing w:line="240" w:lineRule="auto"/>
              <w:ind w:firstLine="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备注</w:t>
            </w:r>
          </w:p>
        </w:tc>
        <w:tc>
          <w:tcPr>
            <w:tcW w:w="9495" w:type="dxa"/>
            <w:gridSpan w:val="8"/>
            <w:tcBorders>
              <w:top w:val="single" w:color="auto" w:sz="4" w:space="0"/>
              <w:left w:val="single" w:color="auto" w:sz="4" w:space="0"/>
              <w:bottom w:val="single" w:color="auto" w:sz="4" w:space="0"/>
              <w:right w:val="single" w:color="auto" w:sz="4" w:space="0"/>
            </w:tcBorders>
            <w:noWrap w:val="0"/>
            <w:vAlign w:val="center"/>
          </w:tcPr>
          <w:p w14:paraId="27E9B863">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3E5EB986">
      <w:pPr>
        <w:spacing w:before="50" w:after="50" w:line="360" w:lineRule="auto"/>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注： </w:t>
      </w:r>
    </w:p>
    <w:p w14:paraId="7BB0FAE2">
      <w:pPr>
        <w:pStyle w:val="29"/>
        <w:numPr>
          <w:ilvl w:val="0"/>
          <w:numId w:val="0"/>
        </w:numPr>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供应商需按本表格式填写，不得自行更改，也不得留空（</w:t>
      </w:r>
      <w:r>
        <w:rPr>
          <w:rFonts w:hint="eastAsia" w:ascii="宋体" w:hAnsi="宋体" w:eastAsia="宋体" w:cs="宋体"/>
          <w:color w:val="auto"/>
          <w:sz w:val="21"/>
          <w:szCs w:val="21"/>
          <w:highlight w:val="none"/>
          <w:lang w:val="en-US" w:eastAsia="zh-CN"/>
        </w:rPr>
        <w:t>备注栏除外</w:t>
      </w:r>
      <w:r>
        <w:rPr>
          <w:rFonts w:hint="eastAsia" w:ascii="宋体" w:hAnsi="宋体" w:eastAsia="宋体" w:cs="宋体"/>
          <w:color w:val="auto"/>
          <w:sz w:val="21"/>
          <w:szCs w:val="21"/>
          <w:highlight w:val="none"/>
          <w:lang w:val="zh-CN"/>
        </w:rPr>
        <w:t>）, 如有多分标，按分标分别提供响应报价表，</w:t>
      </w:r>
      <w:r>
        <w:rPr>
          <w:rFonts w:hint="eastAsia" w:ascii="宋体" w:hAnsi="宋体" w:eastAsia="宋体" w:cs="宋体"/>
          <w:b/>
          <w:color w:val="auto"/>
          <w:sz w:val="21"/>
          <w:szCs w:val="21"/>
          <w:highlight w:val="none"/>
          <w:lang w:val="zh-CN"/>
        </w:rPr>
        <w:t>否则其响应按无效响应处理</w:t>
      </w:r>
      <w:r>
        <w:rPr>
          <w:rFonts w:hint="eastAsia" w:ascii="宋体" w:hAnsi="宋体" w:eastAsia="宋体" w:cs="宋体"/>
          <w:b w:val="0"/>
          <w:bCs/>
          <w:color w:val="auto"/>
          <w:sz w:val="21"/>
          <w:szCs w:val="21"/>
          <w:highlight w:val="none"/>
          <w:lang w:val="zh-CN"/>
        </w:rPr>
        <w:t>。</w:t>
      </w:r>
    </w:p>
    <w:p w14:paraId="7B6960E6">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14:paraId="2A30FA1D">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sz w:val="21"/>
          <w:szCs w:val="21"/>
          <w:highlight w:val="none"/>
          <w:lang w:val="en-US" w:eastAsia="zh-CN"/>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w:t>
      </w:r>
      <w:r>
        <w:rPr>
          <w:rFonts w:hint="eastAsia" w:ascii="宋体" w:hAnsi="宋体" w:eastAsia="宋体" w:cs="宋体"/>
          <w:b/>
          <w:color w:val="auto"/>
          <w:sz w:val="21"/>
          <w:szCs w:val="21"/>
          <w:highlight w:val="none"/>
          <w:lang w:val="zh-CN"/>
        </w:rPr>
        <w:t>否则其响应作无效响应处理。</w:t>
      </w:r>
    </w:p>
    <w:p w14:paraId="0C121F0A">
      <w:pPr>
        <w:spacing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4、特别提示：采购代理机构将对项目名称和项目编号，成交供应商名称、地址和成交金额，主要成交标的名称、</w:t>
      </w:r>
      <w:r>
        <w:rPr>
          <w:rFonts w:hint="eastAsia" w:ascii="宋体" w:hAnsi="宋体" w:eastAsia="宋体" w:cs="宋体"/>
          <w:color w:val="auto"/>
          <w:sz w:val="21"/>
          <w:szCs w:val="21"/>
          <w:highlight w:val="none"/>
          <w:lang w:val="en-US"/>
        </w:rPr>
        <w:t>规格型号</w:t>
      </w:r>
      <w:r>
        <w:rPr>
          <w:rFonts w:hint="eastAsia" w:ascii="宋体" w:hAnsi="宋体" w:eastAsia="宋体" w:cs="宋体"/>
          <w:color w:val="auto"/>
          <w:sz w:val="21"/>
          <w:szCs w:val="21"/>
          <w:highlight w:val="none"/>
          <w:lang w:val="en-US" w:eastAsia="zh-CN"/>
        </w:rPr>
        <w:t>、品牌（如有）及制造商</w:t>
      </w:r>
      <w:r>
        <w:rPr>
          <w:rFonts w:hint="eastAsia" w:ascii="宋体" w:hAnsi="宋体" w:eastAsia="宋体" w:cs="宋体"/>
          <w:color w:val="auto"/>
          <w:sz w:val="21"/>
          <w:szCs w:val="21"/>
          <w:highlight w:val="none"/>
          <w:lang w:val="zh-CN"/>
        </w:rPr>
        <w:t>、数量、单价等予以公示。</w:t>
      </w:r>
    </w:p>
    <w:p w14:paraId="4CDC0932">
      <w:pPr>
        <w:spacing w:line="360" w:lineRule="auto"/>
        <w:ind w:left="479" w:firstLine="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5、符合采购文件中列明的可享受中小企业扶持政策的供应商，请填写中小企业声明函。</w:t>
      </w:r>
    </w:p>
    <w:p w14:paraId="04CABB0F">
      <w:pPr>
        <w:spacing w:line="360" w:lineRule="auto"/>
        <w:ind w:left="0"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供应商提供的中小企业声明函内容不实的，属于提供虚假材料谋取中标、成交，依照《中华人民共和国政府采购法》等国家有关规定追究相应责任。</w:t>
      </w:r>
    </w:p>
    <w:p w14:paraId="3A3C70E1">
      <w:pPr>
        <w:pStyle w:val="18"/>
        <w:rPr>
          <w:rFonts w:hint="eastAsia"/>
          <w:color w:val="auto"/>
        </w:rPr>
      </w:pPr>
      <w:r>
        <w:rPr>
          <w:rFonts w:hint="eastAsia" w:ascii="Times New Roman" w:hAnsi="Times New Roman" w:eastAsia="宋体" w:cs="Times New Roman"/>
          <w:b/>
          <w:bCs/>
          <w:color w:val="auto"/>
          <w:sz w:val="21"/>
          <w:szCs w:val="21"/>
          <w:highlight w:val="none"/>
          <w:lang w:eastAsia="zh-CN"/>
        </w:rPr>
        <w:t>供应商</w:t>
      </w:r>
      <w:r>
        <w:rPr>
          <w:rFonts w:hint="default" w:ascii="Times New Roman" w:hAnsi="Times New Roman" w:eastAsia="宋体" w:cs="Times New Roman"/>
          <w:b/>
          <w:bCs/>
          <w:color w:val="auto"/>
          <w:sz w:val="21"/>
          <w:szCs w:val="21"/>
          <w:highlight w:val="none"/>
          <w:lang w:eastAsia="zh-CN"/>
        </w:rPr>
        <w:t>须按照货物采购需求表中的部分预留货物名称逐条填写中小企业声明函。否则，</w:t>
      </w:r>
      <w:r>
        <w:rPr>
          <w:rFonts w:hint="eastAsia" w:ascii="Times New Roman" w:hAnsi="Times New Roman" w:eastAsia="宋体" w:cs="Times New Roman"/>
          <w:b/>
          <w:bCs/>
          <w:color w:val="auto"/>
          <w:sz w:val="21"/>
          <w:szCs w:val="21"/>
          <w:highlight w:val="none"/>
          <w:lang w:eastAsia="zh-CN"/>
        </w:rPr>
        <w:t>竞标无效</w:t>
      </w:r>
      <w:r>
        <w:rPr>
          <w:rFonts w:hint="default" w:ascii="Times New Roman" w:hAnsi="Times New Roman" w:eastAsia="宋体" w:cs="Times New Roman"/>
          <w:b/>
          <w:bCs/>
          <w:color w:val="auto"/>
          <w:sz w:val="21"/>
          <w:szCs w:val="21"/>
          <w:highlight w:val="none"/>
          <w:lang w:eastAsia="zh-CN"/>
        </w:rPr>
        <w:t>。注:在货物采购项目中，货物由中小企业制造，即货物由中小企业生产且使用该中小企业商号或注册商标。</w:t>
      </w:r>
    </w:p>
    <w:p w14:paraId="0FEE67A4">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EA94B63">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791492EF">
      <w:pPr>
        <w:spacing w:line="240" w:lineRule="auto"/>
        <w:ind w:firstLine="0"/>
        <w:rPr>
          <w:rFonts w:hint="eastAsia" w:ascii="宋体" w:hAnsi="宋体" w:eastAsia="宋体" w:cs="宋体"/>
          <w:color w:val="auto"/>
          <w:sz w:val="24"/>
          <w:szCs w:val="24"/>
          <w:highlight w:val="none"/>
          <w:lang w:val="zh-CN"/>
        </w:rPr>
      </w:pPr>
    </w:p>
    <w:p w14:paraId="40761186">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lang w:val="zh-CN" w:eastAsia="zh-CN"/>
        </w:rPr>
        <w:t>最后报价表的格式：</w:t>
      </w:r>
      <w:r>
        <w:rPr>
          <w:rFonts w:hint="eastAsia" w:ascii="宋体" w:hAnsi="宋体" w:eastAsia="宋体" w:cs="宋体"/>
          <w:b/>
          <w:color w:val="auto"/>
          <w:sz w:val="30"/>
          <w:szCs w:val="30"/>
          <w:highlight w:val="none"/>
          <w:lang w:val="zh-CN" w:eastAsia="zh-CN"/>
        </w:rPr>
        <w:t xml:space="preserve"> </w:t>
      </w:r>
    </w:p>
    <w:p w14:paraId="7583A0E1">
      <w:pPr>
        <w:spacing w:before="50" w:after="50" w:line="360" w:lineRule="auto"/>
        <w:ind w:firstLine="4518"/>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最后报价表</w:t>
      </w:r>
    </w:p>
    <w:p w14:paraId="7FE3712F">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A24E3D1">
      <w:pPr>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337508E5">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tbl>
      <w:tblPr>
        <w:tblStyle w:val="45"/>
        <w:tblW w:w="10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70"/>
        <w:gridCol w:w="1241"/>
        <w:gridCol w:w="975"/>
        <w:gridCol w:w="918"/>
        <w:gridCol w:w="918"/>
        <w:gridCol w:w="1332"/>
        <w:gridCol w:w="1707"/>
        <w:gridCol w:w="1651"/>
      </w:tblGrid>
      <w:tr w14:paraId="47B9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2C9ADDD">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5B2E566">
            <w:pPr>
              <w:rPr>
                <w:rFonts w:hint="default" w:ascii="宋体" w:hAnsi="宋体" w:eastAsia="宋体" w:cs="宋体"/>
                <w:color w:val="auto"/>
                <w:highlight w:val="none"/>
                <w:lang w:val="en-US"/>
              </w:rPr>
            </w:pPr>
            <w:r>
              <w:rPr>
                <w:rFonts w:hint="eastAsia" w:ascii="宋体" w:hAnsi="宋体" w:eastAsia="宋体" w:cs="宋体"/>
                <w:color w:val="auto"/>
                <w:highlight w:val="none"/>
                <w:lang w:val="en-US" w:eastAsia="zh-CN"/>
              </w:rPr>
              <w:t>货物名称</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3D4C21D7">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7CD7F012">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9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D9424D">
            <w:pPr>
              <w:jc w:val="cente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9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B7304A">
            <w:pP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rPr>
              <w:t>单价(元)②</w:t>
            </w:r>
          </w:p>
        </w:tc>
        <w:tc>
          <w:tcPr>
            <w:tcW w:w="13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2D1710">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2162C9ED">
            <w:pP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rPr>
              <w:t>③＝①×②</w:t>
            </w:r>
          </w:p>
        </w:tc>
        <w:tc>
          <w:tcPr>
            <w:tcW w:w="17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E68F59">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制造商名称</w:t>
            </w:r>
          </w:p>
          <w:p w14:paraId="280D14F6">
            <w:pPr>
              <w:jc w:val="center"/>
              <w:rPr>
                <w:rFonts w:hint="eastAsia" w:ascii="宋体" w:hAnsi="宋体" w:eastAsia="宋体" w:cs="宋体"/>
                <w:color w:val="auto"/>
                <w:sz w:val="21"/>
                <w:szCs w:val="22"/>
                <w:highlight w:val="none"/>
                <w:lang w:val="en-US" w:eastAsia="zh-CN" w:bidi="ar-SA"/>
              </w:rPr>
            </w:pPr>
            <w:r>
              <w:rPr>
                <w:rFonts w:hint="eastAsia" w:ascii="宋体" w:hAnsi="宋体" w:eastAsia="宋体" w:cs="宋体"/>
                <w:color w:val="auto"/>
                <w:highlight w:val="none"/>
                <w:lang w:val="en-US" w:eastAsia="zh-CN"/>
              </w:rPr>
              <w:t>及产地</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407AD58E">
            <w:pPr>
              <w:jc w:val="center"/>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制造商是否为中小企业（是/否）</w:t>
            </w:r>
          </w:p>
        </w:tc>
      </w:tr>
      <w:tr w14:paraId="40E4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6448D50">
            <w:pPr>
              <w:jc w:val="center"/>
              <w:rPr>
                <w:rFonts w:hint="eastAsia" w:ascii="宋体" w:hAnsi="宋体" w:eastAsia="宋体" w:cs="宋体"/>
                <w:color w:val="auto"/>
                <w:highlight w:val="none"/>
              </w:rPr>
            </w:pPr>
            <w:r>
              <w:rPr>
                <w:rFonts w:hint="eastAsia" w:ascii="宋体" w:hAnsi="宋体" w:eastAsia="宋体" w:cs="宋体"/>
                <w:color w:val="auto"/>
              </w:rPr>
              <w:t>1</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9C841F6">
            <w:pPr>
              <w:rPr>
                <w:rFonts w:hint="eastAsia" w:ascii="宋体" w:hAnsi="宋体" w:eastAsia="宋体" w:cs="宋体"/>
                <w:color w:val="auto"/>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0C85E84C">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19C6DFC">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7DEB0C74">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0B85ED05">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5E243D2B">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94AFDA9">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0768F793">
            <w:pPr>
              <w:rPr>
                <w:rFonts w:hint="eastAsia" w:ascii="宋体" w:hAnsi="宋体" w:eastAsia="宋体" w:cs="宋体"/>
                <w:color w:val="auto"/>
                <w:highlight w:val="none"/>
              </w:rPr>
            </w:pPr>
          </w:p>
        </w:tc>
      </w:tr>
      <w:tr w14:paraId="1CBD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1EF9DA5">
            <w:pPr>
              <w:jc w:val="center"/>
              <w:rPr>
                <w:rFonts w:hint="eastAsia" w:ascii="宋体" w:hAnsi="宋体" w:eastAsia="宋体" w:cs="宋体"/>
                <w:color w:val="auto"/>
                <w:highlight w:val="none"/>
              </w:rPr>
            </w:pPr>
            <w:r>
              <w:rPr>
                <w:rFonts w:hint="eastAsia" w:ascii="宋体" w:hAnsi="宋体" w:eastAsia="宋体" w:cs="宋体"/>
                <w:color w:val="auto"/>
              </w:rPr>
              <w:t>2</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3D78191">
            <w:pPr>
              <w:rPr>
                <w:rFonts w:hint="eastAsia" w:ascii="宋体" w:hAnsi="宋体" w:eastAsia="宋体" w:cs="宋体"/>
                <w:color w:val="auto"/>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1B0E830D">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5F2C8A6D">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213DDA17">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32E66FB6">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212B78CD">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56FAF5B">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1DFD11F7">
            <w:pPr>
              <w:rPr>
                <w:rFonts w:hint="eastAsia" w:ascii="宋体" w:hAnsi="宋体" w:eastAsia="宋体" w:cs="宋体"/>
                <w:color w:val="auto"/>
                <w:highlight w:val="none"/>
              </w:rPr>
            </w:pPr>
          </w:p>
        </w:tc>
      </w:tr>
      <w:tr w14:paraId="4A8B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371F7BF">
            <w:pPr>
              <w:jc w:val="center"/>
              <w:rPr>
                <w:rFonts w:hint="eastAsia" w:ascii="宋体" w:hAnsi="宋体" w:eastAsia="宋体" w:cs="宋体"/>
                <w:color w:val="auto"/>
                <w:highlight w:val="none"/>
              </w:rPr>
            </w:pPr>
            <w:r>
              <w:rPr>
                <w:rFonts w:hint="eastAsia" w:ascii="宋体" w:hAnsi="宋体" w:eastAsia="宋体" w:cs="宋体"/>
                <w:color w:val="auto"/>
              </w:rPr>
              <w:t>...</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413E98C">
            <w:pPr>
              <w:rPr>
                <w:rFonts w:hint="eastAsia" w:ascii="宋体" w:hAnsi="宋体" w:eastAsia="宋体" w:cs="宋体"/>
                <w:color w:val="auto"/>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6BF8B698">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B6E7746">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4D117500">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38666B0D">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6111A866">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61CC0CF">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1409AE89">
            <w:pPr>
              <w:rPr>
                <w:rFonts w:hint="eastAsia" w:ascii="宋体" w:hAnsi="宋体" w:eastAsia="宋体" w:cs="宋体"/>
                <w:color w:val="auto"/>
                <w:highlight w:val="none"/>
              </w:rPr>
            </w:pPr>
          </w:p>
        </w:tc>
      </w:tr>
      <w:tr w14:paraId="615B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731" w:type="dxa"/>
            <w:gridSpan w:val="9"/>
            <w:tcBorders>
              <w:top w:val="single" w:color="auto" w:sz="4" w:space="0"/>
              <w:left w:val="single" w:color="auto" w:sz="4" w:space="0"/>
              <w:bottom w:val="single" w:color="auto" w:sz="4" w:space="0"/>
              <w:right w:val="single" w:color="auto" w:sz="4" w:space="0"/>
            </w:tcBorders>
            <w:noWrap w:val="0"/>
            <w:vAlign w:val="center"/>
          </w:tcPr>
          <w:p w14:paraId="2B0382A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56AB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731" w:type="dxa"/>
            <w:gridSpan w:val="9"/>
            <w:tcBorders>
              <w:top w:val="single" w:color="auto" w:sz="4" w:space="0"/>
              <w:left w:val="single" w:color="auto" w:sz="4" w:space="0"/>
              <w:bottom w:val="single" w:color="auto" w:sz="4" w:space="0"/>
              <w:right w:val="single" w:color="auto" w:sz="4" w:space="0"/>
            </w:tcBorders>
            <w:noWrap w:val="0"/>
            <w:vAlign w:val="center"/>
          </w:tcPr>
          <w:p w14:paraId="22B16097">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301D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D30F799">
            <w:pPr>
              <w:spacing w:line="240" w:lineRule="auto"/>
              <w:ind w:firstLine="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备注</w:t>
            </w:r>
          </w:p>
        </w:tc>
        <w:tc>
          <w:tcPr>
            <w:tcW w:w="10012" w:type="dxa"/>
            <w:gridSpan w:val="8"/>
            <w:tcBorders>
              <w:top w:val="single" w:color="auto" w:sz="4" w:space="0"/>
              <w:left w:val="single" w:color="auto" w:sz="4" w:space="0"/>
              <w:bottom w:val="single" w:color="auto" w:sz="4" w:space="0"/>
              <w:right w:val="single" w:color="auto" w:sz="4" w:space="0"/>
            </w:tcBorders>
            <w:noWrap w:val="0"/>
            <w:vAlign w:val="center"/>
          </w:tcPr>
          <w:p w14:paraId="1E02EE5F">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54CA397C">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6F14047">
      <w:pPr>
        <w:pStyle w:val="29"/>
        <w:numPr>
          <w:ilvl w:val="0"/>
          <w:numId w:val="0"/>
        </w:num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14:paraId="501A831A">
      <w:pPr>
        <w:pStyle w:val="29"/>
        <w:numPr>
          <w:ilvl w:val="0"/>
          <w:numId w:val="0"/>
        </w:numPr>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供应商需按本表格式填写，不得自行更改，也不得留空（</w:t>
      </w:r>
      <w:r>
        <w:rPr>
          <w:rFonts w:hint="eastAsia" w:ascii="宋体" w:hAnsi="宋体" w:eastAsia="宋体" w:cs="宋体"/>
          <w:color w:val="auto"/>
          <w:sz w:val="21"/>
          <w:szCs w:val="21"/>
          <w:highlight w:val="none"/>
          <w:lang w:val="en-US" w:eastAsia="zh-CN"/>
        </w:rPr>
        <w:t>备注栏除外</w:t>
      </w:r>
      <w:r>
        <w:rPr>
          <w:rFonts w:hint="eastAsia" w:ascii="宋体" w:hAnsi="宋体" w:eastAsia="宋体" w:cs="宋体"/>
          <w:color w:val="auto"/>
          <w:sz w:val="21"/>
          <w:szCs w:val="21"/>
          <w:highlight w:val="none"/>
          <w:lang w:val="zh-CN"/>
        </w:rPr>
        <w:t>）, 如有多分标，按分标分别提供</w:t>
      </w:r>
      <w:r>
        <w:rPr>
          <w:rFonts w:hint="eastAsia" w:ascii="宋体" w:hAnsi="宋体" w:eastAsia="宋体" w:cs="宋体"/>
          <w:color w:val="auto"/>
          <w:sz w:val="21"/>
          <w:szCs w:val="21"/>
          <w:highlight w:val="none"/>
          <w:lang w:val="en-US" w:eastAsia="zh-CN"/>
        </w:rPr>
        <w:t>最后</w:t>
      </w:r>
      <w:r>
        <w:rPr>
          <w:rFonts w:hint="eastAsia" w:ascii="宋体" w:hAnsi="宋体" w:eastAsia="宋体" w:cs="宋体"/>
          <w:color w:val="auto"/>
          <w:sz w:val="21"/>
          <w:szCs w:val="21"/>
          <w:highlight w:val="none"/>
          <w:lang w:val="zh-CN"/>
        </w:rPr>
        <w:t>报价表，</w:t>
      </w:r>
      <w:r>
        <w:rPr>
          <w:rFonts w:hint="eastAsia" w:ascii="宋体" w:hAnsi="宋体" w:eastAsia="宋体" w:cs="宋体"/>
          <w:b/>
          <w:color w:val="auto"/>
          <w:sz w:val="21"/>
          <w:szCs w:val="21"/>
          <w:highlight w:val="none"/>
          <w:lang w:val="zh-CN"/>
        </w:rPr>
        <w:t>否则其响应按无效响应处理</w:t>
      </w:r>
      <w:r>
        <w:rPr>
          <w:rFonts w:hint="eastAsia" w:ascii="宋体" w:hAnsi="宋体" w:eastAsia="宋体" w:cs="宋体"/>
          <w:b w:val="0"/>
          <w:bCs/>
          <w:color w:val="auto"/>
          <w:sz w:val="21"/>
          <w:szCs w:val="21"/>
          <w:highlight w:val="none"/>
          <w:lang w:val="zh-CN"/>
        </w:rPr>
        <w:t>。</w:t>
      </w:r>
    </w:p>
    <w:p w14:paraId="3A7BE7F7">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14:paraId="73592698">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sz w:val="21"/>
          <w:szCs w:val="21"/>
          <w:highlight w:val="none"/>
          <w:lang w:val="en-US" w:eastAsia="zh-CN"/>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w:t>
      </w:r>
      <w:r>
        <w:rPr>
          <w:rFonts w:hint="eastAsia" w:ascii="宋体" w:hAnsi="宋体" w:eastAsia="宋体" w:cs="宋体"/>
          <w:b/>
          <w:color w:val="auto"/>
          <w:sz w:val="21"/>
          <w:szCs w:val="21"/>
          <w:highlight w:val="none"/>
          <w:lang w:val="zh-CN"/>
        </w:rPr>
        <w:t>否则其响应作无效响应处理。</w:t>
      </w:r>
    </w:p>
    <w:p w14:paraId="025B104A">
      <w:pPr>
        <w:spacing w:before="50" w:after="50" w:line="360" w:lineRule="auto"/>
        <w:ind w:left="0" w:firstLine="420"/>
        <w:jc w:val="left"/>
        <w:rPr>
          <w:rFonts w:hint="eastAsia" w:ascii="宋体" w:hAnsi="宋体" w:eastAsia="宋体" w:cs="宋体"/>
          <w:i/>
          <w:iCs/>
          <w:color w:val="auto"/>
          <w:sz w:val="32"/>
          <w:szCs w:val="32"/>
          <w:highlight w:val="none"/>
          <w:lang w:val="zh-CN"/>
        </w:rPr>
      </w:pPr>
      <w:r>
        <w:rPr>
          <w:rFonts w:hint="eastAsia" w:ascii="Times New Roman" w:hAnsi="Times New Roman" w:eastAsia="宋体" w:cs="Times New Roman"/>
          <w:b/>
          <w:bCs/>
          <w:color w:val="auto"/>
          <w:sz w:val="21"/>
          <w:szCs w:val="21"/>
          <w:highlight w:val="none"/>
          <w:lang w:eastAsia="zh-CN"/>
        </w:rPr>
        <w:t>供应商</w:t>
      </w:r>
      <w:r>
        <w:rPr>
          <w:rFonts w:hint="default" w:ascii="Times New Roman" w:hAnsi="Times New Roman" w:eastAsia="宋体" w:cs="Times New Roman"/>
          <w:b/>
          <w:bCs/>
          <w:color w:val="auto"/>
          <w:sz w:val="21"/>
          <w:szCs w:val="21"/>
          <w:highlight w:val="none"/>
          <w:lang w:eastAsia="zh-CN"/>
        </w:rPr>
        <w:t>须按照货物采购需求表中的部分预留货物名称逐条填写中小企业声明函。否则，</w:t>
      </w:r>
      <w:r>
        <w:rPr>
          <w:rFonts w:hint="eastAsia" w:ascii="Times New Roman" w:hAnsi="Times New Roman" w:eastAsia="宋体" w:cs="Times New Roman"/>
          <w:b/>
          <w:bCs/>
          <w:color w:val="auto"/>
          <w:sz w:val="21"/>
          <w:szCs w:val="21"/>
          <w:highlight w:val="none"/>
          <w:lang w:eastAsia="zh-CN"/>
        </w:rPr>
        <w:t>竞标无效</w:t>
      </w:r>
      <w:r>
        <w:rPr>
          <w:rFonts w:hint="default" w:ascii="Times New Roman" w:hAnsi="Times New Roman" w:eastAsia="宋体" w:cs="Times New Roman"/>
          <w:b/>
          <w:bCs/>
          <w:color w:val="auto"/>
          <w:sz w:val="21"/>
          <w:szCs w:val="21"/>
          <w:highlight w:val="none"/>
          <w:lang w:eastAsia="zh-CN"/>
        </w:rPr>
        <w:t>。注:在货物采购项目中，货物由中小企业制造，即货物由中小企业生产且使用该中小企业商号或注册商标。</w:t>
      </w:r>
    </w:p>
    <w:p w14:paraId="141A1B5B">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8C02A5B">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4AD65961">
      <w:pPr>
        <w:keepNext/>
        <w:keepLines/>
        <w:spacing w:before="260" w:after="260" w:line="416" w:lineRule="auto"/>
        <w:jc w:val="both"/>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color w:val="auto"/>
          <w:sz w:val="24"/>
          <w:szCs w:val="32"/>
          <w:highlight w:val="none"/>
          <w:lang w:val="zh-CN" w:eastAsia="zh-CN"/>
        </w:rPr>
        <w:br w:type="page" w:clear="all"/>
      </w:r>
      <w:bookmarkStart w:id="145" w:name="_Toc23320"/>
      <w:bookmarkStart w:id="146" w:name="_Toc80205942"/>
      <w:bookmarkStart w:id="147" w:name="_Toc13939"/>
      <w:r>
        <w:rPr>
          <w:rFonts w:hint="eastAsia" w:ascii="宋体" w:hAnsi="宋体" w:eastAsia="宋体" w:cs="宋体"/>
          <w:b/>
          <w:bCs/>
          <w:color w:val="auto"/>
          <w:sz w:val="32"/>
          <w:szCs w:val="32"/>
          <w:highlight w:val="none"/>
          <w:lang w:val="zh-CN" w:eastAsia="zh-CN"/>
        </w:rPr>
        <w:t>第四节 其他文书、文件格式</w:t>
      </w:r>
      <w:bookmarkEnd w:id="145"/>
      <w:bookmarkEnd w:id="146"/>
      <w:bookmarkEnd w:id="147"/>
    </w:p>
    <w:p w14:paraId="27389842">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lang w:val="zh-CN" w:eastAsia="zh-CN"/>
        </w:rPr>
        <w:t>中小企业声明函的格式：</w:t>
      </w:r>
    </w:p>
    <w:p w14:paraId="67FE451E">
      <w:pPr>
        <w:pStyle w:val="18"/>
        <w:rPr>
          <w:rFonts w:hint="eastAsia" w:ascii="宋体" w:hAnsi="宋体" w:eastAsia="宋体" w:cs="宋体"/>
          <w:color w:val="auto"/>
          <w:highlight w:val="none"/>
          <w:lang w:val="zh-CN" w:eastAsia="zh-CN"/>
        </w:rPr>
      </w:pPr>
    </w:p>
    <w:p w14:paraId="547F684F">
      <w:pPr>
        <w:spacing w:line="300" w:lineRule="auto"/>
        <w:ind w:firstLine="3534"/>
        <w:jc w:val="both"/>
        <w:rPr>
          <w:rFonts w:hint="eastAsia"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14:paraId="507FFC6A">
      <w:pPr>
        <w:spacing w:line="360" w:lineRule="auto"/>
        <w:ind w:left="-426" w:right="142" w:firstLine="640"/>
        <w:contextualSpacing/>
        <w:rPr>
          <w:rFonts w:hint="eastAsia" w:ascii="宋体" w:hAnsi="宋体" w:eastAsia="宋体" w:cs="宋体"/>
          <w:color w:val="auto"/>
          <w:sz w:val="24"/>
          <w:szCs w:val="24"/>
          <w:highlight w:val="none"/>
          <w:lang w:val="zh-CN" w:eastAsia="zh-CN"/>
        </w:rPr>
      </w:pPr>
    </w:p>
    <w:p w14:paraId="5F5C6764">
      <w:pPr>
        <w:spacing w:line="360" w:lineRule="auto"/>
        <w:ind w:left="-426" w:right="142" w:firstLine="640"/>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
          <w:iCs/>
          <w:color w:val="auto"/>
          <w:sz w:val="24"/>
          <w:szCs w:val="24"/>
          <w:highlight w:val="none"/>
          <w:u w:val="single"/>
          <w:lang w:val="en-US" w:eastAsia="zh-CN"/>
        </w:rPr>
        <w:t>（单位名称）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的</w:t>
      </w:r>
      <w:r>
        <w:rPr>
          <w:rFonts w:hint="eastAsia" w:ascii="宋体" w:hAnsi="宋体" w:eastAsia="宋体" w:cs="宋体"/>
          <w:i/>
          <w:iCs/>
          <w:color w:val="auto"/>
          <w:sz w:val="24"/>
          <w:szCs w:val="24"/>
          <w:highlight w:val="none"/>
          <w:u w:val="single"/>
          <w:lang w:val="en-US" w:eastAsia="zh-CN"/>
        </w:rPr>
        <w:t>（项目名称）</w:t>
      </w:r>
      <w:r>
        <w:rPr>
          <w:rFonts w:hint="eastAsia" w:ascii="宋体" w:hAnsi="宋体" w:eastAsia="宋体" w:cs="宋体"/>
          <w:color w:val="auto"/>
          <w:sz w:val="24"/>
          <w:szCs w:val="24"/>
          <w:highlight w:val="none"/>
          <w:lang w:val="zh-CN" w:eastAsia="zh-CN"/>
        </w:rPr>
        <w:t>采购活动，提供的货物全部由符合政策要求的中小企业制造。相关企业（含联合体中的中小企业、签订分包意向协议的中小企业）的具体情况如下：</w:t>
      </w:r>
    </w:p>
    <w:p w14:paraId="06436EA2">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51BE69C0">
      <w:pPr>
        <w:tabs>
          <w:tab w:val="left" w:pos="1065"/>
          <w:tab w:val="left" w:pos="6477"/>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3F212258">
      <w:pPr>
        <w:spacing w:line="360" w:lineRule="auto"/>
        <w:ind w:left="142" w:right="14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 </w:t>
      </w:r>
    </w:p>
    <w:p w14:paraId="1034BE8B">
      <w:pPr>
        <w:spacing w:line="360" w:lineRule="auto"/>
        <w:ind w:left="-405" w:right="142" w:firstLine="453"/>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以上企业，不属于大企业的分支机构，不存在控股股东为大企业的情形，也不存在与大企业的负责人为同一人的情形。</w:t>
      </w:r>
    </w:p>
    <w:p w14:paraId="0098EE1E">
      <w:pPr>
        <w:spacing w:line="360" w:lineRule="auto"/>
        <w:ind w:left="-426" w:right="142" w:firstLine="567"/>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本企业对上述声明内容的真实性负责。如有虚假，将依法承担相应责任。</w:t>
      </w:r>
    </w:p>
    <w:p w14:paraId="303DDCE6">
      <w:pPr>
        <w:spacing w:line="360" w:lineRule="auto"/>
        <w:ind w:left="3960" w:right="1808"/>
        <w:contextualSpacing/>
        <w:rPr>
          <w:rFonts w:hint="eastAsia" w:ascii="宋体" w:hAnsi="宋体" w:eastAsia="宋体" w:cs="宋体"/>
          <w:color w:val="auto"/>
          <w:sz w:val="24"/>
          <w:szCs w:val="24"/>
          <w:highlight w:val="none"/>
          <w:lang w:val="zh-CN" w:eastAsia="zh-CN"/>
        </w:rPr>
      </w:pPr>
    </w:p>
    <w:p w14:paraId="00A77CD5">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2FFF26D4">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22EA58B8">
      <w:pPr>
        <w:spacing w:line="360" w:lineRule="auto"/>
        <w:ind w:left="3960" w:right="1808"/>
        <w:contextualSpacing/>
        <w:rPr>
          <w:rFonts w:hint="eastAsia" w:ascii="宋体" w:hAnsi="宋体" w:eastAsia="宋体" w:cs="宋体"/>
          <w:color w:val="auto"/>
          <w:szCs w:val="24"/>
          <w:highlight w:val="none"/>
          <w:lang w:val="zh-CN" w:eastAsia="zh-CN"/>
        </w:rPr>
      </w:pPr>
    </w:p>
    <w:p w14:paraId="12A9E1DD">
      <w:pPr>
        <w:spacing w:line="360" w:lineRule="auto"/>
        <w:ind w:firstLine="0"/>
        <w:contextualSpacing/>
        <w:jc w:val="left"/>
        <w:rPr>
          <w:rFonts w:hint="eastAsia" w:ascii="宋体" w:hAnsi="宋体" w:eastAsia="宋体" w:cs="宋体"/>
          <w:color w:val="auto"/>
          <w:sz w:val="21"/>
          <w:szCs w:val="21"/>
          <w:highlight w:val="none"/>
        </w:rPr>
      </w:pPr>
    </w:p>
    <w:p w14:paraId="218DE7EF">
      <w:pPr>
        <w:spacing w:line="400" w:lineRule="exact"/>
        <w:ind w:firstLine="48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w:t>
      </w:r>
      <w:r>
        <w:rPr>
          <w:rFonts w:hint="eastAsia" w:ascii="宋体" w:hAnsi="宋体" w:eastAsia="宋体" w:cs="宋体"/>
          <w:color w:val="auto"/>
          <w:sz w:val="24"/>
          <w:szCs w:val="24"/>
          <w:highlight w:val="none"/>
          <w:lang w:eastAsia="zh-CN"/>
        </w:rPr>
        <w:t>或者</w:t>
      </w:r>
      <w:r>
        <w:rPr>
          <w:rFonts w:hint="eastAsia" w:ascii="宋体" w:hAnsi="宋体" w:eastAsia="宋体" w:cs="宋体"/>
          <w:color w:val="auto"/>
          <w:sz w:val="24"/>
          <w:szCs w:val="24"/>
          <w:highlight w:val="none"/>
        </w:rPr>
        <w:t>采购代理机构应当随成交结果公开成交供应商的《中小企业声明函》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接受社会监督。从业人员、营业收入、资产总额填报上一年度数据，无上一年度数据的新成立企业可不填报。</w:t>
      </w:r>
    </w:p>
    <w:p w14:paraId="773CE658">
      <w:pPr>
        <w:pStyle w:val="29"/>
        <w:rPr>
          <w:rFonts w:hint="eastAsia" w:ascii="宋体" w:hAnsi="宋体" w:eastAsia="宋体" w:cs="宋体"/>
          <w:color w:val="auto"/>
          <w:sz w:val="24"/>
          <w:szCs w:val="24"/>
          <w:highlight w:val="none"/>
        </w:rPr>
      </w:pPr>
    </w:p>
    <w:p w14:paraId="3A830A8D">
      <w:pPr>
        <w:spacing w:line="520" w:lineRule="exact"/>
        <w:rPr>
          <w:rFonts w:hint="eastAsia" w:ascii="宋体" w:hAnsi="宋体" w:eastAsia="宋体" w:cs="宋体"/>
          <w:color w:val="auto"/>
          <w:sz w:val="24"/>
          <w:szCs w:val="24"/>
          <w:highlight w:val="none"/>
        </w:rPr>
      </w:pPr>
    </w:p>
    <w:p w14:paraId="353E46D4">
      <w:pPr>
        <w:pStyle w:val="18"/>
        <w:rPr>
          <w:rFonts w:hint="eastAsia"/>
          <w:color w:val="auto"/>
        </w:rPr>
      </w:pPr>
    </w:p>
    <w:p w14:paraId="44ADCA4A">
      <w:pPr>
        <w:numPr>
          <w:ilvl w:val="0"/>
          <w:numId w:val="0"/>
        </w:numPr>
        <w:spacing w:line="520" w:lineRule="exact"/>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2.残疾人福利性单位声明函的格式：</w:t>
      </w:r>
    </w:p>
    <w:p w14:paraId="1C65E65F">
      <w:pPr>
        <w:numPr>
          <w:ilvl w:val="0"/>
          <w:numId w:val="0"/>
        </w:numPr>
        <w:spacing w:line="520" w:lineRule="exact"/>
        <w:jc w:val="both"/>
        <w:rPr>
          <w:rFonts w:hint="eastAsia" w:ascii="宋体" w:hAnsi="宋体" w:eastAsia="宋体" w:cs="宋体"/>
          <w:b/>
          <w:color w:val="auto"/>
          <w:sz w:val="28"/>
          <w:szCs w:val="28"/>
          <w:highlight w:val="none"/>
          <w:lang w:val="en-US" w:eastAsia="zh-CN"/>
        </w:rPr>
      </w:pPr>
    </w:p>
    <w:p w14:paraId="2D30B1D9">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7DEEB473">
      <w:pPr>
        <w:spacing w:line="520" w:lineRule="exact"/>
        <w:rPr>
          <w:rFonts w:hint="eastAsia" w:ascii="宋体" w:hAnsi="宋体" w:eastAsia="宋体" w:cs="宋体"/>
          <w:color w:val="auto"/>
          <w:sz w:val="32"/>
          <w:szCs w:val="32"/>
          <w:highlight w:val="none"/>
        </w:rPr>
      </w:pPr>
    </w:p>
    <w:p w14:paraId="72216FFF">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17A1D07D">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66FF517B">
      <w:pPr>
        <w:spacing w:line="360" w:lineRule="auto"/>
        <w:contextualSpacing/>
        <w:rPr>
          <w:rFonts w:hint="eastAsia" w:ascii="宋体" w:hAnsi="宋体" w:eastAsia="宋体" w:cs="宋体"/>
          <w:color w:val="auto"/>
          <w:sz w:val="24"/>
          <w:szCs w:val="24"/>
          <w:highlight w:val="none"/>
        </w:rPr>
      </w:pPr>
    </w:p>
    <w:p w14:paraId="2FAE4CF8">
      <w:pPr>
        <w:spacing w:line="360" w:lineRule="auto"/>
        <w:contextualSpacing/>
        <w:rPr>
          <w:rFonts w:hint="eastAsia" w:ascii="宋体" w:hAnsi="宋体" w:eastAsia="宋体" w:cs="宋体"/>
          <w:color w:val="auto"/>
          <w:sz w:val="24"/>
          <w:szCs w:val="24"/>
          <w:highlight w:val="none"/>
        </w:rPr>
      </w:pPr>
    </w:p>
    <w:p w14:paraId="0D46FDE2">
      <w:pPr>
        <w:spacing w:line="360" w:lineRule="auto"/>
        <w:contextualSpacing/>
        <w:rPr>
          <w:rFonts w:hint="eastAsia" w:ascii="宋体" w:hAnsi="宋体" w:eastAsia="宋体" w:cs="宋体"/>
          <w:color w:val="auto"/>
          <w:sz w:val="24"/>
          <w:szCs w:val="24"/>
          <w:highlight w:val="none"/>
        </w:rPr>
      </w:pPr>
    </w:p>
    <w:p w14:paraId="482CB872">
      <w:pPr>
        <w:spacing w:line="360" w:lineRule="auto"/>
        <w:ind w:firstLine="24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560E602D">
      <w:pPr>
        <w:spacing w:line="360" w:lineRule="auto"/>
        <w:ind w:firstLine="432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112600D3">
      <w:pPr>
        <w:spacing w:line="360" w:lineRule="auto"/>
        <w:contextualSpacing/>
        <w:rPr>
          <w:rFonts w:hint="eastAsia" w:ascii="宋体" w:hAnsi="宋体" w:eastAsia="宋体" w:cs="宋体"/>
          <w:color w:val="auto"/>
          <w:sz w:val="24"/>
          <w:szCs w:val="24"/>
          <w:highlight w:val="none"/>
        </w:rPr>
      </w:pPr>
    </w:p>
    <w:p w14:paraId="0496ECF5">
      <w:pPr>
        <w:spacing w:line="360" w:lineRule="auto"/>
        <w:contextualSpacing/>
        <w:rPr>
          <w:rFonts w:hint="eastAsia" w:ascii="宋体" w:hAnsi="宋体" w:eastAsia="宋体" w:cs="宋体"/>
          <w:color w:val="auto"/>
          <w:sz w:val="24"/>
          <w:szCs w:val="24"/>
          <w:highlight w:val="none"/>
        </w:rPr>
      </w:pPr>
    </w:p>
    <w:p w14:paraId="1A18F991">
      <w:pPr>
        <w:spacing w:line="360" w:lineRule="auto"/>
        <w:contextualSpacing/>
        <w:rPr>
          <w:rFonts w:hint="eastAsia" w:ascii="宋体" w:hAnsi="宋体" w:eastAsia="宋体" w:cs="宋体"/>
          <w:color w:val="auto"/>
          <w:sz w:val="24"/>
          <w:szCs w:val="24"/>
          <w:highlight w:val="none"/>
        </w:rPr>
      </w:pPr>
    </w:p>
    <w:p w14:paraId="79BABFD9">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w:t>
      </w:r>
      <w:r>
        <w:rPr>
          <w:rFonts w:hint="eastAsia" w:ascii="宋体" w:hAnsi="宋体" w:eastAsia="宋体" w:cs="宋体"/>
          <w:color w:val="auto"/>
          <w:sz w:val="24"/>
          <w:szCs w:val="24"/>
          <w:highlight w:val="none"/>
          <w:lang w:eastAsia="zh-CN"/>
        </w:rPr>
        <w:t>扶持</w:t>
      </w:r>
      <w:r>
        <w:rPr>
          <w:rFonts w:hint="eastAsia" w:ascii="宋体" w:hAnsi="宋体" w:eastAsia="宋体" w:cs="宋体"/>
          <w:color w:val="auto"/>
          <w:sz w:val="24"/>
          <w:szCs w:val="24"/>
          <w:highlight w:val="none"/>
        </w:rPr>
        <w:t>政策的，采购人或者采购代理机构在公告</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结果时，同时公告其《残疾人福利性单位声明函》，接受社会监督。</w:t>
      </w:r>
    </w:p>
    <w:p w14:paraId="7A0B3366">
      <w:pPr>
        <w:pStyle w:val="29"/>
        <w:rPr>
          <w:rFonts w:hint="eastAsia" w:ascii="宋体" w:hAnsi="宋体" w:eastAsia="宋体" w:cs="宋体"/>
          <w:color w:val="auto"/>
          <w:sz w:val="24"/>
          <w:szCs w:val="24"/>
          <w:highlight w:val="none"/>
        </w:rPr>
      </w:pPr>
    </w:p>
    <w:p w14:paraId="3E18C605">
      <w:pPr>
        <w:pStyle w:val="29"/>
        <w:rPr>
          <w:rFonts w:hint="eastAsia" w:ascii="宋体" w:hAnsi="宋体" w:eastAsia="宋体" w:cs="宋体"/>
          <w:color w:val="auto"/>
          <w:sz w:val="24"/>
          <w:szCs w:val="24"/>
          <w:highlight w:val="none"/>
        </w:rPr>
      </w:pPr>
    </w:p>
    <w:p w14:paraId="4B42BDD2">
      <w:pPr>
        <w:pStyle w:val="29"/>
        <w:rPr>
          <w:rFonts w:hint="eastAsia" w:ascii="宋体" w:hAnsi="宋体" w:eastAsia="宋体" w:cs="宋体"/>
          <w:color w:val="auto"/>
          <w:sz w:val="24"/>
          <w:szCs w:val="24"/>
          <w:highlight w:val="none"/>
        </w:rPr>
      </w:pPr>
    </w:p>
    <w:p w14:paraId="4464489E">
      <w:pPr>
        <w:pStyle w:val="29"/>
        <w:rPr>
          <w:rFonts w:hint="eastAsia" w:ascii="宋体" w:hAnsi="宋体" w:eastAsia="宋体" w:cs="宋体"/>
          <w:color w:val="auto"/>
          <w:sz w:val="24"/>
          <w:szCs w:val="24"/>
          <w:highlight w:val="none"/>
        </w:rPr>
      </w:pPr>
    </w:p>
    <w:p w14:paraId="3071B589">
      <w:pPr>
        <w:pStyle w:val="29"/>
        <w:rPr>
          <w:rFonts w:hint="eastAsia" w:ascii="宋体" w:hAnsi="宋体" w:eastAsia="宋体" w:cs="宋体"/>
          <w:color w:val="auto"/>
          <w:sz w:val="24"/>
          <w:szCs w:val="24"/>
          <w:highlight w:val="none"/>
        </w:rPr>
      </w:pPr>
    </w:p>
    <w:p w14:paraId="6C73F31F">
      <w:pPr>
        <w:pStyle w:val="29"/>
        <w:rPr>
          <w:rFonts w:hint="eastAsia" w:ascii="宋体" w:hAnsi="宋体" w:eastAsia="宋体" w:cs="宋体"/>
          <w:color w:val="auto"/>
          <w:sz w:val="24"/>
          <w:szCs w:val="24"/>
          <w:highlight w:val="none"/>
        </w:rPr>
      </w:pPr>
    </w:p>
    <w:p w14:paraId="681CE688">
      <w:pPr>
        <w:pStyle w:val="29"/>
        <w:rPr>
          <w:rFonts w:hint="eastAsia" w:ascii="宋体" w:hAnsi="宋体" w:eastAsia="宋体" w:cs="宋体"/>
          <w:color w:val="auto"/>
          <w:sz w:val="24"/>
          <w:szCs w:val="24"/>
          <w:highlight w:val="none"/>
        </w:rPr>
      </w:pPr>
    </w:p>
    <w:p w14:paraId="634E082C">
      <w:pPr>
        <w:pStyle w:val="29"/>
        <w:rPr>
          <w:rFonts w:hint="eastAsia" w:ascii="宋体" w:hAnsi="宋体" w:eastAsia="宋体" w:cs="宋体"/>
          <w:color w:val="auto"/>
          <w:sz w:val="24"/>
          <w:szCs w:val="24"/>
          <w:highlight w:val="none"/>
        </w:rPr>
      </w:pPr>
    </w:p>
    <w:p w14:paraId="12515D5A">
      <w:pPr>
        <w:pStyle w:val="29"/>
        <w:rPr>
          <w:rFonts w:hint="eastAsia" w:ascii="宋体" w:hAnsi="宋体" w:eastAsia="宋体" w:cs="宋体"/>
          <w:color w:val="auto"/>
          <w:sz w:val="24"/>
          <w:szCs w:val="24"/>
          <w:highlight w:val="none"/>
        </w:rPr>
      </w:pPr>
    </w:p>
    <w:p w14:paraId="4F0B5290">
      <w:pPr>
        <w:pStyle w:val="29"/>
        <w:rPr>
          <w:rFonts w:hint="eastAsia" w:ascii="宋体" w:hAnsi="宋体" w:eastAsia="宋体" w:cs="宋体"/>
          <w:color w:val="auto"/>
          <w:sz w:val="24"/>
          <w:szCs w:val="24"/>
          <w:highlight w:val="none"/>
        </w:rPr>
      </w:pPr>
    </w:p>
    <w:p w14:paraId="44F19F89">
      <w:pPr>
        <w:pStyle w:val="29"/>
        <w:rPr>
          <w:rFonts w:hint="eastAsia" w:ascii="宋体" w:hAnsi="宋体" w:eastAsia="宋体" w:cs="宋体"/>
          <w:color w:val="auto"/>
          <w:sz w:val="24"/>
          <w:szCs w:val="24"/>
          <w:highlight w:val="none"/>
        </w:rPr>
      </w:pPr>
    </w:p>
    <w:p w14:paraId="781C8211">
      <w:pPr>
        <w:rPr>
          <w:rFonts w:hint="eastAsia" w:ascii="宋体" w:hAnsi="宋体" w:eastAsia="宋体" w:cs="宋体"/>
          <w:color w:val="auto"/>
          <w:sz w:val="24"/>
          <w:szCs w:val="24"/>
          <w:highlight w:val="none"/>
        </w:rPr>
      </w:pPr>
    </w:p>
    <w:p w14:paraId="2A5CFF7D">
      <w:pPr>
        <w:rPr>
          <w:rFonts w:hint="eastAsia" w:ascii="宋体" w:hAnsi="宋体" w:eastAsia="宋体" w:cs="宋体"/>
          <w:color w:val="auto"/>
          <w:sz w:val="24"/>
          <w:szCs w:val="24"/>
          <w:highlight w:val="none"/>
        </w:rPr>
      </w:pPr>
    </w:p>
    <w:p w14:paraId="56747547">
      <w:pPr>
        <w:pStyle w:val="29"/>
        <w:rPr>
          <w:rFonts w:hint="eastAsia" w:ascii="宋体" w:hAnsi="宋体" w:eastAsia="宋体" w:cs="宋体"/>
          <w:color w:val="auto"/>
          <w:sz w:val="24"/>
          <w:szCs w:val="24"/>
          <w:highlight w:val="none"/>
        </w:rPr>
      </w:pPr>
    </w:p>
    <w:p w14:paraId="78BDCD0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b/>
          <w:i w:val="0"/>
          <w:iCs w:val="0"/>
          <w:caps w:val="0"/>
          <w:color w:val="auto"/>
          <w:spacing w:val="0"/>
          <w:sz w:val="30"/>
          <w:szCs w:val="30"/>
          <w:highlight w:val="none"/>
          <w:shd w:val="clear" w:color="auto" w:fill="auto"/>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i w:val="0"/>
          <w:iCs w:val="0"/>
          <w:caps w:val="0"/>
          <w:color w:val="auto"/>
          <w:spacing w:val="0"/>
          <w:sz w:val="28"/>
          <w:szCs w:val="28"/>
          <w:highlight w:val="none"/>
          <w:shd w:val="clear" w:color="auto" w:fill="auto"/>
        </w:rPr>
        <w:t>关于符合本国产品标准的声明函</w:t>
      </w:r>
      <w:r>
        <w:rPr>
          <w:rFonts w:hint="eastAsia" w:ascii="宋体" w:hAnsi="宋体" w:eastAsia="宋体" w:cs="宋体"/>
          <w:b/>
          <w:color w:val="auto"/>
          <w:sz w:val="28"/>
          <w:szCs w:val="28"/>
          <w:highlight w:val="none"/>
          <w:lang w:val="en-US" w:eastAsia="zh-CN"/>
        </w:rPr>
        <w:t>的格式：</w:t>
      </w:r>
    </w:p>
    <w:p w14:paraId="7C48126C">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b/>
          <w:i w:val="0"/>
          <w:iCs w:val="0"/>
          <w:caps w:val="0"/>
          <w:color w:val="auto"/>
          <w:spacing w:val="0"/>
          <w:sz w:val="30"/>
          <w:szCs w:val="30"/>
          <w:highlight w:val="none"/>
          <w:shd w:val="clear" w:color="auto" w:fill="auto"/>
        </w:rPr>
      </w:pPr>
    </w:p>
    <w:p w14:paraId="6EC18E9D">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i w:val="0"/>
          <w:iCs w:val="0"/>
          <w:caps w:val="0"/>
          <w:color w:val="auto"/>
          <w:spacing w:val="0"/>
          <w:sz w:val="30"/>
          <w:szCs w:val="30"/>
          <w:highlight w:val="none"/>
          <w:shd w:val="clear" w:color="auto" w:fill="auto"/>
        </w:rPr>
        <w:t>关于符合本国产品标准的声明函</w:t>
      </w:r>
    </w:p>
    <w:p w14:paraId="471C9BFB">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6B4D286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01CA78DF">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1.</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52"/>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52"/>
          <w:rFonts w:hint="eastAsia" w:ascii="宋体" w:hAnsi="宋体" w:eastAsia="宋体" w:cs="宋体"/>
          <w:i w:val="0"/>
          <w:iCs w:val="0"/>
          <w:caps w:val="0"/>
          <w:color w:val="auto"/>
          <w:spacing w:val="0"/>
          <w:sz w:val="24"/>
          <w:szCs w:val="24"/>
          <w:highlight w:val="none"/>
          <w:u w:val="single"/>
          <w:shd w:val="clear" w:color="auto" w:fill="FFFFFF"/>
        </w:rPr>
        <w:t>（厂名）</w:t>
      </w:r>
      <w:r>
        <w:rPr>
          <w:rStyle w:val="52"/>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52"/>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52"/>
          <w:rFonts w:hint="eastAsia" w:ascii="宋体" w:hAnsi="宋体" w:eastAsia="宋体" w:cs="宋体"/>
          <w:i w:val="0"/>
          <w:iCs w:val="0"/>
          <w:caps w:val="0"/>
          <w:color w:val="auto"/>
          <w:spacing w:val="0"/>
          <w:sz w:val="24"/>
          <w:szCs w:val="24"/>
          <w:highlight w:val="none"/>
          <w:u w:val="single"/>
          <w:shd w:val="clear" w:color="auto" w:fill="FFFFFF"/>
        </w:rPr>
        <w:t>（规定比例）</w:t>
      </w:r>
      <w:r>
        <w:rPr>
          <w:rStyle w:val="52"/>
          <w:rFonts w:hint="eastAsia" w:ascii="宋体" w:hAnsi="宋体" w:eastAsia="宋体" w:cs="宋体"/>
          <w:i w:val="0"/>
          <w:iCs w:val="0"/>
          <w:caps w:val="0"/>
          <w:color w:val="auto"/>
          <w:spacing w:val="0"/>
          <w:sz w:val="24"/>
          <w:szCs w:val="24"/>
          <w:highlight w:val="none"/>
          <w:u w:val="non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52"/>
          <w:rFonts w:hint="eastAsia" w:ascii="宋体" w:hAnsi="宋体" w:eastAsia="宋体" w:cs="宋体"/>
          <w:i w:val="0"/>
          <w:iCs w:val="0"/>
          <w:caps w:val="0"/>
          <w:color w:val="auto"/>
          <w:spacing w:val="0"/>
          <w:sz w:val="24"/>
          <w:szCs w:val="24"/>
          <w:highlight w:val="none"/>
          <w:u w:val="single"/>
          <w:shd w:val="clear" w:color="auto" w:fill="FFFFFF"/>
        </w:rPr>
        <w:t>（关键组件）</w:t>
      </w:r>
      <w:r>
        <w:rPr>
          <w:rStyle w:val="52"/>
          <w:rFonts w:hint="eastAsia" w:ascii="宋体" w:hAnsi="宋体" w:eastAsia="宋体" w:cs="宋体"/>
          <w:i w:val="0"/>
          <w:iCs w:val="0"/>
          <w:caps w:val="0"/>
          <w:color w:val="auto"/>
          <w:spacing w:val="0"/>
          <w:sz w:val="24"/>
          <w:szCs w:val="24"/>
          <w:highlight w:val="none"/>
          <w:u w:val="non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52"/>
          <w:rFonts w:hint="eastAsia" w:ascii="宋体" w:hAnsi="宋体" w:eastAsia="宋体" w:cs="宋体"/>
          <w:i w:val="0"/>
          <w:iCs w:val="0"/>
          <w:caps w:val="0"/>
          <w:color w:val="auto"/>
          <w:spacing w:val="0"/>
          <w:sz w:val="24"/>
          <w:szCs w:val="24"/>
          <w:highlight w:val="none"/>
          <w:u w:val="single"/>
          <w:shd w:val="clear" w:color="auto" w:fill="FFFFFF"/>
        </w:rPr>
        <w:t>（关键工序）</w:t>
      </w:r>
      <w:r>
        <w:rPr>
          <w:rStyle w:val="52"/>
          <w:rFonts w:hint="eastAsia" w:ascii="宋体" w:hAnsi="宋体" w:eastAsia="宋体" w:cs="宋体"/>
          <w:i w:val="0"/>
          <w:iCs w:val="0"/>
          <w:caps w:val="0"/>
          <w:color w:val="auto"/>
          <w:spacing w:val="0"/>
          <w:sz w:val="24"/>
          <w:szCs w:val="24"/>
          <w:highlight w:val="none"/>
          <w:u w:val="non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6A732C9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2.</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52"/>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52"/>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52"/>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52"/>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52"/>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52"/>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63DD5B04">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w:t>
      </w:r>
    </w:p>
    <w:p w14:paraId="3360270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本公司（单位）对上述声明内容的真实性负责。如有虚假，愿承担相应法律责任。</w:t>
      </w:r>
    </w:p>
    <w:p w14:paraId="16F1ACE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sz w:val="24"/>
          <w:szCs w:val="24"/>
          <w:highlight w:val="none"/>
        </w:rPr>
      </w:pPr>
    </w:p>
    <w:p w14:paraId="48BED86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公司（单位）名称（盖章）：　        </w:t>
      </w:r>
    </w:p>
    <w:p w14:paraId="72CD944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日期：　     年　  月　  日         </w:t>
      </w:r>
    </w:p>
    <w:p w14:paraId="5F36132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__________________</w:t>
      </w:r>
    </w:p>
    <w:p w14:paraId="77212A4A">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1.产品如有型号，请在“产品名称”栏一并填写。</w:t>
      </w:r>
    </w:p>
    <w:p w14:paraId="62D971E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2.生产厂名与厂址应与生产厂营业执照载明的相关信息保持一致。</w:t>
      </w:r>
    </w:p>
    <w:p w14:paraId="4616312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3.该产品的中国境内生产的组件成本占比相关要求实施前，“规定比例”栏可不填，下同。</w:t>
      </w:r>
    </w:p>
    <w:p w14:paraId="33728D3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4.该产品的关键组件要求实施前，“关键组件”栏可不填，下同。</w:t>
      </w:r>
    </w:p>
    <w:p w14:paraId="00C5CD63">
      <w:pPr>
        <w:spacing w:line="360" w:lineRule="auto"/>
        <w:ind w:right="420" w:firstLine="42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5.该产品的关键工序要求实施前，“关键工序”栏可不填，下同。</w:t>
      </w:r>
    </w:p>
    <w:p w14:paraId="647CB8F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shd w:val="clear" w:color="auto" w:fill="FFFFFF"/>
          <w:lang w:val="en-US" w:eastAsia="zh-CN"/>
        </w:rPr>
      </w:pPr>
    </w:p>
    <w:p w14:paraId="0B16DBB9">
      <w:pPr>
        <w:pStyle w:val="29"/>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lang w:val="en-US" w:eastAsia="zh-CN"/>
        </w:rPr>
        <w:t>注：</w:t>
      </w:r>
      <w:r>
        <w:rPr>
          <w:rFonts w:hint="eastAsia" w:ascii="宋体" w:hAnsi="宋体" w:eastAsia="宋体" w:cs="宋体"/>
          <w:i w:val="0"/>
          <w:iCs w:val="0"/>
          <w:caps w:val="0"/>
          <w:color w:val="auto"/>
          <w:spacing w:val="0"/>
          <w:sz w:val="24"/>
          <w:szCs w:val="24"/>
          <w:highlight w:val="none"/>
          <w:shd w:val="clear" w:color="auto" w:fill="FFFFFF"/>
        </w:rPr>
        <w:t>成交供应商提供的《声明函》或有关证明文件随成交结果同时公告。</w:t>
      </w:r>
    </w:p>
    <w:p w14:paraId="53B2FBD1">
      <w:pPr>
        <w:rPr>
          <w:rFonts w:hint="eastAsia" w:ascii="宋体" w:hAnsi="宋体" w:eastAsia="宋体" w:cs="宋体"/>
          <w:i w:val="0"/>
          <w:iCs w:val="0"/>
          <w:caps w:val="0"/>
          <w:color w:val="auto"/>
          <w:spacing w:val="0"/>
          <w:sz w:val="24"/>
          <w:szCs w:val="24"/>
          <w:highlight w:val="none"/>
          <w:shd w:val="clear" w:color="auto" w:fill="FFFFFF"/>
        </w:rPr>
      </w:pPr>
    </w:p>
    <w:p w14:paraId="540498CB">
      <w:pPr>
        <w:rPr>
          <w:rFonts w:hint="eastAsia" w:ascii="宋体" w:hAnsi="宋体" w:eastAsia="宋体" w:cs="宋体"/>
          <w:i w:val="0"/>
          <w:iCs w:val="0"/>
          <w:caps w:val="0"/>
          <w:color w:val="auto"/>
          <w:spacing w:val="0"/>
          <w:sz w:val="24"/>
          <w:szCs w:val="24"/>
          <w:highlight w:val="none"/>
          <w:shd w:val="clear" w:color="auto" w:fill="FFFFFF"/>
        </w:rPr>
      </w:pPr>
    </w:p>
    <w:p w14:paraId="5FEB0428">
      <w:pPr>
        <w:rPr>
          <w:rFonts w:hint="eastAsia" w:ascii="宋体" w:hAnsi="宋体" w:eastAsia="宋体" w:cs="宋体"/>
          <w:i w:val="0"/>
          <w:iCs w:val="0"/>
          <w:caps w:val="0"/>
          <w:color w:val="auto"/>
          <w:spacing w:val="0"/>
          <w:sz w:val="24"/>
          <w:szCs w:val="24"/>
          <w:highlight w:val="none"/>
          <w:shd w:val="clear" w:color="auto" w:fill="FFFFFF"/>
        </w:rPr>
      </w:pPr>
    </w:p>
    <w:p w14:paraId="72AD4BB7">
      <w:pPr>
        <w:rPr>
          <w:rFonts w:hint="eastAsia" w:ascii="宋体" w:hAnsi="宋体" w:eastAsia="宋体" w:cs="宋体"/>
          <w:i w:val="0"/>
          <w:iCs w:val="0"/>
          <w:caps w:val="0"/>
          <w:color w:val="auto"/>
          <w:spacing w:val="0"/>
          <w:sz w:val="24"/>
          <w:szCs w:val="24"/>
          <w:highlight w:val="none"/>
          <w:shd w:val="clear" w:color="auto" w:fill="FFFFFF"/>
        </w:rPr>
      </w:pPr>
    </w:p>
    <w:p w14:paraId="7836D9ED">
      <w:pPr>
        <w:rPr>
          <w:rFonts w:hint="eastAsia" w:ascii="宋体" w:hAnsi="宋体" w:eastAsia="宋体" w:cs="宋体"/>
          <w:i w:val="0"/>
          <w:iCs w:val="0"/>
          <w:caps w:val="0"/>
          <w:color w:val="auto"/>
          <w:spacing w:val="0"/>
          <w:sz w:val="24"/>
          <w:szCs w:val="24"/>
          <w:highlight w:val="none"/>
          <w:shd w:val="clear" w:color="auto" w:fill="FFFFFF"/>
        </w:rPr>
      </w:pPr>
    </w:p>
    <w:p w14:paraId="24E88360">
      <w:pPr>
        <w:rPr>
          <w:rFonts w:hint="eastAsia" w:ascii="宋体" w:hAnsi="宋体" w:eastAsia="宋体" w:cs="宋体"/>
          <w:i w:val="0"/>
          <w:iCs w:val="0"/>
          <w:caps w:val="0"/>
          <w:color w:val="auto"/>
          <w:spacing w:val="0"/>
          <w:sz w:val="24"/>
          <w:szCs w:val="24"/>
          <w:highlight w:val="none"/>
          <w:shd w:val="clear" w:color="auto" w:fill="FFFFFF"/>
        </w:rPr>
      </w:pPr>
    </w:p>
    <w:p w14:paraId="2165A0DF">
      <w:pPr>
        <w:rPr>
          <w:rFonts w:hint="eastAsia" w:ascii="宋体" w:hAnsi="宋体" w:eastAsia="宋体" w:cs="宋体"/>
          <w:i w:val="0"/>
          <w:iCs w:val="0"/>
          <w:caps w:val="0"/>
          <w:color w:val="auto"/>
          <w:spacing w:val="0"/>
          <w:sz w:val="24"/>
          <w:szCs w:val="24"/>
          <w:highlight w:val="none"/>
          <w:shd w:val="clear" w:color="auto" w:fill="FFFFFF"/>
        </w:rPr>
      </w:pPr>
    </w:p>
    <w:p w14:paraId="23142347">
      <w:pPr>
        <w:rPr>
          <w:rFonts w:hint="eastAsia" w:ascii="宋体" w:hAnsi="宋体" w:eastAsia="宋体" w:cs="宋体"/>
          <w:i w:val="0"/>
          <w:iCs w:val="0"/>
          <w:caps w:val="0"/>
          <w:color w:val="auto"/>
          <w:spacing w:val="0"/>
          <w:sz w:val="24"/>
          <w:szCs w:val="24"/>
          <w:highlight w:val="none"/>
          <w:shd w:val="clear" w:color="auto" w:fill="FFFFFF"/>
        </w:rPr>
      </w:pPr>
    </w:p>
    <w:p w14:paraId="52F74D42">
      <w:pPr>
        <w:pStyle w:val="29"/>
        <w:rPr>
          <w:rFonts w:hint="eastAsia" w:ascii="宋体" w:hAnsi="宋体" w:eastAsia="宋体" w:cs="宋体"/>
          <w:color w:val="auto"/>
          <w:sz w:val="24"/>
          <w:szCs w:val="24"/>
          <w:highlight w:val="none"/>
        </w:rPr>
      </w:pPr>
    </w:p>
    <w:p w14:paraId="2D3B5472">
      <w:pPr>
        <w:widowControl/>
        <w:shd w:val="clear" w:color="auto" w:fill="FFFFFF"/>
        <w:spacing w:line="480" w:lineRule="atLeast"/>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广西壮族自治区政府采购项目合同验收书</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rPr>
        <w:t>格式</w:t>
      </w:r>
      <w:r>
        <w:rPr>
          <w:rFonts w:hint="eastAsia" w:ascii="宋体" w:hAnsi="宋体" w:eastAsia="宋体" w:cs="宋体"/>
          <w:color w:val="auto"/>
          <w:sz w:val="28"/>
          <w:szCs w:val="28"/>
          <w:highlight w:val="none"/>
          <w:lang w:eastAsia="zh-CN"/>
        </w:rPr>
        <w:t>：</w:t>
      </w:r>
    </w:p>
    <w:p w14:paraId="68693897">
      <w:pPr>
        <w:widowControl/>
        <w:shd w:val="clear" w:color="auto" w:fill="auto"/>
        <w:spacing w:line="240" w:lineRule="auto"/>
        <w:jc w:val="left"/>
        <w:rPr>
          <w:rFonts w:hint="eastAsia" w:ascii="宋体" w:hAnsi="宋体" w:eastAsia="宋体" w:cs="宋体"/>
          <w:color w:val="auto"/>
          <w:sz w:val="28"/>
          <w:szCs w:val="28"/>
          <w:highlight w:val="none"/>
          <w:lang w:eastAsia="zh-CN"/>
        </w:rPr>
      </w:pPr>
    </w:p>
    <w:p w14:paraId="69E2E1CA">
      <w:pPr>
        <w:widowControl/>
        <w:shd w:val="clear" w:color="auto" w:fill="FFFFFF"/>
        <w:spacing w:line="480" w:lineRule="atLeast"/>
        <w:jc w:val="center"/>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广西壮族自治区政府采购项目合同验收书</w:t>
      </w:r>
    </w:p>
    <w:p w14:paraId="0270297C">
      <w:pPr>
        <w:widowControl/>
        <w:shd w:val="clear" w:color="auto" w:fill="FFFFFF"/>
        <w:spacing w:line="480" w:lineRule="atLeast"/>
        <w:jc w:val="center"/>
        <w:rPr>
          <w:rFonts w:hint="eastAsia" w:ascii="宋体" w:hAnsi="宋体" w:eastAsia="宋体" w:cs="宋体"/>
          <w:color w:val="auto"/>
          <w:sz w:val="32"/>
          <w:szCs w:val="32"/>
          <w:highlight w:val="none"/>
        </w:rPr>
      </w:pPr>
    </w:p>
    <w:p w14:paraId="660F5701">
      <w:pPr>
        <w:widowControl/>
        <w:shd w:val="clear" w:color="auto" w:fill="FFFFFF"/>
        <w:spacing w:line="320"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根据政府采购项目（</w:t>
      </w:r>
      <w:r>
        <w:rPr>
          <w:rFonts w:hint="eastAsia" w:ascii="宋体" w:hAnsi="宋体" w:eastAsia="宋体" w:cs="宋体"/>
          <w:color w:val="auto"/>
          <w:sz w:val="21"/>
          <w:szCs w:val="21"/>
          <w:highlight w:val="none"/>
          <w:u w:val="single"/>
        </w:rPr>
        <w:t xml:space="preserve">采购合同编号： </w:t>
      </w:r>
      <w:r>
        <w:rPr>
          <w:rFonts w:hint="eastAsia" w:ascii="宋体" w:hAnsi="宋体" w:eastAsia="宋体" w:cs="宋体"/>
          <w:color w:val="auto"/>
          <w:sz w:val="21"/>
          <w:szCs w:val="21"/>
          <w:highlight w:val="none"/>
        </w:rPr>
        <w:t>）的约定，我单位对（</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 政府采购项目成交供应商（</w:t>
      </w:r>
      <w:r>
        <w:rPr>
          <w:rFonts w:hint="eastAsia" w:ascii="宋体" w:hAnsi="宋体" w:eastAsia="宋体" w:cs="宋体"/>
          <w:color w:val="auto"/>
          <w:sz w:val="21"/>
          <w:szCs w:val="21"/>
          <w:highlight w:val="none"/>
          <w:u w:val="single"/>
        </w:rPr>
        <w:t xml:space="preserve"> 公司名称 </w:t>
      </w:r>
      <w:r>
        <w:rPr>
          <w:rFonts w:hint="eastAsia" w:ascii="宋体" w:hAnsi="宋体" w:eastAsia="宋体" w:cs="宋体"/>
          <w:color w:val="auto"/>
          <w:sz w:val="21"/>
          <w:szCs w:val="21"/>
          <w:highlight w:val="none"/>
        </w:rPr>
        <w:t>） 提供的货物（或者工程、服务）进行了验收，验收情况如下：</w:t>
      </w:r>
    </w:p>
    <w:tbl>
      <w:tblPr>
        <w:tblStyle w:val="45"/>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29EA4D30">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052FDC64">
            <w:pPr>
              <w:widowControl/>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97B9B13">
            <w:pPr>
              <w:widowControl/>
              <w:spacing w:before="100" w:beforeAutospacing="1" w:after="100" w:afterAutospacing="1" w:line="32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□自行验收 □委托验收</w:t>
            </w:r>
          </w:p>
        </w:tc>
      </w:tr>
      <w:tr w14:paraId="77071478">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356C47B0">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63D0C87D">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438B9E09">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61696A9">
            <w:pPr>
              <w:widowControl/>
              <w:spacing w:before="100" w:beforeAutospacing="1" w:after="100" w:afterAutospacing="1" w:line="32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428" w:type="dxa"/>
            <w:tcBorders>
              <w:top w:val="nil"/>
              <w:left w:val="nil"/>
              <w:bottom w:val="single" w:color="auto" w:sz="8" w:space="0"/>
              <w:right w:val="single" w:color="auto" w:sz="8" w:space="0"/>
            </w:tcBorders>
            <w:noWrap w:val="0"/>
            <w:vAlign w:val="center"/>
          </w:tcPr>
          <w:p w14:paraId="74C6EF5A">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r>
      <w:tr w14:paraId="526003A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7E70EB7">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7DC7727">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5B9E44A8">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539F1E0D">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4C270A88">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325FFC5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7025F9C">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A4386E8">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E3BB982">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98DFBA4">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0C1014BA">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7D8674A9">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93F4F4F">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3A001F6E">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57ACE732">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3EFADA0">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53587CC2">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1FE57CCA">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316B66B7">
            <w:pPr>
              <w:widowControl/>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6FA2B269">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3222A110">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41A9D045">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6A1B0F2">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合计大写金额：  仟  佰  拾  万  仟  佰  拾  元</w:t>
            </w:r>
          </w:p>
        </w:tc>
      </w:tr>
      <w:tr w14:paraId="7DB5C55E">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8F51422">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1E35D565">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8D459B3">
            <w:pPr>
              <w:widowControl/>
              <w:spacing w:before="100" w:beforeAutospacing="1" w:after="100" w:afterAutospacing="1" w:line="320" w:lineRule="atLeast"/>
              <w:ind w:firstLine="4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2BEF0225">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7A459EE6">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7BB27CC7">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43DB7334">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0C8D082">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05ADC2BC">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1581B99A">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E33489">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459EF5">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709F6B2E">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D2341F">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213CB6AB">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验收结论性意见：</w:t>
            </w:r>
          </w:p>
        </w:tc>
      </w:tr>
      <w:tr w14:paraId="2AAD3FF0">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075CD65">
            <w:pPr>
              <w:widowControl/>
              <w:jc w:val="left"/>
              <w:rPr>
                <w:rFonts w:hint="eastAsia" w:ascii="宋体" w:hAnsi="宋体" w:eastAsia="宋体" w:cs="宋体"/>
                <w:color w:val="auto"/>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59855052">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有异议的意见和说明理由：</w:t>
            </w:r>
          </w:p>
          <w:p w14:paraId="377709C1">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w:t>
            </w:r>
          </w:p>
        </w:tc>
      </w:tr>
      <w:tr w14:paraId="4B609402">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445529">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验收小组成员签字：</w:t>
            </w:r>
          </w:p>
        </w:tc>
      </w:tr>
      <w:tr w14:paraId="34A32199">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803AC3">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监督人员或者</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相关人员签字：</w:t>
            </w:r>
          </w:p>
          <w:p w14:paraId="129633B3">
            <w:pPr>
              <w:widowControl/>
              <w:spacing w:before="100" w:beforeAutospacing="1" w:after="100" w:afterAutospacing="1" w:line="320" w:lineRule="atLeast"/>
              <w:ind w:firstLine="7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或者受邀机构的意见（盖章）：</w:t>
            </w:r>
          </w:p>
        </w:tc>
      </w:tr>
      <w:tr w14:paraId="1BE3E2AF">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56116EFF">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成交供应商负责人签字或者盖章：</w:t>
            </w:r>
          </w:p>
          <w:p w14:paraId="510B1984">
            <w:pPr>
              <w:widowControl/>
              <w:spacing w:before="100" w:beforeAutospacing="1" w:after="100" w:afterAutospacing="1" w:line="320" w:lineRule="atLeast"/>
              <w:jc w:val="left"/>
              <w:rPr>
                <w:rFonts w:hint="eastAsia" w:ascii="宋体" w:hAnsi="宋体" w:eastAsia="宋体" w:cs="宋体"/>
                <w:color w:val="auto"/>
                <w:szCs w:val="21"/>
                <w:highlight w:val="none"/>
              </w:rPr>
            </w:pPr>
          </w:p>
          <w:p w14:paraId="5BBE2ECB">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1B8FE5BF">
            <w:pPr>
              <w:widowControl/>
              <w:spacing w:before="100" w:beforeAutospacing="1" w:after="100" w:afterAutospacing="1" w:line="320" w:lineRule="atLeast"/>
              <w:ind w:firstLine="273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293" w:type="dxa"/>
            <w:gridSpan w:val="4"/>
            <w:tcBorders>
              <w:top w:val="nil"/>
              <w:left w:val="single" w:color="auto" w:sz="4" w:space="0"/>
              <w:bottom w:val="single" w:color="auto" w:sz="8" w:space="0"/>
              <w:right w:val="single" w:color="auto" w:sz="8" w:space="0"/>
            </w:tcBorders>
            <w:noWrap w:val="0"/>
            <w:vAlign w:val="center"/>
          </w:tcPr>
          <w:p w14:paraId="7A6C352C">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采购人或者受托机构的意见（盖章）：</w:t>
            </w:r>
          </w:p>
          <w:p w14:paraId="64D98C08">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p>
          <w:p w14:paraId="29859FA0">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54F90717">
            <w:pPr>
              <w:widowControl/>
              <w:spacing w:before="100" w:beforeAutospacing="1" w:after="100" w:afterAutospacing="1" w:line="320" w:lineRule="atLeast"/>
              <w:ind w:firstLine="2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bl>
    <w:p w14:paraId="55E077E2">
      <w:pPr>
        <w:pStyle w:val="24"/>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139E5EC2">
      <w:pPr>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5.政府采购项目履约保证金退付意见书的格式：</w:t>
      </w:r>
    </w:p>
    <w:p w14:paraId="032277E2">
      <w:pPr>
        <w:jc w:val="both"/>
        <w:rPr>
          <w:rFonts w:hint="eastAsia" w:ascii="宋体" w:hAnsi="宋体" w:eastAsia="宋体" w:cs="宋体"/>
          <w:color w:val="auto"/>
          <w:sz w:val="28"/>
          <w:szCs w:val="28"/>
          <w:highlight w:val="none"/>
          <w:lang w:val="en-US" w:eastAsia="zh-CN"/>
        </w:rPr>
      </w:pPr>
    </w:p>
    <w:p w14:paraId="12CE88BD">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政府采购项目履约保证金退付意见书（参考）</w:t>
      </w:r>
    </w:p>
    <w:p w14:paraId="22A357C8">
      <w:pPr>
        <w:jc w:val="center"/>
        <w:rPr>
          <w:rFonts w:hint="eastAsia" w:ascii="宋体" w:hAnsi="宋体" w:eastAsia="宋体" w:cs="宋体"/>
          <w:color w:val="auto"/>
          <w:sz w:val="36"/>
          <w:szCs w:val="36"/>
          <w:highlight w:val="none"/>
        </w:rPr>
      </w:pPr>
    </w:p>
    <w:tbl>
      <w:tblPr>
        <w:tblStyle w:val="45"/>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396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028EEC9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14:paraId="760BE85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14:paraId="609D552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14:paraId="4ABD96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14:paraId="0BA22D0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009" w:type="dxa"/>
            <w:noWrap w:val="0"/>
            <w:vAlign w:val="center"/>
          </w:tcPr>
          <w:p w14:paraId="7AB6E292">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14:paraId="0DC9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0C5AF8C2">
            <w:pPr>
              <w:rPr>
                <w:rFonts w:hint="eastAsia" w:ascii="宋体" w:hAnsi="宋体" w:eastAsia="宋体" w:cs="宋体"/>
                <w:color w:val="auto"/>
                <w:sz w:val="24"/>
                <w:highlight w:val="none"/>
              </w:rPr>
            </w:pPr>
          </w:p>
        </w:tc>
        <w:tc>
          <w:tcPr>
            <w:tcW w:w="8009" w:type="dxa"/>
            <w:noWrap w:val="0"/>
            <w:vAlign w:val="center"/>
          </w:tcPr>
          <w:p w14:paraId="2B3683FF">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14:paraId="43FF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060C9827">
            <w:pPr>
              <w:rPr>
                <w:rFonts w:hint="eastAsia" w:ascii="宋体" w:hAnsi="宋体" w:eastAsia="宋体" w:cs="宋体"/>
                <w:color w:val="auto"/>
                <w:sz w:val="24"/>
                <w:highlight w:val="none"/>
              </w:rPr>
            </w:pPr>
          </w:p>
        </w:tc>
        <w:tc>
          <w:tcPr>
            <w:tcW w:w="8009" w:type="dxa"/>
            <w:noWrap w:val="0"/>
            <w:vAlign w:val="top"/>
          </w:tcPr>
          <w:p w14:paraId="375C6045">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AE2B817">
            <w:pPr>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w:t>
            </w:r>
          </w:p>
          <w:p w14:paraId="02B770FE">
            <w:pPr>
              <w:rPr>
                <w:rFonts w:hint="eastAsia" w:ascii="宋体" w:hAnsi="宋体" w:eastAsia="宋体" w:cs="宋体"/>
                <w:color w:val="auto"/>
                <w:sz w:val="24"/>
                <w:highlight w:val="none"/>
              </w:rPr>
            </w:pP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户。</w:t>
            </w:r>
          </w:p>
          <w:p w14:paraId="0B631F2F">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14:paraId="1A0899A3">
            <w:pP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14:paraId="492DD506">
            <w:pP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 xml:space="preserve">    号：</w:t>
            </w:r>
          </w:p>
          <w:p w14:paraId="259C5219">
            <w:pP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14:paraId="56F4F040">
            <w:pPr>
              <w:rPr>
                <w:rFonts w:hint="eastAsia" w:ascii="宋体" w:hAnsi="宋体" w:eastAsia="宋体" w:cs="宋体"/>
                <w:color w:val="auto"/>
                <w:sz w:val="24"/>
                <w:highlight w:val="none"/>
              </w:rPr>
            </w:pPr>
          </w:p>
          <w:p w14:paraId="1ED4A80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供应商签章：</w:t>
            </w:r>
          </w:p>
          <w:p w14:paraId="6E51525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2FB8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7794CB3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14:paraId="685CA29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14:paraId="1669130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w:t>
            </w:r>
          </w:p>
          <w:p w14:paraId="29389DC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位</w:t>
            </w:r>
          </w:p>
          <w:p w14:paraId="6DECE57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41E6235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57250011">
            <w:pPr>
              <w:rPr>
                <w:rFonts w:hint="eastAsia" w:ascii="宋体" w:hAnsi="宋体" w:eastAsia="宋体" w:cs="宋体"/>
                <w:color w:val="auto"/>
                <w:sz w:val="24"/>
                <w:highlight w:val="none"/>
              </w:rPr>
            </w:pPr>
          </w:p>
          <w:p w14:paraId="7036BCC9">
            <w:pP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14:paraId="0FFCB164">
            <w:pPr>
              <w:rPr>
                <w:rFonts w:hint="eastAsia" w:ascii="宋体" w:hAnsi="宋体" w:eastAsia="宋体" w:cs="宋体"/>
                <w:color w:val="auto"/>
                <w:sz w:val="24"/>
                <w:highlight w:val="none"/>
              </w:rPr>
            </w:pPr>
          </w:p>
          <w:p w14:paraId="2EC53B15">
            <w:pPr>
              <w:rPr>
                <w:rFonts w:hint="eastAsia" w:ascii="宋体" w:hAnsi="宋体" w:eastAsia="宋体" w:cs="宋体"/>
                <w:color w:val="auto"/>
                <w:sz w:val="24"/>
                <w:highlight w:val="none"/>
              </w:rPr>
            </w:pPr>
          </w:p>
          <w:p w14:paraId="789C4070">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联系人及电话：                                </w:t>
            </w:r>
          </w:p>
          <w:p w14:paraId="6C2CDC8D">
            <w:pPr>
              <w:rPr>
                <w:rFonts w:hint="eastAsia" w:ascii="宋体" w:hAnsi="宋体" w:eastAsia="宋体" w:cs="宋体"/>
                <w:color w:val="auto"/>
                <w:sz w:val="24"/>
                <w:highlight w:val="none"/>
              </w:rPr>
            </w:pPr>
          </w:p>
          <w:p w14:paraId="5DEFA8F8">
            <w:pPr>
              <w:ind w:firstLine="45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采购单位签章：</w:t>
            </w:r>
          </w:p>
          <w:p w14:paraId="769A1F5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0A8C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295DA46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财</w:t>
            </w:r>
          </w:p>
          <w:p w14:paraId="37F24D1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务</w:t>
            </w:r>
          </w:p>
          <w:p w14:paraId="63FEA35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部</w:t>
            </w:r>
          </w:p>
          <w:p w14:paraId="363A93C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门</w:t>
            </w:r>
          </w:p>
          <w:p w14:paraId="4E208BD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294ABD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6166B0B1">
            <w:pPr>
              <w:rPr>
                <w:rFonts w:hint="eastAsia" w:ascii="宋体" w:hAnsi="宋体" w:eastAsia="宋体" w:cs="宋体"/>
                <w:color w:val="auto"/>
                <w:sz w:val="24"/>
                <w:highlight w:val="none"/>
              </w:rPr>
            </w:pPr>
            <w:r>
              <w:rPr>
                <w:rFonts w:hint="eastAsia" w:ascii="宋体" w:hAnsi="宋体" w:eastAsia="宋体" w:cs="宋体"/>
                <w:color w:val="auto"/>
                <w:sz w:val="24"/>
                <w:highlight w:val="none"/>
              </w:rPr>
              <w:t>此表于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日收到。</w:t>
            </w:r>
          </w:p>
          <w:p w14:paraId="1BAC93B0">
            <w:pPr>
              <w:rPr>
                <w:rFonts w:hint="eastAsia" w:ascii="宋体" w:hAnsi="宋体" w:eastAsia="宋体" w:cs="宋体"/>
                <w:color w:val="auto"/>
                <w:sz w:val="24"/>
                <w:highlight w:val="none"/>
              </w:rPr>
            </w:pPr>
          </w:p>
          <w:p w14:paraId="445B806E">
            <w:pPr>
              <w:rPr>
                <w:rFonts w:hint="eastAsia" w:ascii="宋体" w:hAnsi="宋体" w:eastAsia="宋体" w:cs="宋体"/>
                <w:color w:val="auto"/>
                <w:sz w:val="24"/>
                <w:highlight w:val="none"/>
              </w:rPr>
            </w:pPr>
            <w:r>
              <w:rPr>
                <w:rFonts w:hint="eastAsia" w:ascii="宋体" w:hAnsi="宋体" w:eastAsia="宋体" w:cs="宋体"/>
                <w:color w:val="auto"/>
                <w:sz w:val="24"/>
                <w:highlight w:val="none"/>
              </w:rPr>
              <w:t>会计审核：</w:t>
            </w:r>
          </w:p>
          <w:p w14:paraId="43AB1673">
            <w:pPr>
              <w:rPr>
                <w:rFonts w:hint="eastAsia" w:ascii="宋体" w:hAnsi="宋体" w:eastAsia="宋体" w:cs="宋体"/>
                <w:color w:val="auto"/>
                <w:sz w:val="24"/>
                <w:highlight w:val="none"/>
              </w:rPr>
            </w:pPr>
          </w:p>
          <w:p w14:paraId="0B3B890E">
            <w:pPr>
              <w:rPr>
                <w:rFonts w:hint="eastAsia" w:ascii="宋体" w:hAnsi="宋体" w:eastAsia="宋体" w:cs="宋体"/>
                <w:color w:val="auto"/>
                <w:sz w:val="24"/>
                <w:highlight w:val="none"/>
              </w:rPr>
            </w:pPr>
            <w:r>
              <w:rPr>
                <w:rFonts w:hint="eastAsia" w:ascii="宋体" w:hAnsi="宋体" w:eastAsia="宋体" w:cs="宋体"/>
                <w:color w:val="auto"/>
                <w:sz w:val="24"/>
                <w:highlight w:val="none"/>
              </w:rPr>
              <w:t>财务负责人审核：</w:t>
            </w:r>
          </w:p>
          <w:p w14:paraId="29FF5E37">
            <w:pPr>
              <w:rPr>
                <w:rFonts w:hint="eastAsia" w:ascii="宋体" w:hAnsi="宋体" w:eastAsia="宋体" w:cs="宋体"/>
                <w:color w:val="auto"/>
                <w:sz w:val="24"/>
                <w:highlight w:val="none"/>
              </w:rPr>
            </w:pPr>
          </w:p>
          <w:p w14:paraId="42997399">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单位负责人签字：</w:t>
            </w:r>
          </w:p>
          <w:p w14:paraId="18E3C052">
            <w:pPr>
              <w:rPr>
                <w:rFonts w:hint="eastAsia" w:ascii="宋体" w:hAnsi="宋体" w:eastAsia="宋体" w:cs="宋体"/>
                <w:color w:val="auto"/>
                <w:sz w:val="24"/>
                <w:highlight w:val="none"/>
              </w:rPr>
            </w:pPr>
          </w:p>
          <w:p w14:paraId="0E500405">
            <w:pPr>
              <w:rPr>
                <w:rFonts w:hint="eastAsia" w:ascii="宋体" w:hAnsi="宋体" w:eastAsia="宋体" w:cs="宋体"/>
                <w:color w:val="auto"/>
                <w:sz w:val="24"/>
                <w:highlight w:val="none"/>
              </w:rPr>
            </w:pPr>
            <w:r>
              <w:rPr>
                <w:rFonts w:hint="eastAsia" w:ascii="宋体" w:hAnsi="宋体" w:eastAsia="宋体" w:cs="宋体"/>
                <w:color w:val="auto"/>
                <w:sz w:val="24"/>
                <w:highlight w:val="none"/>
              </w:rPr>
              <w:t>出纳办理转</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日期：</w:t>
            </w:r>
          </w:p>
        </w:tc>
      </w:tr>
    </w:tbl>
    <w:p w14:paraId="26687BD2">
      <w:pPr>
        <w:pStyle w:val="18"/>
        <w:ind w:left="1" w:firstLine="2"/>
        <w:rPr>
          <w:rFonts w:hint="eastAsia" w:ascii="宋体" w:hAnsi="宋体" w:eastAsia="宋体" w:cs="宋体"/>
          <w:b/>
          <w:bCs/>
          <w:color w:val="auto"/>
          <w:sz w:val="18"/>
          <w:szCs w:val="18"/>
          <w:highlight w:val="none"/>
        </w:rPr>
      </w:pPr>
    </w:p>
    <w:p w14:paraId="7F7164DF">
      <w:pPr>
        <w:pStyle w:val="18"/>
        <w:ind w:left="1" w:firstLine="2"/>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w:t>
      </w:r>
      <w:r>
        <w:rPr>
          <w:rFonts w:hint="eastAsia" w:ascii="宋体" w:hAnsi="宋体" w:eastAsia="宋体" w:cs="宋体"/>
          <w:b/>
          <w:bCs/>
          <w:color w:val="auto"/>
          <w:sz w:val="18"/>
          <w:szCs w:val="18"/>
          <w:highlight w:val="none"/>
          <w:lang w:eastAsia="zh-CN"/>
        </w:rPr>
        <w:t>人</w:t>
      </w:r>
      <w:r>
        <w:rPr>
          <w:rFonts w:hint="eastAsia" w:ascii="宋体" w:hAnsi="宋体" w:eastAsia="宋体" w:cs="宋体"/>
          <w:b/>
          <w:bCs/>
          <w:color w:val="auto"/>
          <w:sz w:val="18"/>
          <w:szCs w:val="18"/>
          <w:highlight w:val="none"/>
        </w:rPr>
        <w:t>审批的退付意见书到履约保证金收取单位财务部门办理履约保证金退付事宜。</w:t>
      </w:r>
    </w:p>
    <w:p w14:paraId="3575F82D">
      <w:pPr>
        <w:pStyle w:val="29"/>
        <w:rPr>
          <w:rFonts w:hint="eastAsia" w:ascii="宋体" w:hAnsi="宋体" w:eastAsia="宋体" w:cs="宋体"/>
          <w:color w:val="auto"/>
          <w:sz w:val="24"/>
          <w:szCs w:val="24"/>
          <w:highlight w:val="none"/>
        </w:rPr>
      </w:pPr>
    </w:p>
    <w:p w14:paraId="30519917">
      <w:pPr>
        <w:spacing w:line="520" w:lineRule="exact"/>
        <w:jc w:val="center"/>
        <w:rPr>
          <w:rFonts w:hint="eastAsia" w:ascii="宋体" w:hAnsi="宋体" w:eastAsia="宋体" w:cs="宋体"/>
          <w:color w:val="auto"/>
          <w:sz w:val="24"/>
          <w:szCs w:val="24"/>
          <w:highlight w:val="none"/>
        </w:rPr>
      </w:pPr>
    </w:p>
    <w:p w14:paraId="6DD5E6E1">
      <w:pPr>
        <w:spacing w:line="520" w:lineRule="exact"/>
        <w:jc w:val="center"/>
        <w:rPr>
          <w:rFonts w:hint="eastAsia" w:ascii="宋体" w:hAnsi="宋体" w:eastAsia="宋体" w:cs="宋体"/>
          <w:color w:val="auto"/>
          <w:sz w:val="24"/>
          <w:szCs w:val="24"/>
          <w:highlight w:val="none"/>
        </w:rPr>
      </w:pPr>
    </w:p>
    <w:p w14:paraId="6CB23432">
      <w:pPr>
        <w:spacing w:line="360" w:lineRule="auto"/>
        <w:jc w:val="center"/>
        <w:rPr>
          <w:rFonts w:hint="eastAsia" w:ascii="宋体" w:hAnsi="宋体" w:eastAsia="宋体" w:cs="宋体"/>
          <w:b/>
          <w:bCs/>
          <w:color w:val="auto"/>
          <w:sz w:val="44"/>
          <w:szCs w:val="44"/>
          <w:highlight w:val="none"/>
        </w:rPr>
      </w:pPr>
    </w:p>
    <w:p w14:paraId="5C6B2607">
      <w:pPr>
        <w:spacing w:line="360" w:lineRule="auto"/>
        <w:jc w:val="center"/>
        <w:rPr>
          <w:rFonts w:hint="eastAsia" w:ascii="宋体" w:hAnsi="宋体" w:eastAsia="宋体" w:cs="宋体"/>
          <w:b/>
          <w:bCs/>
          <w:color w:val="auto"/>
          <w:sz w:val="44"/>
          <w:szCs w:val="44"/>
          <w:highlight w:val="none"/>
        </w:rPr>
      </w:pPr>
    </w:p>
    <w:p w14:paraId="0ACD5A64">
      <w:pPr>
        <w:spacing w:line="360" w:lineRule="auto"/>
        <w:jc w:val="center"/>
        <w:rPr>
          <w:rFonts w:hint="eastAsia" w:ascii="宋体" w:hAnsi="宋体" w:eastAsia="宋体" w:cs="宋体"/>
          <w:b/>
          <w:bCs/>
          <w:color w:val="auto"/>
          <w:sz w:val="44"/>
          <w:szCs w:val="44"/>
          <w:highlight w:val="none"/>
        </w:rPr>
      </w:pPr>
    </w:p>
    <w:p w14:paraId="7F014ED3">
      <w:pPr>
        <w:spacing w:line="360" w:lineRule="auto"/>
        <w:jc w:val="center"/>
        <w:rPr>
          <w:rFonts w:hint="eastAsia" w:ascii="宋体" w:hAnsi="宋体" w:eastAsia="宋体" w:cs="宋体"/>
          <w:b/>
          <w:bCs/>
          <w:color w:val="auto"/>
          <w:sz w:val="44"/>
          <w:szCs w:val="44"/>
          <w:highlight w:val="none"/>
        </w:rPr>
      </w:pPr>
    </w:p>
    <w:p w14:paraId="62FF72E4">
      <w:pPr>
        <w:spacing w:line="360" w:lineRule="auto"/>
        <w:jc w:val="center"/>
        <w:rPr>
          <w:rFonts w:hint="eastAsia" w:ascii="宋体" w:hAnsi="宋体" w:eastAsia="宋体" w:cs="宋体"/>
          <w:b/>
          <w:bCs/>
          <w:color w:val="auto"/>
          <w:sz w:val="44"/>
          <w:szCs w:val="44"/>
          <w:highlight w:val="none"/>
        </w:rPr>
      </w:pPr>
    </w:p>
    <w:p w14:paraId="626A1D37">
      <w:pPr>
        <w:spacing w:line="360" w:lineRule="auto"/>
        <w:jc w:val="center"/>
        <w:rPr>
          <w:rFonts w:hint="eastAsia" w:ascii="宋体" w:hAnsi="宋体" w:eastAsia="宋体" w:cs="宋体"/>
          <w:b/>
          <w:bCs/>
          <w:color w:val="auto"/>
          <w:sz w:val="44"/>
          <w:szCs w:val="44"/>
          <w:highlight w:val="none"/>
        </w:rPr>
      </w:pPr>
    </w:p>
    <w:p w14:paraId="79CC3353">
      <w:pPr>
        <w:keepNext/>
        <w:keepLines/>
        <w:spacing w:before="340" w:after="330" w:line="578" w:lineRule="auto"/>
        <w:jc w:val="center"/>
        <w:outlineLvl w:val="0"/>
        <w:rPr>
          <w:rFonts w:hint="eastAsia" w:ascii="宋体" w:hAnsi="宋体" w:eastAsia="宋体" w:cs="宋体"/>
          <w:color w:val="auto"/>
          <w:sz w:val="44"/>
          <w:szCs w:val="44"/>
          <w:highlight w:val="none"/>
          <w:lang w:val="zh-CN" w:eastAsia="zh-CN"/>
        </w:rPr>
      </w:pPr>
      <w:bookmarkStart w:id="148" w:name="_Toc21248"/>
      <w:bookmarkStart w:id="149" w:name="_Toc23849"/>
      <w:bookmarkStart w:id="150" w:name="_Toc80205943"/>
      <w:bookmarkStart w:id="151" w:name="_Toc4631"/>
      <w:bookmarkStart w:id="152" w:name="_Toc22077"/>
      <w:bookmarkStart w:id="153" w:name="_Toc20554"/>
      <w:bookmarkStart w:id="154" w:name="_Toc10008"/>
      <w:bookmarkStart w:id="155" w:name="_Toc15382"/>
      <w:bookmarkStart w:id="156" w:name="_Toc19175"/>
      <w:r>
        <w:rPr>
          <w:rFonts w:hint="eastAsia" w:ascii="宋体" w:hAnsi="宋体" w:eastAsia="宋体" w:cs="宋体"/>
          <w:color w:val="auto"/>
          <w:sz w:val="44"/>
          <w:szCs w:val="44"/>
          <w:highlight w:val="none"/>
          <w:lang w:val="zh-CN" w:eastAsia="zh-CN"/>
        </w:rPr>
        <w:t>第六章 合同文本</w:t>
      </w:r>
      <w:bookmarkEnd w:id="148"/>
      <w:bookmarkEnd w:id="149"/>
      <w:bookmarkEnd w:id="150"/>
      <w:bookmarkEnd w:id="151"/>
      <w:bookmarkEnd w:id="152"/>
      <w:bookmarkEnd w:id="153"/>
      <w:bookmarkEnd w:id="154"/>
      <w:bookmarkEnd w:id="155"/>
      <w:bookmarkEnd w:id="156"/>
    </w:p>
    <w:p w14:paraId="480345FB">
      <w:pPr>
        <w:keepNext/>
        <w:keepLines/>
        <w:spacing w:before="340" w:after="330" w:line="578" w:lineRule="auto"/>
        <w:jc w:val="center"/>
        <w:outlineLvl w:val="0"/>
        <w:rPr>
          <w:rFonts w:hint="eastAsia" w:ascii="宋体" w:hAnsi="宋体" w:eastAsia="宋体" w:cs="宋体"/>
          <w:b/>
          <w:bCs/>
          <w:color w:val="auto"/>
          <w:sz w:val="24"/>
          <w:szCs w:val="44"/>
          <w:highlight w:val="none"/>
          <w:u w:val="single"/>
          <w:lang w:val="zh-CN" w:eastAsia="zh-CN"/>
        </w:rPr>
      </w:pPr>
    </w:p>
    <w:p w14:paraId="2E202849">
      <w:pPr>
        <w:spacing w:line="24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clear="all"/>
      </w:r>
    </w:p>
    <w:p w14:paraId="334ADBE3">
      <w:pPr>
        <w:snapToGrid w:val="0"/>
        <w:rPr>
          <w:rFonts w:cs="宋体"/>
          <w:b/>
          <w:color w:val="auto"/>
          <w:sz w:val="32"/>
          <w:szCs w:val="32"/>
        </w:rPr>
      </w:pPr>
    </w:p>
    <w:p w14:paraId="491B7E8E">
      <w:pPr>
        <w:snapToGrid w:val="0"/>
        <w:jc w:val="center"/>
        <w:outlineLvl w:val="1"/>
        <w:rPr>
          <w:rFonts w:cs="宋体"/>
          <w:b/>
          <w:bCs/>
          <w:color w:val="auto"/>
          <w:sz w:val="32"/>
          <w:szCs w:val="32"/>
        </w:rPr>
      </w:pPr>
      <w:bookmarkStart w:id="157" w:name="_Toc19997"/>
      <w:bookmarkStart w:id="158" w:name="_Toc6755"/>
      <w:bookmarkStart w:id="159" w:name="_Toc25658"/>
      <w:bookmarkStart w:id="160" w:name="_Toc32483"/>
      <w:bookmarkStart w:id="161" w:name="_Toc19168"/>
      <w:bookmarkStart w:id="162" w:name="_Toc17479"/>
      <w:bookmarkStart w:id="163" w:name="_Toc12912"/>
      <w:r>
        <w:rPr>
          <w:rFonts w:hint="eastAsia" w:cs="宋体"/>
          <w:b/>
          <w:bCs/>
          <w:color w:val="auto"/>
          <w:sz w:val="32"/>
          <w:szCs w:val="32"/>
        </w:rPr>
        <w:t>《政府采购合同》</w:t>
      </w:r>
      <w:r>
        <w:rPr>
          <w:rFonts w:hint="eastAsia" w:cs="宋体"/>
          <w:b/>
          <w:color w:val="auto"/>
          <w:sz w:val="32"/>
          <w:szCs w:val="32"/>
        </w:rPr>
        <w:t>文本</w:t>
      </w:r>
      <w:bookmarkEnd w:id="157"/>
      <w:bookmarkEnd w:id="158"/>
      <w:bookmarkEnd w:id="159"/>
      <w:bookmarkEnd w:id="160"/>
      <w:bookmarkEnd w:id="161"/>
      <w:bookmarkEnd w:id="162"/>
      <w:bookmarkEnd w:id="163"/>
    </w:p>
    <w:p w14:paraId="6D527C32">
      <w:pPr>
        <w:snapToGrid w:val="0"/>
        <w:spacing w:line="400" w:lineRule="exact"/>
        <w:ind w:right="480" w:firstLine="5670" w:firstLineChars="2700"/>
        <w:rPr>
          <w:rFonts w:cs="宋体"/>
          <w:bCs/>
          <w:color w:val="auto"/>
          <w:szCs w:val="21"/>
        </w:rPr>
      </w:pPr>
    </w:p>
    <w:p w14:paraId="6B115EBC">
      <w:pPr>
        <w:snapToGrid w:val="0"/>
        <w:spacing w:line="360" w:lineRule="auto"/>
        <w:ind w:right="480" w:firstLine="5040" w:firstLineChars="2100"/>
        <w:rPr>
          <w:rFonts w:hint="eastAsia" w:ascii="宋体" w:hAnsi="宋体" w:cs="宋体"/>
          <w:bCs/>
          <w:color w:val="auto"/>
          <w:sz w:val="24"/>
          <w:szCs w:val="24"/>
        </w:rPr>
      </w:pPr>
      <w:r>
        <w:rPr>
          <w:rFonts w:hint="eastAsia" w:ascii="宋体" w:hAnsi="宋体" w:cs="宋体"/>
          <w:bCs/>
          <w:color w:val="auto"/>
          <w:sz w:val="24"/>
          <w:szCs w:val="24"/>
        </w:rPr>
        <w:t>合同编号：</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p>
    <w:p w14:paraId="1FA943B6">
      <w:pPr>
        <w:pStyle w:val="29"/>
        <w:spacing w:line="360" w:lineRule="auto"/>
        <w:ind w:firstLine="5040" w:firstLineChars="2100"/>
        <w:rPr>
          <w:rFonts w:hint="eastAsia"/>
          <w:color w:val="auto"/>
        </w:rPr>
      </w:pPr>
      <w:r>
        <w:rPr>
          <w:rFonts w:hint="eastAsia" w:ascii="宋体" w:hAnsi="宋体" w:cs="宋体"/>
          <w:color w:val="auto"/>
          <w:sz w:val="24"/>
        </w:rPr>
        <w:t>采购计划号：</w:t>
      </w:r>
      <w:r>
        <w:rPr>
          <w:rFonts w:hint="eastAsia" w:ascii="宋体" w:hAnsi="宋体" w:cs="宋体"/>
          <w:color w:val="auto"/>
          <w:sz w:val="24"/>
          <w:u w:val="single"/>
        </w:rPr>
        <w:t xml:space="preserve">               </w:t>
      </w:r>
    </w:p>
    <w:p w14:paraId="1D17DA13">
      <w:pPr>
        <w:snapToGrid w:val="0"/>
        <w:spacing w:line="400" w:lineRule="exact"/>
        <w:rPr>
          <w:rFonts w:hint="eastAsia" w:ascii="宋体" w:hAnsi="宋体" w:cs="宋体"/>
          <w:color w:val="auto"/>
          <w:szCs w:val="21"/>
        </w:rPr>
      </w:pPr>
    </w:p>
    <w:p w14:paraId="481D81C5">
      <w:pPr>
        <w:snapToGrid w:val="0"/>
        <w:spacing w:line="360" w:lineRule="auto"/>
        <w:rPr>
          <w:rFonts w:hint="eastAsia" w:ascii="宋体" w:hAnsi="宋体" w:cs="宋体"/>
          <w:color w:val="auto"/>
          <w:sz w:val="24"/>
        </w:rPr>
      </w:pPr>
      <w:r>
        <w:rPr>
          <w:rFonts w:hint="eastAsia" w:ascii="宋体" w:hAnsi="宋体" w:cs="宋体"/>
          <w:color w:val="auto"/>
          <w:sz w:val="24"/>
        </w:rPr>
        <w:t>采购人（甲方）：</w:t>
      </w:r>
      <w:r>
        <w:rPr>
          <w:rFonts w:hint="eastAsia" w:ascii="宋体" w:hAnsi="宋体" w:cs="宋体"/>
          <w:color w:val="auto"/>
          <w:sz w:val="24"/>
          <w:u w:val="single"/>
        </w:rPr>
        <w:t xml:space="preserve">                          </w:t>
      </w:r>
    </w:p>
    <w:p w14:paraId="639AAAFA">
      <w:pPr>
        <w:snapToGrid w:val="0"/>
        <w:spacing w:line="360" w:lineRule="auto"/>
        <w:rPr>
          <w:rFonts w:hint="eastAsia" w:ascii="宋体" w:hAnsi="宋体" w:cs="宋体"/>
          <w:color w:val="auto"/>
          <w:sz w:val="24"/>
        </w:rPr>
      </w:pPr>
      <w:r>
        <w:rPr>
          <w:rFonts w:hint="eastAsia" w:ascii="宋体" w:hAnsi="宋体" w:cs="宋体"/>
          <w:color w:val="auto"/>
          <w:sz w:val="24"/>
          <w:lang w:eastAsia="zh-CN"/>
        </w:rPr>
        <w:t>成交</w:t>
      </w:r>
      <w:r>
        <w:rPr>
          <w:rFonts w:hint="eastAsia" w:ascii="宋体" w:hAnsi="宋体" w:cs="宋体"/>
          <w:color w:val="auto"/>
          <w:sz w:val="24"/>
        </w:rPr>
        <w:t>供应商（乙方）：</w:t>
      </w:r>
      <w:r>
        <w:rPr>
          <w:rFonts w:hint="eastAsia" w:ascii="宋体" w:hAnsi="宋体" w:cs="宋体"/>
          <w:color w:val="auto"/>
          <w:sz w:val="24"/>
          <w:u w:val="single"/>
        </w:rPr>
        <w:t xml:space="preserve">                          </w:t>
      </w:r>
    </w:p>
    <w:p w14:paraId="3718D82F">
      <w:pPr>
        <w:snapToGrid w:val="0"/>
        <w:spacing w:line="360" w:lineRule="auto"/>
        <w:rPr>
          <w:rFonts w:hint="eastAsia" w:ascii="宋体" w:hAnsi="宋体" w:cs="宋体"/>
          <w:color w:val="auto"/>
          <w:sz w:val="24"/>
        </w:rPr>
      </w:pPr>
      <w:r>
        <w:rPr>
          <w:rFonts w:hint="eastAsia" w:ascii="宋体" w:hAnsi="宋体" w:cs="宋体"/>
          <w:color w:val="auto"/>
          <w:sz w:val="24"/>
        </w:rPr>
        <w:t>项目名称：</w:t>
      </w:r>
      <w:r>
        <w:rPr>
          <w:rFonts w:hint="eastAsia" w:ascii="宋体" w:hAnsi="宋体" w:cs="宋体"/>
          <w:color w:val="auto"/>
          <w:sz w:val="24"/>
          <w:u w:val="single"/>
        </w:rPr>
        <w:t xml:space="preserve">                               </w:t>
      </w:r>
    </w:p>
    <w:p w14:paraId="62443446">
      <w:pPr>
        <w:snapToGrid w:val="0"/>
        <w:spacing w:line="360" w:lineRule="auto"/>
        <w:rPr>
          <w:rFonts w:hint="eastAsia" w:ascii="宋体" w:hAnsi="宋体" w:cs="宋体"/>
          <w:color w:val="auto"/>
          <w:sz w:val="24"/>
          <w:u w:val="single"/>
        </w:rPr>
      </w:pPr>
      <w:r>
        <w:rPr>
          <w:rFonts w:hint="eastAsia" w:ascii="宋体" w:hAnsi="宋体" w:cs="宋体"/>
          <w:color w:val="auto"/>
          <w:sz w:val="24"/>
        </w:rPr>
        <w:t>项目编号：</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p>
    <w:p w14:paraId="585E29C6">
      <w:pPr>
        <w:snapToGrid w:val="0"/>
        <w:spacing w:line="360" w:lineRule="auto"/>
        <w:rPr>
          <w:rFonts w:hint="eastAsia" w:ascii="宋体" w:hAnsi="宋体" w:cs="宋体"/>
          <w:color w:val="auto"/>
          <w:sz w:val="24"/>
          <w:u w:val="single"/>
        </w:rPr>
      </w:pPr>
      <w:r>
        <w:rPr>
          <w:rFonts w:hint="eastAsia" w:ascii="宋体" w:hAnsi="宋体" w:cs="宋体"/>
          <w:color w:val="auto"/>
          <w:sz w:val="24"/>
        </w:rPr>
        <w:t>签订地点：</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none"/>
        </w:rPr>
        <w:t xml:space="preserve">   </w:t>
      </w:r>
      <w:r>
        <w:rPr>
          <w:rFonts w:hint="eastAsia" w:ascii="宋体" w:hAnsi="宋体" w:cs="宋体"/>
          <w:color w:val="auto"/>
          <w:sz w:val="24"/>
          <w:u w:val="none"/>
          <w:lang w:val="en-US" w:eastAsia="zh-CN"/>
        </w:rPr>
        <w:t xml:space="preserve">  </w:t>
      </w:r>
      <w:r>
        <w:rPr>
          <w:rFonts w:hint="eastAsia" w:ascii="宋体" w:hAnsi="宋体" w:cs="宋体"/>
          <w:color w:val="auto"/>
          <w:sz w:val="24"/>
        </w:rPr>
        <w:t>签订时间：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p>
    <w:p w14:paraId="560D0CDA">
      <w:pPr>
        <w:snapToGrid w:val="0"/>
        <w:spacing w:line="360" w:lineRule="auto"/>
        <w:ind w:firstLine="480" w:firstLineChars="200"/>
        <w:rPr>
          <w:rFonts w:hint="eastAsia" w:ascii="宋体" w:hAnsi="宋体" w:cs="宋体"/>
          <w:color w:val="auto"/>
          <w:sz w:val="24"/>
        </w:rPr>
      </w:pPr>
    </w:p>
    <w:p w14:paraId="1C969EC9">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根据《中华人民共和国政府采购法》、《中华人民共和国</w:t>
      </w:r>
      <w:r>
        <w:rPr>
          <w:rFonts w:hint="eastAsia" w:ascii="宋体" w:hAnsi="宋体" w:cs="宋体"/>
          <w:color w:val="auto"/>
          <w:sz w:val="24"/>
          <w:lang w:eastAsia="zh-CN"/>
        </w:rPr>
        <w:t>民法典</w:t>
      </w:r>
      <w:r>
        <w:rPr>
          <w:rFonts w:hint="eastAsia" w:ascii="宋体" w:hAnsi="宋体" w:cs="宋体"/>
          <w:color w:val="auto"/>
          <w:sz w:val="24"/>
        </w:rPr>
        <w:t>》等法律、法规规定，按照竞争性谈判文件规定条款和成交供应商承诺，甲乙双方签订本合同。</w:t>
      </w:r>
    </w:p>
    <w:p w14:paraId="0C174CE1">
      <w:pPr>
        <w:snapToGrid w:val="0"/>
        <w:spacing w:line="360" w:lineRule="auto"/>
        <w:ind w:firstLine="480" w:firstLineChars="200"/>
        <w:rPr>
          <w:rFonts w:hint="eastAsia" w:ascii="宋体" w:hAnsi="宋体" w:cs="宋体"/>
          <w:b/>
          <w:color w:val="auto"/>
          <w:sz w:val="24"/>
        </w:rPr>
      </w:pPr>
      <w:r>
        <w:rPr>
          <w:rFonts w:hint="eastAsia" w:ascii="宋体" w:hAnsi="宋体" w:cs="宋体"/>
          <w:b/>
          <w:color w:val="auto"/>
          <w:sz w:val="24"/>
        </w:rPr>
        <w:t>第一条　合同标的</w:t>
      </w:r>
    </w:p>
    <w:p w14:paraId="2FDBAE7A">
      <w:pPr>
        <w:snapToGrid w:val="0"/>
        <w:spacing w:line="360" w:lineRule="auto"/>
        <w:ind w:firstLine="480" w:firstLineChars="200"/>
        <w:rPr>
          <w:rFonts w:hint="eastAsia" w:ascii="宋体" w:hAnsi="宋体" w:cs="宋体"/>
          <w:color w:val="auto"/>
          <w:sz w:val="24"/>
        </w:rPr>
      </w:pPr>
      <w:r>
        <w:rPr>
          <w:rFonts w:hint="eastAsia" w:ascii="宋体" w:hAnsi="宋体" w:eastAsia="宋体" w:cs="宋体"/>
          <w:color w:val="auto"/>
          <w:sz w:val="24"/>
          <w:szCs w:val="24"/>
          <w:lang w:val="en-US" w:eastAsia="zh-CN"/>
        </w:rPr>
        <w:t>1.合同总金额：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2E64885B">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供货一览表</w:t>
      </w:r>
    </w:p>
    <w:tbl>
      <w:tblPr>
        <w:tblStyle w:val="45"/>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14:paraId="2B7C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02B3D673">
            <w:pPr>
              <w:snapToGrid w:val="0"/>
              <w:spacing w:line="360" w:lineRule="auto"/>
              <w:jc w:val="center"/>
              <w:rPr>
                <w:rFonts w:hint="eastAsia" w:ascii="宋体" w:hAnsi="宋体" w:cs="宋体"/>
                <w:color w:val="auto"/>
                <w:sz w:val="24"/>
              </w:rPr>
            </w:pPr>
            <w:r>
              <w:rPr>
                <w:rFonts w:hint="eastAsia" w:ascii="宋体" w:hAnsi="宋体" w:cs="宋体"/>
                <w:color w:val="auto"/>
                <w:sz w:val="24"/>
              </w:rPr>
              <w:t>序号</w:t>
            </w:r>
          </w:p>
        </w:tc>
        <w:tc>
          <w:tcPr>
            <w:tcW w:w="1233" w:type="dxa"/>
            <w:noWrap w:val="0"/>
            <w:vAlign w:val="center"/>
          </w:tcPr>
          <w:p w14:paraId="35AB40C4">
            <w:pPr>
              <w:snapToGrid w:val="0"/>
              <w:spacing w:line="360" w:lineRule="auto"/>
              <w:jc w:val="center"/>
              <w:rPr>
                <w:rFonts w:hint="eastAsia" w:ascii="宋体" w:hAnsi="宋体" w:cs="宋体"/>
                <w:color w:val="auto"/>
                <w:sz w:val="24"/>
              </w:rPr>
            </w:pPr>
            <w:r>
              <w:rPr>
                <w:rFonts w:hint="eastAsia" w:ascii="宋体" w:hAnsi="宋体" w:cs="宋体"/>
                <w:color w:val="auto"/>
                <w:sz w:val="24"/>
                <w:lang w:eastAsia="zh-CN"/>
              </w:rPr>
              <w:t>标的</w:t>
            </w:r>
            <w:r>
              <w:rPr>
                <w:rFonts w:hint="eastAsia" w:ascii="宋体" w:hAnsi="宋体" w:cs="宋体"/>
                <w:color w:val="auto"/>
                <w:sz w:val="24"/>
              </w:rPr>
              <w:t>名称</w:t>
            </w:r>
          </w:p>
        </w:tc>
        <w:tc>
          <w:tcPr>
            <w:tcW w:w="1059" w:type="dxa"/>
            <w:noWrap w:val="0"/>
            <w:vAlign w:val="center"/>
          </w:tcPr>
          <w:p w14:paraId="791E8DC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p w14:paraId="7B210B3F">
            <w:pPr>
              <w:snapToGrid w:val="0"/>
              <w:spacing w:line="360" w:lineRule="auto"/>
              <w:jc w:val="center"/>
              <w:rPr>
                <w:rFonts w:hint="eastAsia" w:ascii="宋体" w:hAnsi="宋体" w:cs="宋体"/>
                <w:color w:val="auto"/>
                <w:sz w:val="24"/>
              </w:rPr>
            </w:pPr>
            <w:r>
              <w:rPr>
                <w:rFonts w:hint="eastAsia" w:ascii="宋体" w:hAnsi="宋体" w:cs="宋体"/>
                <w:color w:val="auto"/>
                <w:szCs w:val="21"/>
                <w:highlight w:val="none"/>
                <w:lang w:eastAsia="zh-CN"/>
              </w:rPr>
              <w:t>（如有）</w:t>
            </w:r>
          </w:p>
        </w:tc>
        <w:tc>
          <w:tcPr>
            <w:tcW w:w="1233" w:type="dxa"/>
            <w:noWrap w:val="0"/>
            <w:vAlign w:val="center"/>
          </w:tcPr>
          <w:p w14:paraId="04DFA48B">
            <w:pPr>
              <w:snapToGrid w:val="0"/>
              <w:spacing w:line="360" w:lineRule="auto"/>
              <w:jc w:val="center"/>
              <w:rPr>
                <w:rFonts w:hint="eastAsia" w:ascii="宋体" w:hAnsi="宋体" w:cs="宋体"/>
                <w:color w:val="auto"/>
                <w:sz w:val="24"/>
              </w:rPr>
            </w:pPr>
            <w:r>
              <w:rPr>
                <w:rFonts w:hint="eastAsia" w:ascii="宋体" w:hAnsi="宋体" w:cs="宋体"/>
                <w:color w:val="auto"/>
                <w:sz w:val="24"/>
              </w:rPr>
              <w:t>规格型号</w:t>
            </w:r>
          </w:p>
        </w:tc>
        <w:tc>
          <w:tcPr>
            <w:tcW w:w="1210" w:type="dxa"/>
            <w:noWrap w:val="0"/>
            <w:vAlign w:val="center"/>
          </w:tcPr>
          <w:p w14:paraId="1ABA5254">
            <w:pPr>
              <w:snapToGrid w:val="0"/>
              <w:spacing w:line="360" w:lineRule="auto"/>
              <w:jc w:val="center"/>
              <w:rPr>
                <w:rFonts w:hint="eastAsia" w:ascii="宋体" w:hAnsi="宋体" w:cs="宋体" w:eastAsiaTheme="minorEastAsia"/>
                <w:color w:val="auto"/>
                <w:sz w:val="24"/>
                <w:lang w:eastAsia="zh-CN"/>
              </w:rPr>
            </w:pPr>
            <w:r>
              <w:rPr>
                <w:rFonts w:hint="eastAsia" w:ascii="宋体" w:hAnsi="宋体" w:cs="宋体"/>
                <w:color w:val="auto"/>
                <w:sz w:val="24"/>
                <w:lang w:val="en-US" w:eastAsia="zh-CN"/>
              </w:rPr>
              <w:t>制造商</w:t>
            </w:r>
          </w:p>
        </w:tc>
        <w:tc>
          <w:tcPr>
            <w:tcW w:w="737" w:type="dxa"/>
            <w:noWrap w:val="0"/>
            <w:vAlign w:val="center"/>
          </w:tcPr>
          <w:p w14:paraId="0D094A53">
            <w:pPr>
              <w:snapToGrid w:val="0"/>
              <w:spacing w:line="360" w:lineRule="auto"/>
              <w:jc w:val="center"/>
              <w:rPr>
                <w:rFonts w:hint="eastAsia" w:ascii="宋体" w:hAnsi="宋体" w:cs="宋体"/>
                <w:color w:val="auto"/>
                <w:sz w:val="24"/>
              </w:rPr>
            </w:pPr>
            <w:r>
              <w:rPr>
                <w:rFonts w:hint="eastAsia" w:ascii="宋体" w:hAnsi="宋体" w:cs="宋体"/>
                <w:color w:val="auto"/>
                <w:sz w:val="24"/>
              </w:rPr>
              <w:t>单位</w:t>
            </w:r>
          </w:p>
        </w:tc>
        <w:tc>
          <w:tcPr>
            <w:tcW w:w="735" w:type="dxa"/>
            <w:noWrap w:val="0"/>
            <w:vAlign w:val="center"/>
          </w:tcPr>
          <w:p w14:paraId="1A0D1E58">
            <w:pPr>
              <w:snapToGrid w:val="0"/>
              <w:spacing w:line="360" w:lineRule="auto"/>
              <w:jc w:val="center"/>
              <w:rPr>
                <w:rFonts w:hint="eastAsia" w:ascii="宋体" w:hAnsi="宋体" w:cs="宋体"/>
                <w:color w:val="auto"/>
                <w:sz w:val="24"/>
              </w:rPr>
            </w:pPr>
            <w:r>
              <w:rPr>
                <w:rFonts w:hint="eastAsia" w:ascii="宋体" w:hAnsi="宋体" w:cs="宋体"/>
                <w:color w:val="auto"/>
                <w:sz w:val="24"/>
              </w:rPr>
              <w:t>数量</w:t>
            </w:r>
            <w:r>
              <w:rPr>
                <w:rFonts w:hint="eastAsia" w:ascii="宋体" w:hAnsi="宋体" w:cs="宋体"/>
                <w:color w:val="auto"/>
              </w:rPr>
              <w:t>①</w:t>
            </w:r>
          </w:p>
        </w:tc>
        <w:tc>
          <w:tcPr>
            <w:tcW w:w="1285" w:type="dxa"/>
            <w:noWrap w:val="0"/>
            <w:vAlign w:val="center"/>
          </w:tcPr>
          <w:p w14:paraId="66386A10">
            <w:pPr>
              <w:snapToGrid w:val="0"/>
              <w:spacing w:line="360" w:lineRule="auto"/>
              <w:jc w:val="center"/>
              <w:rPr>
                <w:rFonts w:hint="eastAsia" w:ascii="宋体" w:hAnsi="宋体" w:cs="宋体"/>
                <w:color w:val="auto"/>
                <w:sz w:val="24"/>
              </w:rPr>
            </w:pPr>
            <w:r>
              <w:rPr>
                <w:rFonts w:hint="eastAsia" w:ascii="宋体" w:hAnsi="宋体" w:cs="宋体"/>
                <w:color w:val="auto"/>
                <w:sz w:val="24"/>
              </w:rPr>
              <w:t>单价（元）</w:t>
            </w:r>
            <w:r>
              <w:rPr>
                <w:rFonts w:hint="eastAsia" w:ascii="宋体" w:hAnsi="宋体" w:eastAsia="宋体" w:cs="宋体"/>
                <w:color w:val="auto"/>
                <w:szCs w:val="21"/>
                <w:highlight w:val="none"/>
              </w:rPr>
              <w:t>②</w:t>
            </w:r>
          </w:p>
        </w:tc>
        <w:tc>
          <w:tcPr>
            <w:tcW w:w="1500" w:type="dxa"/>
            <w:noWrap w:val="0"/>
            <w:vAlign w:val="center"/>
          </w:tcPr>
          <w:p w14:paraId="2B37EBB0">
            <w:pPr>
              <w:snapToGrid w:val="0"/>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单项合计</w:t>
            </w:r>
            <w:r>
              <w:rPr>
                <w:rFonts w:hint="eastAsia" w:ascii="宋体" w:hAnsi="宋体" w:eastAsia="宋体" w:cs="宋体"/>
                <w:color w:val="auto"/>
                <w:szCs w:val="21"/>
                <w:highlight w:val="none"/>
              </w:rPr>
              <w:t>（元）</w:t>
            </w:r>
          </w:p>
          <w:p w14:paraId="43111984">
            <w:pPr>
              <w:snapToGrid w:val="0"/>
              <w:spacing w:line="360" w:lineRule="auto"/>
              <w:jc w:val="center"/>
              <w:rPr>
                <w:rFonts w:hint="eastAsia" w:ascii="宋体" w:hAnsi="宋体" w:cs="宋体"/>
                <w:color w:val="auto"/>
                <w:sz w:val="24"/>
              </w:rPr>
            </w:pPr>
            <w:r>
              <w:rPr>
                <w:rFonts w:hint="eastAsia" w:ascii="宋体" w:hAnsi="宋体" w:cs="宋体"/>
                <w:color w:val="auto"/>
                <w:szCs w:val="22"/>
              </w:rPr>
              <w:t>③</w:t>
            </w:r>
            <w:r>
              <w:rPr>
                <w:rFonts w:hint="eastAsia" w:ascii="宋体" w:hAnsi="宋体" w:cs="宋体"/>
                <w:color w:val="auto"/>
                <w:szCs w:val="21"/>
                <w:highlight w:val="none"/>
                <w:lang w:eastAsia="zh-CN"/>
              </w:rPr>
              <w:t>＝</w:t>
            </w:r>
            <w:r>
              <w:rPr>
                <w:rFonts w:hint="eastAsia" w:ascii="宋体" w:hAnsi="宋体" w:cs="宋体"/>
                <w:color w:val="auto"/>
              </w:rPr>
              <w:t>①</w:t>
            </w:r>
            <w:r>
              <w:rPr>
                <w:rFonts w:hint="eastAsia" w:ascii="宋体" w:hAnsi="宋体" w:cs="宋体"/>
                <w:color w:val="auto"/>
                <w:lang w:val="en-US" w:eastAsia="zh-CN"/>
              </w:rPr>
              <w:t>X</w:t>
            </w:r>
            <w:r>
              <w:rPr>
                <w:rFonts w:hint="eastAsia" w:ascii="宋体" w:hAnsi="宋体" w:eastAsia="宋体" w:cs="宋体"/>
                <w:color w:val="auto"/>
                <w:szCs w:val="21"/>
                <w:highlight w:val="none"/>
              </w:rPr>
              <w:t>②</w:t>
            </w:r>
          </w:p>
        </w:tc>
      </w:tr>
      <w:tr w14:paraId="38E4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6166F58">
            <w:pPr>
              <w:snapToGrid w:val="0"/>
              <w:spacing w:line="360" w:lineRule="auto"/>
              <w:jc w:val="center"/>
              <w:rPr>
                <w:rFonts w:hint="eastAsia" w:ascii="宋体" w:hAnsi="宋体" w:cs="宋体"/>
                <w:color w:val="auto"/>
                <w:sz w:val="24"/>
              </w:rPr>
            </w:pPr>
            <w:r>
              <w:rPr>
                <w:rFonts w:hint="eastAsia" w:ascii="宋体" w:hAnsi="宋体" w:cs="宋体"/>
                <w:color w:val="auto"/>
                <w:sz w:val="24"/>
              </w:rPr>
              <w:t>1</w:t>
            </w:r>
          </w:p>
        </w:tc>
        <w:tc>
          <w:tcPr>
            <w:tcW w:w="1233" w:type="dxa"/>
            <w:noWrap w:val="0"/>
            <w:vAlign w:val="center"/>
          </w:tcPr>
          <w:p w14:paraId="78DD25FF">
            <w:pPr>
              <w:snapToGrid w:val="0"/>
              <w:spacing w:line="360" w:lineRule="auto"/>
              <w:jc w:val="center"/>
              <w:rPr>
                <w:rFonts w:hint="eastAsia" w:ascii="宋体" w:hAnsi="宋体" w:cs="宋体"/>
                <w:color w:val="auto"/>
                <w:sz w:val="24"/>
              </w:rPr>
            </w:pPr>
          </w:p>
        </w:tc>
        <w:tc>
          <w:tcPr>
            <w:tcW w:w="1059" w:type="dxa"/>
            <w:noWrap w:val="0"/>
            <w:vAlign w:val="center"/>
          </w:tcPr>
          <w:p w14:paraId="3D96BDA5">
            <w:pPr>
              <w:snapToGrid w:val="0"/>
              <w:spacing w:line="360" w:lineRule="auto"/>
              <w:jc w:val="center"/>
              <w:rPr>
                <w:rFonts w:hint="eastAsia" w:ascii="宋体" w:hAnsi="宋体" w:cs="宋体"/>
                <w:color w:val="auto"/>
                <w:sz w:val="24"/>
              </w:rPr>
            </w:pPr>
          </w:p>
        </w:tc>
        <w:tc>
          <w:tcPr>
            <w:tcW w:w="1233" w:type="dxa"/>
            <w:noWrap w:val="0"/>
            <w:vAlign w:val="center"/>
          </w:tcPr>
          <w:p w14:paraId="14BF5B87">
            <w:pPr>
              <w:snapToGrid w:val="0"/>
              <w:spacing w:line="360" w:lineRule="auto"/>
              <w:jc w:val="center"/>
              <w:rPr>
                <w:rFonts w:hint="eastAsia" w:ascii="宋体" w:hAnsi="宋体" w:cs="宋体"/>
                <w:color w:val="auto"/>
                <w:sz w:val="24"/>
              </w:rPr>
            </w:pPr>
          </w:p>
        </w:tc>
        <w:tc>
          <w:tcPr>
            <w:tcW w:w="1210" w:type="dxa"/>
            <w:noWrap w:val="0"/>
            <w:vAlign w:val="top"/>
          </w:tcPr>
          <w:p w14:paraId="50430BEF">
            <w:pPr>
              <w:snapToGrid w:val="0"/>
              <w:spacing w:line="360" w:lineRule="auto"/>
              <w:jc w:val="center"/>
              <w:rPr>
                <w:rFonts w:hint="eastAsia" w:ascii="宋体" w:hAnsi="宋体" w:cs="宋体"/>
                <w:color w:val="auto"/>
                <w:sz w:val="24"/>
              </w:rPr>
            </w:pPr>
          </w:p>
        </w:tc>
        <w:tc>
          <w:tcPr>
            <w:tcW w:w="737" w:type="dxa"/>
            <w:noWrap w:val="0"/>
            <w:vAlign w:val="top"/>
          </w:tcPr>
          <w:p w14:paraId="3344BDFB">
            <w:pPr>
              <w:snapToGrid w:val="0"/>
              <w:spacing w:line="360" w:lineRule="auto"/>
              <w:jc w:val="center"/>
              <w:rPr>
                <w:rFonts w:hint="eastAsia" w:ascii="宋体" w:hAnsi="宋体" w:cs="宋体"/>
                <w:color w:val="auto"/>
                <w:sz w:val="24"/>
              </w:rPr>
            </w:pPr>
          </w:p>
        </w:tc>
        <w:tc>
          <w:tcPr>
            <w:tcW w:w="735" w:type="dxa"/>
            <w:noWrap w:val="0"/>
            <w:vAlign w:val="top"/>
          </w:tcPr>
          <w:p w14:paraId="5C03339B">
            <w:pPr>
              <w:snapToGrid w:val="0"/>
              <w:spacing w:line="360" w:lineRule="auto"/>
              <w:jc w:val="center"/>
              <w:rPr>
                <w:rFonts w:hint="eastAsia" w:ascii="宋体" w:hAnsi="宋体" w:cs="宋体"/>
                <w:color w:val="auto"/>
                <w:sz w:val="24"/>
              </w:rPr>
            </w:pPr>
          </w:p>
        </w:tc>
        <w:tc>
          <w:tcPr>
            <w:tcW w:w="1285" w:type="dxa"/>
            <w:noWrap w:val="0"/>
            <w:vAlign w:val="center"/>
          </w:tcPr>
          <w:p w14:paraId="43B2368F">
            <w:pPr>
              <w:snapToGrid w:val="0"/>
              <w:spacing w:line="360" w:lineRule="auto"/>
              <w:jc w:val="center"/>
              <w:rPr>
                <w:rFonts w:hint="eastAsia" w:ascii="宋体" w:hAnsi="宋体" w:cs="宋体"/>
                <w:color w:val="auto"/>
                <w:sz w:val="24"/>
              </w:rPr>
            </w:pPr>
          </w:p>
        </w:tc>
        <w:tc>
          <w:tcPr>
            <w:tcW w:w="1500" w:type="dxa"/>
            <w:noWrap w:val="0"/>
            <w:vAlign w:val="center"/>
          </w:tcPr>
          <w:p w14:paraId="661EC912">
            <w:pPr>
              <w:snapToGrid w:val="0"/>
              <w:spacing w:line="360" w:lineRule="auto"/>
              <w:jc w:val="center"/>
              <w:rPr>
                <w:rFonts w:hint="eastAsia" w:ascii="宋体" w:hAnsi="宋体" w:cs="宋体"/>
                <w:color w:val="auto"/>
                <w:sz w:val="24"/>
              </w:rPr>
            </w:pPr>
          </w:p>
        </w:tc>
      </w:tr>
      <w:tr w14:paraId="603C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E530F7F">
            <w:pPr>
              <w:snapToGrid w:val="0"/>
              <w:spacing w:line="360" w:lineRule="auto"/>
              <w:jc w:val="center"/>
              <w:rPr>
                <w:rFonts w:hint="eastAsia" w:ascii="宋体" w:hAnsi="宋体" w:cs="宋体"/>
                <w:color w:val="auto"/>
                <w:sz w:val="24"/>
              </w:rPr>
            </w:pPr>
            <w:r>
              <w:rPr>
                <w:rFonts w:hint="eastAsia" w:ascii="宋体" w:hAnsi="宋体" w:cs="宋体"/>
                <w:color w:val="auto"/>
                <w:sz w:val="24"/>
              </w:rPr>
              <w:t>2</w:t>
            </w:r>
          </w:p>
        </w:tc>
        <w:tc>
          <w:tcPr>
            <w:tcW w:w="1233" w:type="dxa"/>
            <w:noWrap w:val="0"/>
            <w:vAlign w:val="center"/>
          </w:tcPr>
          <w:p w14:paraId="18C4A71B">
            <w:pPr>
              <w:snapToGrid w:val="0"/>
              <w:spacing w:line="360" w:lineRule="auto"/>
              <w:jc w:val="center"/>
              <w:rPr>
                <w:rFonts w:hint="eastAsia" w:ascii="宋体" w:hAnsi="宋体" w:cs="宋体"/>
                <w:color w:val="auto"/>
                <w:sz w:val="24"/>
              </w:rPr>
            </w:pPr>
          </w:p>
        </w:tc>
        <w:tc>
          <w:tcPr>
            <w:tcW w:w="1059" w:type="dxa"/>
            <w:noWrap w:val="0"/>
            <w:vAlign w:val="center"/>
          </w:tcPr>
          <w:p w14:paraId="2F597522">
            <w:pPr>
              <w:snapToGrid w:val="0"/>
              <w:spacing w:line="360" w:lineRule="auto"/>
              <w:jc w:val="center"/>
              <w:rPr>
                <w:rFonts w:hint="eastAsia" w:ascii="宋体" w:hAnsi="宋体" w:cs="宋体"/>
                <w:color w:val="auto"/>
                <w:sz w:val="24"/>
              </w:rPr>
            </w:pPr>
          </w:p>
        </w:tc>
        <w:tc>
          <w:tcPr>
            <w:tcW w:w="1233" w:type="dxa"/>
            <w:noWrap w:val="0"/>
            <w:vAlign w:val="center"/>
          </w:tcPr>
          <w:p w14:paraId="07AB358A">
            <w:pPr>
              <w:snapToGrid w:val="0"/>
              <w:spacing w:line="360" w:lineRule="auto"/>
              <w:jc w:val="center"/>
              <w:rPr>
                <w:rFonts w:hint="eastAsia" w:ascii="宋体" w:hAnsi="宋体" w:cs="宋体"/>
                <w:color w:val="auto"/>
                <w:sz w:val="24"/>
              </w:rPr>
            </w:pPr>
          </w:p>
        </w:tc>
        <w:tc>
          <w:tcPr>
            <w:tcW w:w="1210" w:type="dxa"/>
            <w:noWrap w:val="0"/>
            <w:vAlign w:val="top"/>
          </w:tcPr>
          <w:p w14:paraId="4AAE5CA6">
            <w:pPr>
              <w:snapToGrid w:val="0"/>
              <w:spacing w:line="360" w:lineRule="auto"/>
              <w:jc w:val="center"/>
              <w:rPr>
                <w:rFonts w:hint="eastAsia" w:ascii="宋体" w:hAnsi="宋体" w:cs="宋体"/>
                <w:color w:val="auto"/>
                <w:sz w:val="24"/>
              </w:rPr>
            </w:pPr>
          </w:p>
        </w:tc>
        <w:tc>
          <w:tcPr>
            <w:tcW w:w="737" w:type="dxa"/>
            <w:noWrap w:val="0"/>
            <w:vAlign w:val="top"/>
          </w:tcPr>
          <w:p w14:paraId="1578BDC4">
            <w:pPr>
              <w:snapToGrid w:val="0"/>
              <w:spacing w:line="360" w:lineRule="auto"/>
              <w:jc w:val="center"/>
              <w:rPr>
                <w:rFonts w:hint="eastAsia" w:ascii="宋体" w:hAnsi="宋体" w:cs="宋体"/>
                <w:color w:val="auto"/>
                <w:sz w:val="24"/>
              </w:rPr>
            </w:pPr>
          </w:p>
        </w:tc>
        <w:tc>
          <w:tcPr>
            <w:tcW w:w="735" w:type="dxa"/>
            <w:noWrap w:val="0"/>
            <w:vAlign w:val="top"/>
          </w:tcPr>
          <w:p w14:paraId="73B726B2">
            <w:pPr>
              <w:snapToGrid w:val="0"/>
              <w:spacing w:line="360" w:lineRule="auto"/>
              <w:jc w:val="center"/>
              <w:rPr>
                <w:rFonts w:hint="eastAsia" w:ascii="宋体" w:hAnsi="宋体" w:cs="宋体"/>
                <w:color w:val="auto"/>
                <w:sz w:val="24"/>
              </w:rPr>
            </w:pPr>
          </w:p>
        </w:tc>
        <w:tc>
          <w:tcPr>
            <w:tcW w:w="1285" w:type="dxa"/>
            <w:noWrap w:val="0"/>
            <w:vAlign w:val="center"/>
          </w:tcPr>
          <w:p w14:paraId="723B5F94">
            <w:pPr>
              <w:snapToGrid w:val="0"/>
              <w:spacing w:line="360" w:lineRule="auto"/>
              <w:jc w:val="center"/>
              <w:rPr>
                <w:rFonts w:hint="eastAsia" w:ascii="宋体" w:hAnsi="宋体" w:cs="宋体"/>
                <w:color w:val="auto"/>
                <w:sz w:val="24"/>
              </w:rPr>
            </w:pPr>
          </w:p>
        </w:tc>
        <w:tc>
          <w:tcPr>
            <w:tcW w:w="1500" w:type="dxa"/>
            <w:noWrap w:val="0"/>
            <w:vAlign w:val="center"/>
          </w:tcPr>
          <w:p w14:paraId="0CBFEFE3">
            <w:pPr>
              <w:snapToGrid w:val="0"/>
              <w:spacing w:line="360" w:lineRule="auto"/>
              <w:jc w:val="center"/>
              <w:rPr>
                <w:rFonts w:hint="eastAsia" w:ascii="宋体" w:hAnsi="宋体" w:cs="宋体"/>
                <w:color w:val="auto"/>
                <w:sz w:val="24"/>
              </w:rPr>
            </w:pPr>
          </w:p>
        </w:tc>
      </w:tr>
      <w:tr w14:paraId="6B66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8C86CD2">
            <w:pPr>
              <w:snapToGrid w:val="0"/>
              <w:spacing w:line="360" w:lineRule="auto"/>
              <w:jc w:val="center"/>
              <w:rPr>
                <w:rFonts w:hint="eastAsia" w:ascii="宋体" w:hAnsi="宋体" w:cs="宋体" w:eastAsiaTheme="minorEastAsia"/>
                <w:color w:val="auto"/>
                <w:sz w:val="24"/>
                <w:lang w:eastAsia="zh-CN"/>
              </w:rPr>
            </w:pPr>
            <w:r>
              <w:rPr>
                <w:rFonts w:hint="eastAsia" w:ascii="宋体" w:hAnsi="宋体" w:cs="宋体" w:eastAsiaTheme="minorEastAsia"/>
                <w:color w:val="auto"/>
                <w:sz w:val="24"/>
                <w:lang w:eastAsia="zh-CN"/>
              </w:rPr>
              <w:t>…</w:t>
            </w:r>
          </w:p>
        </w:tc>
        <w:tc>
          <w:tcPr>
            <w:tcW w:w="1233" w:type="dxa"/>
            <w:noWrap w:val="0"/>
            <w:vAlign w:val="center"/>
          </w:tcPr>
          <w:p w14:paraId="7BC23072">
            <w:pPr>
              <w:snapToGrid w:val="0"/>
              <w:spacing w:line="360" w:lineRule="auto"/>
              <w:jc w:val="center"/>
              <w:rPr>
                <w:rFonts w:hint="eastAsia" w:ascii="宋体" w:hAnsi="宋体" w:cs="宋体"/>
                <w:color w:val="auto"/>
                <w:sz w:val="24"/>
              </w:rPr>
            </w:pPr>
          </w:p>
        </w:tc>
        <w:tc>
          <w:tcPr>
            <w:tcW w:w="1059" w:type="dxa"/>
            <w:noWrap w:val="0"/>
            <w:vAlign w:val="center"/>
          </w:tcPr>
          <w:p w14:paraId="24BEB96A">
            <w:pPr>
              <w:snapToGrid w:val="0"/>
              <w:spacing w:line="360" w:lineRule="auto"/>
              <w:jc w:val="center"/>
              <w:rPr>
                <w:rFonts w:hint="eastAsia" w:ascii="宋体" w:hAnsi="宋体" w:cs="宋体"/>
                <w:color w:val="auto"/>
                <w:sz w:val="24"/>
              </w:rPr>
            </w:pPr>
          </w:p>
        </w:tc>
        <w:tc>
          <w:tcPr>
            <w:tcW w:w="1233" w:type="dxa"/>
            <w:noWrap w:val="0"/>
            <w:vAlign w:val="center"/>
          </w:tcPr>
          <w:p w14:paraId="733A9F7E">
            <w:pPr>
              <w:snapToGrid w:val="0"/>
              <w:spacing w:line="360" w:lineRule="auto"/>
              <w:jc w:val="center"/>
              <w:rPr>
                <w:rFonts w:hint="eastAsia" w:ascii="宋体" w:hAnsi="宋体" w:cs="宋体"/>
                <w:color w:val="auto"/>
                <w:sz w:val="24"/>
              </w:rPr>
            </w:pPr>
          </w:p>
        </w:tc>
        <w:tc>
          <w:tcPr>
            <w:tcW w:w="1210" w:type="dxa"/>
            <w:noWrap w:val="0"/>
            <w:vAlign w:val="top"/>
          </w:tcPr>
          <w:p w14:paraId="15A716D9">
            <w:pPr>
              <w:snapToGrid w:val="0"/>
              <w:spacing w:line="360" w:lineRule="auto"/>
              <w:jc w:val="center"/>
              <w:rPr>
                <w:rFonts w:hint="eastAsia" w:ascii="宋体" w:hAnsi="宋体" w:cs="宋体"/>
                <w:color w:val="auto"/>
                <w:sz w:val="24"/>
              </w:rPr>
            </w:pPr>
          </w:p>
        </w:tc>
        <w:tc>
          <w:tcPr>
            <w:tcW w:w="737" w:type="dxa"/>
            <w:noWrap w:val="0"/>
            <w:vAlign w:val="top"/>
          </w:tcPr>
          <w:p w14:paraId="205C304E">
            <w:pPr>
              <w:snapToGrid w:val="0"/>
              <w:spacing w:line="360" w:lineRule="auto"/>
              <w:jc w:val="center"/>
              <w:rPr>
                <w:rFonts w:hint="eastAsia" w:ascii="宋体" w:hAnsi="宋体" w:cs="宋体"/>
                <w:color w:val="auto"/>
                <w:sz w:val="24"/>
              </w:rPr>
            </w:pPr>
          </w:p>
        </w:tc>
        <w:tc>
          <w:tcPr>
            <w:tcW w:w="735" w:type="dxa"/>
            <w:noWrap w:val="0"/>
            <w:vAlign w:val="top"/>
          </w:tcPr>
          <w:p w14:paraId="28CAD5B0">
            <w:pPr>
              <w:snapToGrid w:val="0"/>
              <w:spacing w:line="360" w:lineRule="auto"/>
              <w:jc w:val="center"/>
              <w:rPr>
                <w:rFonts w:hint="eastAsia" w:ascii="宋体" w:hAnsi="宋体" w:cs="宋体"/>
                <w:color w:val="auto"/>
                <w:sz w:val="24"/>
              </w:rPr>
            </w:pPr>
          </w:p>
        </w:tc>
        <w:tc>
          <w:tcPr>
            <w:tcW w:w="1285" w:type="dxa"/>
            <w:noWrap w:val="0"/>
            <w:vAlign w:val="center"/>
          </w:tcPr>
          <w:p w14:paraId="1D669111">
            <w:pPr>
              <w:snapToGrid w:val="0"/>
              <w:spacing w:line="360" w:lineRule="auto"/>
              <w:jc w:val="center"/>
              <w:rPr>
                <w:rFonts w:hint="eastAsia" w:ascii="宋体" w:hAnsi="宋体" w:cs="宋体"/>
                <w:color w:val="auto"/>
                <w:sz w:val="24"/>
              </w:rPr>
            </w:pPr>
          </w:p>
        </w:tc>
        <w:tc>
          <w:tcPr>
            <w:tcW w:w="1500" w:type="dxa"/>
            <w:noWrap w:val="0"/>
            <w:vAlign w:val="center"/>
          </w:tcPr>
          <w:p w14:paraId="1D51FBDC">
            <w:pPr>
              <w:snapToGrid w:val="0"/>
              <w:spacing w:line="360" w:lineRule="auto"/>
              <w:jc w:val="center"/>
              <w:rPr>
                <w:rFonts w:hint="eastAsia" w:ascii="宋体" w:hAnsi="宋体" w:cs="宋体"/>
                <w:color w:val="auto"/>
                <w:sz w:val="24"/>
              </w:rPr>
            </w:pPr>
          </w:p>
        </w:tc>
      </w:tr>
      <w:tr w14:paraId="53FC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noWrap w:val="0"/>
            <w:vAlign w:val="center"/>
          </w:tcPr>
          <w:p w14:paraId="50F27B0B">
            <w:pPr>
              <w:snapToGrid w:val="0"/>
              <w:spacing w:line="360" w:lineRule="auto"/>
              <w:rPr>
                <w:rFonts w:hint="eastAsia" w:ascii="宋体" w:hAnsi="宋体" w:cs="宋体"/>
                <w:color w:val="auto"/>
                <w:sz w:val="24"/>
              </w:rPr>
            </w:pPr>
            <w:r>
              <w:rPr>
                <w:rFonts w:hint="eastAsia" w:ascii="宋体" w:hAnsi="宋体" w:cs="宋体"/>
                <w:color w:val="auto"/>
                <w:sz w:val="24"/>
                <w:lang w:eastAsia="zh-CN"/>
              </w:rPr>
              <w:t>合同总</w:t>
            </w:r>
            <w:r>
              <w:rPr>
                <w:rFonts w:hint="eastAsia" w:ascii="宋体" w:hAnsi="宋体" w:cs="宋体"/>
                <w:color w:val="auto"/>
                <w:sz w:val="24"/>
              </w:rPr>
              <w:t>金额</w:t>
            </w:r>
            <w:r>
              <w:rPr>
                <w:rFonts w:hint="eastAsia" w:ascii="宋体" w:hAnsi="宋体" w:cs="宋体"/>
                <w:color w:val="auto"/>
                <w:sz w:val="24"/>
                <w:lang w:eastAsia="zh-CN"/>
              </w:rPr>
              <w:t>：</w:t>
            </w:r>
            <w:r>
              <w:rPr>
                <w:rFonts w:hint="eastAsia" w:ascii="宋体" w:hAnsi="宋体" w:cs="宋体"/>
                <w:color w:val="auto"/>
                <w:sz w:val="24"/>
              </w:rPr>
              <w:t>（大写）</w:t>
            </w:r>
            <w:r>
              <w:rPr>
                <w:rFonts w:hint="eastAsia" w:ascii="宋体" w:hAnsi="宋体" w:cs="宋体"/>
                <w:color w:val="auto"/>
                <w:sz w:val="24"/>
                <w:u w:val="single"/>
              </w:rPr>
              <w:t>人民币</w:t>
            </w:r>
            <w:r>
              <w:rPr>
                <w:rFonts w:hint="eastAsia" w:ascii="宋体" w:hAnsi="宋体" w:cs="宋体"/>
                <w:color w:val="auto"/>
                <w:sz w:val="24"/>
                <w:u w:val="single"/>
                <w:lang w:val="en-US" w:eastAsia="zh-CN"/>
              </w:rPr>
              <w:t xml:space="preserve">           </w:t>
            </w:r>
            <w:r>
              <w:rPr>
                <w:rFonts w:hint="eastAsia" w:ascii="宋体" w:hAnsi="宋体" w:cs="宋体"/>
                <w:color w:val="auto"/>
                <w:sz w:val="24"/>
              </w:rPr>
              <w:t>（小写）</w:t>
            </w:r>
            <w:r>
              <w:rPr>
                <w:rFonts w:hint="eastAsia" w:ascii="宋体" w:hAnsi="宋体"/>
                <w:color w:val="auto"/>
                <w:sz w:val="24"/>
                <w:szCs w:val="24"/>
                <w:u w:val="none"/>
              </w:rPr>
              <w:t>¥</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rPr>
              <w:t xml:space="preserve"> </w:t>
            </w:r>
            <w:r>
              <w:rPr>
                <w:rFonts w:hint="eastAsia" w:ascii="宋体" w:hAnsi="宋体" w:cs="宋体"/>
                <w:color w:val="auto"/>
                <w:sz w:val="24"/>
              </w:rPr>
              <w:t xml:space="preserve">                 </w:t>
            </w:r>
          </w:p>
        </w:tc>
      </w:tr>
    </w:tbl>
    <w:p w14:paraId="7601160D">
      <w:pPr>
        <w:snapToGrid w:val="0"/>
        <w:spacing w:line="360" w:lineRule="auto"/>
        <w:ind w:right="420" w:firstLine="480" w:firstLineChars="200"/>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.合同</w:t>
      </w:r>
      <w:r>
        <w:rPr>
          <w:rFonts w:hint="eastAsia" w:ascii="宋体" w:hAnsi="宋体" w:cs="宋体"/>
          <w:color w:val="auto"/>
          <w:sz w:val="24"/>
          <w:lang w:eastAsia="zh-CN"/>
        </w:rPr>
        <w:t>总</w:t>
      </w:r>
      <w:r>
        <w:rPr>
          <w:rFonts w:hint="eastAsia" w:ascii="宋体" w:hAnsi="宋体" w:cs="宋体"/>
          <w:color w:val="auto"/>
          <w:sz w:val="24"/>
        </w:rPr>
        <w:t>金额包</w:t>
      </w:r>
      <w:r>
        <w:rPr>
          <w:rFonts w:hint="eastAsia" w:ascii="宋体" w:hAnsi="宋体" w:cs="宋体"/>
          <w:color w:val="auto"/>
          <w:sz w:val="24"/>
          <w:lang w:eastAsia="zh-CN"/>
        </w:rPr>
        <w:t>含</w:t>
      </w:r>
      <w:r>
        <w:rPr>
          <w:rFonts w:hint="eastAsia" w:ascii="宋体" w:hAnsi="宋体" w:cs="宋体"/>
          <w:color w:val="auto"/>
          <w:sz w:val="24"/>
          <w:lang w:val="en-US" w:eastAsia="zh-CN"/>
        </w:rPr>
        <w:t>甲方</w:t>
      </w:r>
      <w:r>
        <w:rPr>
          <w:rFonts w:hint="eastAsia" w:ascii="宋体" w:hAnsi="宋体" w:cs="宋体"/>
          <w:color w:val="auto"/>
          <w:sz w:val="24"/>
          <w:lang w:eastAsia="zh-CN"/>
        </w:rPr>
        <w:t>指定地点的现场交货价，包括：（1）货物的价格：包括货款、安装调试费、验收费（含检定、校准费，如有）；（2）货物的标准附件、备品备件、专用工具的价格。（3）运输、装卸、调试、培训、技术支持、售后服务费。</w:t>
      </w:r>
      <w:r>
        <w:rPr>
          <w:rFonts w:hint="eastAsia" w:ascii="宋体" w:hAnsi="宋体" w:cs="宋体"/>
          <w:color w:val="auto"/>
          <w:sz w:val="24"/>
        </w:rPr>
        <w:t>竞争性谈判文件另有约定的，从其约定。</w:t>
      </w:r>
    </w:p>
    <w:p w14:paraId="6CC85A96">
      <w:pPr>
        <w:snapToGrid w:val="0"/>
        <w:spacing w:line="360" w:lineRule="auto"/>
        <w:ind w:firstLine="480" w:firstLineChars="200"/>
        <w:rPr>
          <w:rFonts w:hint="eastAsia" w:ascii="宋体" w:hAnsi="宋体" w:cs="宋体"/>
          <w:color w:val="auto"/>
          <w:sz w:val="24"/>
        </w:rPr>
      </w:pPr>
      <w:r>
        <w:rPr>
          <w:rFonts w:hint="eastAsia" w:ascii="宋体" w:hAnsi="宋体" w:cs="宋体"/>
          <w:b/>
          <w:color w:val="auto"/>
          <w:sz w:val="24"/>
        </w:rPr>
        <w:t>第二条　质量要求</w:t>
      </w:r>
    </w:p>
    <w:p w14:paraId="2C18141F">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1.乙方所提供的产品名称、商标品牌、</w:t>
      </w:r>
      <w:r>
        <w:rPr>
          <w:rFonts w:hint="eastAsia" w:ascii="宋体" w:hAnsi="宋体" w:cs="宋体"/>
          <w:color w:val="auto"/>
          <w:sz w:val="24"/>
          <w:lang w:val="en-US" w:eastAsia="zh-CN"/>
        </w:rPr>
        <w:t>制造商</w:t>
      </w:r>
      <w:r>
        <w:rPr>
          <w:rFonts w:hint="eastAsia" w:ascii="宋体" w:hAnsi="宋体" w:cs="宋体"/>
          <w:color w:val="auto"/>
          <w:sz w:val="24"/>
        </w:rPr>
        <w:t>、规格型号、技术参数等质量必须与竞争性谈判文件规定及响应文件承诺相一致。乙方提供的节能和环保产品必须是列入政府采购品目清单的产品。</w:t>
      </w:r>
    </w:p>
    <w:p w14:paraId="5B2499C4">
      <w:pPr>
        <w:snapToGrid w:val="0"/>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2.乙方所提供的货物必须是全新、未使用的原装产品，且在正常安装、使用和保养条件下，其使用寿命期内各项指标均达到竞争性谈判文件规定或者响应文件承诺的质量要求。</w:t>
      </w:r>
    </w:p>
    <w:p w14:paraId="4C52FD97">
      <w:pPr>
        <w:snapToGrid w:val="0"/>
        <w:spacing w:line="360" w:lineRule="auto"/>
        <w:ind w:firstLine="480" w:firstLineChars="200"/>
        <w:rPr>
          <w:rFonts w:hint="eastAsia" w:ascii="宋体" w:hAnsi="宋体" w:cs="宋体"/>
          <w:color w:val="auto"/>
          <w:sz w:val="24"/>
        </w:rPr>
      </w:pPr>
      <w:r>
        <w:rPr>
          <w:rFonts w:hint="eastAsia" w:ascii="宋体" w:hAnsi="宋体" w:cs="宋体"/>
          <w:b/>
          <w:color w:val="auto"/>
          <w:sz w:val="24"/>
        </w:rPr>
        <w:t>第三条　权利保证</w:t>
      </w:r>
    </w:p>
    <w:p w14:paraId="61B47F9B">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1.乙方应保证所提供货物在使用时不会侵犯任何第三方的专利权、商标权、工业设计权或者</w:t>
      </w:r>
      <w:r>
        <w:rPr>
          <w:rFonts w:hint="eastAsia" w:ascii="宋体" w:hAnsi="宋体" w:cs="宋体"/>
          <w:color w:val="auto"/>
          <w:sz w:val="24"/>
          <w:lang w:eastAsia="zh-CN"/>
        </w:rPr>
        <w:t>其他</w:t>
      </w:r>
      <w:r>
        <w:rPr>
          <w:rFonts w:hint="eastAsia" w:ascii="宋体" w:hAnsi="宋体" w:cs="宋体"/>
          <w:color w:val="auto"/>
          <w:sz w:val="24"/>
        </w:rPr>
        <w:t>权利。</w:t>
      </w:r>
    </w:p>
    <w:p w14:paraId="30C4F385">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2.乙方应按竞争性谈判文件规定或者响应文件承诺的时间向甲方提供使用货物的有关技术资料。</w:t>
      </w:r>
    </w:p>
    <w:p w14:paraId="5960138A">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3.没有甲方事先书面同意，乙方不得将由甲方提供的有关合同或者任何合同条文、规格、计划、图纸、样品或者资料提供给</w:t>
      </w:r>
      <w:r>
        <w:rPr>
          <w:rFonts w:hint="eastAsia" w:ascii="宋体" w:hAnsi="宋体" w:cs="宋体"/>
          <w:color w:val="auto"/>
          <w:sz w:val="24"/>
          <w:lang w:val="en-US" w:eastAsia="zh-CN"/>
        </w:rPr>
        <w:t>予</w:t>
      </w:r>
      <w:r>
        <w:rPr>
          <w:rFonts w:hint="eastAsia" w:ascii="宋体" w:hAnsi="宋体" w:cs="宋体"/>
          <w:color w:val="auto"/>
          <w:sz w:val="24"/>
        </w:rPr>
        <w:t>履行本合同无关的任何</w:t>
      </w:r>
      <w:r>
        <w:rPr>
          <w:rFonts w:hint="eastAsia" w:ascii="宋体" w:hAnsi="宋体" w:cs="宋体"/>
          <w:color w:val="auto"/>
          <w:sz w:val="24"/>
          <w:lang w:eastAsia="zh-CN"/>
        </w:rPr>
        <w:t>其他</w:t>
      </w:r>
      <w:r>
        <w:rPr>
          <w:rFonts w:hint="eastAsia" w:ascii="宋体" w:hAnsi="宋体" w:cs="宋体"/>
          <w:color w:val="auto"/>
          <w:sz w:val="24"/>
        </w:rPr>
        <w:t>人。即使向履行本合同有关的人员提供，也应注意保密并限于履行合同的必需范围。</w:t>
      </w:r>
    </w:p>
    <w:p w14:paraId="37DBDCCA">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4.乙方保证将要交付的货物的所有权完全属于乙方且无任何抵押、质押、查封等产权瑕疵。</w:t>
      </w:r>
    </w:p>
    <w:p w14:paraId="7BE0A8F8">
      <w:pPr>
        <w:snapToGrid w:val="0"/>
        <w:spacing w:line="360" w:lineRule="auto"/>
        <w:ind w:firstLine="480" w:firstLineChars="200"/>
        <w:rPr>
          <w:rFonts w:hint="eastAsia" w:ascii="宋体" w:hAnsi="宋体" w:cs="宋体"/>
          <w:b/>
          <w:color w:val="auto"/>
          <w:sz w:val="24"/>
        </w:rPr>
      </w:pPr>
      <w:r>
        <w:rPr>
          <w:rFonts w:hint="eastAsia" w:ascii="宋体" w:hAnsi="宋体" w:cs="宋体"/>
          <w:b/>
          <w:color w:val="auto"/>
          <w:sz w:val="24"/>
        </w:rPr>
        <w:t>第四条　包装和运输</w:t>
      </w:r>
    </w:p>
    <w:p w14:paraId="49FCC839">
      <w:pPr>
        <w:keepNext w:val="0"/>
        <w:keepLines w:val="0"/>
        <w:widowControl/>
        <w:suppressLineNumbers w:val="0"/>
        <w:jc w:val="left"/>
        <w:rPr>
          <w:color w:val="auto"/>
        </w:rPr>
      </w:pPr>
      <w:r>
        <w:rPr>
          <w:rFonts w:hint="eastAsia" w:ascii="宋体" w:hAnsi="宋体" w:cs="宋体"/>
          <w:color w:val="auto"/>
          <w:sz w:val="24"/>
        </w:rPr>
        <w:t>1.乙方提供的货物均应按竞争性谈判文件规定或者响应文件承诺的要求的包装材料、包装标准、包装方式进行包装，每一包装单元内应附详细的装箱单和质量合格证。</w:t>
      </w:r>
    </w:p>
    <w:p w14:paraId="5839AAB9">
      <w:pPr>
        <w:snapToGrid w:val="0"/>
        <w:spacing w:line="360" w:lineRule="auto"/>
        <w:ind w:firstLine="480" w:firstLineChars="200"/>
        <w:rPr>
          <w:rFonts w:hint="eastAsia" w:ascii="宋体" w:hAnsi="宋体" w:cs="宋体"/>
          <w:color w:val="auto"/>
          <w:sz w:val="24"/>
        </w:rPr>
      </w:pPr>
    </w:p>
    <w:p w14:paraId="03E89C4C">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2.货物的运输方式：</w:t>
      </w:r>
      <w:r>
        <w:rPr>
          <w:rFonts w:hint="eastAsia" w:ascii="宋体" w:hAnsi="宋体" w:cs="宋体"/>
          <w:color w:val="auto"/>
          <w:sz w:val="24"/>
          <w:u w:val="single"/>
        </w:rPr>
        <w:t xml:space="preserve">             </w:t>
      </w:r>
      <w:r>
        <w:rPr>
          <w:rFonts w:hint="eastAsia" w:ascii="宋体" w:hAnsi="宋体" w:cs="宋体"/>
          <w:color w:val="auto"/>
          <w:sz w:val="24"/>
        </w:rPr>
        <w:t>。</w:t>
      </w:r>
    </w:p>
    <w:p w14:paraId="33D6DDE5">
      <w:pPr>
        <w:snapToGrid w:val="0"/>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3.乙方负责货物运输，货物运输合理损耗及计算方法：</w:t>
      </w:r>
      <w:r>
        <w:rPr>
          <w:rFonts w:hint="eastAsia" w:ascii="宋体" w:hAnsi="宋体" w:cs="宋体"/>
          <w:color w:val="auto"/>
          <w:sz w:val="24"/>
          <w:u w:val="single"/>
        </w:rPr>
        <w:t xml:space="preserve">                 </w:t>
      </w:r>
      <w:r>
        <w:rPr>
          <w:rFonts w:hint="eastAsia" w:ascii="宋体" w:hAnsi="宋体" w:cs="宋体"/>
          <w:color w:val="auto"/>
          <w:sz w:val="24"/>
        </w:rPr>
        <w:t>。</w:t>
      </w:r>
    </w:p>
    <w:p w14:paraId="70F8422A">
      <w:pPr>
        <w:snapToGrid w:val="0"/>
        <w:spacing w:line="360" w:lineRule="auto"/>
        <w:ind w:firstLine="480" w:firstLineChars="200"/>
        <w:rPr>
          <w:rFonts w:hint="eastAsia" w:ascii="宋体" w:hAnsi="宋体" w:cs="宋体"/>
          <w:color w:val="auto"/>
          <w:sz w:val="24"/>
        </w:rPr>
      </w:pPr>
      <w:r>
        <w:rPr>
          <w:rFonts w:hint="eastAsia" w:ascii="宋体" w:hAnsi="宋体" w:cs="宋体"/>
          <w:b/>
          <w:color w:val="auto"/>
          <w:sz w:val="24"/>
        </w:rPr>
        <w:t>第五条　交付和验收</w:t>
      </w:r>
    </w:p>
    <w:p w14:paraId="68F0BF2F">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1.交付时间：</w:t>
      </w:r>
      <w:r>
        <w:rPr>
          <w:rFonts w:hint="eastAsia" w:ascii="宋体" w:hAnsi="宋体" w:cs="宋体"/>
          <w:color w:val="auto"/>
          <w:sz w:val="24"/>
          <w:u w:val="single"/>
        </w:rPr>
        <w:t xml:space="preserve">                 </w:t>
      </w:r>
      <w:r>
        <w:rPr>
          <w:rFonts w:hint="eastAsia" w:ascii="宋体" w:hAnsi="宋体" w:cs="宋体"/>
          <w:color w:val="auto"/>
          <w:sz w:val="24"/>
        </w:rPr>
        <w:t>；交付地点：</w:t>
      </w:r>
      <w:r>
        <w:rPr>
          <w:rFonts w:hint="eastAsia" w:ascii="宋体" w:hAnsi="宋体" w:cs="宋体"/>
          <w:color w:val="auto"/>
          <w:sz w:val="24"/>
          <w:u w:val="single"/>
        </w:rPr>
        <w:t xml:space="preserve">                          </w:t>
      </w:r>
      <w:r>
        <w:rPr>
          <w:rFonts w:hint="eastAsia" w:ascii="宋体" w:hAnsi="宋体" w:cs="宋体"/>
          <w:color w:val="auto"/>
          <w:sz w:val="24"/>
        </w:rPr>
        <w:t>。</w:t>
      </w:r>
    </w:p>
    <w:p w14:paraId="0585694C">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2.乙方提供不符合竞争性谈判文件规定或者响应文件承诺的和本合同规定的货物，甲方有权拒绝接受。</w:t>
      </w:r>
    </w:p>
    <w:p w14:paraId="2AEDDF26">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F6FD2C2">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4.甲方应当在到货（安装、调试完）后</w:t>
      </w:r>
      <w:r>
        <w:rPr>
          <w:rFonts w:hint="eastAsia" w:ascii="宋体" w:hAnsi="宋体" w:cs="宋体"/>
          <w:color w:val="auto"/>
          <w:sz w:val="24"/>
          <w:lang w:val="en-US" w:eastAsia="zh-CN"/>
        </w:rPr>
        <w:t>七</w:t>
      </w:r>
      <w:r>
        <w:rPr>
          <w:rFonts w:hint="eastAsia" w:ascii="宋体" w:hAnsi="宋体" w:cs="宋体"/>
          <w:color w:val="auto"/>
          <w:sz w:val="24"/>
        </w:rPr>
        <w:t>个工作日内进行验收。验收合格后由甲乙双方签署货物验收单并加盖甲方公章，甲乙双方各执一份。</w:t>
      </w:r>
    </w:p>
    <w:p w14:paraId="12E3512C">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3835F098">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6.甲方对验收有异议的，在验收后五个工作日内以书面形式向乙方提出，乙方应自收到甲方书面异议后</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日内及时予以解决。</w:t>
      </w:r>
    </w:p>
    <w:p w14:paraId="2ED48596">
      <w:pPr>
        <w:snapToGrid w:val="0"/>
        <w:spacing w:line="360" w:lineRule="auto"/>
        <w:ind w:firstLine="480" w:firstLineChars="200"/>
        <w:rPr>
          <w:rFonts w:hint="eastAsia" w:ascii="宋体" w:hAnsi="宋体" w:cs="宋体"/>
          <w:b/>
          <w:color w:val="auto"/>
          <w:sz w:val="24"/>
        </w:rPr>
      </w:pPr>
      <w:r>
        <w:rPr>
          <w:rFonts w:hint="eastAsia" w:ascii="宋体" w:hAnsi="宋体" w:cs="宋体"/>
          <w:b/>
          <w:color w:val="auto"/>
          <w:sz w:val="24"/>
        </w:rPr>
        <w:t>第六条　安装和培训</w:t>
      </w:r>
    </w:p>
    <w:p w14:paraId="64DEA3B5">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1.甲方应提供必要安装条件（如场地、电源、水源等）。</w:t>
      </w:r>
    </w:p>
    <w:p w14:paraId="58D1FA16">
      <w:pPr>
        <w:snapToGrid w:val="0"/>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2.乙方响应文件承诺负责甲方有关人员的培训。培训时间、地点：</w:t>
      </w:r>
      <w:r>
        <w:rPr>
          <w:rFonts w:hint="eastAsia" w:ascii="宋体" w:hAnsi="宋体" w:cs="宋体"/>
          <w:color w:val="auto"/>
          <w:sz w:val="24"/>
          <w:u w:val="single"/>
        </w:rPr>
        <w:t xml:space="preserve">                   </w:t>
      </w:r>
      <w:r>
        <w:rPr>
          <w:rFonts w:hint="eastAsia" w:ascii="宋体" w:hAnsi="宋体" w:cs="宋体"/>
          <w:color w:val="auto"/>
          <w:sz w:val="24"/>
        </w:rPr>
        <w:t>。</w:t>
      </w:r>
    </w:p>
    <w:p w14:paraId="0D1990F2">
      <w:pPr>
        <w:snapToGrid w:val="0"/>
        <w:spacing w:line="360" w:lineRule="auto"/>
        <w:ind w:firstLine="480" w:firstLineChars="200"/>
        <w:rPr>
          <w:rFonts w:hint="eastAsia" w:ascii="宋体" w:hAnsi="宋体" w:cs="宋体"/>
          <w:b/>
          <w:color w:val="auto"/>
          <w:sz w:val="24"/>
        </w:rPr>
      </w:pPr>
      <w:r>
        <w:rPr>
          <w:rFonts w:hint="eastAsia" w:ascii="宋体" w:hAnsi="宋体" w:cs="宋体"/>
          <w:b/>
          <w:color w:val="auto"/>
          <w:sz w:val="24"/>
        </w:rPr>
        <w:t>第七条  售后服务、质保期</w:t>
      </w:r>
    </w:p>
    <w:p w14:paraId="58BE0561">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1.乙方应按照国家有关法律法规和“三包”规定以及本合同所附</w:t>
      </w:r>
      <w:r>
        <w:rPr>
          <w:rFonts w:hint="eastAsia" w:ascii="宋体" w:hAnsi="宋体" w:cs="宋体"/>
          <w:color w:val="auto"/>
          <w:sz w:val="24"/>
          <w:highlight w:val="none"/>
        </w:rPr>
        <w:t>的《服务承诺》</w:t>
      </w:r>
      <w:r>
        <w:rPr>
          <w:rFonts w:hint="eastAsia" w:ascii="宋体" w:hAnsi="宋体" w:cs="宋体"/>
          <w:color w:val="auto"/>
          <w:sz w:val="24"/>
        </w:rPr>
        <w:t>，为甲方提供售后服务。</w:t>
      </w:r>
    </w:p>
    <w:p w14:paraId="7A855180">
      <w:pPr>
        <w:snapToGrid w:val="0"/>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2.货物质保期：</w:t>
      </w:r>
      <w:r>
        <w:rPr>
          <w:rFonts w:hint="eastAsia" w:ascii="宋体" w:hAnsi="宋体" w:cs="宋体"/>
          <w:color w:val="auto"/>
          <w:sz w:val="24"/>
          <w:u w:val="single"/>
        </w:rPr>
        <w:t xml:space="preserve">                                          </w:t>
      </w:r>
      <w:r>
        <w:rPr>
          <w:rFonts w:hint="eastAsia" w:ascii="宋体" w:hAnsi="宋体" w:cs="宋体"/>
          <w:color w:val="auto"/>
          <w:sz w:val="24"/>
        </w:rPr>
        <w:t>。</w:t>
      </w:r>
    </w:p>
    <w:p w14:paraId="68457209">
      <w:pPr>
        <w:snapToGrid w:val="0"/>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3.乙方提供的服务承诺和售后服务及保修期责任等</w:t>
      </w:r>
      <w:r>
        <w:rPr>
          <w:rFonts w:hint="eastAsia" w:ascii="宋体" w:hAnsi="宋体" w:cs="宋体"/>
          <w:color w:val="auto"/>
          <w:sz w:val="24"/>
          <w:lang w:eastAsia="zh-CN"/>
        </w:rPr>
        <w:t>其他</w:t>
      </w:r>
      <w:r>
        <w:rPr>
          <w:rFonts w:hint="eastAsia" w:ascii="宋体" w:hAnsi="宋体" w:cs="宋体"/>
          <w:color w:val="auto"/>
          <w:sz w:val="24"/>
        </w:rPr>
        <w:t>具体约定事项。（见合同附件）</w:t>
      </w:r>
    </w:p>
    <w:p w14:paraId="4AE00204">
      <w:pPr>
        <w:snapToGrid w:val="0"/>
        <w:spacing w:line="360" w:lineRule="auto"/>
        <w:ind w:firstLine="480" w:firstLineChars="200"/>
        <w:rPr>
          <w:rFonts w:hint="eastAsia" w:ascii="宋体" w:hAnsi="宋体" w:cs="宋体"/>
          <w:color w:val="auto"/>
          <w:sz w:val="24"/>
        </w:rPr>
      </w:pPr>
      <w:r>
        <w:rPr>
          <w:rFonts w:hint="eastAsia" w:ascii="宋体" w:hAnsi="宋体" w:cs="宋体"/>
          <w:b/>
          <w:color w:val="auto"/>
          <w:sz w:val="24"/>
        </w:rPr>
        <w:t>第八条　付款方式</w:t>
      </w:r>
    </w:p>
    <w:p w14:paraId="7709A274">
      <w:pPr>
        <w:pStyle w:val="24"/>
        <w:snapToGrid w:val="0"/>
        <w:spacing w:line="360" w:lineRule="auto"/>
        <w:ind w:firstLine="480" w:firstLineChars="200"/>
        <w:rPr>
          <w:rFonts w:hint="eastAsia" w:hAnsi="宋体" w:cs="宋体"/>
          <w:color w:val="auto"/>
          <w:sz w:val="24"/>
          <w:szCs w:val="24"/>
        </w:rPr>
      </w:pPr>
      <w:r>
        <w:rPr>
          <w:rFonts w:hint="eastAsia" w:hAnsi="宋体" w:cs="宋体"/>
          <w:bCs/>
          <w:color w:val="auto"/>
          <w:sz w:val="24"/>
          <w:szCs w:val="24"/>
        </w:rPr>
        <w:t>1</w:t>
      </w:r>
      <w:r>
        <w:rPr>
          <w:rFonts w:hint="eastAsia" w:hAnsi="宋体" w:cs="宋体"/>
          <w:color w:val="auto"/>
          <w:sz w:val="24"/>
          <w:szCs w:val="24"/>
        </w:rPr>
        <w:t>.当采购数量与实际使用数量不一致时，乙方应根据实际使用量供货，合同的最终结算金额按实际使用量乘以成交单价进行计算，但不得超出合同价的10%。</w:t>
      </w:r>
    </w:p>
    <w:p w14:paraId="24D014ED">
      <w:pPr>
        <w:pStyle w:val="24"/>
        <w:snapToGrid w:val="0"/>
        <w:spacing w:line="360" w:lineRule="auto"/>
        <w:ind w:firstLine="480" w:firstLineChars="200"/>
        <w:rPr>
          <w:rFonts w:hint="eastAsia" w:hAnsi="宋体" w:eastAsia="宋体" w:cs="宋体"/>
          <w:color w:val="auto"/>
          <w:sz w:val="24"/>
          <w:szCs w:val="24"/>
          <w:lang w:eastAsia="zh-CN"/>
        </w:rPr>
      </w:pPr>
      <w:r>
        <w:rPr>
          <w:rFonts w:hint="eastAsia" w:hAnsi="宋体" w:cs="宋体"/>
          <w:bCs/>
          <w:color w:val="auto"/>
          <w:sz w:val="24"/>
          <w:szCs w:val="24"/>
        </w:rPr>
        <w:t>2.</w:t>
      </w:r>
      <w:r>
        <w:rPr>
          <w:rFonts w:hint="eastAsia" w:hAnsi="宋体" w:cs="宋体"/>
          <w:color w:val="auto"/>
          <w:sz w:val="24"/>
          <w:szCs w:val="24"/>
        </w:rPr>
        <w:t>付款方式：</w:t>
      </w:r>
      <w:r>
        <w:rPr>
          <w:rFonts w:hint="eastAsia" w:hAnsi="宋体" w:cs="宋体"/>
          <w:color w:val="auto"/>
          <w:sz w:val="24"/>
          <w:szCs w:val="24"/>
          <w:lang w:val="en-US"/>
        </w:rPr>
        <w:t>无预付款。货物到货安装完成并通过</w:t>
      </w:r>
      <w:r>
        <w:rPr>
          <w:rFonts w:hint="eastAsia" w:ascii="宋体" w:hAnsi="宋体" w:cs="宋体"/>
          <w:color w:val="auto"/>
          <w:sz w:val="24"/>
          <w:lang w:val="en-US" w:eastAsia="zh-CN"/>
        </w:rPr>
        <w:t>甲方</w:t>
      </w:r>
      <w:r>
        <w:rPr>
          <w:rFonts w:hint="eastAsia" w:hAnsi="宋体" w:cs="宋体"/>
          <w:color w:val="auto"/>
          <w:sz w:val="24"/>
          <w:szCs w:val="24"/>
          <w:lang w:val="en-US"/>
        </w:rPr>
        <w:t>整体验收合格，</w:t>
      </w:r>
      <w:r>
        <w:rPr>
          <w:rFonts w:hint="eastAsia" w:hAnsi="宋体" w:cs="宋体"/>
          <w:color w:val="auto"/>
          <w:sz w:val="24"/>
          <w:szCs w:val="24"/>
          <w:lang w:val="en-US" w:eastAsia="zh-CN"/>
        </w:rPr>
        <w:t>乙方</w:t>
      </w:r>
      <w:r>
        <w:rPr>
          <w:rFonts w:hint="eastAsia" w:hAnsi="宋体" w:cs="宋体"/>
          <w:color w:val="auto"/>
          <w:sz w:val="24"/>
          <w:szCs w:val="24"/>
          <w:lang w:val="en-US"/>
        </w:rPr>
        <w:t>提供完整结算资料及有效发票，</w:t>
      </w:r>
      <w:r>
        <w:rPr>
          <w:rFonts w:hint="eastAsia" w:ascii="宋体" w:hAnsi="宋体" w:cs="宋体"/>
          <w:color w:val="auto"/>
          <w:sz w:val="24"/>
          <w:lang w:val="en-US" w:eastAsia="zh-CN"/>
        </w:rPr>
        <w:t>甲方</w:t>
      </w:r>
      <w:r>
        <w:rPr>
          <w:rFonts w:hint="eastAsia" w:hAnsi="宋体" w:cs="宋体"/>
          <w:color w:val="auto"/>
          <w:sz w:val="24"/>
          <w:szCs w:val="24"/>
          <w:lang w:val="en-US"/>
        </w:rPr>
        <w:t>一次性付清全部货款。</w:t>
      </w:r>
    </w:p>
    <w:p w14:paraId="1EE70523">
      <w:pPr>
        <w:snapToGrid w:val="0"/>
        <w:spacing w:line="360" w:lineRule="auto"/>
        <w:ind w:left="-61" w:leftChars="-29" w:firstLine="588" w:firstLineChars="245"/>
        <w:rPr>
          <w:rFonts w:hint="eastAsia" w:ascii="宋体" w:hAnsi="宋体" w:cs="宋体"/>
          <w:b/>
          <w:color w:val="auto"/>
          <w:sz w:val="24"/>
        </w:rPr>
      </w:pPr>
      <w:r>
        <w:rPr>
          <w:rFonts w:hint="eastAsia" w:ascii="宋体" w:hAnsi="宋体" w:cs="宋体"/>
          <w:b/>
          <w:color w:val="auto"/>
          <w:sz w:val="24"/>
        </w:rPr>
        <w:t>第九条　履约保证金</w:t>
      </w:r>
    </w:p>
    <w:p w14:paraId="0B61402B">
      <w:pPr>
        <w:spacing w:line="36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本项目不需要缴</w:t>
      </w:r>
      <w:r>
        <w:rPr>
          <w:rFonts w:hint="eastAsia" w:ascii="宋体" w:hAnsi="宋体" w:eastAsia="宋体" w:cs="宋体"/>
          <w:b/>
          <w:bCs/>
          <w:color w:val="auto"/>
          <w:kern w:val="0"/>
          <w:sz w:val="24"/>
          <w:szCs w:val="24"/>
          <w:highlight w:val="none"/>
        </w:rPr>
        <w:t>纳</w:t>
      </w:r>
      <w:r>
        <w:rPr>
          <w:rFonts w:hint="eastAsia" w:ascii="宋体" w:hAnsi="宋体" w:eastAsia="宋体" w:cs="宋体"/>
          <w:b/>
          <w:bCs/>
          <w:color w:val="auto"/>
          <w:sz w:val="24"/>
          <w:szCs w:val="24"/>
          <w:highlight w:val="none"/>
        </w:rPr>
        <w:t>履约</w:t>
      </w:r>
      <w:r>
        <w:rPr>
          <w:rFonts w:hint="eastAsia" w:ascii="宋体" w:hAnsi="宋体" w:eastAsia="宋体" w:cs="宋体"/>
          <w:b/>
          <w:bCs/>
          <w:color w:val="auto"/>
          <w:sz w:val="24"/>
          <w:szCs w:val="24"/>
          <w:highlight w:val="none"/>
          <w:lang w:eastAsia="zh-CN"/>
        </w:rPr>
        <w:t>保证金。</w:t>
      </w:r>
    </w:p>
    <w:p w14:paraId="35C1CE07">
      <w:pPr>
        <w:snapToGrid w:val="0"/>
        <w:spacing w:line="360" w:lineRule="auto"/>
        <w:ind w:left="-61" w:firstLine="514"/>
        <w:rPr>
          <w:rFonts w:hint="eastAsia" w:ascii="宋体" w:hAnsi="宋体" w:cs="宋体"/>
          <w:b/>
          <w:color w:val="auto"/>
          <w:sz w:val="24"/>
        </w:rPr>
      </w:pPr>
      <w:r>
        <w:rPr>
          <w:rFonts w:hint="eastAsia" w:ascii="宋体" w:hAnsi="宋体" w:cs="宋体"/>
          <w:b/>
          <w:color w:val="auto"/>
          <w:sz w:val="24"/>
        </w:rPr>
        <w:t>第十条  税费</w:t>
      </w:r>
    </w:p>
    <w:p w14:paraId="56919068">
      <w:pPr>
        <w:snapToGrid w:val="0"/>
        <w:spacing w:line="360" w:lineRule="auto"/>
        <w:ind w:left="-61" w:firstLine="514"/>
        <w:rPr>
          <w:rFonts w:hint="eastAsia" w:ascii="宋体" w:hAnsi="宋体" w:cs="宋体"/>
          <w:color w:val="auto"/>
          <w:sz w:val="24"/>
        </w:rPr>
      </w:pPr>
      <w:r>
        <w:rPr>
          <w:rFonts w:hint="eastAsia" w:ascii="宋体" w:hAnsi="宋体" w:cs="宋体"/>
          <w:color w:val="auto"/>
          <w:sz w:val="24"/>
        </w:rPr>
        <w:t>本合同执行中相关的一切税费均由乙方负担，合同另有约定的除外。</w:t>
      </w:r>
    </w:p>
    <w:p w14:paraId="0C9D56F5">
      <w:pPr>
        <w:snapToGrid w:val="0"/>
        <w:spacing w:line="360" w:lineRule="auto"/>
        <w:ind w:left="-61" w:firstLine="514"/>
        <w:rPr>
          <w:rFonts w:hint="eastAsia" w:ascii="宋体" w:hAnsi="宋体" w:cs="宋体"/>
          <w:color w:val="auto"/>
          <w:sz w:val="24"/>
        </w:rPr>
      </w:pPr>
      <w:r>
        <w:rPr>
          <w:rFonts w:hint="eastAsia" w:ascii="宋体" w:hAnsi="宋体" w:cs="宋体"/>
          <w:b/>
          <w:color w:val="auto"/>
          <w:sz w:val="24"/>
        </w:rPr>
        <w:t>第十一条  质量保证及售后服务</w:t>
      </w:r>
    </w:p>
    <w:p w14:paraId="0C2F5F45">
      <w:pPr>
        <w:pStyle w:val="24"/>
        <w:snapToGrid w:val="0"/>
        <w:spacing w:line="360" w:lineRule="auto"/>
        <w:ind w:firstLine="480" w:firstLineChars="200"/>
        <w:rPr>
          <w:rFonts w:hint="eastAsia" w:hAnsi="宋体" w:cs="宋体"/>
          <w:color w:val="auto"/>
          <w:sz w:val="24"/>
          <w:szCs w:val="24"/>
        </w:rPr>
      </w:pPr>
      <w:r>
        <w:rPr>
          <w:rFonts w:hint="eastAsia" w:hAnsi="宋体" w:cs="宋体"/>
          <w:bCs/>
          <w:color w:val="auto"/>
          <w:sz w:val="24"/>
          <w:szCs w:val="24"/>
        </w:rPr>
        <w:t>1.</w:t>
      </w:r>
      <w:r>
        <w:rPr>
          <w:rFonts w:hint="eastAsia" w:hAnsi="宋体" w:cs="宋体"/>
          <w:color w:val="auto"/>
          <w:sz w:val="24"/>
          <w:szCs w:val="24"/>
        </w:rPr>
        <w:t>乙方应按</w:t>
      </w:r>
      <w:r>
        <w:rPr>
          <w:rFonts w:hint="eastAsia" w:hAnsi="宋体" w:cs="宋体"/>
          <w:color w:val="auto"/>
          <w:sz w:val="24"/>
          <w:szCs w:val="24"/>
          <w:lang w:eastAsia="zh-CN"/>
        </w:rPr>
        <w:t>响应文件承诺</w:t>
      </w:r>
      <w:r>
        <w:rPr>
          <w:rFonts w:hint="eastAsia" w:hAnsi="宋体" w:cs="宋体"/>
          <w:color w:val="auto"/>
          <w:sz w:val="24"/>
          <w:szCs w:val="24"/>
        </w:rPr>
        <w:t>的产品名称、商标品牌、</w:t>
      </w:r>
      <w:r>
        <w:rPr>
          <w:rFonts w:hint="eastAsia" w:hAnsi="宋体" w:cs="宋体"/>
          <w:color w:val="auto"/>
          <w:sz w:val="24"/>
          <w:szCs w:val="24"/>
          <w:lang w:val="en-US" w:eastAsia="zh-CN"/>
        </w:rPr>
        <w:t>制造商</w:t>
      </w:r>
      <w:r>
        <w:rPr>
          <w:rFonts w:hint="eastAsia" w:hAnsi="宋体" w:cs="宋体"/>
          <w:color w:val="auto"/>
          <w:sz w:val="24"/>
          <w:szCs w:val="24"/>
        </w:rPr>
        <w:t>、规格型号、技术参数、质量标准向甲方提供未经使用的全新产品。不符合要求的，根据实际情况，经双方协商，可按以下办法处理：</w:t>
      </w:r>
    </w:p>
    <w:p w14:paraId="6F7800D2">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⑴更换：由乙方承担所发生的全部费用。</w:t>
      </w:r>
    </w:p>
    <w:p w14:paraId="00B37605">
      <w:pPr>
        <w:pStyle w:val="24"/>
        <w:snapToGrid w:val="0"/>
        <w:spacing w:line="360" w:lineRule="auto"/>
        <w:ind w:firstLine="420"/>
        <w:rPr>
          <w:rFonts w:hint="eastAsia" w:hAnsi="宋体" w:cs="宋体"/>
          <w:color w:val="auto"/>
          <w:sz w:val="24"/>
          <w:szCs w:val="24"/>
        </w:rPr>
      </w:pPr>
      <w:r>
        <w:rPr>
          <w:rFonts w:hint="eastAsia" w:hAnsi="宋体" w:cs="宋体"/>
          <w:color w:val="auto"/>
          <w:sz w:val="24"/>
          <w:szCs w:val="24"/>
        </w:rPr>
        <w:t>⑵贬值处理：由甲乙双方合议定价。</w:t>
      </w:r>
    </w:p>
    <w:p w14:paraId="408BAA4B">
      <w:pPr>
        <w:pStyle w:val="24"/>
        <w:snapToGrid w:val="0"/>
        <w:spacing w:line="360" w:lineRule="auto"/>
        <w:ind w:firstLine="420"/>
        <w:rPr>
          <w:rFonts w:hint="eastAsia" w:hAnsi="宋体" w:cs="宋体"/>
          <w:color w:val="auto"/>
          <w:sz w:val="24"/>
          <w:szCs w:val="24"/>
        </w:rPr>
      </w:pPr>
      <w:r>
        <w:rPr>
          <w:rFonts w:hint="eastAsia" w:hAnsi="宋体" w:cs="宋体"/>
          <w:color w:val="auto"/>
          <w:sz w:val="24"/>
          <w:szCs w:val="24"/>
        </w:rPr>
        <w:t>⑶退货处理：乙方应退还甲方支付的合同款，同时应承担该货物的直接费用（运输、保险、检验、货款利息及银行手续费等）。</w:t>
      </w:r>
    </w:p>
    <w:p w14:paraId="2162517A">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2.如在使用过程中发生质量问题，乙方在接到甲方通知后到达甲方现场处理的时间</w:t>
      </w:r>
      <w:r>
        <w:rPr>
          <w:rFonts w:hint="eastAsia" w:hAnsi="宋体" w:cs="宋体"/>
          <w:i/>
          <w:iCs/>
          <w:color w:val="auto"/>
          <w:sz w:val="24"/>
          <w:szCs w:val="24"/>
          <w:highlight w:val="none"/>
        </w:rPr>
        <w:t>（</w:t>
      </w:r>
      <w:r>
        <w:rPr>
          <w:rFonts w:hint="eastAsia" w:hAnsi="宋体" w:cs="宋体"/>
          <w:i/>
          <w:iCs/>
          <w:color w:val="auto"/>
          <w:sz w:val="24"/>
          <w:szCs w:val="24"/>
          <w:highlight w:val="none"/>
          <w:u w:val="single"/>
        </w:rPr>
        <w:t>按响应文件承诺的数据填写</w:t>
      </w:r>
      <w:r>
        <w:rPr>
          <w:rFonts w:hint="eastAsia" w:hAnsi="宋体" w:cs="宋体"/>
          <w:i/>
          <w:iCs/>
          <w:color w:val="auto"/>
          <w:sz w:val="24"/>
          <w:szCs w:val="24"/>
          <w:highlight w:val="none"/>
        </w:rPr>
        <w:t>）</w:t>
      </w:r>
      <w:r>
        <w:rPr>
          <w:rFonts w:hint="eastAsia" w:hAnsi="宋体" w:cs="宋体"/>
          <w:color w:val="auto"/>
          <w:sz w:val="24"/>
          <w:szCs w:val="24"/>
        </w:rPr>
        <w:t>小时内。</w:t>
      </w:r>
    </w:p>
    <w:p w14:paraId="7F0943DE">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3.在质保期内，乙方应对货物出现的质量及安全问题负责处理解决并承担一切费用。</w:t>
      </w:r>
    </w:p>
    <w:p w14:paraId="3FFB8C26">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4.上述的货物质保期为</w:t>
      </w:r>
      <w:r>
        <w:rPr>
          <w:rFonts w:hint="eastAsia" w:ascii="宋体" w:hAnsi="宋体" w:cs="宋体"/>
          <w:color w:val="auto"/>
          <w:sz w:val="24"/>
          <w:u w:val="single"/>
        </w:rPr>
        <w:t xml:space="preserve">     </w:t>
      </w:r>
      <w:r>
        <w:rPr>
          <w:rFonts w:hint="eastAsia" w:ascii="宋体" w:hAnsi="宋体" w:cs="宋体"/>
          <w:color w:val="auto"/>
          <w:sz w:val="24"/>
        </w:rPr>
        <w:t>年，因人为因素出现的故障不在免费保修范围内。超过保修期的机器设备，终生维修，维修时只收部件成本费。</w:t>
      </w:r>
    </w:p>
    <w:p w14:paraId="0B1479A8">
      <w:pPr>
        <w:snapToGrid w:val="0"/>
        <w:spacing w:line="360" w:lineRule="auto"/>
        <w:ind w:left="-61" w:firstLine="514"/>
        <w:rPr>
          <w:rFonts w:hint="eastAsia" w:ascii="宋体" w:hAnsi="宋体" w:cs="宋体"/>
          <w:color w:val="auto"/>
          <w:sz w:val="24"/>
          <w:highlight w:val="yellow"/>
        </w:rPr>
      </w:pPr>
      <w:r>
        <w:rPr>
          <w:rFonts w:hint="eastAsia" w:ascii="宋体" w:hAnsi="宋体" w:cs="宋体"/>
          <w:b/>
          <w:color w:val="auto"/>
          <w:sz w:val="24"/>
        </w:rPr>
        <w:t>第十二条  调试和验收</w:t>
      </w:r>
    </w:p>
    <w:p w14:paraId="41388B2E">
      <w:pPr>
        <w:pStyle w:val="24"/>
        <w:snapToGrid w:val="0"/>
        <w:spacing w:line="360" w:lineRule="auto"/>
        <w:ind w:firstLine="480" w:firstLineChars="200"/>
        <w:jc w:val="left"/>
        <w:rPr>
          <w:rFonts w:hint="eastAsia" w:hAnsi="宋体" w:cs="宋体"/>
          <w:color w:val="auto"/>
          <w:sz w:val="24"/>
          <w:szCs w:val="24"/>
        </w:rPr>
      </w:pPr>
      <w:r>
        <w:rPr>
          <w:rFonts w:hint="eastAsia" w:hAnsi="宋体" w:cs="宋体"/>
          <w:color w:val="auto"/>
          <w:sz w:val="24"/>
          <w:szCs w:val="24"/>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hAnsi="宋体" w:cs="宋体"/>
          <w:color w:val="auto"/>
          <w:sz w:val="24"/>
          <w:szCs w:val="24"/>
          <w:lang w:val="en-US" w:eastAsia="zh-CN"/>
        </w:rPr>
        <w:t>七</w:t>
      </w:r>
      <w:r>
        <w:rPr>
          <w:rFonts w:hint="eastAsia" w:hAnsi="宋体" w:cs="宋体"/>
          <w:color w:val="auto"/>
          <w:sz w:val="24"/>
          <w:szCs w:val="24"/>
        </w:rPr>
        <w:t>个工作日内进行验收。</w:t>
      </w:r>
    </w:p>
    <w:p w14:paraId="5CC5AF10">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2.乙方交货前应对产品作出全面检查和对验收文件进行整理，并列出清单，作为甲方收货验收和使用的技术条件依据，检验的结果应随货物交甲方。</w:t>
      </w:r>
    </w:p>
    <w:p w14:paraId="00F4FCF8">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3.甲方对乙方提供的货物在使用前进行调试时，乙方需负责安装并培训甲方的使用操作人员，并协助甲方一起调试，直到符合技术要求，甲方才做最终验收。</w:t>
      </w:r>
    </w:p>
    <w:p w14:paraId="6E7788B8">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4.对技术复杂的货物，甲方应请国家认可的专业检测机构参与初步验收及最终验收，并由其出具质量检测报告。</w:t>
      </w:r>
    </w:p>
    <w:p w14:paraId="13FB1E12">
      <w:pPr>
        <w:snapToGrid w:val="0"/>
        <w:spacing w:line="360" w:lineRule="auto"/>
        <w:ind w:left="-61" w:firstLine="514"/>
        <w:rPr>
          <w:rFonts w:hint="eastAsia" w:ascii="宋体" w:hAnsi="宋体" w:cs="宋体"/>
          <w:color w:val="auto"/>
          <w:sz w:val="24"/>
        </w:rPr>
      </w:pPr>
      <w:r>
        <w:rPr>
          <w:rFonts w:hint="eastAsia" w:ascii="宋体" w:hAnsi="宋体" w:cs="宋体"/>
          <w:color w:val="auto"/>
          <w:sz w:val="24"/>
        </w:rPr>
        <w:t>5.验收时乙方必须在现场，验收完毕后作出验收结果报告；验收费用按竞争性谈判文件约定承担方负责。</w:t>
      </w:r>
    </w:p>
    <w:p w14:paraId="0E321312">
      <w:pPr>
        <w:pStyle w:val="24"/>
        <w:snapToGrid w:val="0"/>
        <w:spacing w:line="360" w:lineRule="auto"/>
        <w:ind w:firstLine="472" w:firstLineChars="196"/>
        <w:rPr>
          <w:rFonts w:hint="eastAsia" w:hAnsi="宋体" w:cs="宋体"/>
          <w:b/>
          <w:color w:val="auto"/>
          <w:sz w:val="24"/>
          <w:szCs w:val="24"/>
        </w:rPr>
      </w:pPr>
      <w:r>
        <w:rPr>
          <w:rFonts w:hint="eastAsia" w:hAnsi="宋体" w:cs="宋体"/>
          <w:b/>
          <w:color w:val="auto"/>
          <w:sz w:val="24"/>
          <w:szCs w:val="24"/>
        </w:rPr>
        <w:t>第十三条  货物包装、发运及运输</w:t>
      </w:r>
    </w:p>
    <w:p w14:paraId="62750378">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1.乙方应在货物发运前对其进行满足运输距离、防潮、防震、防锈和防破损装卸等要求包装，以保证货物安全运达甲方指定地点。</w:t>
      </w:r>
    </w:p>
    <w:p w14:paraId="3CAB9ABD">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2.使用说明书（货物属于进口产品的，供货时应同时附上中文使用说明书）、质量检验证明书、随配附件和工具以及清单一并附于货物内。</w:t>
      </w:r>
    </w:p>
    <w:p w14:paraId="56198828">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3.乙方在货物发运手续办理完毕后二十四小时内或者货到甲方四十八小时前通知甲方，以准备接货。</w:t>
      </w:r>
    </w:p>
    <w:p w14:paraId="3425315E">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4.货物在交付甲方前发生的风险均由乙方负责。</w:t>
      </w:r>
    </w:p>
    <w:p w14:paraId="1BBB6063">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5.货物在规定的交付期限内由乙方送达甲方指定的地点视为交付，乙方同时需通知甲方货物已送达。</w:t>
      </w:r>
    </w:p>
    <w:p w14:paraId="052C86FD">
      <w:pPr>
        <w:snapToGrid w:val="0"/>
        <w:spacing w:line="360" w:lineRule="auto"/>
        <w:ind w:firstLine="480" w:firstLineChars="200"/>
        <w:rPr>
          <w:rFonts w:hint="eastAsia" w:ascii="宋体" w:hAnsi="宋体" w:cs="宋体"/>
          <w:b/>
          <w:color w:val="auto"/>
          <w:sz w:val="24"/>
        </w:rPr>
      </w:pPr>
      <w:r>
        <w:rPr>
          <w:rFonts w:hint="eastAsia" w:ascii="宋体" w:hAnsi="宋体" w:cs="宋体"/>
          <w:b/>
          <w:color w:val="auto"/>
          <w:sz w:val="24"/>
        </w:rPr>
        <w:t>第十四条　违约责任</w:t>
      </w:r>
    </w:p>
    <w:p w14:paraId="35281C76">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1.乙方所提供的产品名称、商标品牌、</w:t>
      </w:r>
      <w:r>
        <w:rPr>
          <w:rFonts w:hint="eastAsia" w:hAnsi="宋体" w:cs="宋体"/>
          <w:color w:val="auto"/>
          <w:sz w:val="24"/>
          <w:szCs w:val="24"/>
          <w:lang w:val="en-US" w:eastAsia="zh-CN"/>
        </w:rPr>
        <w:t>制造商</w:t>
      </w:r>
      <w:r>
        <w:rPr>
          <w:rFonts w:hint="eastAsia" w:hAnsi="宋体" w:cs="宋体"/>
          <w:color w:val="auto"/>
          <w:sz w:val="24"/>
          <w:szCs w:val="24"/>
        </w:rPr>
        <w:t xml:space="preserve">、规格型号、技术参数等质量不合格的，应及时更换，更换不及时的按逾期交货处罚；因质量问题甲方不同意接收的或者特殊情况甲方同意接收的，乙方应向甲方支付违约货款额 5%违约金并赔偿甲方经济损失。                                       </w:t>
      </w:r>
    </w:p>
    <w:p w14:paraId="0B9A967E">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2.乙方提供的货物如侵犯了第三方合法权益而引发的任何纠纷或者诉讼，均由乙方负责交涉并承担全部责任。</w:t>
      </w:r>
    </w:p>
    <w:p w14:paraId="0A31F597">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3.因包装、运输引起的货物损坏，按质量不合格处罚。</w:t>
      </w:r>
    </w:p>
    <w:p w14:paraId="0F6AE574">
      <w:pPr>
        <w:pStyle w:val="24"/>
        <w:snapToGrid w:val="0"/>
        <w:spacing w:line="360" w:lineRule="auto"/>
        <w:ind w:firstLine="480" w:firstLineChars="200"/>
        <w:rPr>
          <w:rFonts w:hint="eastAsia" w:hAnsi="宋体" w:cs="宋体"/>
          <w:color w:val="auto"/>
          <w:sz w:val="24"/>
          <w:szCs w:val="24"/>
          <w:highlight w:val="yellow"/>
        </w:rPr>
      </w:pPr>
      <w:r>
        <w:rPr>
          <w:rFonts w:hint="eastAsia" w:hAnsi="宋体" w:cs="宋体"/>
          <w:color w:val="auto"/>
          <w:sz w:val="24"/>
          <w:szCs w:val="24"/>
        </w:rPr>
        <w:t>4.甲方无故延期接收货物、乙方逾期交货的，每天向对方偿付违约货款额3‰违约金，但违约金累计不得超过违约货款额5%，超过</w:t>
      </w:r>
      <w:r>
        <w:rPr>
          <w:rFonts w:hint="eastAsia" w:hAnsi="宋体" w:cs="宋体"/>
          <w:color w:val="auto"/>
          <w:sz w:val="24"/>
          <w:szCs w:val="24"/>
          <w:u w:val="single"/>
        </w:rPr>
        <w:t xml:space="preserve">  </w:t>
      </w:r>
      <w:r>
        <w:rPr>
          <w:rFonts w:hint="eastAsia" w:hAnsi="宋体" w:cs="宋体"/>
          <w:color w:val="auto"/>
          <w:sz w:val="24"/>
          <w:szCs w:val="24"/>
          <w:u w:val="single"/>
          <w:lang w:val="en-US" w:eastAsia="zh-CN"/>
        </w:rPr>
        <w:t xml:space="preserve"> </w:t>
      </w:r>
      <w:r>
        <w:rPr>
          <w:rFonts w:hint="eastAsia" w:hAnsi="宋体" w:cs="宋体"/>
          <w:color w:val="auto"/>
          <w:sz w:val="24"/>
          <w:szCs w:val="24"/>
          <w:u w:val="single"/>
        </w:rPr>
        <w:t xml:space="preserve"> </w:t>
      </w:r>
      <w:r>
        <w:rPr>
          <w:rFonts w:hint="eastAsia" w:hAnsi="宋体" w:cs="宋体"/>
          <w:color w:val="auto"/>
          <w:sz w:val="24"/>
          <w:szCs w:val="24"/>
        </w:rPr>
        <w:t>天对方有权解除合同，违约方承担因此给对方造成经济损失；甲方延期付货款的，每天向乙方偿付延期货款额3‰滞纳金，但滞纳金累计不得超过延期货款额5%。</w:t>
      </w:r>
    </w:p>
    <w:p w14:paraId="606AC14D">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5.乙方未按本合同和响应文件中规定的服务承诺提供售后服务的，乙方应按本合同</w:t>
      </w:r>
      <w:r>
        <w:rPr>
          <w:rFonts w:hint="eastAsia" w:hAnsi="宋体" w:cs="宋体"/>
          <w:color w:val="auto"/>
          <w:sz w:val="24"/>
          <w:szCs w:val="24"/>
          <w:lang w:eastAsia="zh-CN"/>
        </w:rPr>
        <w:t>总</w:t>
      </w:r>
      <w:r>
        <w:rPr>
          <w:rFonts w:hint="eastAsia" w:hAnsi="宋体" w:cs="宋体"/>
          <w:color w:val="auto"/>
          <w:sz w:val="24"/>
          <w:szCs w:val="24"/>
        </w:rPr>
        <w:t>金额 5%向甲方支付违约金。</w:t>
      </w:r>
    </w:p>
    <w:p w14:paraId="2BD10316">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6.乙方提供的货物在质量保证期内，因设计、工艺或者材料的缺陷和</w:t>
      </w:r>
      <w:r>
        <w:rPr>
          <w:rFonts w:hint="eastAsia" w:hAnsi="宋体" w:cs="宋体"/>
          <w:color w:val="auto"/>
          <w:sz w:val="24"/>
          <w:szCs w:val="24"/>
          <w:lang w:eastAsia="zh-CN"/>
        </w:rPr>
        <w:t>其他</w:t>
      </w:r>
      <w:r>
        <w:rPr>
          <w:rFonts w:hint="eastAsia" w:hAnsi="宋体" w:cs="宋体"/>
          <w:color w:val="auto"/>
          <w:sz w:val="24"/>
          <w:szCs w:val="24"/>
        </w:rPr>
        <w:t>质量原因造成的问题，由乙方负责，费用从余款中扣除，不足另补。</w:t>
      </w:r>
    </w:p>
    <w:p w14:paraId="78123661">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7.甲乙双方有</w:t>
      </w:r>
      <w:r>
        <w:rPr>
          <w:rFonts w:hint="eastAsia" w:hAnsi="宋体" w:cs="宋体"/>
          <w:color w:val="auto"/>
          <w:sz w:val="24"/>
          <w:szCs w:val="24"/>
          <w:lang w:eastAsia="zh-CN"/>
        </w:rPr>
        <w:t>其他</w:t>
      </w:r>
      <w:r>
        <w:rPr>
          <w:rFonts w:hint="eastAsia" w:hAnsi="宋体" w:cs="宋体"/>
          <w:color w:val="auto"/>
          <w:sz w:val="24"/>
          <w:szCs w:val="24"/>
        </w:rPr>
        <w:t>违约行为的，由违约方向对方支付违约内容涉及货款额的5%，违约内容涉及货款额的5%不足以赔偿经济损失的按实际赔偿。</w:t>
      </w:r>
    </w:p>
    <w:p w14:paraId="29E506E7">
      <w:pPr>
        <w:pStyle w:val="24"/>
        <w:snapToGrid w:val="0"/>
        <w:spacing w:line="360" w:lineRule="auto"/>
        <w:ind w:firstLine="472" w:firstLineChars="196"/>
        <w:rPr>
          <w:rFonts w:hint="eastAsia" w:hAnsi="宋体" w:cs="宋体"/>
          <w:b/>
          <w:color w:val="auto"/>
          <w:sz w:val="24"/>
          <w:szCs w:val="24"/>
        </w:rPr>
      </w:pPr>
      <w:r>
        <w:rPr>
          <w:rFonts w:hint="eastAsia" w:hAnsi="宋体" w:cs="宋体"/>
          <w:b/>
          <w:color w:val="auto"/>
          <w:sz w:val="24"/>
          <w:szCs w:val="24"/>
        </w:rPr>
        <w:t>第十五条  不可抗力事件处理</w:t>
      </w:r>
    </w:p>
    <w:p w14:paraId="3F41D904">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1.在合同有效期内，任何一方因不可抗力事件导致不能履行合同，则合同履行期可延长，其延长期与不可抗力影响期相同。</w:t>
      </w:r>
    </w:p>
    <w:p w14:paraId="290D646D">
      <w:pPr>
        <w:pStyle w:val="24"/>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rPr>
        <w:t>2.不可抗力事件发生后，应立即通知对方，并寄送有关权威机构出具的证明。</w:t>
      </w:r>
    </w:p>
    <w:p w14:paraId="7747ACF8">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3.不可抗力事件延续一百二十天以上，双方应通过友好协商，确定是否继续履行合同。</w:t>
      </w:r>
    </w:p>
    <w:p w14:paraId="129A2E31">
      <w:pPr>
        <w:snapToGrid w:val="0"/>
        <w:spacing w:line="360" w:lineRule="auto"/>
        <w:ind w:firstLine="480" w:firstLineChars="200"/>
        <w:rPr>
          <w:rFonts w:hint="eastAsia" w:ascii="宋体" w:hAnsi="宋体" w:cs="宋体"/>
          <w:color w:val="auto"/>
          <w:sz w:val="24"/>
        </w:rPr>
      </w:pPr>
      <w:r>
        <w:rPr>
          <w:rFonts w:hint="eastAsia" w:ascii="宋体" w:hAnsi="宋体" w:cs="宋体"/>
          <w:b/>
          <w:color w:val="auto"/>
          <w:sz w:val="24"/>
        </w:rPr>
        <w:t>第十六条  合同争议解决</w:t>
      </w:r>
    </w:p>
    <w:p w14:paraId="4D50B041">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1.因货物质量问题发生争议的，应邀请国家认可的质量检测机构对货物质量进行鉴定。货物符合标准的，鉴定费由甲方承担；货物不符合标准的，鉴定费由乙方承担。</w:t>
      </w:r>
    </w:p>
    <w:p w14:paraId="4B2EF0A5">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2.因履行本合同引起的或者与本合同有关的争议，甲乙双方应首先通过友好协商解决，如果协商不能解决，可向甲方所在地人民法院提起诉讼。</w:t>
      </w:r>
    </w:p>
    <w:p w14:paraId="62B95D97">
      <w:pPr>
        <w:snapToGrid w:val="0"/>
        <w:spacing w:line="360" w:lineRule="auto"/>
        <w:ind w:left="-61" w:firstLine="514"/>
        <w:rPr>
          <w:rFonts w:hint="eastAsia" w:ascii="宋体" w:hAnsi="宋体" w:cs="宋体"/>
          <w:color w:val="auto"/>
          <w:sz w:val="24"/>
        </w:rPr>
      </w:pPr>
      <w:r>
        <w:rPr>
          <w:rFonts w:hint="eastAsia" w:ascii="宋体" w:hAnsi="宋体" w:cs="宋体"/>
          <w:color w:val="auto"/>
          <w:sz w:val="24"/>
        </w:rPr>
        <w:t>3.诉讼期间，本合同继续履行。</w:t>
      </w:r>
    </w:p>
    <w:p w14:paraId="69DAE641">
      <w:pPr>
        <w:pStyle w:val="24"/>
        <w:snapToGrid w:val="0"/>
        <w:spacing w:line="360" w:lineRule="auto"/>
        <w:ind w:firstLine="472" w:firstLineChars="196"/>
        <w:rPr>
          <w:rFonts w:hint="eastAsia" w:hAnsi="宋体" w:eastAsia="宋体" w:cs="宋体"/>
          <w:b/>
          <w:color w:val="auto"/>
          <w:sz w:val="24"/>
          <w:szCs w:val="24"/>
          <w:lang w:eastAsia="zh-CN"/>
        </w:rPr>
      </w:pPr>
      <w:r>
        <w:rPr>
          <w:rFonts w:hint="eastAsia" w:hAnsi="宋体" w:cs="宋体"/>
          <w:b/>
          <w:color w:val="auto"/>
          <w:sz w:val="24"/>
          <w:szCs w:val="24"/>
        </w:rPr>
        <w:t>第十</w:t>
      </w:r>
      <w:r>
        <w:rPr>
          <w:rFonts w:hint="eastAsia" w:hAnsi="宋体" w:cs="宋体"/>
          <w:b/>
          <w:color w:val="auto"/>
          <w:sz w:val="24"/>
          <w:szCs w:val="24"/>
          <w:lang w:eastAsia="zh-CN"/>
        </w:rPr>
        <w:t>七</w:t>
      </w:r>
      <w:r>
        <w:rPr>
          <w:rFonts w:hint="eastAsia" w:hAnsi="宋体" w:cs="宋体"/>
          <w:b/>
          <w:color w:val="auto"/>
          <w:sz w:val="24"/>
          <w:szCs w:val="24"/>
        </w:rPr>
        <w:t>条  合同生效及</w:t>
      </w:r>
      <w:r>
        <w:rPr>
          <w:rFonts w:hint="eastAsia" w:hAnsi="宋体" w:cs="宋体"/>
          <w:b/>
          <w:color w:val="auto"/>
          <w:sz w:val="24"/>
          <w:szCs w:val="24"/>
          <w:lang w:eastAsia="zh-CN"/>
        </w:rPr>
        <w:t>其他</w:t>
      </w:r>
    </w:p>
    <w:p w14:paraId="600E33B1">
      <w:pPr>
        <w:pStyle w:val="24"/>
        <w:snapToGrid w:val="0"/>
        <w:spacing w:line="360" w:lineRule="auto"/>
        <w:ind w:firstLine="482" w:firstLineChars="200"/>
        <w:rPr>
          <w:rFonts w:hint="eastAsia" w:hAnsi="宋体" w:cs="宋体"/>
          <w:b/>
          <w:color w:val="auto"/>
          <w:sz w:val="24"/>
          <w:szCs w:val="24"/>
        </w:rPr>
      </w:pPr>
      <w:r>
        <w:rPr>
          <w:rFonts w:hint="eastAsia" w:hAnsi="宋体" w:cs="宋体"/>
          <w:b/>
          <w:color w:val="auto"/>
          <w:sz w:val="24"/>
          <w:szCs w:val="24"/>
        </w:rPr>
        <w:t>1. 合同经双方法定代表人或者</w:t>
      </w:r>
      <w:r>
        <w:rPr>
          <w:rFonts w:hint="eastAsia" w:hAnsi="宋体" w:cs="宋体"/>
          <w:b/>
          <w:color w:val="auto"/>
          <w:sz w:val="24"/>
          <w:szCs w:val="24"/>
          <w:lang w:eastAsia="zh-CN"/>
        </w:rPr>
        <w:t>其</w:t>
      </w:r>
      <w:r>
        <w:rPr>
          <w:rFonts w:hint="eastAsia" w:hAnsi="宋体" w:cs="宋体"/>
          <w:b/>
          <w:color w:val="auto"/>
          <w:sz w:val="24"/>
          <w:szCs w:val="24"/>
        </w:rPr>
        <w:t>委托代理人签字并加盖单位公章后生效</w:t>
      </w:r>
      <w:r>
        <w:rPr>
          <w:rFonts w:hint="eastAsia" w:hAnsi="宋体" w:cs="宋体"/>
          <w:b/>
          <w:color w:val="auto"/>
          <w:sz w:val="24"/>
          <w:szCs w:val="24"/>
          <w:highlight w:val="none"/>
        </w:rPr>
        <w:t>（委托代理人签字的需后附法定代表人授权委托书，格式自拟）</w:t>
      </w:r>
      <w:r>
        <w:rPr>
          <w:rFonts w:hint="eastAsia" w:hAnsi="宋体" w:cs="宋体"/>
          <w:b/>
          <w:color w:val="auto"/>
          <w:sz w:val="24"/>
          <w:szCs w:val="24"/>
        </w:rPr>
        <w:t>。</w:t>
      </w:r>
    </w:p>
    <w:p w14:paraId="4AD71B4F">
      <w:pPr>
        <w:pStyle w:val="24"/>
        <w:snapToGrid w:val="0"/>
        <w:spacing w:line="360" w:lineRule="auto"/>
        <w:ind w:firstLine="482" w:firstLineChars="200"/>
        <w:rPr>
          <w:rFonts w:hint="eastAsia" w:hAnsi="宋体" w:cs="宋体"/>
          <w:b/>
          <w:color w:val="auto"/>
          <w:sz w:val="24"/>
          <w:szCs w:val="24"/>
        </w:rPr>
      </w:pPr>
      <w:r>
        <w:rPr>
          <w:rFonts w:hint="eastAsia" w:hAnsi="宋体" w:cs="宋体"/>
          <w:b/>
          <w:color w:val="auto"/>
          <w:sz w:val="24"/>
          <w:szCs w:val="24"/>
        </w:rPr>
        <w:t>2.合同执行中涉及采购资金和采购内容修改或者补充的，须经财政部门审批，并签书面补充协议报财政部门备案，方可作为主合同不可分割的一部分。</w:t>
      </w:r>
    </w:p>
    <w:p w14:paraId="23F6B398">
      <w:pPr>
        <w:pStyle w:val="24"/>
        <w:snapToGrid w:val="0"/>
        <w:spacing w:line="360" w:lineRule="auto"/>
        <w:ind w:left="283" w:leftChars="135" w:firstLine="143"/>
        <w:rPr>
          <w:rFonts w:hint="eastAsia" w:hAnsi="宋体" w:cs="宋体"/>
          <w:b/>
          <w:color w:val="auto"/>
          <w:sz w:val="24"/>
          <w:szCs w:val="24"/>
        </w:rPr>
      </w:pPr>
      <w:r>
        <w:rPr>
          <w:rFonts w:hint="eastAsia" w:hAnsi="宋体" w:cs="宋体"/>
          <w:b/>
          <w:color w:val="auto"/>
          <w:sz w:val="24"/>
          <w:szCs w:val="24"/>
        </w:rPr>
        <w:t>3.本合同未尽事宜，遵照《</w:t>
      </w:r>
      <w:r>
        <w:rPr>
          <w:rFonts w:hint="eastAsia" w:hAnsi="宋体" w:cs="宋体"/>
          <w:b/>
          <w:color w:val="auto"/>
          <w:sz w:val="24"/>
          <w:szCs w:val="24"/>
          <w:lang w:eastAsia="zh-CN"/>
        </w:rPr>
        <w:t>中华人民共和国民法典</w:t>
      </w:r>
      <w:r>
        <w:rPr>
          <w:rFonts w:hint="eastAsia" w:hAnsi="宋体" w:cs="宋体"/>
          <w:b/>
          <w:color w:val="auto"/>
          <w:sz w:val="24"/>
          <w:szCs w:val="24"/>
        </w:rPr>
        <w:t>》有关条文执行。</w:t>
      </w:r>
    </w:p>
    <w:p w14:paraId="198B4806">
      <w:pPr>
        <w:snapToGrid w:val="0"/>
        <w:spacing w:line="360" w:lineRule="auto"/>
        <w:ind w:firstLine="480" w:firstLineChars="200"/>
        <w:rPr>
          <w:rFonts w:hint="eastAsia" w:ascii="宋体" w:hAnsi="宋体" w:cs="宋体"/>
          <w:b/>
          <w:color w:val="auto"/>
          <w:sz w:val="24"/>
        </w:rPr>
      </w:pPr>
      <w:r>
        <w:rPr>
          <w:rFonts w:hint="eastAsia" w:ascii="宋体" w:hAnsi="宋体" w:cs="宋体"/>
          <w:b/>
          <w:color w:val="auto"/>
          <w:sz w:val="24"/>
        </w:rPr>
        <w:t>第十八条　合同的变更、终止与转让</w:t>
      </w:r>
    </w:p>
    <w:p w14:paraId="0069DA41">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1.除《中华人民共和国政府采购法》第五十条规定的情形外，本合同一经签订，甲乙双方不得擅自变更、中止或者终止。</w:t>
      </w:r>
    </w:p>
    <w:p w14:paraId="0AC4F1EF">
      <w:pPr>
        <w:snapToGrid w:val="0"/>
        <w:spacing w:line="360" w:lineRule="auto"/>
        <w:ind w:left="-61" w:firstLine="514"/>
        <w:rPr>
          <w:rFonts w:hint="eastAsia" w:ascii="宋体" w:hAnsi="宋体" w:cs="宋体"/>
          <w:color w:val="auto"/>
          <w:sz w:val="24"/>
        </w:rPr>
      </w:pPr>
      <w:r>
        <w:rPr>
          <w:rFonts w:hint="eastAsia" w:ascii="宋体" w:hAnsi="宋体" w:cs="宋体"/>
          <w:color w:val="auto"/>
          <w:sz w:val="24"/>
        </w:rPr>
        <w:t>2.乙方不得擅自转让（无进口资格的供应商委托进口货物除外）其应履行的合同义务。</w:t>
      </w:r>
    </w:p>
    <w:p w14:paraId="629E8548">
      <w:pPr>
        <w:snapToGrid w:val="0"/>
        <w:spacing w:line="360" w:lineRule="auto"/>
        <w:ind w:firstLine="480" w:firstLineChars="200"/>
        <w:rPr>
          <w:rFonts w:hint="eastAsia" w:ascii="宋体" w:hAnsi="宋体" w:cs="宋体"/>
          <w:b/>
          <w:color w:val="auto"/>
          <w:sz w:val="24"/>
        </w:rPr>
      </w:pPr>
      <w:r>
        <w:rPr>
          <w:rFonts w:hint="eastAsia" w:ascii="宋体" w:hAnsi="宋体" w:cs="宋体"/>
          <w:b/>
          <w:color w:val="auto"/>
          <w:sz w:val="24"/>
        </w:rPr>
        <w:t>第十九条　</w:t>
      </w:r>
      <w:r>
        <w:rPr>
          <w:rFonts w:hint="eastAsia" w:ascii="宋体" w:hAnsi="宋体" w:cs="宋体"/>
          <w:b/>
          <w:bCs/>
          <w:color w:val="auto"/>
          <w:kern w:val="0"/>
          <w:sz w:val="24"/>
        </w:rPr>
        <w:t>本合同书与下列文件一起构成合同文件</w:t>
      </w:r>
    </w:p>
    <w:p w14:paraId="23ABDFFB">
      <w:pPr>
        <w:pStyle w:val="24"/>
        <w:snapToGrid w:val="0"/>
        <w:spacing w:line="360" w:lineRule="auto"/>
        <w:ind w:left="420" w:leftChars="200"/>
        <w:rPr>
          <w:rFonts w:hint="eastAsia" w:hAnsi="宋体" w:cs="宋体"/>
          <w:color w:val="auto"/>
          <w:sz w:val="24"/>
          <w:szCs w:val="24"/>
        </w:rPr>
      </w:pPr>
      <w:r>
        <w:rPr>
          <w:rFonts w:hint="eastAsia" w:hAnsi="宋体" w:cs="宋体"/>
          <w:color w:val="auto"/>
          <w:sz w:val="24"/>
          <w:szCs w:val="24"/>
        </w:rPr>
        <w:t>1.成交通知书；</w:t>
      </w:r>
    </w:p>
    <w:p w14:paraId="70F14A73">
      <w:pPr>
        <w:pStyle w:val="24"/>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2.响应函；</w:t>
      </w:r>
    </w:p>
    <w:p w14:paraId="19B3F4B8">
      <w:pPr>
        <w:pStyle w:val="24"/>
        <w:snapToGrid w:val="0"/>
        <w:spacing w:line="360" w:lineRule="auto"/>
        <w:ind w:left="420" w:leftChars="200"/>
        <w:rPr>
          <w:rFonts w:hint="eastAsia" w:hAnsi="宋体" w:cs="宋体"/>
          <w:color w:val="auto"/>
          <w:sz w:val="24"/>
          <w:szCs w:val="24"/>
        </w:rPr>
      </w:pPr>
      <w:r>
        <w:rPr>
          <w:rFonts w:hint="eastAsia" w:hAnsi="宋体" w:cs="宋体"/>
          <w:color w:val="auto"/>
          <w:sz w:val="24"/>
          <w:szCs w:val="24"/>
        </w:rPr>
        <w:t>3.商务条款偏离表和技术需求偏离表；</w:t>
      </w:r>
    </w:p>
    <w:p w14:paraId="691727A9">
      <w:pPr>
        <w:pStyle w:val="24"/>
        <w:snapToGrid w:val="0"/>
        <w:spacing w:line="360" w:lineRule="auto"/>
        <w:ind w:left="420" w:leftChars="200"/>
        <w:rPr>
          <w:rFonts w:hint="eastAsia" w:hAnsi="宋体" w:cs="宋体"/>
          <w:color w:val="auto"/>
          <w:sz w:val="24"/>
          <w:szCs w:val="24"/>
        </w:rPr>
      </w:pPr>
      <w:r>
        <w:rPr>
          <w:rFonts w:hint="eastAsia" w:hAnsi="宋体" w:cs="宋体"/>
          <w:color w:val="auto"/>
          <w:sz w:val="24"/>
          <w:szCs w:val="24"/>
        </w:rPr>
        <w:t>4.采购需求；</w:t>
      </w:r>
    </w:p>
    <w:p w14:paraId="725101F1">
      <w:pPr>
        <w:pStyle w:val="24"/>
        <w:snapToGrid w:val="0"/>
        <w:spacing w:line="360" w:lineRule="auto"/>
        <w:ind w:left="420" w:leftChars="200"/>
        <w:rPr>
          <w:rFonts w:hint="eastAsia" w:hAnsi="宋体" w:cs="宋体"/>
          <w:color w:val="auto"/>
          <w:sz w:val="24"/>
          <w:szCs w:val="24"/>
        </w:rPr>
      </w:pPr>
      <w:r>
        <w:rPr>
          <w:rFonts w:hint="eastAsia" w:hAnsi="宋体" w:cs="宋体"/>
          <w:color w:val="auto"/>
          <w:sz w:val="24"/>
          <w:szCs w:val="24"/>
        </w:rPr>
        <w:t>5.响应报价表；</w:t>
      </w:r>
    </w:p>
    <w:p w14:paraId="506D8A88">
      <w:pPr>
        <w:pStyle w:val="24"/>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lang w:eastAsia="zh-CN"/>
        </w:rPr>
        <w:t>其他</w:t>
      </w:r>
      <w:r>
        <w:rPr>
          <w:rFonts w:hint="eastAsia" w:ascii="宋体" w:hAnsi="宋体" w:eastAsia="宋体" w:cs="宋体"/>
          <w:color w:val="auto"/>
          <w:sz w:val="24"/>
          <w:szCs w:val="24"/>
          <w:highlight w:val="none"/>
        </w:rPr>
        <w:t>合同文件。</w:t>
      </w:r>
    </w:p>
    <w:p w14:paraId="697D6F3E">
      <w:pPr>
        <w:pStyle w:val="24"/>
        <w:snapToGrid w:val="0"/>
        <w:spacing w:line="360" w:lineRule="auto"/>
        <w:ind w:firstLine="424" w:firstLineChars="177"/>
        <w:rPr>
          <w:rFonts w:hint="eastAsia" w:hAnsi="宋体" w:cs="宋体"/>
          <w:b/>
          <w:color w:val="auto"/>
          <w:sz w:val="24"/>
          <w:szCs w:val="24"/>
        </w:rPr>
      </w:pPr>
      <w:r>
        <w:rPr>
          <w:rFonts w:hint="eastAsia" w:hAnsi="宋体" w:cs="宋体"/>
          <w:color w:val="auto"/>
          <w:sz w:val="24"/>
          <w:szCs w:val="24"/>
          <w:lang w:val="en-US" w:eastAsia="zh-CN"/>
        </w:rPr>
        <w:t>7</w:t>
      </w:r>
      <w:r>
        <w:rPr>
          <w:rFonts w:hint="eastAsia" w:hAnsi="宋体" w:cs="宋体"/>
          <w:color w:val="auto"/>
          <w:sz w:val="24"/>
          <w:szCs w:val="24"/>
        </w:rPr>
        <w:t>.上述合同文件互相补充和解释。如果合同文件之间存在矛盾或者不一致之处，以上述文件的排列顺序在先者为准。</w:t>
      </w:r>
    </w:p>
    <w:p w14:paraId="6D046BBF">
      <w:pPr>
        <w:snapToGrid w:val="0"/>
        <w:spacing w:line="360" w:lineRule="auto"/>
        <w:ind w:firstLine="480" w:firstLineChars="200"/>
        <w:rPr>
          <w:rFonts w:hint="eastAsia" w:ascii="宋体" w:hAnsi="宋体"/>
          <w:color w:val="auto"/>
          <w:szCs w:val="21"/>
        </w:rPr>
      </w:pPr>
      <w:r>
        <w:rPr>
          <w:rFonts w:hint="eastAsia" w:ascii="宋体" w:hAnsi="宋体" w:cs="宋体"/>
          <w:b/>
          <w:color w:val="auto"/>
          <w:sz w:val="24"/>
        </w:rPr>
        <w:t>第二十条　</w:t>
      </w:r>
      <w:r>
        <w:rPr>
          <w:rFonts w:hint="eastAsia" w:ascii="宋体" w:hAnsi="宋体"/>
          <w:color w:val="auto"/>
          <w:szCs w:val="21"/>
        </w:rPr>
        <w:t>本合同一式四份，具有同等法律效力，财政部门（政府采购监管部门）、采购代理机构各一份，甲乙双方各一份（可根据需要另增加）。</w:t>
      </w:r>
    </w:p>
    <w:p w14:paraId="6817482F">
      <w:pPr>
        <w:snapToGrid w:val="0"/>
        <w:spacing w:line="360" w:lineRule="auto"/>
        <w:ind w:left="-61" w:firstLine="514"/>
        <w:rPr>
          <w:rFonts w:hint="eastAsia" w:ascii="宋体" w:hAnsi="宋体"/>
          <w:color w:val="auto"/>
          <w:szCs w:val="21"/>
        </w:rPr>
      </w:pPr>
      <w:r>
        <w:rPr>
          <w:rFonts w:hint="eastAsia" w:ascii="宋体" w:hAnsi="宋体"/>
          <w:color w:val="auto"/>
          <w:szCs w:val="21"/>
        </w:rPr>
        <w:t>本合同甲乙双方签字盖章后生效，自签订之日起七个工作日内，甲方应当将合同副本报同级财政部门备案。</w:t>
      </w:r>
    </w:p>
    <w:p w14:paraId="7EAFC21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本合同自签订之日起2个工作日内，甲方应当将采购合同在广西壮族自治区财政厅指定的媒体上公告。</w:t>
      </w:r>
    </w:p>
    <w:p w14:paraId="57205A32">
      <w:pPr>
        <w:snapToGrid w:val="0"/>
        <w:spacing w:line="360" w:lineRule="auto"/>
        <w:rPr>
          <w:rFonts w:hint="eastAsia" w:ascii="宋体" w:hAnsi="宋体" w:cs="宋体"/>
          <w:color w:val="auto"/>
          <w:sz w:val="24"/>
        </w:rPr>
      </w:pPr>
    </w:p>
    <w:tbl>
      <w:tblPr>
        <w:tblStyle w:val="45"/>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8EB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6D654D74">
            <w:pPr>
              <w:snapToGrid w:val="0"/>
              <w:spacing w:line="360" w:lineRule="auto"/>
              <w:rPr>
                <w:rFonts w:hint="eastAsia" w:ascii="宋体" w:hAnsi="宋体"/>
                <w:color w:val="auto"/>
                <w:sz w:val="24"/>
              </w:rPr>
            </w:pPr>
            <w:r>
              <w:rPr>
                <w:rFonts w:hint="eastAsia" w:ascii="宋体" w:hAnsi="宋体"/>
                <w:color w:val="auto"/>
                <w:sz w:val="24"/>
              </w:rPr>
              <w:t xml:space="preserve">甲方（章）           </w:t>
            </w:r>
          </w:p>
          <w:p w14:paraId="1C2C6BDA">
            <w:pPr>
              <w:snapToGrid w:val="0"/>
              <w:spacing w:line="360" w:lineRule="auto"/>
              <w:rPr>
                <w:rFonts w:hint="eastAsia" w:ascii="宋体" w:hAnsi="宋体"/>
                <w:color w:val="auto"/>
                <w:sz w:val="24"/>
              </w:rPr>
            </w:pPr>
          </w:p>
          <w:p w14:paraId="57FE7975">
            <w:pPr>
              <w:snapToGrid w:val="0"/>
              <w:spacing w:line="360" w:lineRule="auto"/>
              <w:ind w:firstLine="1080" w:firstLineChars="450"/>
              <w:jc w:val="right"/>
              <w:rPr>
                <w:rFonts w:hint="eastAsia" w:ascii="宋体" w:hAnsi="宋体"/>
                <w:color w:val="auto"/>
                <w:sz w:val="24"/>
              </w:rPr>
            </w:pPr>
            <w:r>
              <w:rPr>
                <w:rFonts w:hint="eastAsia" w:ascii="宋体" w:hAnsi="宋体"/>
                <w:color w:val="auto"/>
                <w:sz w:val="24"/>
              </w:rPr>
              <w:t>年   月   日</w:t>
            </w:r>
          </w:p>
        </w:tc>
        <w:tc>
          <w:tcPr>
            <w:tcW w:w="4517" w:type="dxa"/>
            <w:noWrap w:val="0"/>
            <w:vAlign w:val="center"/>
          </w:tcPr>
          <w:p w14:paraId="2906B4A3">
            <w:pPr>
              <w:snapToGrid w:val="0"/>
              <w:spacing w:line="360" w:lineRule="auto"/>
              <w:rPr>
                <w:rFonts w:hint="eastAsia" w:ascii="宋体" w:hAnsi="宋体"/>
                <w:color w:val="auto"/>
                <w:sz w:val="24"/>
              </w:rPr>
            </w:pPr>
            <w:r>
              <w:rPr>
                <w:rFonts w:hint="eastAsia" w:ascii="宋体" w:hAnsi="宋体"/>
                <w:color w:val="auto"/>
                <w:sz w:val="24"/>
              </w:rPr>
              <w:t xml:space="preserve">乙方（章）              </w:t>
            </w:r>
          </w:p>
          <w:p w14:paraId="0074C6E5">
            <w:pPr>
              <w:snapToGrid w:val="0"/>
              <w:spacing w:line="360" w:lineRule="auto"/>
              <w:rPr>
                <w:rFonts w:hint="eastAsia" w:ascii="宋体" w:hAnsi="宋体"/>
                <w:color w:val="auto"/>
                <w:sz w:val="24"/>
              </w:rPr>
            </w:pPr>
          </w:p>
          <w:p w14:paraId="05012593">
            <w:pPr>
              <w:snapToGrid w:val="0"/>
              <w:spacing w:line="360" w:lineRule="auto"/>
              <w:jc w:val="right"/>
              <w:rPr>
                <w:rFonts w:hint="eastAsia" w:ascii="宋体" w:hAnsi="宋体"/>
                <w:color w:val="auto"/>
                <w:sz w:val="24"/>
              </w:rPr>
            </w:pPr>
            <w:r>
              <w:rPr>
                <w:rFonts w:hint="eastAsia" w:ascii="宋体" w:hAnsi="宋体"/>
                <w:color w:val="auto"/>
                <w:sz w:val="24"/>
              </w:rPr>
              <w:t xml:space="preserve"> 年   月   日</w:t>
            </w:r>
          </w:p>
        </w:tc>
      </w:tr>
      <w:tr w14:paraId="55B3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5F33C644">
            <w:pPr>
              <w:snapToGrid w:val="0"/>
              <w:spacing w:line="360" w:lineRule="auto"/>
              <w:rPr>
                <w:rFonts w:hint="eastAsia" w:ascii="宋体" w:hAnsi="宋体"/>
                <w:color w:val="auto"/>
                <w:sz w:val="24"/>
              </w:rPr>
            </w:pPr>
            <w:r>
              <w:rPr>
                <w:rFonts w:hint="eastAsia" w:ascii="宋体" w:hAnsi="宋体"/>
                <w:color w:val="auto"/>
                <w:sz w:val="24"/>
              </w:rPr>
              <w:t>单位地址：</w:t>
            </w:r>
          </w:p>
        </w:tc>
        <w:tc>
          <w:tcPr>
            <w:tcW w:w="4517" w:type="dxa"/>
            <w:noWrap w:val="0"/>
            <w:vAlign w:val="center"/>
          </w:tcPr>
          <w:p w14:paraId="6A5CF0CF">
            <w:pPr>
              <w:snapToGrid w:val="0"/>
              <w:spacing w:line="360" w:lineRule="auto"/>
              <w:rPr>
                <w:rFonts w:hint="eastAsia" w:ascii="宋体" w:hAnsi="宋体"/>
                <w:color w:val="auto"/>
                <w:sz w:val="24"/>
              </w:rPr>
            </w:pPr>
            <w:r>
              <w:rPr>
                <w:rFonts w:hint="eastAsia" w:ascii="宋体" w:hAnsi="宋体"/>
                <w:color w:val="auto"/>
                <w:sz w:val="24"/>
              </w:rPr>
              <w:t>单位地址：</w:t>
            </w:r>
          </w:p>
        </w:tc>
      </w:tr>
      <w:tr w14:paraId="4641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516" w:type="dxa"/>
            <w:noWrap w:val="0"/>
            <w:vAlign w:val="top"/>
          </w:tcPr>
          <w:p w14:paraId="7F80995F">
            <w:pPr>
              <w:snapToGrid w:val="0"/>
              <w:spacing w:line="360" w:lineRule="auto"/>
              <w:rPr>
                <w:rFonts w:hint="eastAsia" w:ascii="宋体" w:hAnsi="宋体"/>
                <w:color w:val="auto"/>
                <w:sz w:val="24"/>
              </w:rPr>
            </w:pPr>
            <w:r>
              <w:rPr>
                <w:rFonts w:hint="eastAsia" w:ascii="宋体" w:hAnsi="宋体"/>
                <w:color w:val="auto"/>
                <w:sz w:val="24"/>
              </w:rPr>
              <w:t>法定代表人或者</w:t>
            </w:r>
            <w:r>
              <w:rPr>
                <w:rFonts w:hint="eastAsia" w:ascii="宋体" w:hAnsi="宋体"/>
                <w:color w:val="auto"/>
                <w:sz w:val="24"/>
                <w:lang w:eastAsia="zh-CN"/>
              </w:rPr>
              <w:t>其</w:t>
            </w:r>
            <w:r>
              <w:rPr>
                <w:rFonts w:hint="eastAsia" w:ascii="宋体" w:hAnsi="宋体"/>
                <w:color w:val="auto"/>
                <w:sz w:val="24"/>
              </w:rPr>
              <w:t>委托代理人：</w:t>
            </w:r>
          </w:p>
        </w:tc>
        <w:tc>
          <w:tcPr>
            <w:tcW w:w="4517" w:type="dxa"/>
            <w:noWrap w:val="0"/>
            <w:vAlign w:val="top"/>
          </w:tcPr>
          <w:p w14:paraId="0B97F866">
            <w:pPr>
              <w:snapToGrid w:val="0"/>
              <w:spacing w:line="360" w:lineRule="auto"/>
              <w:rPr>
                <w:rFonts w:hint="eastAsia" w:ascii="宋体" w:hAnsi="宋体"/>
                <w:color w:val="auto"/>
                <w:sz w:val="24"/>
              </w:rPr>
            </w:pPr>
            <w:r>
              <w:rPr>
                <w:rFonts w:hint="eastAsia" w:ascii="宋体" w:hAnsi="宋体"/>
                <w:color w:val="auto"/>
                <w:sz w:val="24"/>
              </w:rPr>
              <w:t>法定代表人或者</w:t>
            </w:r>
            <w:r>
              <w:rPr>
                <w:rFonts w:hint="eastAsia" w:ascii="宋体" w:hAnsi="宋体"/>
                <w:color w:val="auto"/>
                <w:sz w:val="24"/>
                <w:lang w:eastAsia="zh-CN"/>
              </w:rPr>
              <w:t>其</w:t>
            </w:r>
            <w:r>
              <w:rPr>
                <w:rFonts w:hint="eastAsia" w:ascii="宋体" w:hAnsi="宋体"/>
                <w:color w:val="auto"/>
                <w:sz w:val="24"/>
              </w:rPr>
              <w:t>委托代理人：</w:t>
            </w:r>
          </w:p>
        </w:tc>
      </w:tr>
      <w:tr w14:paraId="72A6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0B445348">
            <w:pPr>
              <w:snapToGrid w:val="0"/>
              <w:spacing w:line="360" w:lineRule="auto"/>
              <w:rPr>
                <w:rFonts w:hint="eastAsia" w:ascii="宋体" w:hAnsi="宋体"/>
                <w:color w:val="auto"/>
                <w:sz w:val="24"/>
              </w:rPr>
            </w:pPr>
            <w:r>
              <w:rPr>
                <w:rFonts w:hint="eastAsia" w:ascii="宋体" w:hAnsi="宋体"/>
                <w:color w:val="auto"/>
                <w:sz w:val="24"/>
              </w:rPr>
              <w:t>电话：</w:t>
            </w:r>
          </w:p>
        </w:tc>
        <w:tc>
          <w:tcPr>
            <w:tcW w:w="4517" w:type="dxa"/>
            <w:noWrap w:val="0"/>
            <w:vAlign w:val="center"/>
          </w:tcPr>
          <w:p w14:paraId="1ED9A8DB">
            <w:pPr>
              <w:snapToGrid w:val="0"/>
              <w:spacing w:line="360" w:lineRule="auto"/>
              <w:rPr>
                <w:rFonts w:hint="eastAsia" w:ascii="宋体" w:hAnsi="宋体"/>
                <w:color w:val="auto"/>
                <w:sz w:val="24"/>
              </w:rPr>
            </w:pPr>
            <w:r>
              <w:rPr>
                <w:rFonts w:hint="eastAsia" w:ascii="宋体" w:hAnsi="宋体"/>
                <w:color w:val="auto"/>
                <w:sz w:val="24"/>
              </w:rPr>
              <w:t>电话：</w:t>
            </w:r>
          </w:p>
        </w:tc>
      </w:tr>
      <w:tr w14:paraId="5D15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113B54CB">
            <w:pPr>
              <w:snapToGrid w:val="0"/>
              <w:spacing w:line="360" w:lineRule="auto"/>
              <w:rPr>
                <w:rFonts w:hint="eastAsia" w:ascii="宋体" w:hAnsi="宋体"/>
                <w:color w:val="auto"/>
                <w:sz w:val="24"/>
              </w:rPr>
            </w:pPr>
            <w:r>
              <w:rPr>
                <w:rFonts w:hint="eastAsia" w:ascii="宋体" w:hAnsi="宋体"/>
                <w:color w:val="auto"/>
                <w:sz w:val="24"/>
              </w:rPr>
              <w:t>电子邮箱：</w:t>
            </w:r>
          </w:p>
        </w:tc>
        <w:tc>
          <w:tcPr>
            <w:tcW w:w="4517" w:type="dxa"/>
            <w:noWrap w:val="0"/>
            <w:vAlign w:val="center"/>
          </w:tcPr>
          <w:p w14:paraId="3E89D372">
            <w:pPr>
              <w:snapToGrid w:val="0"/>
              <w:spacing w:line="360" w:lineRule="auto"/>
              <w:rPr>
                <w:rFonts w:hint="eastAsia" w:ascii="宋体" w:hAnsi="宋体"/>
                <w:color w:val="auto"/>
                <w:sz w:val="24"/>
              </w:rPr>
            </w:pPr>
            <w:r>
              <w:rPr>
                <w:rFonts w:hint="eastAsia" w:ascii="宋体" w:hAnsi="宋体"/>
                <w:color w:val="auto"/>
                <w:sz w:val="24"/>
              </w:rPr>
              <w:t>电子邮箱：</w:t>
            </w:r>
          </w:p>
        </w:tc>
      </w:tr>
      <w:tr w14:paraId="506E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2C697DD0">
            <w:pPr>
              <w:snapToGrid w:val="0"/>
              <w:spacing w:line="360" w:lineRule="auto"/>
              <w:rPr>
                <w:rFonts w:hint="eastAsia" w:ascii="宋体" w:hAnsi="宋体"/>
                <w:color w:val="auto"/>
                <w:sz w:val="24"/>
              </w:rPr>
            </w:pPr>
            <w:r>
              <w:rPr>
                <w:rFonts w:hint="eastAsia" w:ascii="宋体" w:hAnsi="宋体"/>
                <w:color w:val="auto"/>
                <w:sz w:val="24"/>
              </w:rPr>
              <w:t>开户银行：</w:t>
            </w:r>
          </w:p>
        </w:tc>
        <w:tc>
          <w:tcPr>
            <w:tcW w:w="4517" w:type="dxa"/>
            <w:noWrap w:val="0"/>
            <w:vAlign w:val="center"/>
          </w:tcPr>
          <w:p w14:paraId="3D4588AF">
            <w:pPr>
              <w:snapToGrid w:val="0"/>
              <w:spacing w:line="360" w:lineRule="auto"/>
              <w:rPr>
                <w:rFonts w:hint="eastAsia" w:ascii="宋体" w:hAnsi="宋体"/>
                <w:color w:val="auto"/>
                <w:sz w:val="24"/>
              </w:rPr>
            </w:pPr>
            <w:r>
              <w:rPr>
                <w:rFonts w:hint="eastAsia" w:ascii="宋体" w:hAnsi="宋体"/>
                <w:color w:val="auto"/>
                <w:sz w:val="24"/>
              </w:rPr>
              <w:t>开户银行：</w:t>
            </w:r>
          </w:p>
        </w:tc>
      </w:tr>
      <w:tr w14:paraId="2FE9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2C89E1A2">
            <w:pPr>
              <w:snapToGrid w:val="0"/>
              <w:spacing w:line="360" w:lineRule="auto"/>
              <w:rPr>
                <w:rFonts w:hint="eastAsia" w:ascii="宋体" w:hAnsi="宋体"/>
                <w:color w:val="auto"/>
                <w:sz w:val="24"/>
              </w:rPr>
            </w:pPr>
            <w:r>
              <w:rPr>
                <w:rFonts w:hint="eastAsia" w:ascii="宋体" w:hAnsi="宋体"/>
                <w:color w:val="auto"/>
                <w:sz w:val="24"/>
              </w:rPr>
              <w:t>账号：</w:t>
            </w:r>
          </w:p>
        </w:tc>
        <w:tc>
          <w:tcPr>
            <w:tcW w:w="4517" w:type="dxa"/>
            <w:noWrap w:val="0"/>
            <w:vAlign w:val="center"/>
          </w:tcPr>
          <w:p w14:paraId="7E0E0C01">
            <w:pPr>
              <w:snapToGrid w:val="0"/>
              <w:spacing w:line="360" w:lineRule="auto"/>
              <w:rPr>
                <w:rFonts w:hint="eastAsia" w:ascii="宋体" w:hAnsi="宋体"/>
                <w:color w:val="auto"/>
                <w:sz w:val="24"/>
              </w:rPr>
            </w:pPr>
            <w:r>
              <w:rPr>
                <w:rFonts w:hint="eastAsia" w:ascii="宋体" w:hAnsi="宋体"/>
                <w:color w:val="auto"/>
                <w:sz w:val="24"/>
              </w:rPr>
              <w:t>账号：</w:t>
            </w:r>
          </w:p>
        </w:tc>
      </w:tr>
      <w:tr w14:paraId="2667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74D3A582">
            <w:pPr>
              <w:snapToGrid w:val="0"/>
              <w:spacing w:line="360" w:lineRule="auto"/>
              <w:rPr>
                <w:rFonts w:hint="eastAsia" w:ascii="宋体" w:hAnsi="宋体"/>
                <w:color w:val="auto"/>
                <w:sz w:val="24"/>
              </w:rPr>
            </w:pPr>
            <w:r>
              <w:rPr>
                <w:rFonts w:hint="eastAsia" w:ascii="宋体" w:hAnsi="宋体"/>
                <w:color w:val="auto"/>
                <w:sz w:val="24"/>
              </w:rPr>
              <w:t>邮政编码：</w:t>
            </w:r>
          </w:p>
        </w:tc>
        <w:tc>
          <w:tcPr>
            <w:tcW w:w="4517" w:type="dxa"/>
            <w:noWrap w:val="0"/>
            <w:vAlign w:val="center"/>
          </w:tcPr>
          <w:p w14:paraId="4BBD6C7A">
            <w:pPr>
              <w:snapToGrid w:val="0"/>
              <w:spacing w:line="360" w:lineRule="auto"/>
              <w:rPr>
                <w:rFonts w:hint="eastAsia" w:ascii="宋体" w:hAnsi="宋体"/>
                <w:color w:val="auto"/>
                <w:sz w:val="24"/>
              </w:rPr>
            </w:pPr>
            <w:r>
              <w:rPr>
                <w:rFonts w:hint="eastAsia" w:ascii="宋体" w:hAnsi="宋体"/>
                <w:color w:val="auto"/>
                <w:sz w:val="24"/>
              </w:rPr>
              <w:t>邮政编码：</w:t>
            </w:r>
          </w:p>
        </w:tc>
      </w:tr>
    </w:tbl>
    <w:p w14:paraId="5BF810A6">
      <w:pPr>
        <w:snapToGrid w:val="0"/>
        <w:spacing w:line="360" w:lineRule="auto"/>
        <w:ind w:left="480" w:hanging="480" w:hangingChars="200"/>
        <w:rPr>
          <w:rFonts w:hint="eastAsia" w:ascii="宋体" w:hAnsi="宋体"/>
          <w:color w:val="auto"/>
          <w:sz w:val="24"/>
        </w:rPr>
      </w:pPr>
    </w:p>
    <w:p w14:paraId="3462A28B">
      <w:pPr>
        <w:snapToGrid w:val="0"/>
        <w:spacing w:line="360" w:lineRule="auto"/>
        <w:jc w:val="center"/>
        <w:rPr>
          <w:rFonts w:hint="eastAsia" w:ascii="宋体" w:hAnsi="宋体"/>
          <w:b/>
          <w:color w:val="auto"/>
          <w:sz w:val="24"/>
        </w:rPr>
      </w:pPr>
      <w:r>
        <w:rPr>
          <w:rFonts w:ascii="宋体" w:hAnsi="宋体"/>
          <w:b/>
          <w:color w:val="auto"/>
          <w:sz w:val="24"/>
        </w:rPr>
        <w:br w:type="page"/>
      </w:r>
      <w:r>
        <w:rPr>
          <w:rFonts w:hint="eastAsia" w:ascii="宋体" w:hAnsi="宋体"/>
          <w:b/>
          <w:color w:val="auto"/>
          <w:sz w:val="24"/>
        </w:rPr>
        <w:t>合 同 附 件</w:t>
      </w:r>
    </w:p>
    <w:p w14:paraId="2C83E03C">
      <w:pPr>
        <w:snapToGrid w:val="0"/>
        <w:spacing w:line="360" w:lineRule="auto"/>
        <w:ind w:firstLine="720" w:firstLineChars="300"/>
        <w:rPr>
          <w:rFonts w:hint="eastAsia" w:ascii="宋体" w:hAnsi="宋体"/>
          <w:color w:val="auto"/>
          <w:sz w:val="24"/>
        </w:rPr>
      </w:pPr>
      <w:r>
        <w:rPr>
          <w:rFonts w:hint="eastAsia" w:ascii="宋体" w:hAnsi="宋体"/>
          <w:color w:val="auto"/>
          <w:sz w:val="24"/>
        </w:rPr>
        <w:t>一般货物类</w:t>
      </w:r>
    </w:p>
    <w:tbl>
      <w:tblPr>
        <w:tblStyle w:val="45"/>
        <w:tblW w:w="8522" w:type="dxa"/>
        <w:jc w:val="center"/>
        <w:tblLayout w:type="fixed"/>
        <w:tblCellMar>
          <w:top w:w="0" w:type="dxa"/>
          <w:left w:w="108" w:type="dxa"/>
          <w:bottom w:w="0" w:type="dxa"/>
          <w:right w:w="108" w:type="dxa"/>
        </w:tblCellMar>
      </w:tblPr>
      <w:tblGrid>
        <w:gridCol w:w="4263"/>
        <w:gridCol w:w="4259"/>
      </w:tblGrid>
      <w:tr w14:paraId="3797FE78">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noWrap w:val="0"/>
            <w:vAlign w:val="top"/>
          </w:tcPr>
          <w:p w14:paraId="706A24BD">
            <w:pPr>
              <w:snapToGrid w:val="0"/>
              <w:spacing w:line="360" w:lineRule="auto"/>
              <w:rPr>
                <w:rFonts w:hint="eastAsia" w:ascii="宋体" w:hAnsi="宋体"/>
                <w:b/>
                <w:color w:val="auto"/>
                <w:sz w:val="24"/>
              </w:rPr>
            </w:pPr>
            <w:r>
              <w:rPr>
                <w:rFonts w:hint="eastAsia" w:ascii="宋体" w:hAnsi="宋体"/>
                <w:b/>
                <w:color w:val="auto"/>
                <w:sz w:val="24"/>
              </w:rPr>
              <w:t>1. 供应商承诺具体事项：</w:t>
            </w:r>
          </w:p>
        </w:tc>
      </w:tr>
      <w:tr w14:paraId="7E2606C2">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noWrap w:val="0"/>
            <w:vAlign w:val="top"/>
          </w:tcPr>
          <w:p w14:paraId="3B2C4F22">
            <w:pPr>
              <w:snapToGrid w:val="0"/>
              <w:spacing w:line="360" w:lineRule="auto"/>
              <w:rPr>
                <w:rFonts w:hint="eastAsia" w:ascii="宋体" w:hAnsi="宋体"/>
                <w:b/>
                <w:color w:val="auto"/>
                <w:sz w:val="24"/>
              </w:rPr>
            </w:pPr>
            <w:r>
              <w:rPr>
                <w:rFonts w:hint="eastAsia" w:ascii="宋体" w:hAnsi="宋体"/>
                <w:b/>
                <w:color w:val="auto"/>
                <w:sz w:val="24"/>
              </w:rPr>
              <w:t>2. 售后服务具体事项：</w:t>
            </w:r>
          </w:p>
        </w:tc>
      </w:tr>
      <w:tr w14:paraId="196E7932">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noWrap w:val="0"/>
            <w:vAlign w:val="top"/>
          </w:tcPr>
          <w:p w14:paraId="36AF949F">
            <w:pPr>
              <w:snapToGrid w:val="0"/>
              <w:spacing w:line="360" w:lineRule="auto"/>
              <w:rPr>
                <w:rFonts w:hint="eastAsia" w:ascii="宋体" w:hAnsi="宋体"/>
                <w:b/>
                <w:color w:val="auto"/>
                <w:sz w:val="24"/>
              </w:rPr>
            </w:pPr>
            <w:r>
              <w:rPr>
                <w:rFonts w:hint="eastAsia" w:ascii="宋体" w:hAnsi="宋体"/>
                <w:b/>
                <w:color w:val="auto"/>
                <w:sz w:val="24"/>
              </w:rPr>
              <w:t>3. 保修期责任：</w:t>
            </w:r>
          </w:p>
        </w:tc>
      </w:tr>
      <w:tr w14:paraId="148BB245">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noWrap w:val="0"/>
            <w:vAlign w:val="top"/>
          </w:tcPr>
          <w:p w14:paraId="2E6B4E48">
            <w:pPr>
              <w:snapToGrid w:val="0"/>
              <w:spacing w:line="360" w:lineRule="auto"/>
              <w:rPr>
                <w:rFonts w:hint="eastAsia" w:ascii="宋体" w:hAnsi="宋体"/>
                <w:b/>
                <w:color w:val="auto"/>
                <w:sz w:val="24"/>
              </w:rPr>
            </w:pPr>
            <w:r>
              <w:rPr>
                <w:rFonts w:hint="eastAsia" w:ascii="宋体" w:hAnsi="宋体"/>
                <w:b/>
                <w:color w:val="auto"/>
                <w:sz w:val="24"/>
              </w:rPr>
              <w:t xml:space="preserve">4. </w:t>
            </w:r>
            <w:r>
              <w:rPr>
                <w:rFonts w:hint="eastAsia" w:ascii="宋体" w:hAnsi="宋体"/>
                <w:b/>
                <w:color w:val="auto"/>
                <w:sz w:val="24"/>
                <w:lang w:eastAsia="zh-CN"/>
              </w:rPr>
              <w:t>其他</w:t>
            </w:r>
            <w:r>
              <w:rPr>
                <w:rFonts w:hint="eastAsia" w:ascii="宋体" w:hAnsi="宋体"/>
                <w:b/>
                <w:color w:val="auto"/>
                <w:sz w:val="24"/>
              </w:rPr>
              <w:t>具体事项：</w:t>
            </w:r>
          </w:p>
        </w:tc>
      </w:tr>
      <w:tr w14:paraId="37C7157F">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noWrap w:val="0"/>
            <w:vAlign w:val="center"/>
          </w:tcPr>
          <w:p w14:paraId="026027A6">
            <w:pPr>
              <w:snapToGrid w:val="0"/>
              <w:spacing w:line="360" w:lineRule="auto"/>
              <w:rPr>
                <w:rFonts w:hint="eastAsia" w:ascii="宋体" w:hAnsi="宋体"/>
                <w:b/>
                <w:color w:val="auto"/>
                <w:sz w:val="24"/>
              </w:rPr>
            </w:pPr>
            <w:r>
              <w:rPr>
                <w:rFonts w:hint="eastAsia" w:ascii="宋体" w:hAnsi="宋体"/>
                <w:b/>
                <w:color w:val="auto"/>
                <w:sz w:val="24"/>
              </w:rPr>
              <w:t>甲方（章）</w:t>
            </w:r>
          </w:p>
          <w:p w14:paraId="78D175B3">
            <w:pPr>
              <w:snapToGrid w:val="0"/>
              <w:spacing w:line="360" w:lineRule="auto"/>
              <w:ind w:firstLine="480" w:firstLineChars="200"/>
              <w:rPr>
                <w:rFonts w:hint="eastAsia" w:ascii="宋体" w:hAnsi="宋体"/>
                <w:b/>
                <w:color w:val="auto"/>
                <w:sz w:val="24"/>
              </w:rPr>
            </w:pPr>
          </w:p>
          <w:p w14:paraId="65CB2A76">
            <w:pPr>
              <w:snapToGrid w:val="0"/>
              <w:spacing w:line="360" w:lineRule="auto"/>
              <w:rPr>
                <w:rFonts w:hint="eastAsia" w:ascii="宋体" w:hAnsi="宋体"/>
                <w:b/>
                <w:color w:val="auto"/>
                <w:sz w:val="24"/>
              </w:rPr>
            </w:pPr>
          </w:p>
          <w:p w14:paraId="2989EB01">
            <w:pPr>
              <w:snapToGrid w:val="0"/>
              <w:spacing w:line="360" w:lineRule="auto"/>
              <w:ind w:firstLine="480" w:firstLineChars="200"/>
              <w:rPr>
                <w:rFonts w:hint="eastAsia" w:ascii="宋体" w:hAnsi="宋体"/>
                <w:b/>
                <w:color w:val="auto"/>
                <w:sz w:val="24"/>
              </w:rPr>
            </w:pPr>
            <w:r>
              <w:rPr>
                <w:rFonts w:hint="eastAsia" w:ascii="宋体" w:hAnsi="宋体"/>
                <w:b/>
                <w:color w:val="auto"/>
                <w:sz w:val="24"/>
              </w:rPr>
              <w:t xml:space="preserve">               年   月   日 </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7BBD06D2">
            <w:pPr>
              <w:snapToGrid w:val="0"/>
              <w:spacing w:line="360" w:lineRule="auto"/>
              <w:rPr>
                <w:rFonts w:hint="eastAsia" w:ascii="宋体" w:hAnsi="宋体"/>
                <w:b/>
                <w:color w:val="auto"/>
                <w:sz w:val="24"/>
              </w:rPr>
            </w:pPr>
            <w:r>
              <w:rPr>
                <w:rFonts w:hint="eastAsia" w:ascii="宋体" w:hAnsi="宋体"/>
                <w:b/>
                <w:color w:val="auto"/>
                <w:sz w:val="24"/>
              </w:rPr>
              <w:t>乙方（章）</w:t>
            </w:r>
          </w:p>
          <w:p w14:paraId="5BD7E469">
            <w:pPr>
              <w:snapToGrid w:val="0"/>
              <w:spacing w:line="360" w:lineRule="auto"/>
              <w:ind w:firstLine="480" w:firstLineChars="200"/>
              <w:rPr>
                <w:rFonts w:hint="eastAsia" w:ascii="宋体" w:hAnsi="宋体"/>
                <w:b/>
                <w:color w:val="auto"/>
                <w:sz w:val="24"/>
              </w:rPr>
            </w:pPr>
          </w:p>
          <w:p w14:paraId="7B643ABC">
            <w:pPr>
              <w:snapToGrid w:val="0"/>
              <w:spacing w:line="360" w:lineRule="auto"/>
              <w:rPr>
                <w:rFonts w:hint="eastAsia" w:ascii="宋体" w:hAnsi="宋体"/>
                <w:b/>
                <w:color w:val="auto"/>
                <w:sz w:val="24"/>
              </w:rPr>
            </w:pPr>
          </w:p>
          <w:p w14:paraId="5E04774F">
            <w:pPr>
              <w:snapToGrid w:val="0"/>
              <w:spacing w:line="360" w:lineRule="auto"/>
              <w:ind w:firstLine="480" w:firstLineChars="200"/>
              <w:rPr>
                <w:rFonts w:hint="eastAsia" w:ascii="宋体" w:hAnsi="宋体"/>
                <w:b/>
                <w:color w:val="auto"/>
                <w:sz w:val="24"/>
              </w:rPr>
            </w:pPr>
            <w:r>
              <w:rPr>
                <w:rFonts w:hint="eastAsia" w:ascii="宋体" w:hAnsi="宋体"/>
                <w:b/>
                <w:color w:val="auto"/>
                <w:sz w:val="24"/>
              </w:rPr>
              <w:t xml:space="preserve">                 年   月   日</w:t>
            </w:r>
          </w:p>
        </w:tc>
      </w:tr>
    </w:tbl>
    <w:p w14:paraId="647D9E23">
      <w:pPr>
        <w:snapToGrid w:val="0"/>
        <w:spacing w:line="360" w:lineRule="auto"/>
        <w:jc w:val="left"/>
        <w:rPr>
          <w:rFonts w:hint="eastAsia"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 xml:space="preserve"> 注：售后服务事项填不下时可另加附页</w:t>
      </w:r>
    </w:p>
    <w:p w14:paraId="108271D3">
      <w:pPr>
        <w:snapToGrid w:val="0"/>
        <w:spacing w:line="360" w:lineRule="auto"/>
        <w:jc w:val="left"/>
        <w:rPr>
          <w:rFonts w:ascii="Times New Roman" w:hAnsi="Times New Roman"/>
          <w:color w:val="auto"/>
          <w:sz w:val="24"/>
        </w:rPr>
      </w:pPr>
    </w:p>
    <w:p w14:paraId="6FE5998E">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1193CA3C">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bookmarkStart w:id="164" w:name="_Toc31751"/>
      <w:bookmarkStart w:id="165" w:name="_Toc80205947"/>
    </w:p>
    <w:p w14:paraId="54B988B5">
      <w:pPr>
        <w:rPr>
          <w:rFonts w:hint="eastAsia" w:ascii="宋体" w:hAnsi="宋体" w:eastAsia="宋体" w:cs="宋体"/>
          <w:bCs/>
          <w:color w:val="auto"/>
          <w:sz w:val="44"/>
          <w:szCs w:val="44"/>
          <w:highlight w:val="none"/>
          <w:lang w:val="zh-CN" w:eastAsia="zh-CN"/>
        </w:rPr>
      </w:pPr>
      <w:bookmarkStart w:id="166" w:name="_Toc6393"/>
      <w:bookmarkStart w:id="167" w:name="_Toc25054"/>
      <w:bookmarkStart w:id="168" w:name="_Toc24483"/>
      <w:bookmarkStart w:id="169" w:name="_Toc32254"/>
      <w:bookmarkStart w:id="170" w:name="_Toc5523"/>
      <w:bookmarkStart w:id="171" w:name="_Toc27629"/>
      <w:bookmarkStart w:id="172" w:name="_Toc2169"/>
      <w:r>
        <w:rPr>
          <w:rFonts w:hint="eastAsia" w:ascii="宋体" w:hAnsi="宋体" w:eastAsia="宋体" w:cs="宋体"/>
          <w:bCs/>
          <w:color w:val="auto"/>
          <w:sz w:val="44"/>
          <w:szCs w:val="44"/>
          <w:highlight w:val="none"/>
          <w:lang w:val="zh-CN" w:eastAsia="zh-CN"/>
        </w:rPr>
        <w:br w:type="page"/>
      </w:r>
    </w:p>
    <w:p w14:paraId="5B8F8D91">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1B6A6DCF">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67BAA1B9">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3878A87B">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sectPr>
          <w:pgSz w:w="11910" w:h="16840"/>
          <w:pgMar w:top="1134" w:right="1134" w:bottom="1134" w:left="1134" w:header="720" w:footer="720" w:gutter="0"/>
          <w:cols w:space="720" w:num="1"/>
        </w:sectPr>
      </w:pPr>
      <w:r>
        <w:rPr>
          <w:rFonts w:hint="eastAsia" w:ascii="宋体" w:hAnsi="宋体" w:eastAsia="宋体" w:cs="宋体"/>
          <w:bCs/>
          <w:color w:val="auto"/>
          <w:sz w:val="44"/>
          <w:szCs w:val="44"/>
          <w:highlight w:val="none"/>
          <w:lang w:val="zh-CN" w:eastAsia="zh-CN"/>
        </w:rPr>
        <w:t>第七章 质疑、投诉材料格式</w:t>
      </w:r>
      <w:bookmarkEnd w:id="164"/>
      <w:bookmarkEnd w:id="165"/>
      <w:bookmarkEnd w:id="166"/>
      <w:bookmarkEnd w:id="167"/>
      <w:bookmarkEnd w:id="168"/>
      <w:bookmarkEnd w:id="169"/>
      <w:bookmarkEnd w:id="170"/>
      <w:bookmarkEnd w:id="171"/>
      <w:bookmarkEnd w:id="172"/>
    </w:p>
    <w:p w14:paraId="06328C4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4EE4428E">
      <w:pPr>
        <w:spacing w:line="360" w:lineRule="auto"/>
        <w:ind w:firstLine="482"/>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一、质疑供应商基本信息：</w:t>
      </w:r>
    </w:p>
    <w:p w14:paraId="77B1D445">
      <w:pPr>
        <w:spacing w:line="360" w:lineRule="auto"/>
        <w:ind w:firstLine="480"/>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质疑供应商：</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2D35B12F">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17D55A53">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74E79BB8">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授权代表：</w:t>
      </w:r>
      <w:r>
        <w:rPr>
          <w:rFonts w:hint="eastAsia" w:ascii="宋体" w:hAnsi="宋体" w:eastAsia="宋体" w:cs="宋体"/>
          <w:bCs/>
          <w:color w:val="auto"/>
          <w:sz w:val="24"/>
          <w:szCs w:val="24"/>
          <w:highlight w:val="none"/>
          <w:u w:val="single"/>
          <w:lang w:val="zh-CN" w:eastAsia="zh-CN"/>
        </w:rPr>
        <w:t xml:space="preserve">                      </w:t>
      </w:r>
    </w:p>
    <w:p w14:paraId="79D95683">
      <w:pPr>
        <w:spacing w:line="360" w:lineRule="auto"/>
        <w:ind w:firstLine="480"/>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521B1526">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3D57035D">
      <w:pPr>
        <w:spacing w:line="360" w:lineRule="auto"/>
        <w:ind w:firstLine="482"/>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二、质疑项目基本情况：</w:t>
      </w:r>
    </w:p>
    <w:p w14:paraId="76C98FE6">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质疑</w:t>
      </w:r>
      <w:r>
        <w:rPr>
          <w:rFonts w:hint="eastAsia" w:ascii="宋体" w:hAnsi="宋体" w:eastAsia="宋体" w:cs="宋体"/>
          <w:color w:val="auto"/>
          <w:sz w:val="24"/>
          <w:szCs w:val="24"/>
          <w:highlight w:val="none"/>
          <w:lang w:val="zh-CN" w:eastAsia="zh-CN"/>
        </w:rPr>
        <w:t>项目的名称：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384E0EC9">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质疑</w:t>
      </w:r>
      <w:r>
        <w:rPr>
          <w:rFonts w:hint="eastAsia" w:ascii="宋体" w:hAnsi="宋体" w:eastAsia="宋体" w:cs="宋体"/>
          <w:color w:val="auto"/>
          <w:sz w:val="24"/>
          <w:szCs w:val="24"/>
          <w:highlight w:val="none"/>
          <w:lang w:val="zh-CN" w:eastAsia="zh-CN"/>
        </w:rPr>
        <w:t>项目的编号：</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631BCE97">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采购人名称：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EFEF689">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w:t>
      </w:r>
    </w:p>
    <w:p w14:paraId="76542037">
      <w:pPr>
        <w:spacing w:line="360" w:lineRule="auto"/>
        <w:ind w:left="25" w:firstLine="35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□采购文件   采购文件获取日期：</w:t>
      </w:r>
      <w:r>
        <w:rPr>
          <w:rFonts w:hint="eastAsia" w:ascii="宋体" w:hAnsi="宋体" w:eastAsia="宋体" w:cs="宋体"/>
          <w:bCs/>
          <w:color w:val="auto"/>
          <w:sz w:val="24"/>
          <w:szCs w:val="24"/>
          <w:highlight w:val="none"/>
          <w:u w:val="single"/>
          <w:lang w:val="zh-CN" w:eastAsia="zh-CN"/>
        </w:rPr>
        <w:t xml:space="preserve">                                   </w:t>
      </w:r>
    </w:p>
    <w:p w14:paraId="1B4B15F5">
      <w:pPr>
        <w:spacing w:line="360" w:lineRule="auto"/>
        <w:ind w:left="25" w:firstLine="35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□采购过程   </w:t>
      </w:r>
    </w:p>
    <w:p w14:paraId="05B622AA">
      <w:pPr>
        <w:spacing w:line="360" w:lineRule="auto"/>
        <w:ind w:left="25" w:firstLine="352"/>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 xml:space="preserve">□成交结果   </w:t>
      </w:r>
    </w:p>
    <w:p w14:paraId="002572AD">
      <w:pPr>
        <w:spacing w:line="360" w:lineRule="auto"/>
        <w:ind w:left="25" w:firstLine="472"/>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三、质疑事项具体内容</w:t>
      </w:r>
    </w:p>
    <w:p w14:paraId="2E4D7402">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质疑事项1：</w:t>
      </w:r>
      <w:r>
        <w:rPr>
          <w:rFonts w:hint="eastAsia" w:ascii="宋体" w:hAnsi="宋体" w:eastAsia="宋体" w:cs="宋体"/>
          <w:bCs/>
          <w:color w:val="auto"/>
          <w:sz w:val="24"/>
          <w:szCs w:val="24"/>
          <w:highlight w:val="none"/>
          <w:u w:val="single"/>
          <w:lang w:val="zh-CN" w:eastAsia="zh-CN"/>
        </w:rPr>
        <w:t xml:space="preserve">                                                                    </w:t>
      </w:r>
    </w:p>
    <w:p w14:paraId="2B0EF323">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事实依据：</w:t>
      </w:r>
      <w:r>
        <w:rPr>
          <w:rFonts w:hint="eastAsia" w:ascii="宋体" w:hAnsi="宋体" w:eastAsia="宋体" w:cs="宋体"/>
          <w:bCs/>
          <w:color w:val="auto"/>
          <w:sz w:val="24"/>
          <w:szCs w:val="24"/>
          <w:highlight w:val="none"/>
          <w:u w:val="single"/>
          <w:lang w:val="zh-CN" w:eastAsia="zh-CN"/>
        </w:rPr>
        <w:t xml:space="preserve">                                                                      </w:t>
      </w:r>
    </w:p>
    <w:p w14:paraId="338CE98C">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法律依据：</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42525258">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质疑事项2</w:t>
      </w:r>
    </w:p>
    <w:p w14:paraId="340B5FC6">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p>
    <w:p w14:paraId="2128564B">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四、与质疑事项相关的质疑请求：</w:t>
      </w:r>
    </w:p>
    <w:p w14:paraId="472C5B3E">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请求：</w:t>
      </w:r>
      <w:r>
        <w:rPr>
          <w:rFonts w:hint="eastAsia" w:ascii="宋体" w:hAnsi="宋体" w:eastAsia="宋体" w:cs="宋体"/>
          <w:bCs/>
          <w:color w:val="auto"/>
          <w:sz w:val="24"/>
          <w:szCs w:val="24"/>
          <w:highlight w:val="none"/>
          <w:u w:val="single"/>
          <w:lang w:val="zh-CN" w:eastAsia="zh-CN"/>
        </w:rPr>
        <w:t xml:space="preserve">                                                                </w:t>
      </w:r>
    </w:p>
    <w:p w14:paraId="2CA77F69">
      <w:pPr>
        <w:spacing w:line="360" w:lineRule="auto"/>
        <w:ind w:left="25" w:firstLine="352"/>
        <w:contextualSpacing/>
        <w:rPr>
          <w:rFonts w:hint="eastAsia" w:ascii="宋体" w:hAnsi="宋体" w:eastAsia="宋体" w:cs="宋体"/>
          <w:color w:val="auto"/>
          <w:sz w:val="24"/>
          <w:szCs w:val="24"/>
          <w:highlight w:val="none"/>
          <w:lang w:val="zh-CN" w:eastAsia="zh-CN"/>
        </w:rPr>
      </w:pPr>
    </w:p>
    <w:p w14:paraId="32285D7E">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签字（签章）：                                       公章：</w:t>
      </w:r>
    </w:p>
    <w:p w14:paraId="548D1D42">
      <w:pPr>
        <w:spacing w:line="360" w:lineRule="auto"/>
        <w:ind w:left="25" w:firstLine="352"/>
        <w:contextualSpacing/>
        <w:rPr>
          <w:rFonts w:hint="eastAsia" w:ascii="宋体" w:hAnsi="宋体" w:eastAsia="宋体" w:cs="宋体"/>
          <w:color w:val="auto"/>
          <w:sz w:val="24"/>
          <w:szCs w:val="24"/>
          <w:highlight w:val="none"/>
          <w:lang w:val="zh-CN" w:eastAsia="zh-CN"/>
        </w:rPr>
      </w:pPr>
    </w:p>
    <w:p w14:paraId="74DB134F">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p>
    <w:p w14:paraId="7FBA5162">
      <w:pPr>
        <w:spacing w:line="360" w:lineRule="auto"/>
        <w:contextualSpacing/>
        <w:rPr>
          <w:rFonts w:hint="eastAsia" w:ascii="宋体" w:hAnsi="宋体" w:eastAsia="宋体" w:cs="宋体"/>
          <w:b/>
          <w:color w:val="auto"/>
          <w:sz w:val="24"/>
          <w:szCs w:val="24"/>
          <w:highlight w:val="none"/>
          <w:lang w:val="zh-CN" w:eastAsia="zh-CN"/>
        </w:rPr>
      </w:pPr>
    </w:p>
    <w:p w14:paraId="1A072395">
      <w:pPr>
        <w:spacing w:line="360" w:lineRule="auto"/>
        <w:contextualSpacing/>
        <w:rPr>
          <w:rFonts w:hint="eastAsia" w:ascii="宋体" w:hAnsi="宋体" w:eastAsia="宋体" w:cs="宋体"/>
          <w:b/>
          <w:color w:val="auto"/>
          <w:sz w:val="24"/>
          <w:szCs w:val="24"/>
          <w:highlight w:val="none"/>
          <w:lang w:val="zh-CN" w:eastAsia="zh-CN"/>
        </w:rPr>
      </w:pPr>
    </w:p>
    <w:p w14:paraId="12CB24D6">
      <w:pPr>
        <w:spacing w:line="360" w:lineRule="auto"/>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说明：</w:t>
      </w:r>
    </w:p>
    <w:p w14:paraId="11B2D0B8">
      <w:pPr>
        <w:spacing w:line="360" w:lineRule="auto"/>
        <w:ind w:left="25" w:firstLine="354"/>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1.供应商提出质疑时，应提交质疑函和必要的证明材料</w:t>
      </w:r>
      <w:r>
        <w:rPr>
          <w:rFonts w:hint="eastAsia" w:ascii="宋体" w:hAnsi="宋体" w:eastAsia="宋体" w:cs="宋体"/>
          <w:b/>
          <w:bCs/>
          <w:color w:val="auto"/>
          <w:sz w:val="24"/>
          <w:szCs w:val="24"/>
          <w:highlight w:val="none"/>
          <w:lang w:val="zh-CN" w:eastAsia="zh-CN"/>
        </w:rPr>
        <w:t>。</w:t>
      </w:r>
    </w:p>
    <w:p w14:paraId="4E86FCDE">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56B6490">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3.质疑函的质疑事项应具体、明确，并有必要的事实依据和法律依据。</w:t>
      </w:r>
    </w:p>
    <w:p w14:paraId="1A49A395">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4.质疑函的质疑请求应与质疑事项相关。</w:t>
      </w:r>
    </w:p>
    <w:p w14:paraId="1DBF125D">
      <w:pPr>
        <w:spacing w:line="360" w:lineRule="auto"/>
        <w:ind w:left="25" w:firstLine="354"/>
        <w:contextualSpacing/>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4"/>
          <w:szCs w:val="24"/>
          <w:highlight w:val="none"/>
          <w:lang w:val="zh-CN" w:eastAsia="zh-CN"/>
        </w:rPr>
        <w:t>5.质疑供应商为法人或者其他组织的，质疑函应由法定代表人、主要负责人，或者其授权代表签字或者盖章，并加盖公章。</w:t>
      </w:r>
    </w:p>
    <w:p w14:paraId="2EF61A35">
      <w:pPr>
        <w:rPr>
          <w:rFonts w:hint="eastAsia" w:ascii="宋体" w:hAnsi="宋体" w:eastAsia="宋体" w:cs="宋体"/>
          <w:b/>
          <w:color w:val="auto"/>
          <w:sz w:val="24"/>
          <w:szCs w:val="24"/>
          <w:highlight w:val="none"/>
          <w:lang w:val="zh-CN" w:eastAsia="zh-CN"/>
        </w:rPr>
      </w:pPr>
    </w:p>
    <w:p w14:paraId="4B45C4EE">
      <w:pPr>
        <w:spacing w:line="460" w:lineRule="exact"/>
        <w:jc w:val="center"/>
        <w:rPr>
          <w:rFonts w:hint="eastAsia" w:ascii="宋体" w:hAnsi="宋体" w:eastAsia="宋体" w:cs="宋体"/>
          <w:color w:val="auto"/>
          <w:sz w:val="44"/>
          <w:szCs w:val="24"/>
          <w:highlight w:val="none"/>
        </w:rPr>
      </w:pPr>
      <w:r>
        <w:rPr>
          <w:rFonts w:hint="eastAsia" w:ascii="宋体" w:hAnsi="宋体" w:eastAsia="宋体" w:cs="宋体"/>
          <w:color w:val="auto"/>
          <w:sz w:val="44"/>
          <w:szCs w:val="24"/>
          <w:highlight w:val="none"/>
        </w:rPr>
        <w:br w:type="page" w:clear="all"/>
      </w:r>
    </w:p>
    <w:p w14:paraId="0A576E8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6FA94B7A">
      <w:pPr>
        <w:spacing w:line="360" w:lineRule="auto"/>
        <w:ind w:firstLine="482"/>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一、投诉相关主体基本情况：</w:t>
      </w:r>
    </w:p>
    <w:p w14:paraId="398ADCAE">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供应商：</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5BF448B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54AAB693">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法定代表人/主要负责人：</w:t>
      </w:r>
      <w:r>
        <w:rPr>
          <w:rFonts w:hint="eastAsia" w:ascii="宋体" w:hAnsi="宋体" w:eastAsia="宋体" w:cs="宋体"/>
          <w:bCs/>
          <w:color w:val="auto"/>
          <w:sz w:val="24"/>
          <w:szCs w:val="24"/>
          <w:highlight w:val="none"/>
          <w:u w:val="single"/>
          <w:lang w:val="zh-CN" w:eastAsia="zh-CN"/>
        </w:rPr>
        <w:t xml:space="preserve">                                                         </w:t>
      </w:r>
    </w:p>
    <w:p w14:paraId="262E184E">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5419F620">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授权代表：</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70F4C42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p>
    <w:p w14:paraId="08DB890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6A6D5049">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被投诉人1：</w:t>
      </w:r>
    </w:p>
    <w:p w14:paraId="14E4D4C5">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p>
    <w:p w14:paraId="0E2EFBB5">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2F7F04A1">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438F6E45">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被投诉人2：</w:t>
      </w:r>
    </w:p>
    <w:p w14:paraId="39EBBD2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w:t>
      </w:r>
    </w:p>
    <w:p w14:paraId="0E78FAD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相关供应商：</w:t>
      </w:r>
      <w:r>
        <w:rPr>
          <w:rFonts w:hint="eastAsia" w:ascii="宋体" w:hAnsi="宋体" w:eastAsia="宋体" w:cs="宋体"/>
          <w:bCs/>
          <w:color w:val="auto"/>
          <w:sz w:val="24"/>
          <w:szCs w:val="24"/>
          <w:highlight w:val="none"/>
          <w:u w:val="single"/>
          <w:lang w:val="zh-CN" w:eastAsia="zh-CN"/>
        </w:rPr>
        <w:t xml:space="preserve">                                                                       </w:t>
      </w:r>
    </w:p>
    <w:p w14:paraId="350C389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p>
    <w:p w14:paraId="3F87132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5A747C88">
      <w:pPr>
        <w:spacing w:line="360" w:lineRule="auto"/>
        <w:ind w:firstLine="482"/>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二、投诉项目基本情况：</w:t>
      </w:r>
    </w:p>
    <w:p w14:paraId="5BAA7A9B">
      <w:pPr>
        <w:spacing w:line="360" w:lineRule="auto"/>
        <w:ind w:left="25" w:firstLine="472"/>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eastAsia="zh-CN"/>
        </w:rPr>
        <w:t>采购</w:t>
      </w:r>
      <w:r>
        <w:rPr>
          <w:rFonts w:hint="eastAsia" w:ascii="宋体" w:hAnsi="宋体" w:eastAsia="宋体" w:cs="宋体"/>
          <w:color w:val="auto"/>
          <w:sz w:val="24"/>
          <w:szCs w:val="24"/>
          <w:highlight w:val="none"/>
          <w:lang w:val="zh-CN" w:eastAsia="zh-CN"/>
        </w:rPr>
        <w:t>项目的名称：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8F2B73C">
      <w:pPr>
        <w:spacing w:line="360" w:lineRule="auto"/>
        <w:ind w:left="25" w:firstLine="472"/>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zh-CN" w:eastAsia="zh-CN"/>
        </w:rPr>
        <w:t>采购</w:t>
      </w:r>
      <w:r>
        <w:rPr>
          <w:rFonts w:hint="eastAsia" w:ascii="宋体" w:hAnsi="宋体" w:eastAsia="宋体" w:cs="宋体"/>
          <w:color w:val="auto"/>
          <w:sz w:val="24"/>
          <w:szCs w:val="24"/>
          <w:highlight w:val="none"/>
          <w:lang w:val="zh-CN" w:eastAsia="zh-CN"/>
        </w:rPr>
        <w:t>项目的编号：</w:t>
      </w:r>
      <w:r>
        <w:rPr>
          <w:rFonts w:hint="eastAsia" w:ascii="宋体" w:hAnsi="宋体" w:eastAsia="宋体" w:cs="宋体"/>
          <w:bCs/>
          <w:color w:val="auto"/>
          <w:sz w:val="24"/>
          <w:szCs w:val="24"/>
          <w:highlight w:val="none"/>
          <w:u w:val="single"/>
          <w:lang w:val="en-US" w:eastAsia="zh-CN"/>
        </w:rPr>
        <w:t xml:space="preserve">                 </w:t>
      </w:r>
    </w:p>
    <w:p w14:paraId="7E1B9A8F">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采购人名称：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2E45352">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代理机构名称：</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9C9F89C">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en-US" w:eastAsia="zh-CN"/>
        </w:rPr>
        <w:t>采购</w:t>
      </w:r>
      <w:r>
        <w:rPr>
          <w:rFonts w:hint="eastAsia" w:ascii="宋体" w:hAnsi="宋体" w:eastAsia="宋体" w:cs="宋体"/>
          <w:bCs/>
          <w:color w:val="auto"/>
          <w:sz w:val="24"/>
          <w:szCs w:val="24"/>
          <w:highlight w:val="none"/>
          <w:lang w:val="zh-CN" w:eastAsia="zh-CN"/>
        </w:rPr>
        <w:t>文件公告：</w:t>
      </w:r>
      <w:r>
        <w:rPr>
          <w:rFonts w:hint="eastAsia" w:ascii="宋体" w:hAnsi="宋体" w:eastAsia="宋体" w:cs="宋体"/>
          <w:bCs/>
          <w:color w:val="auto"/>
          <w:sz w:val="24"/>
          <w:szCs w:val="24"/>
          <w:highlight w:val="none"/>
          <w:u w:val="single"/>
          <w:lang w:val="zh-CN" w:eastAsia="zh-CN"/>
        </w:rPr>
        <w:t>是/否</w:t>
      </w:r>
      <w:r>
        <w:rPr>
          <w:rFonts w:hint="eastAsia" w:ascii="宋体" w:hAnsi="宋体" w:eastAsia="宋体" w:cs="宋体"/>
          <w:bCs/>
          <w:color w:val="auto"/>
          <w:sz w:val="24"/>
          <w:szCs w:val="24"/>
          <w:highlight w:val="none"/>
          <w:lang w:val="zh-CN" w:eastAsia="zh-CN"/>
        </w:rPr>
        <w:t>公告期限：</w:t>
      </w:r>
      <w:r>
        <w:rPr>
          <w:rFonts w:hint="eastAsia" w:ascii="宋体" w:hAnsi="宋体" w:eastAsia="宋体" w:cs="宋体"/>
          <w:bCs/>
          <w:color w:val="auto"/>
          <w:sz w:val="24"/>
          <w:szCs w:val="24"/>
          <w:highlight w:val="none"/>
          <w:u w:val="single"/>
          <w:lang w:val="zh-CN" w:eastAsia="zh-CN"/>
        </w:rPr>
        <w:t xml:space="preserve">                                                       </w:t>
      </w:r>
    </w:p>
    <w:p w14:paraId="461571C1">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采购结果公告：</w:t>
      </w:r>
      <w:r>
        <w:rPr>
          <w:rFonts w:hint="eastAsia" w:ascii="宋体" w:hAnsi="宋体" w:eastAsia="宋体" w:cs="宋体"/>
          <w:bCs/>
          <w:color w:val="auto"/>
          <w:sz w:val="24"/>
          <w:szCs w:val="24"/>
          <w:highlight w:val="none"/>
          <w:u w:val="single"/>
          <w:lang w:val="zh-CN" w:eastAsia="zh-CN"/>
        </w:rPr>
        <w:t>是/否</w:t>
      </w:r>
      <w:r>
        <w:rPr>
          <w:rFonts w:hint="eastAsia" w:ascii="宋体" w:hAnsi="宋体" w:eastAsia="宋体" w:cs="宋体"/>
          <w:bCs/>
          <w:color w:val="auto"/>
          <w:sz w:val="24"/>
          <w:szCs w:val="24"/>
          <w:highlight w:val="none"/>
          <w:lang w:val="zh-CN" w:eastAsia="zh-CN"/>
        </w:rPr>
        <w:t>公告期限：</w:t>
      </w:r>
      <w:r>
        <w:rPr>
          <w:rFonts w:hint="eastAsia" w:ascii="宋体" w:hAnsi="宋体" w:eastAsia="宋体" w:cs="宋体"/>
          <w:bCs/>
          <w:color w:val="auto"/>
          <w:sz w:val="24"/>
          <w:szCs w:val="24"/>
          <w:highlight w:val="none"/>
          <w:u w:val="single"/>
          <w:lang w:val="zh-CN" w:eastAsia="zh-CN"/>
        </w:rPr>
        <w:t xml:space="preserve">                                                       </w:t>
      </w:r>
    </w:p>
    <w:p w14:paraId="0D17BBA7">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三、质疑基本情况</w:t>
      </w:r>
    </w:p>
    <w:p w14:paraId="33DE792C">
      <w:pPr>
        <w:spacing w:line="360" w:lineRule="auto"/>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投诉人于</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月</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日，向</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提出质疑，质疑事项为：</w:t>
      </w:r>
    </w:p>
    <w:p w14:paraId="1463ABC3">
      <w:pPr>
        <w:spacing w:line="360" w:lineRule="auto"/>
        <w:ind w:firstLine="241"/>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A284D7F">
      <w:pPr>
        <w:spacing w:line="360" w:lineRule="auto"/>
        <w:ind w:firstLine="241"/>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10E7E1F">
      <w:pPr>
        <w:spacing w:line="360" w:lineRule="auto"/>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u w:val="single"/>
          <w:lang w:val="zh-CN" w:eastAsia="zh-CN"/>
        </w:rPr>
        <w:t>采购人/代理机构</w:t>
      </w:r>
      <w:r>
        <w:rPr>
          <w:rFonts w:hint="eastAsia" w:ascii="宋体" w:hAnsi="宋体" w:eastAsia="宋体" w:cs="宋体"/>
          <w:bCs/>
          <w:color w:val="auto"/>
          <w:sz w:val="24"/>
          <w:szCs w:val="24"/>
          <w:highlight w:val="none"/>
          <w:lang w:val="zh-CN" w:eastAsia="zh-CN"/>
        </w:rPr>
        <w:t>于</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月</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日，</w:t>
      </w:r>
      <w:r>
        <w:rPr>
          <w:rFonts w:hint="eastAsia" w:ascii="宋体" w:hAnsi="宋体" w:eastAsia="宋体" w:cs="宋体"/>
          <w:bCs/>
          <w:color w:val="auto"/>
          <w:sz w:val="24"/>
          <w:szCs w:val="24"/>
          <w:highlight w:val="none"/>
          <w:lang w:val="zh-CN" w:eastAsia="zh-CN"/>
        </w:rPr>
        <w:t xml:space="preserve">就质疑事项作出了答复/没有在法定期限内作出答复。                                                                                             </w:t>
      </w:r>
    </w:p>
    <w:p w14:paraId="4F9E2387">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四、投诉事项具体内容</w:t>
      </w:r>
    </w:p>
    <w:p w14:paraId="10118D61">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投诉事项1：</w:t>
      </w:r>
      <w:r>
        <w:rPr>
          <w:rFonts w:hint="eastAsia" w:ascii="宋体" w:hAnsi="宋体" w:eastAsia="宋体" w:cs="宋体"/>
          <w:bCs/>
          <w:color w:val="auto"/>
          <w:sz w:val="24"/>
          <w:szCs w:val="24"/>
          <w:highlight w:val="none"/>
          <w:u w:val="single"/>
          <w:lang w:val="zh-CN" w:eastAsia="zh-CN"/>
        </w:rPr>
        <w:t xml:space="preserve">                                                                           </w:t>
      </w:r>
    </w:p>
    <w:p w14:paraId="35F72A8E">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事实依据：</w:t>
      </w: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0E1A31D0">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u w:val="single"/>
          <w:lang w:val="zh-CN" w:eastAsia="zh-CN"/>
        </w:rPr>
        <w:t xml:space="preserve">                                                                                        </w:t>
      </w:r>
    </w:p>
    <w:p w14:paraId="407F7097">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法律依据：</w:t>
      </w: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3F7D3C55">
      <w:pPr>
        <w:spacing w:line="360" w:lineRule="auto"/>
        <w:ind w:left="25" w:firstLine="35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3D58D88">
      <w:pPr>
        <w:spacing w:line="360" w:lineRule="auto"/>
        <w:ind w:left="25" w:firstLine="472"/>
        <w:rPr>
          <w:rFonts w:hint="eastAsia" w:ascii="宋体" w:hAnsi="宋体" w:eastAsia="宋体" w:cs="宋体"/>
          <w:bCs/>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投诉事项2  </w:t>
      </w:r>
      <w:r>
        <w:rPr>
          <w:rFonts w:hint="eastAsia" w:ascii="宋体" w:hAnsi="宋体" w:eastAsia="宋体" w:cs="宋体"/>
          <w:bCs/>
          <w:color w:val="auto"/>
          <w:sz w:val="24"/>
          <w:szCs w:val="24"/>
          <w:highlight w:val="none"/>
          <w:lang w:val="zh-CN" w:eastAsia="zh-CN"/>
        </w:rPr>
        <w:t xml:space="preserve">   </w:t>
      </w:r>
    </w:p>
    <w:p w14:paraId="2CDCC292">
      <w:pPr>
        <w:spacing w:line="360" w:lineRule="auto"/>
        <w:ind w:left="25" w:firstLine="472"/>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w:t>
      </w:r>
    </w:p>
    <w:p w14:paraId="1D839C4E">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五、与投诉事项相关的投诉请求：</w:t>
      </w:r>
    </w:p>
    <w:p w14:paraId="0CE31CF9">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请求：</w:t>
      </w:r>
      <w:r>
        <w:rPr>
          <w:rFonts w:hint="eastAsia" w:ascii="宋体" w:hAnsi="宋体" w:eastAsia="宋体" w:cs="宋体"/>
          <w:bCs/>
          <w:color w:val="auto"/>
          <w:sz w:val="24"/>
          <w:szCs w:val="24"/>
          <w:highlight w:val="none"/>
          <w:u w:val="single"/>
          <w:lang w:val="zh-CN" w:eastAsia="zh-CN"/>
        </w:rPr>
        <w:t xml:space="preserve">                                                                                 </w:t>
      </w:r>
    </w:p>
    <w:p w14:paraId="7D12680D">
      <w:pPr>
        <w:spacing w:line="360" w:lineRule="auto"/>
        <w:ind w:left="25" w:firstLine="352"/>
        <w:rPr>
          <w:rFonts w:hint="eastAsia" w:ascii="宋体" w:hAnsi="宋体" w:eastAsia="宋体" w:cs="宋体"/>
          <w:color w:val="auto"/>
          <w:sz w:val="24"/>
          <w:szCs w:val="24"/>
          <w:highlight w:val="none"/>
          <w:lang w:val="zh-CN" w:eastAsia="zh-CN"/>
        </w:rPr>
      </w:pPr>
    </w:p>
    <w:p w14:paraId="46A2F62C">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签字（签章）：                                       公章：</w:t>
      </w:r>
    </w:p>
    <w:p w14:paraId="740EC882">
      <w:pPr>
        <w:spacing w:line="360" w:lineRule="auto"/>
        <w:ind w:left="25" w:firstLine="352"/>
        <w:rPr>
          <w:rFonts w:hint="eastAsia" w:ascii="宋体" w:hAnsi="宋体" w:eastAsia="宋体" w:cs="宋体"/>
          <w:color w:val="auto"/>
          <w:sz w:val="24"/>
          <w:szCs w:val="24"/>
          <w:highlight w:val="none"/>
          <w:lang w:val="zh-CN" w:eastAsia="zh-CN"/>
        </w:rPr>
      </w:pPr>
    </w:p>
    <w:p w14:paraId="65BA8316">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p>
    <w:p w14:paraId="2CC5BABD">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 xml:space="preserve">                                                                                 </w:t>
      </w:r>
    </w:p>
    <w:p w14:paraId="3C8D5D41">
      <w:pPr>
        <w:spacing w:line="360" w:lineRule="auto"/>
        <w:rPr>
          <w:rFonts w:hint="eastAsia" w:ascii="宋体" w:hAnsi="宋体" w:eastAsia="宋体" w:cs="宋体"/>
          <w:b/>
          <w:color w:val="auto"/>
          <w:sz w:val="24"/>
          <w:szCs w:val="24"/>
          <w:highlight w:val="none"/>
          <w:lang w:val="zh-CN" w:eastAsia="zh-CN"/>
        </w:rPr>
      </w:pPr>
    </w:p>
    <w:p w14:paraId="039B6F3C">
      <w:pPr>
        <w:spacing w:line="360" w:lineRule="auto"/>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说明：</w:t>
      </w:r>
    </w:p>
    <w:p w14:paraId="276F9BB8">
      <w:pPr>
        <w:spacing w:line="360" w:lineRule="auto"/>
        <w:ind w:left="25" w:firstLine="354"/>
        <w:rPr>
          <w:rFonts w:hint="eastAsia" w:ascii="宋体" w:hAnsi="宋体" w:eastAsia="宋体" w:cs="宋体"/>
          <w:b/>
          <w:bCs/>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lang w:val="zh-CN" w:eastAsia="zh-CN"/>
        </w:rPr>
        <w:t>。</w:t>
      </w:r>
    </w:p>
    <w:p w14:paraId="73F2F3BC">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C8D26E3">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3.投诉书应简要列明质疑事项，质疑函、质疑答复等作为附件材料提供。</w:t>
      </w:r>
    </w:p>
    <w:p w14:paraId="3861FB38">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4.投诉书的投诉事项应具体、明确，并有必要的事实依据和法律依据。</w:t>
      </w:r>
    </w:p>
    <w:p w14:paraId="2EF4A910">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5.投诉书的投诉请求应与投诉事项相关。</w:t>
      </w:r>
    </w:p>
    <w:p w14:paraId="32CE972C">
      <w:pPr>
        <w:spacing w:line="360" w:lineRule="auto"/>
        <w:ind w:left="25" w:firstLine="354"/>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4"/>
          <w:szCs w:val="24"/>
          <w:highlight w:val="none"/>
          <w:lang w:val="zh-CN" w:eastAsia="zh-CN"/>
        </w:rPr>
        <w:t>6.投诉人为法人或者其他组织的，投诉书应由法定代表人、主要负责人，或者其授权代表签字或者盖章，并加盖公章。</w:t>
      </w:r>
    </w:p>
    <w:p w14:paraId="2195E152">
      <w:pPr>
        <w:rPr>
          <w:rFonts w:hint="eastAsia" w:ascii="宋体" w:hAnsi="宋体" w:eastAsia="宋体" w:cs="宋体"/>
          <w:color w:val="auto"/>
          <w:szCs w:val="24"/>
          <w:highlight w:val="none"/>
          <w:lang w:val="zh-CN"/>
        </w:rPr>
      </w:pPr>
    </w:p>
    <w:p w14:paraId="3231CD23">
      <w:pPr>
        <w:rPr>
          <w:rFonts w:hint="eastAsia" w:ascii="宋体" w:hAnsi="宋体" w:eastAsia="宋体" w:cs="宋体"/>
          <w:color w:val="auto"/>
          <w:szCs w:val="24"/>
          <w:highlight w:val="none"/>
        </w:rPr>
      </w:pPr>
    </w:p>
    <w:p w14:paraId="459B16DA">
      <w:pPr>
        <w:rPr>
          <w:rFonts w:hint="eastAsia" w:ascii="宋体" w:hAnsi="宋体" w:eastAsia="宋体" w:cs="宋体"/>
          <w:color w:val="auto"/>
          <w:highlight w:val="none"/>
        </w:rPr>
      </w:pPr>
    </w:p>
    <w:sectPr>
      <w:footerReference r:id="rId11" w:type="firs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90F151A-9B22-4557-B622-A492F1AD5FE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embedRegular r:id="rId2" w:fontKey="{7256BD3F-22CC-4C55-8BCF-A33ED8CA9504}"/>
  </w:font>
  <w:font w:name="Arial">
    <w:panose1 w:val="020B0604020202020204"/>
    <w:charset w:val="00"/>
    <w:family w:val="auto"/>
    <w:pitch w:val="default"/>
    <w:sig w:usb0="E0002EFF" w:usb1="C000785B" w:usb2="00000009" w:usb3="00000000" w:csb0="400001FF" w:csb1="FFFF0000"/>
    <w:embedRegular r:id="rId3" w:fontKey="{B8C2A47F-8297-4296-BC25-AEEA1B2528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E7A88">
    <w:pPr>
      <w:pStyle w:val="29"/>
      <w:tabs>
        <w:tab w:val="center" w:pos="4439"/>
        <w:tab w:val="clear" w:pos="4153"/>
      </w:tabs>
      <w:jc w:val="both"/>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B1CE9">
                          <w:pPr>
                            <w:pStyle w:val="2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DB1CE9">
                    <w:pPr>
                      <w:pStyle w:val="29"/>
                    </w:pPr>
                    <w:r>
                      <w:fldChar w:fldCharType="begin"/>
                    </w:r>
                    <w:r>
                      <w:instrText xml:space="preserve"> PAGE  \* MERGEFORMAT </w:instrText>
                    </w:r>
                    <w:r>
                      <w:fldChar w:fldCharType="separate"/>
                    </w:r>
                    <w:r>
                      <w:t>0</w:t>
                    </w:r>
                    <w:r>
                      <w:fldChar w:fldCharType="end"/>
                    </w:r>
                  </w:p>
                </w:txbxContent>
              </v:textbox>
            </v:shape>
          </w:pict>
        </mc:Fallback>
      </mc:AlternateContent>
    </w:r>
  </w:p>
  <w:p w14:paraId="588DA0D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01A0">
    <w:pPr>
      <w:pStyle w:val="29"/>
      <w:tabs>
        <w:tab w:val="center" w:pos="4439"/>
        <w:tab w:val="clear" w:pos="4153"/>
      </w:tabs>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0C8C9">
                          <w:pPr>
                            <w:pStyle w:val="2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E90C8C9">
                    <w:pPr>
                      <w:pStyle w:val="29"/>
                    </w:pPr>
                    <w:r>
                      <w:fldChar w:fldCharType="begin"/>
                    </w:r>
                    <w:r>
                      <w:instrText xml:space="preserve"> PAGE  \* MERGEFORMAT </w:instrText>
                    </w:r>
                    <w:r>
                      <w:fldChar w:fldCharType="separate"/>
                    </w:r>
                    <w:r>
                      <w:t>0</w:t>
                    </w:r>
                    <w:r>
                      <w:fldChar w:fldCharType="end"/>
                    </w:r>
                  </w:p>
                </w:txbxContent>
              </v:textbox>
            </v:shape>
          </w:pict>
        </mc:Fallback>
      </mc:AlternateContent>
    </w: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E787639"/>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IikywcEAgAABQQAAA4AAAAAAAAAAQAgAAAAHgEAAGRycy9lMm9E&#10;b2MueG1sUEsFBgAAAAAGAAYAWQEAAJQFAAAAAA==&#10;">
              <v:fill on="f" focussize="0,0"/>
              <v:stroke on="f"/>
              <v:imagedata o:title=""/>
              <o:lock v:ext="edit" aspectratio="f"/>
              <v:textbox inset="0mm,0mm,0mm,0mm" style="mso-fit-shape-to-text:t;">
                <w:txbxContent>
                  <w:p w14:paraId="4E78763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7F3DB">
    <w:pPr>
      <w:pStyle w:val="29"/>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ACB2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t6PG2PQIAAG8EAAAOAAAAAAAAAAEAIAAAAB8BAABkcnMvZTJv&#10;RG9jLnhtbFBLBQYAAAAABgAGAFkBAADOBQAAAAA=&#10;">
              <v:fill on="f" focussize="0,0"/>
              <v:stroke on="f" weight="0.5pt"/>
              <v:imagedata o:title=""/>
              <o:lock v:ext="edit" aspectratio="f"/>
              <v:textbox inset="0mm,0mm,0mm,0mm" style="mso-fit-shape-to-text:t;">
                <w:txbxContent>
                  <w:p w14:paraId="754ACB2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527D37BE">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1A9BF">
    <w:pPr>
      <w:pStyle w:val="29"/>
      <w:tabs>
        <w:tab w:val="center" w:pos="4439"/>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DA88F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4MxFUPQIAAG8EAAAOAAAAAAAAAAEAIAAAAB8BAABkcnMvZTJv&#10;RG9jLnhtbFBLBQYAAAAABgAGAFkBAADOBQAAAAA=&#10;">
              <v:fill on="f" focussize="0,0"/>
              <v:stroke on="f" weight="0.5pt"/>
              <v:imagedata o:title=""/>
              <o:lock v:ext="edit" aspectratio="f"/>
              <v:textbox inset="0mm,0mm,0mm,0mm" style="mso-fit-shape-to-text:t;">
                <w:txbxContent>
                  <w:p w14:paraId="23DA88F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400860C"/>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vZNegQCAAAEBAAADgAAAGRycy9lMm9Eb2MueG1srVPNjtMwEL4j8Q6W&#10;7zRph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S86sMPTgpx/fTz9/n359&#10;Y4toT+98QVV3jurC8BoGGpok1btbkF88s3DTCrtT14jQt0rURG8eb2YPro44PoJU/TuoqY/YB0hA&#10;Q4MmekduMEKnpzlenkYNgcnYcrlYLnM6knQ2bWIPUUzXHfrwRoFhMSg50tsneHG49WEsnUpiNwtb&#10;3XWUF0Vn/0oQZswk+pHxyD0M1UDVUVMF9ZGEIIzjRJ+JghbwK2c9jVLJLf0czrq3lqyIUzcFOAXV&#10;FAgr6WLJA2djeBPG6dw71LuWcCezr8murU5C7jmcWdJwJCvOgxyn7+E+Vd1/3v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Ob2TXoEAgAABAQAAA4AAAAAAAAAAQAgAAAAHgEAAGRycy9lMm9E&#10;b2MueG1sUEsFBgAAAAAGAAYAWQEAAJQFAAAAAA==&#10;">
              <v:fill on="f" focussize="0,0"/>
              <v:stroke on="f"/>
              <v:imagedata o:title=""/>
              <o:lock v:ext="edit" aspectratio="f"/>
              <v:textbox inset="0mm,0mm,0mm,0mm" style="mso-fit-shape-to-text:t;">
                <w:txbxContent>
                  <w:p w14:paraId="0400860C"/>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AC120">
    <w:pPr>
      <w:pStyle w:val="29"/>
      <w:ind w:left="420" w:hanging="420"/>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1060BA2F">
                          <w:pPr>
                            <w:pStyle w:val="29"/>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XpIgkCAAAT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wV/yZkVhh78/OP7+efv869v&#10;bLGK+nTO55R25ygx9K+hp61JXL27BfnFMws3jbC1ukaErlGipPkWsTJ7UDrg+Aiy795BSY3EIUAC&#10;6is0UTySgxE6vc3p8jaqD0zGlqvlajWnkKTYdIk9RD6VO/ThjQLDolFwpMdP8OJ468OQOqXEbhZ2&#10;um3JL/LW/uUgzMGj0gaN1ZFMnH9gEvp9T7XRuYfyRLQQhu2iv0VGA/iVs442q+CWPhJn7VtLwsQl&#10;nAycjP1kCCupsOCBs8G8CcOyHhzquiHcSfprEm+nE637GUbJaVeSMONex2V8eE9Z9395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JXpIgkCAAATBAAADgAAAAAAAAABACAAAAAeAQAAZHJz&#10;L2Uyb0RvYy54bWxQSwUGAAAAAAYABgBZAQAAmQUAAAAA&#10;">
              <v:fill on="f" focussize="0,0"/>
              <v:stroke on="f"/>
              <v:imagedata o:title=""/>
              <o:lock v:ext="edit" aspectratio="f"/>
              <v:textbox inset="0mm,0mm,0mm,0mm" style="mso-fit-shape-to-text:t;">
                <w:txbxContent>
                  <w:p w14:paraId="1060BA2F">
                    <w:pPr>
                      <w:pStyle w:val="29"/>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5D504D66">
    <w:pPr>
      <w:pStyle w:val="29"/>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4295">
    <w:pPr>
      <w:pStyle w:val="29"/>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0F32E647">
                          <w:pPr>
                            <w:pStyle w:val="29"/>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mj60+wkCAAATBAAADgAAAAAAAAABACAAAAAeAQAAZHJz&#10;L2Uyb0RvYy54bWxQSwUGAAAAAAYABgBZAQAAmQUAAAAA&#10;">
              <v:fill on="f" focussize="0,0"/>
              <v:stroke on="f"/>
              <v:imagedata o:title=""/>
              <o:lock v:ext="edit" aspectratio="f"/>
              <v:textbox inset="0mm,0mm,0mm,0mm" style="mso-fit-shape-to-text:t;">
                <w:txbxContent>
                  <w:p w14:paraId="0F32E647">
                    <w:pPr>
                      <w:pStyle w:val="29"/>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294F0C59">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EAF03">
    <w:pPr>
      <w:pStyle w:val="29"/>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1D065A8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H4AKQoKAgAAEwQAAA4AAAAAAAAAAQAgAAAAHgEAAGRy&#10;cy9lMm9Eb2MueG1sUEsFBgAAAAAGAAYAWQEAAJoFAAAAAA==&#10;">
              <v:fill on="f" focussize="0,0"/>
              <v:stroke on="f"/>
              <v:imagedata o:title=""/>
              <o:lock v:ext="edit" aspectratio="f"/>
              <v:textbox inset="0mm,0mm,0mm,0mm" style="mso-fit-shape-to-text:t;">
                <w:txbxContent>
                  <w:p w14:paraId="1D065A8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1C914">
    <w:pPr>
      <w:pStyle w:val="3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B2E89">
    <w:pPr>
      <w:pStyle w:val="30"/>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C1E48"/>
    <w:multiLevelType w:val="multilevel"/>
    <w:tmpl w:val="003C1E48"/>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05A2BE1"/>
    <w:multiLevelType w:val="multilevel"/>
    <w:tmpl w:val="005A2BE1"/>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3D62ECE"/>
    <w:multiLevelType w:val="multilevel"/>
    <w:tmpl w:val="03D62ECE"/>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40243AD"/>
    <w:multiLevelType w:val="multilevel"/>
    <w:tmpl w:val="140243AD"/>
    <w:lvl w:ilvl="0" w:tentative="0">
      <w:start w:val="1"/>
      <w:numFmt w:val="decimal"/>
      <w:lvlText w:val="%1."/>
      <w:lvlJc w:val="left"/>
      <w:pPr>
        <w:ind w:left="440" w:hanging="440"/>
      </w:pPr>
    </w:lvl>
    <w:lvl w:ilvl="1" w:tentative="0">
      <w:start w:val="0"/>
      <w:numFmt w:val="bullet"/>
      <w:lvlText w:val="★"/>
      <w:lvlJc w:val="left"/>
      <w:pPr>
        <w:ind w:left="800" w:hanging="360"/>
      </w:pPr>
      <w:rPr>
        <w:rFonts w:hint="eastAsia" w:ascii="宋体" w:hAnsi="宋体" w:eastAsia="宋体" w:cstheme="minorBidi"/>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18CF73B2"/>
    <w:multiLevelType w:val="multilevel"/>
    <w:tmpl w:val="18CF73B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184774C"/>
    <w:multiLevelType w:val="multilevel"/>
    <w:tmpl w:val="2184774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2B63F24"/>
    <w:multiLevelType w:val="multilevel"/>
    <w:tmpl w:val="32B63F24"/>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365921D0"/>
    <w:multiLevelType w:val="multilevel"/>
    <w:tmpl w:val="365921D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5E8E2E89"/>
    <w:multiLevelType w:val="multilevel"/>
    <w:tmpl w:val="5E8E2E89"/>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6B0B540F"/>
    <w:multiLevelType w:val="multilevel"/>
    <w:tmpl w:val="6B0B540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6"/>
  </w:num>
  <w:num w:numId="2">
    <w:abstractNumId w:val="0"/>
  </w:num>
  <w:num w:numId="3">
    <w:abstractNumId w:val="7"/>
  </w:num>
  <w:num w:numId="4">
    <w:abstractNumId w:val="3"/>
  </w:num>
  <w:num w:numId="5">
    <w:abstractNumId w:val="5"/>
  </w:num>
  <w:num w:numId="6">
    <w:abstractNumId w:val="8"/>
  </w:num>
  <w:num w:numId="7">
    <w:abstractNumId w:val="9"/>
  </w:num>
  <w:num w:numId="8">
    <w:abstractNumId w:val="1"/>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GY0NGQ5OGEyODUzY2E3MWM2YjNkMTgwZWQ4MjkifQ=="/>
  </w:docVars>
  <w:rsids>
    <w:rsidRoot w:val="00000000"/>
    <w:rsid w:val="01DB2C49"/>
    <w:rsid w:val="01DB469A"/>
    <w:rsid w:val="0223040E"/>
    <w:rsid w:val="02B413CC"/>
    <w:rsid w:val="034877EC"/>
    <w:rsid w:val="03895CCB"/>
    <w:rsid w:val="04221DEB"/>
    <w:rsid w:val="04B35139"/>
    <w:rsid w:val="04E6424C"/>
    <w:rsid w:val="051D6153"/>
    <w:rsid w:val="05383F82"/>
    <w:rsid w:val="06055520"/>
    <w:rsid w:val="06565574"/>
    <w:rsid w:val="06637B9F"/>
    <w:rsid w:val="06663211"/>
    <w:rsid w:val="07061F30"/>
    <w:rsid w:val="079100A3"/>
    <w:rsid w:val="07C65F69"/>
    <w:rsid w:val="085B280D"/>
    <w:rsid w:val="08EE6740"/>
    <w:rsid w:val="0A0106D6"/>
    <w:rsid w:val="0B4C71C0"/>
    <w:rsid w:val="0BB24D3F"/>
    <w:rsid w:val="0BBB1D64"/>
    <w:rsid w:val="0BBC0D77"/>
    <w:rsid w:val="0BC441C2"/>
    <w:rsid w:val="0C514DDC"/>
    <w:rsid w:val="0C934531"/>
    <w:rsid w:val="0CEC1E6B"/>
    <w:rsid w:val="0E323572"/>
    <w:rsid w:val="0E503A15"/>
    <w:rsid w:val="0E6354DA"/>
    <w:rsid w:val="0E690100"/>
    <w:rsid w:val="0F680A54"/>
    <w:rsid w:val="0FD61CDB"/>
    <w:rsid w:val="0FD85A54"/>
    <w:rsid w:val="107F794E"/>
    <w:rsid w:val="10A976E1"/>
    <w:rsid w:val="11C2450C"/>
    <w:rsid w:val="11E07758"/>
    <w:rsid w:val="1205673F"/>
    <w:rsid w:val="120970E1"/>
    <w:rsid w:val="12425176"/>
    <w:rsid w:val="12D61775"/>
    <w:rsid w:val="13511DA5"/>
    <w:rsid w:val="138143D4"/>
    <w:rsid w:val="14316687"/>
    <w:rsid w:val="147A17CF"/>
    <w:rsid w:val="15AB6A11"/>
    <w:rsid w:val="163B3770"/>
    <w:rsid w:val="16DF2E2F"/>
    <w:rsid w:val="174C2580"/>
    <w:rsid w:val="17500939"/>
    <w:rsid w:val="17FD3FCD"/>
    <w:rsid w:val="18011329"/>
    <w:rsid w:val="18115DF3"/>
    <w:rsid w:val="19940440"/>
    <w:rsid w:val="1BD61A54"/>
    <w:rsid w:val="1BD71AB5"/>
    <w:rsid w:val="1C541DC3"/>
    <w:rsid w:val="1C614F92"/>
    <w:rsid w:val="1C812E5D"/>
    <w:rsid w:val="1CDF69B2"/>
    <w:rsid w:val="1D5F0140"/>
    <w:rsid w:val="1D6A4BE5"/>
    <w:rsid w:val="1DF04B94"/>
    <w:rsid w:val="1DF27B8C"/>
    <w:rsid w:val="1DF9096B"/>
    <w:rsid w:val="1E052EF6"/>
    <w:rsid w:val="1E0C4588"/>
    <w:rsid w:val="1EB64E6E"/>
    <w:rsid w:val="1ED71DFB"/>
    <w:rsid w:val="1F225951"/>
    <w:rsid w:val="1F281DCF"/>
    <w:rsid w:val="1FC90811"/>
    <w:rsid w:val="20893E06"/>
    <w:rsid w:val="20C34FD6"/>
    <w:rsid w:val="20EF0E4F"/>
    <w:rsid w:val="210C2AEE"/>
    <w:rsid w:val="218C7F8D"/>
    <w:rsid w:val="21AC2E86"/>
    <w:rsid w:val="21B32CE8"/>
    <w:rsid w:val="21CC5CD7"/>
    <w:rsid w:val="21F439CD"/>
    <w:rsid w:val="223E3E3C"/>
    <w:rsid w:val="226C04B1"/>
    <w:rsid w:val="230F54FA"/>
    <w:rsid w:val="234C2589"/>
    <w:rsid w:val="249E2E2D"/>
    <w:rsid w:val="249F4F27"/>
    <w:rsid w:val="24C820E3"/>
    <w:rsid w:val="257920A4"/>
    <w:rsid w:val="259C009E"/>
    <w:rsid w:val="26233A75"/>
    <w:rsid w:val="268364B1"/>
    <w:rsid w:val="26DD39D9"/>
    <w:rsid w:val="26DE6C18"/>
    <w:rsid w:val="272C4BAB"/>
    <w:rsid w:val="27B43794"/>
    <w:rsid w:val="27D8088F"/>
    <w:rsid w:val="28980286"/>
    <w:rsid w:val="289B166F"/>
    <w:rsid w:val="28B87C83"/>
    <w:rsid w:val="291B0A33"/>
    <w:rsid w:val="29304645"/>
    <w:rsid w:val="29656152"/>
    <w:rsid w:val="29BA0107"/>
    <w:rsid w:val="29E43348"/>
    <w:rsid w:val="2A0A6368"/>
    <w:rsid w:val="2A1E005B"/>
    <w:rsid w:val="2A2451EC"/>
    <w:rsid w:val="2A2E74AB"/>
    <w:rsid w:val="2A384F9C"/>
    <w:rsid w:val="2A402D51"/>
    <w:rsid w:val="2A7A628E"/>
    <w:rsid w:val="2A832506"/>
    <w:rsid w:val="2AA50EFC"/>
    <w:rsid w:val="2C1058AE"/>
    <w:rsid w:val="2C37112D"/>
    <w:rsid w:val="2C573EF4"/>
    <w:rsid w:val="2C9B4E57"/>
    <w:rsid w:val="2D4A5EB6"/>
    <w:rsid w:val="2D907100"/>
    <w:rsid w:val="2DA40CE4"/>
    <w:rsid w:val="2DBB7EF5"/>
    <w:rsid w:val="2DE941F6"/>
    <w:rsid w:val="2E6040C0"/>
    <w:rsid w:val="2F586FE4"/>
    <w:rsid w:val="2F723377"/>
    <w:rsid w:val="2FCB7B18"/>
    <w:rsid w:val="301F4F26"/>
    <w:rsid w:val="3027514A"/>
    <w:rsid w:val="307C1062"/>
    <w:rsid w:val="30880F1D"/>
    <w:rsid w:val="30F92908"/>
    <w:rsid w:val="319C292D"/>
    <w:rsid w:val="31F63E01"/>
    <w:rsid w:val="32DD7BBA"/>
    <w:rsid w:val="33082597"/>
    <w:rsid w:val="33915FB2"/>
    <w:rsid w:val="33B03DEF"/>
    <w:rsid w:val="33DF1CD9"/>
    <w:rsid w:val="33FB4AD5"/>
    <w:rsid w:val="342777B9"/>
    <w:rsid w:val="34501969"/>
    <w:rsid w:val="34B12047"/>
    <w:rsid w:val="34BC6118"/>
    <w:rsid w:val="34D2328A"/>
    <w:rsid w:val="35002DA3"/>
    <w:rsid w:val="351346C8"/>
    <w:rsid w:val="35221E62"/>
    <w:rsid w:val="353510CF"/>
    <w:rsid w:val="354F32F4"/>
    <w:rsid w:val="363B77CD"/>
    <w:rsid w:val="366C2FAD"/>
    <w:rsid w:val="374605D2"/>
    <w:rsid w:val="37AC3FCE"/>
    <w:rsid w:val="38661A0E"/>
    <w:rsid w:val="38A46CA2"/>
    <w:rsid w:val="3923084B"/>
    <w:rsid w:val="39751764"/>
    <w:rsid w:val="398E5251"/>
    <w:rsid w:val="3A505C47"/>
    <w:rsid w:val="3A5F011B"/>
    <w:rsid w:val="3A887EF3"/>
    <w:rsid w:val="3A96460B"/>
    <w:rsid w:val="3B076D02"/>
    <w:rsid w:val="3B40768F"/>
    <w:rsid w:val="3BC62148"/>
    <w:rsid w:val="3BDB4D49"/>
    <w:rsid w:val="3C011D0B"/>
    <w:rsid w:val="3C0308DB"/>
    <w:rsid w:val="3C373E57"/>
    <w:rsid w:val="3C5F08F3"/>
    <w:rsid w:val="3DC24B71"/>
    <w:rsid w:val="3DE00F04"/>
    <w:rsid w:val="3E1321C9"/>
    <w:rsid w:val="3E524A9F"/>
    <w:rsid w:val="3E821753"/>
    <w:rsid w:val="3EE72601"/>
    <w:rsid w:val="3F7A243C"/>
    <w:rsid w:val="3FA56E51"/>
    <w:rsid w:val="3FD47D8B"/>
    <w:rsid w:val="3FEE6A48"/>
    <w:rsid w:val="3FFF2E13"/>
    <w:rsid w:val="40E33D35"/>
    <w:rsid w:val="410418B4"/>
    <w:rsid w:val="413A246F"/>
    <w:rsid w:val="416C27FE"/>
    <w:rsid w:val="41CA7043"/>
    <w:rsid w:val="41E24A68"/>
    <w:rsid w:val="429A1FD5"/>
    <w:rsid w:val="42A21810"/>
    <w:rsid w:val="43064FCF"/>
    <w:rsid w:val="434F0614"/>
    <w:rsid w:val="438C3F40"/>
    <w:rsid w:val="439B47F3"/>
    <w:rsid w:val="43B76003"/>
    <w:rsid w:val="43FA1D07"/>
    <w:rsid w:val="44BC0F21"/>
    <w:rsid w:val="44DA57EF"/>
    <w:rsid w:val="44F91178"/>
    <w:rsid w:val="451E1B7F"/>
    <w:rsid w:val="45414C28"/>
    <w:rsid w:val="45C67B21"/>
    <w:rsid w:val="462D5EDF"/>
    <w:rsid w:val="46A377BC"/>
    <w:rsid w:val="46B81B60"/>
    <w:rsid w:val="470C1A21"/>
    <w:rsid w:val="47784D9D"/>
    <w:rsid w:val="478030B6"/>
    <w:rsid w:val="47CD2803"/>
    <w:rsid w:val="47DC187E"/>
    <w:rsid w:val="47E735F0"/>
    <w:rsid w:val="48292454"/>
    <w:rsid w:val="48FC2A00"/>
    <w:rsid w:val="4988311F"/>
    <w:rsid w:val="49995230"/>
    <w:rsid w:val="4A4F27DB"/>
    <w:rsid w:val="4A824726"/>
    <w:rsid w:val="4AD73C7C"/>
    <w:rsid w:val="4B016AB6"/>
    <w:rsid w:val="4B1E6B13"/>
    <w:rsid w:val="4B4B2D9C"/>
    <w:rsid w:val="4B6F31FF"/>
    <w:rsid w:val="4C6841BD"/>
    <w:rsid w:val="4CAF3A27"/>
    <w:rsid w:val="4CB936C1"/>
    <w:rsid w:val="4CD11005"/>
    <w:rsid w:val="4CD4768D"/>
    <w:rsid w:val="4D54229C"/>
    <w:rsid w:val="4D6619F2"/>
    <w:rsid w:val="4D7261A3"/>
    <w:rsid w:val="4E451032"/>
    <w:rsid w:val="4F427062"/>
    <w:rsid w:val="4F451D18"/>
    <w:rsid w:val="4F73760C"/>
    <w:rsid w:val="4F9563C2"/>
    <w:rsid w:val="50231868"/>
    <w:rsid w:val="50962F7F"/>
    <w:rsid w:val="50D756B0"/>
    <w:rsid w:val="51FF0643"/>
    <w:rsid w:val="5278642E"/>
    <w:rsid w:val="53144422"/>
    <w:rsid w:val="53386691"/>
    <w:rsid w:val="54372316"/>
    <w:rsid w:val="545B6043"/>
    <w:rsid w:val="54CC340E"/>
    <w:rsid w:val="5634266C"/>
    <w:rsid w:val="56EC2985"/>
    <w:rsid w:val="570F1F85"/>
    <w:rsid w:val="572B1EDA"/>
    <w:rsid w:val="572D21B4"/>
    <w:rsid w:val="579A158A"/>
    <w:rsid w:val="57B15747"/>
    <w:rsid w:val="581667FF"/>
    <w:rsid w:val="589A40B1"/>
    <w:rsid w:val="58DE2CA8"/>
    <w:rsid w:val="58EB2E49"/>
    <w:rsid w:val="59236CE8"/>
    <w:rsid w:val="593B4656"/>
    <w:rsid w:val="598103A2"/>
    <w:rsid w:val="5A9E4EDB"/>
    <w:rsid w:val="5B5E74C8"/>
    <w:rsid w:val="5BC836E8"/>
    <w:rsid w:val="5BE22850"/>
    <w:rsid w:val="5D242E4C"/>
    <w:rsid w:val="5D5201C0"/>
    <w:rsid w:val="5E2751A9"/>
    <w:rsid w:val="5E442F56"/>
    <w:rsid w:val="5E92084B"/>
    <w:rsid w:val="5E991D66"/>
    <w:rsid w:val="5EC831A0"/>
    <w:rsid w:val="5ED6097D"/>
    <w:rsid w:val="5EF71BB2"/>
    <w:rsid w:val="5F5E0328"/>
    <w:rsid w:val="5FA04F89"/>
    <w:rsid w:val="5FF53C6F"/>
    <w:rsid w:val="60347A9D"/>
    <w:rsid w:val="60B625CF"/>
    <w:rsid w:val="60EC26DA"/>
    <w:rsid w:val="614B38A4"/>
    <w:rsid w:val="62113437"/>
    <w:rsid w:val="621A0886"/>
    <w:rsid w:val="6235097C"/>
    <w:rsid w:val="62A32CCC"/>
    <w:rsid w:val="62DA43F7"/>
    <w:rsid w:val="63366BA1"/>
    <w:rsid w:val="641721D9"/>
    <w:rsid w:val="646B5BBE"/>
    <w:rsid w:val="64B472D0"/>
    <w:rsid w:val="64BF6D54"/>
    <w:rsid w:val="65621F59"/>
    <w:rsid w:val="6599167B"/>
    <w:rsid w:val="66025ED3"/>
    <w:rsid w:val="661E4B5C"/>
    <w:rsid w:val="664C1B6B"/>
    <w:rsid w:val="66605415"/>
    <w:rsid w:val="67622598"/>
    <w:rsid w:val="67D6379C"/>
    <w:rsid w:val="689773CF"/>
    <w:rsid w:val="68C34A1F"/>
    <w:rsid w:val="69205689"/>
    <w:rsid w:val="6A36392E"/>
    <w:rsid w:val="6C4B04CE"/>
    <w:rsid w:val="6C743198"/>
    <w:rsid w:val="6C780237"/>
    <w:rsid w:val="6C88775B"/>
    <w:rsid w:val="6C9F6852"/>
    <w:rsid w:val="6CD160B8"/>
    <w:rsid w:val="6D0C0A06"/>
    <w:rsid w:val="6D1523B2"/>
    <w:rsid w:val="6D212C33"/>
    <w:rsid w:val="6D76695C"/>
    <w:rsid w:val="6D91263F"/>
    <w:rsid w:val="6D9B1E51"/>
    <w:rsid w:val="6DA07B3F"/>
    <w:rsid w:val="6DFA650F"/>
    <w:rsid w:val="6E2E15A5"/>
    <w:rsid w:val="6E4B6C92"/>
    <w:rsid w:val="6E6B0E8A"/>
    <w:rsid w:val="6E957F0D"/>
    <w:rsid w:val="6EA7284F"/>
    <w:rsid w:val="6EDA1EEA"/>
    <w:rsid w:val="6F5C3EB9"/>
    <w:rsid w:val="6F5D2C01"/>
    <w:rsid w:val="6F6335E4"/>
    <w:rsid w:val="6FFD76C1"/>
    <w:rsid w:val="70AF3F59"/>
    <w:rsid w:val="70B11D49"/>
    <w:rsid w:val="70B659BB"/>
    <w:rsid w:val="70E76BE0"/>
    <w:rsid w:val="71535E5D"/>
    <w:rsid w:val="71A451E3"/>
    <w:rsid w:val="72CD2FE3"/>
    <w:rsid w:val="73457195"/>
    <w:rsid w:val="7501454E"/>
    <w:rsid w:val="750202C6"/>
    <w:rsid w:val="752E5F56"/>
    <w:rsid w:val="754737CF"/>
    <w:rsid w:val="75EB36BF"/>
    <w:rsid w:val="761C0F14"/>
    <w:rsid w:val="763D64BE"/>
    <w:rsid w:val="767D1683"/>
    <w:rsid w:val="774F06F8"/>
    <w:rsid w:val="77BF3969"/>
    <w:rsid w:val="7881167C"/>
    <w:rsid w:val="798E2128"/>
    <w:rsid w:val="7ACF755D"/>
    <w:rsid w:val="7AFD6F81"/>
    <w:rsid w:val="7B3F6952"/>
    <w:rsid w:val="7B610C8A"/>
    <w:rsid w:val="7BA268EC"/>
    <w:rsid w:val="7C042B76"/>
    <w:rsid w:val="7C1152C9"/>
    <w:rsid w:val="7CF0431D"/>
    <w:rsid w:val="7CFC3686"/>
    <w:rsid w:val="7DC95F95"/>
    <w:rsid w:val="7E4F45C8"/>
    <w:rsid w:val="7E9975A5"/>
    <w:rsid w:val="7EF944E8"/>
    <w:rsid w:val="7F062625"/>
    <w:rsid w:val="7F5931D8"/>
    <w:rsid w:val="7F9A3F1F"/>
    <w:rsid w:val="7FDA3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hint="default" w:asciiTheme="minorHAnsi" w:hAnsiTheme="minorHAnsi" w:eastAsiaTheme="minorEastAsia" w:cstheme="minorBidi"/>
      <w:sz w:val="21"/>
      <w:szCs w:val="22"/>
      <w:lang w:val="en-US" w:eastAsia="zh-CN" w:bidi="ar-SA"/>
    </w:rPr>
  </w:style>
  <w:style w:type="paragraph" w:styleId="2">
    <w:name w:val="heading 1"/>
    <w:basedOn w:val="1"/>
    <w:next w:val="1"/>
    <w:link w:val="215"/>
    <w:autoRedefine/>
    <w:qFormat/>
    <w:uiPriority w:val="9"/>
    <w:pPr>
      <w:keepNext/>
      <w:keepLines/>
      <w:spacing w:before="340" w:after="330" w:line="578" w:lineRule="auto"/>
      <w:outlineLvl w:val="0"/>
    </w:pPr>
    <w:rPr>
      <w:rFonts w:ascii="Times New Roman" w:hAnsi="Times New Roman" w:eastAsia="宋体" w:cs="Times New Roman"/>
      <w:b/>
      <w:bCs/>
      <w:sz w:val="44"/>
      <w:szCs w:val="44"/>
      <w:lang w:val="zh-CN" w:eastAsia="zh-CN"/>
    </w:rPr>
  </w:style>
  <w:style w:type="paragraph" w:styleId="3">
    <w:name w:val="heading 2"/>
    <w:basedOn w:val="1"/>
    <w:next w:val="1"/>
    <w:link w:val="216"/>
    <w:autoRedefine/>
    <w:qFormat/>
    <w:uiPriority w:val="9"/>
    <w:pPr>
      <w:keepNext/>
      <w:keepLines/>
      <w:spacing w:before="260" w:after="260" w:line="416" w:lineRule="auto"/>
      <w:outlineLvl w:val="1"/>
    </w:pPr>
    <w:rPr>
      <w:rFonts w:ascii="Cambria" w:hAnsi="Cambria" w:eastAsia="宋体" w:cs="Times New Roman"/>
      <w:b/>
      <w:bCs/>
      <w:sz w:val="32"/>
      <w:szCs w:val="32"/>
      <w:lang w:val="zh-CN" w:eastAsia="zh-CN"/>
    </w:rPr>
  </w:style>
  <w:style w:type="paragraph" w:styleId="4">
    <w:name w:val="heading 3"/>
    <w:basedOn w:val="1"/>
    <w:next w:val="1"/>
    <w:link w:val="217"/>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eastAsia="zh-CN"/>
    </w:rPr>
  </w:style>
  <w:style w:type="paragraph" w:styleId="5">
    <w:name w:val="heading 4"/>
    <w:basedOn w:val="1"/>
    <w:next w:val="1"/>
    <w:link w:val="187"/>
    <w:autoRedefine/>
    <w:unhideWhenUsed/>
    <w:qFormat/>
    <w:uiPriority w:val="9"/>
    <w:pPr>
      <w:keepNext/>
      <w:keepLines/>
      <w:spacing w:before="80" w:after="40"/>
      <w:outlineLvl w:val="3"/>
    </w:pPr>
    <w:rPr>
      <w:rFonts w:ascii="Arial" w:hAnsi="Arial" w:eastAsia="Arial" w:cs="Arial"/>
      <w:i/>
      <w:iCs/>
      <w:color w:val="2E75B6" w:themeColor="accent1" w:themeShade="BF"/>
    </w:rPr>
  </w:style>
  <w:style w:type="paragraph" w:styleId="6">
    <w:name w:val="heading 5"/>
    <w:basedOn w:val="1"/>
    <w:next w:val="7"/>
    <w:link w:val="218"/>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eastAsia="zh-CN"/>
    </w:rPr>
  </w:style>
  <w:style w:type="paragraph" w:styleId="8">
    <w:name w:val="heading 6"/>
    <w:basedOn w:val="1"/>
    <w:next w:val="1"/>
    <w:link w:val="189"/>
    <w:autoRedefine/>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90"/>
    <w:autoRedefine/>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19"/>
    <w:autoRedefine/>
    <w:qFormat/>
    <w:uiPriority w:val="9"/>
    <w:pPr>
      <w:keepNext/>
      <w:keepLines/>
      <w:spacing w:before="240" w:after="64" w:line="320" w:lineRule="auto"/>
      <w:outlineLvl w:val="7"/>
    </w:pPr>
    <w:rPr>
      <w:rFonts w:ascii="等线 Light" w:hAnsi="等线 Light" w:eastAsia="等线 Light" w:cs="Times New Roman"/>
      <w:sz w:val="24"/>
      <w:szCs w:val="24"/>
      <w:lang w:val="zh-CN" w:eastAsia="zh-CN"/>
    </w:rPr>
  </w:style>
  <w:style w:type="paragraph" w:styleId="11">
    <w:name w:val="heading 9"/>
    <w:basedOn w:val="1"/>
    <w:next w:val="1"/>
    <w:link w:val="220"/>
    <w:autoRedefine/>
    <w:qFormat/>
    <w:uiPriority w:val="9"/>
    <w:pPr>
      <w:keepNext/>
      <w:keepLines/>
      <w:spacing w:before="240" w:after="64" w:line="320" w:lineRule="auto"/>
      <w:outlineLvl w:val="8"/>
    </w:pPr>
    <w:rPr>
      <w:rFonts w:ascii="Cambria" w:hAnsi="Cambria" w:eastAsia="宋体" w:cs="Times New Roman"/>
      <w:szCs w:val="21"/>
      <w:lang w:val="zh-CN" w:eastAsia="zh-CN"/>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autoRedefine/>
    <w:qFormat/>
    <w:uiPriority w:val="0"/>
    <w:pPr>
      <w:ind w:firstLine="420"/>
    </w:pPr>
    <w:rPr>
      <w:rFonts w:ascii="Times New Roman" w:hAnsi="Times New Roman" w:eastAsia="宋体" w:cs="Times New Roman"/>
      <w:szCs w:val="20"/>
    </w:rPr>
  </w:style>
  <w:style w:type="paragraph" w:styleId="12">
    <w:name w:val="toc 7"/>
    <w:basedOn w:val="1"/>
    <w:next w:val="1"/>
    <w:autoRedefine/>
    <w:unhideWhenUsed/>
    <w:qFormat/>
    <w:uiPriority w:val="39"/>
    <w:pPr>
      <w:spacing w:after="100"/>
      <w:ind w:left="1320"/>
    </w:pPr>
  </w:style>
  <w:style w:type="paragraph" w:styleId="13">
    <w:name w:val="index 8"/>
    <w:basedOn w:val="1"/>
    <w:next w:val="1"/>
    <w:autoRedefine/>
    <w:qFormat/>
    <w:uiPriority w:val="0"/>
    <w:pPr>
      <w:ind w:left="2940"/>
    </w:pPr>
  </w:style>
  <w:style w:type="paragraph" w:styleId="14">
    <w:name w:val="List Number"/>
    <w:basedOn w:val="1"/>
    <w:autoRedefine/>
    <w:qFormat/>
    <w:uiPriority w:val="0"/>
    <w:pPr>
      <w:widowControl/>
      <w:tabs>
        <w:tab w:val="left" w:pos="454"/>
        <w:tab w:val="left" w:pos="720"/>
        <w:tab w:val="left" w:pos="840"/>
      </w:tabs>
      <w:spacing w:after="50"/>
      <w:ind w:left="454" w:hanging="284"/>
      <w:jc w:val="left"/>
    </w:pPr>
    <w:rPr>
      <w:rFonts w:ascii="Times New Roman" w:hAnsi="Times New Roman" w:eastAsia="宋体" w:cs="Times New Roman"/>
      <w:sz w:val="24"/>
      <w:szCs w:val="20"/>
    </w:rPr>
  </w:style>
  <w:style w:type="paragraph" w:styleId="15">
    <w:name w:val="caption"/>
    <w:basedOn w:val="1"/>
    <w:next w:val="1"/>
    <w:autoRedefine/>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6">
    <w:name w:val="annotation text"/>
    <w:basedOn w:val="1"/>
    <w:link w:val="222"/>
    <w:autoRedefine/>
    <w:qFormat/>
    <w:uiPriority w:val="0"/>
    <w:pPr>
      <w:jc w:val="left"/>
    </w:pPr>
    <w:rPr>
      <w:rFonts w:ascii="Times New Roman" w:hAnsi="Times New Roman" w:eastAsia="宋体" w:cs="Times New Roman"/>
      <w:szCs w:val="24"/>
      <w:lang w:val="zh-CN" w:eastAsia="zh-CN"/>
    </w:rPr>
  </w:style>
  <w:style w:type="paragraph" w:styleId="17">
    <w:name w:val="Body Text 3"/>
    <w:basedOn w:val="1"/>
    <w:link w:val="224"/>
    <w:autoRedefine/>
    <w:unhideWhenUsed/>
    <w:qFormat/>
    <w:uiPriority w:val="99"/>
    <w:pPr>
      <w:spacing w:after="120"/>
    </w:pPr>
    <w:rPr>
      <w:rFonts w:ascii="Times New Roman" w:hAnsi="Times New Roman" w:eastAsia="宋体" w:cs="Times New Roman"/>
      <w:sz w:val="16"/>
      <w:szCs w:val="16"/>
      <w:lang w:val="zh-CN" w:eastAsia="zh-CN"/>
    </w:rPr>
  </w:style>
  <w:style w:type="paragraph" w:styleId="18">
    <w:name w:val="Body Text"/>
    <w:basedOn w:val="1"/>
    <w:next w:val="19"/>
    <w:link w:val="226"/>
    <w:autoRedefine/>
    <w:unhideWhenUsed/>
    <w:qFormat/>
    <w:uiPriority w:val="0"/>
    <w:pPr>
      <w:spacing w:after="120"/>
    </w:pPr>
    <w:rPr>
      <w:rFonts w:ascii="Times New Roman" w:hAnsi="Times New Roman" w:eastAsia="宋体" w:cs="Times New Roman"/>
      <w:szCs w:val="24"/>
      <w:lang w:val="zh-CN" w:eastAsia="zh-CN"/>
    </w:rPr>
  </w:style>
  <w:style w:type="paragraph" w:customStyle="1" w:styleId="19">
    <w:name w:val="明显引用1"/>
    <w:basedOn w:val="1"/>
    <w:next w:val="1"/>
    <w:qFormat/>
    <w:uiPriority w:val="0"/>
    <w:pPr>
      <w:wordWrap w:val="0"/>
      <w:spacing w:before="360" w:after="360"/>
      <w:ind w:left="950" w:right="950"/>
      <w:jc w:val="center"/>
    </w:pPr>
    <w:rPr>
      <w:rFonts w:ascii="宋体" w:hAnsi="宋体" w:eastAsia="Times New Roman"/>
      <w:i/>
    </w:rPr>
  </w:style>
  <w:style w:type="paragraph" w:styleId="20">
    <w:name w:val="Body Text Indent"/>
    <w:basedOn w:val="1"/>
    <w:link w:val="228"/>
    <w:autoRedefine/>
    <w:qFormat/>
    <w:uiPriority w:val="0"/>
    <w:pPr>
      <w:ind w:firstLine="830"/>
    </w:pPr>
    <w:rPr>
      <w:rFonts w:ascii="仿宋_GB2312" w:hAnsi="Times New Roman" w:eastAsia="仿宋_GB2312" w:cs="Times New Roman"/>
      <w:sz w:val="32"/>
      <w:szCs w:val="20"/>
      <w:lang w:val="zh-CN" w:eastAsia="zh-CN"/>
    </w:rPr>
  </w:style>
  <w:style w:type="paragraph" w:styleId="21">
    <w:name w:val="List 2"/>
    <w:basedOn w:val="1"/>
    <w:autoRedefine/>
    <w:unhideWhenUsed/>
    <w:qFormat/>
    <w:uiPriority w:val="99"/>
    <w:pPr>
      <w:ind w:left="100" w:hanging="200"/>
      <w:contextualSpacing/>
    </w:pPr>
    <w:rPr>
      <w:rFonts w:ascii="Times New Roman" w:hAnsi="Times New Roman" w:eastAsia="宋体" w:cs="Times New Roman"/>
      <w:szCs w:val="24"/>
    </w:rPr>
  </w:style>
  <w:style w:type="paragraph" w:styleId="22">
    <w:name w:val="toc 5"/>
    <w:basedOn w:val="1"/>
    <w:next w:val="1"/>
    <w:autoRedefine/>
    <w:unhideWhenUsed/>
    <w:qFormat/>
    <w:uiPriority w:val="39"/>
    <w:pPr>
      <w:spacing w:after="100"/>
      <w:ind w:left="880"/>
    </w:pPr>
  </w:style>
  <w:style w:type="paragraph" w:styleId="23">
    <w:name w:val="toc 3"/>
    <w:basedOn w:val="1"/>
    <w:next w:val="1"/>
    <w:autoRedefine/>
    <w:semiHidden/>
    <w:unhideWhenUsed/>
    <w:qFormat/>
    <w:uiPriority w:val="39"/>
    <w:pPr>
      <w:ind w:left="840"/>
    </w:pPr>
  </w:style>
  <w:style w:type="paragraph" w:styleId="24">
    <w:name w:val="Plain Text"/>
    <w:basedOn w:val="1"/>
    <w:next w:val="13"/>
    <w:link w:val="232"/>
    <w:autoRedefine/>
    <w:qFormat/>
    <w:uiPriority w:val="0"/>
    <w:rPr>
      <w:rFonts w:ascii="宋体" w:hAnsi="Courier New" w:eastAsia="宋体" w:cs="Times New Roman"/>
      <w:sz w:val="20"/>
      <w:szCs w:val="21"/>
      <w:lang w:val="zh-CN" w:eastAsia="zh-CN"/>
    </w:rPr>
  </w:style>
  <w:style w:type="paragraph" w:styleId="25">
    <w:name w:val="toc 8"/>
    <w:basedOn w:val="1"/>
    <w:next w:val="1"/>
    <w:autoRedefine/>
    <w:unhideWhenUsed/>
    <w:qFormat/>
    <w:uiPriority w:val="39"/>
    <w:pPr>
      <w:spacing w:after="100"/>
      <w:ind w:left="1540"/>
    </w:pPr>
  </w:style>
  <w:style w:type="paragraph" w:styleId="26">
    <w:name w:val="Date"/>
    <w:basedOn w:val="1"/>
    <w:next w:val="1"/>
    <w:link w:val="234"/>
    <w:autoRedefine/>
    <w:unhideWhenUsed/>
    <w:qFormat/>
    <w:uiPriority w:val="99"/>
    <w:pPr>
      <w:ind w:left="100"/>
    </w:pPr>
    <w:rPr>
      <w:rFonts w:ascii="Times New Roman" w:hAnsi="Times New Roman" w:eastAsia="宋体" w:cs="Times New Roman"/>
      <w:szCs w:val="24"/>
      <w:lang w:val="zh-CN" w:eastAsia="zh-CN"/>
    </w:rPr>
  </w:style>
  <w:style w:type="paragraph" w:styleId="27">
    <w:name w:val="endnote text"/>
    <w:basedOn w:val="1"/>
    <w:link w:val="208"/>
    <w:autoRedefine/>
    <w:semiHidden/>
    <w:unhideWhenUsed/>
    <w:qFormat/>
    <w:uiPriority w:val="99"/>
    <w:pPr>
      <w:spacing w:after="0" w:line="240" w:lineRule="auto"/>
    </w:pPr>
    <w:rPr>
      <w:sz w:val="20"/>
      <w:szCs w:val="20"/>
    </w:rPr>
  </w:style>
  <w:style w:type="paragraph" w:styleId="28">
    <w:name w:val="Balloon Text"/>
    <w:basedOn w:val="1"/>
    <w:link w:val="270"/>
    <w:autoRedefine/>
    <w:semiHidden/>
    <w:qFormat/>
    <w:uiPriority w:val="0"/>
    <w:rPr>
      <w:rFonts w:ascii="Times New Roman" w:hAnsi="Times New Roman" w:eastAsia="宋体" w:cs="Times New Roman"/>
      <w:sz w:val="18"/>
      <w:szCs w:val="18"/>
    </w:rPr>
  </w:style>
  <w:style w:type="paragraph" w:styleId="29">
    <w:name w:val="footer"/>
    <w:basedOn w:val="1"/>
    <w:next w:val="1"/>
    <w:link w:val="237"/>
    <w:autoRedefine/>
    <w:unhideWhenUsed/>
    <w:qFormat/>
    <w:uiPriority w:val="0"/>
    <w:pPr>
      <w:tabs>
        <w:tab w:val="center" w:pos="4153"/>
        <w:tab w:val="right" w:pos="8306"/>
      </w:tabs>
      <w:jc w:val="left"/>
    </w:pPr>
    <w:rPr>
      <w:rFonts w:ascii="Times New Roman" w:hAnsi="Times New Roman" w:eastAsia="宋体" w:cs="Times New Roman"/>
      <w:sz w:val="18"/>
      <w:szCs w:val="18"/>
      <w:lang w:val="zh-CN" w:eastAsia="zh-CN"/>
    </w:rPr>
  </w:style>
  <w:style w:type="paragraph" w:styleId="30">
    <w:name w:val="header"/>
    <w:basedOn w:val="1"/>
    <w:next w:val="31"/>
    <w:link w:val="239"/>
    <w:autoRedefine/>
    <w:unhideWhenUsed/>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lang w:val="zh-CN" w:eastAsia="zh-CN"/>
    </w:rPr>
  </w:style>
  <w:style w:type="paragraph" w:styleId="31">
    <w:name w:val="Body Text First Indent"/>
    <w:basedOn w:val="18"/>
    <w:next w:val="7"/>
    <w:autoRedefine/>
    <w:qFormat/>
    <w:uiPriority w:val="0"/>
    <w:pPr>
      <w:spacing w:line="360" w:lineRule="auto"/>
      <w:ind w:firstLine="420"/>
    </w:pPr>
    <w:rPr>
      <w:rFonts w:ascii="宋体" w:hAnsi="宋体"/>
      <w:sz w:val="24"/>
    </w:rPr>
  </w:style>
  <w:style w:type="paragraph" w:styleId="32">
    <w:name w:val="toc 1"/>
    <w:basedOn w:val="1"/>
    <w:next w:val="1"/>
    <w:autoRedefine/>
    <w:semiHidden/>
    <w:unhideWhenUsed/>
    <w:qFormat/>
    <w:uiPriority w:val="39"/>
  </w:style>
  <w:style w:type="paragraph" w:styleId="33">
    <w:name w:val="toc 4"/>
    <w:basedOn w:val="1"/>
    <w:next w:val="1"/>
    <w:autoRedefine/>
    <w:unhideWhenUsed/>
    <w:qFormat/>
    <w:uiPriority w:val="39"/>
    <w:pPr>
      <w:spacing w:after="100"/>
      <w:ind w:left="660"/>
    </w:pPr>
  </w:style>
  <w:style w:type="paragraph" w:styleId="34">
    <w:name w:val="Subtitle"/>
    <w:basedOn w:val="1"/>
    <w:next w:val="1"/>
    <w:link w:val="194"/>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5">
    <w:name w:val="List"/>
    <w:basedOn w:val="1"/>
    <w:autoRedefine/>
    <w:unhideWhenUsed/>
    <w:qFormat/>
    <w:uiPriority w:val="99"/>
    <w:pPr>
      <w:ind w:left="200" w:hanging="200"/>
      <w:contextualSpacing/>
    </w:pPr>
    <w:rPr>
      <w:rFonts w:ascii="Times New Roman" w:hAnsi="Times New Roman" w:eastAsia="宋体" w:cs="Times New Roman"/>
      <w:szCs w:val="24"/>
    </w:rPr>
  </w:style>
  <w:style w:type="paragraph" w:styleId="36">
    <w:name w:val="footnote text"/>
    <w:basedOn w:val="1"/>
    <w:link w:val="207"/>
    <w:autoRedefine/>
    <w:semiHidden/>
    <w:unhideWhenUsed/>
    <w:qFormat/>
    <w:uiPriority w:val="99"/>
    <w:pPr>
      <w:spacing w:after="0" w:line="240" w:lineRule="auto"/>
    </w:pPr>
    <w:rPr>
      <w:sz w:val="20"/>
      <w:szCs w:val="20"/>
    </w:rPr>
  </w:style>
  <w:style w:type="paragraph" w:styleId="37">
    <w:name w:val="toc 6"/>
    <w:basedOn w:val="1"/>
    <w:next w:val="1"/>
    <w:autoRedefine/>
    <w:unhideWhenUsed/>
    <w:qFormat/>
    <w:uiPriority w:val="39"/>
    <w:pPr>
      <w:spacing w:after="100"/>
      <w:ind w:left="1100"/>
    </w:pPr>
  </w:style>
  <w:style w:type="paragraph" w:styleId="38">
    <w:name w:val="table of figures"/>
    <w:basedOn w:val="1"/>
    <w:next w:val="1"/>
    <w:autoRedefine/>
    <w:unhideWhenUsed/>
    <w:qFormat/>
    <w:uiPriority w:val="99"/>
    <w:pPr>
      <w:spacing w:after="0" w:afterAutospacing="0"/>
    </w:pPr>
  </w:style>
  <w:style w:type="paragraph" w:styleId="39">
    <w:name w:val="toc 2"/>
    <w:basedOn w:val="1"/>
    <w:next w:val="1"/>
    <w:autoRedefine/>
    <w:semiHidden/>
    <w:unhideWhenUsed/>
    <w:qFormat/>
    <w:uiPriority w:val="39"/>
    <w:pPr>
      <w:ind w:left="420"/>
    </w:pPr>
  </w:style>
  <w:style w:type="paragraph" w:styleId="40">
    <w:name w:val="toc 9"/>
    <w:basedOn w:val="1"/>
    <w:next w:val="1"/>
    <w:autoRedefine/>
    <w:unhideWhenUsed/>
    <w:qFormat/>
    <w:uiPriority w:val="39"/>
    <w:pPr>
      <w:spacing w:after="100"/>
      <w:ind w:left="1760"/>
    </w:pPr>
  </w:style>
  <w:style w:type="paragraph" w:styleId="41">
    <w:name w:val="Normal (Web)"/>
    <w:basedOn w:val="1"/>
    <w:autoRedefine/>
    <w:unhideWhenUsed/>
    <w:qFormat/>
    <w:uiPriority w:val="99"/>
    <w:rPr>
      <w:rFonts w:ascii="Calibri" w:hAnsi="Calibri" w:eastAsia="宋体" w:cs="Times New Roman"/>
      <w:sz w:val="24"/>
      <w:szCs w:val="24"/>
    </w:rPr>
  </w:style>
  <w:style w:type="paragraph" w:styleId="42">
    <w:name w:val="Title"/>
    <w:basedOn w:val="1"/>
    <w:next w:val="1"/>
    <w:link w:val="241"/>
    <w:autoRedefine/>
    <w:qFormat/>
    <w:uiPriority w:val="10"/>
    <w:pPr>
      <w:widowControl/>
      <w:jc w:val="center"/>
    </w:pPr>
    <w:rPr>
      <w:rFonts w:ascii="Cambria" w:hAnsi="Cambria" w:eastAsia="宋体" w:cs="Times New Roman"/>
      <w:b/>
      <w:bCs/>
      <w:sz w:val="32"/>
      <w:szCs w:val="32"/>
      <w:lang w:val="zh-CN" w:eastAsia="zh-CN"/>
    </w:rPr>
  </w:style>
  <w:style w:type="paragraph" w:styleId="43">
    <w:name w:val="annotation subject"/>
    <w:basedOn w:val="16"/>
    <w:next w:val="16"/>
    <w:link w:val="243"/>
    <w:autoRedefine/>
    <w:qFormat/>
    <w:uiPriority w:val="99"/>
    <w:rPr>
      <w:b/>
      <w:bCs/>
    </w:rPr>
  </w:style>
  <w:style w:type="paragraph" w:styleId="44">
    <w:name w:val="Body Text First Indent 2"/>
    <w:basedOn w:val="1"/>
    <w:next w:val="1"/>
    <w:link w:val="279"/>
    <w:autoRedefine/>
    <w:semiHidden/>
    <w:unhideWhenUsed/>
    <w:qFormat/>
    <w:uiPriority w:val="99"/>
    <w:pPr>
      <w:spacing w:after="120"/>
      <w:ind w:left="420" w:firstLine="420"/>
    </w:pPr>
    <w:rPr>
      <w:rFonts w:ascii="Times New Roman" w:eastAsia="宋体"/>
      <w:sz w:val="21"/>
      <w:szCs w:val="24"/>
      <w:lang w:val="en-US" w:eastAsia="zh-CN"/>
    </w:rPr>
  </w:style>
  <w:style w:type="table" w:styleId="46">
    <w:name w:val="Table Grid"/>
    <w:basedOn w:val="45"/>
    <w:autoRedefine/>
    <w:qFormat/>
    <w:uiPriority w:val="59"/>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8">
    <w:name w:val="Strong"/>
    <w:basedOn w:val="47"/>
    <w:autoRedefine/>
    <w:qFormat/>
    <w:uiPriority w:val="0"/>
    <w:rPr>
      <w:b/>
    </w:rPr>
  </w:style>
  <w:style w:type="character" w:styleId="49">
    <w:name w:val="endnote reference"/>
    <w:autoRedefine/>
    <w:unhideWhenUsed/>
    <w:qFormat/>
    <w:uiPriority w:val="99"/>
    <w:rPr>
      <w:vertAlign w:val="superscript"/>
    </w:rPr>
  </w:style>
  <w:style w:type="character" w:styleId="50">
    <w:name w:val="page number"/>
    <w:autoRedefine/>
    <w:qFormat/>
    <w:uiPriority w:val="0"/>
    <w:rPr>
      <w:rFonts w:ascii="Arial" w:hAnsi="Arial" w:eastAsia="黑体" w:cs="Arial"/>
      <w:szCs w:val="21"/>
    </w:rPr>
  </w:style>
  <w:style w:type="character" w:styleId="51">
    <w:name w:val="FollowedHyperlink"/>
    <w:basedOn w:val="47"/>
    <w:autoRedefine/>
    <w:unhideWhenUsed/>
    <w:qFormat/>
    <w:uiPriority w:val="99"/>
    <w:rPr>
      <w:color w:val="800080"/>
      <w:u w:val="single"/>
    </w:rPr>
  </w:style>
  <w:style w:type="character" w:styleId="52">
    <w:name w:val="Emphasis"/>
    <w:basedOn w:val="47"/>
    <w:autoRedefine/>
    <w:qFormat/>
    <w:uiPriority w:val="0"/>
    <w:rPr>
      <w:i/>
    </w:rPr>
  </w:style>
  <w:style w:type="character" w:styleId="53">
    <w:name w:val="Hyperlink"/>
    <w:autoRedefine/>
    <w:unhideWhenUsed/>
    <w:qFormat/>
    <w:uiPriority w:val="99"/>
    <w:rPr>
      <w:color w:val="0000FF"/>
      <w:u w:val="single"/>
    </w:rPr>
  </w:style>
  <w:style w:type="character" w:styleId="54">
    <w:name w:val="annotation reference"/>
    <w:autoRedefine/>
    <w:qFormat/>
    <w:uiPriority w:val="99"/>
    <w:rPr>
      <w:sz w:val="21"/>
      <w:szCs w:val="21"/>
    </w:rPr>
  </w:style>
  <w:style w:type="character" w:styleId="55">
    <w:name w:val="footnote reference"/>
    <w:basedOn w:val="47"/>
    <w:autoRedefine/>
    <w:semiHidden/>
    <w:unhideWhenUsed/>
    <w:qFormat/>
    <w:uiPriority w:val="99"/>
    <w:rPr>
      <w:vertAlign w:val="superscript"/>
    </w:rPr>
  </w:style>
  <w:style w:type="character" w:styleId="56">
    <w:name w:val="HTML Sample"/>
    <w:basedOn w:val="47"/>
    <w:autoRedefine/>
    <w:semiHidden/>
    <w:unhideWhenUsed/>
    <w:qFormat/>
    <w:uiPriority w:val="99"/>
    <w:rPr>
      <w:rFonts w:ascii="Courier New" w:hAnsi="Courier New"/>
    </w:rPr>
  </w:style>
  <w:style w:type="paragraph" w:customStyle="1" w:styleId="57">
    <w:name w:val="Body Text First Indent1"/>
    <w:basedOn w:val="18"/>
    <w:qFormat/>
    <w:uiPriority w:val="0"/>
    <w:pPr>
      <w:widowControl w:val="0"/>
      <w:ind w:firstLine="420" w:firstLineChars="100"/>
      <w:jc w:val="both"/>
    </w:pPr>
    <w:rPr>
      <w:rFonts w:ascii="Calibri" w:hAnsi="Calibri" w:eastAsia="宋体" w:cs="黑体"/>
      <w:kern w:val="2"/>
      <w:sz w:val="28"/>
      <w:szCs w:val="24"/>
      <w:lang w:val="en-US" w:eastAsia="zh-CN" w:bidi="ar-SA"/>
    </w:rPr>
  </w:style>
  <w:style w:type="paragraph" w:customStyle="1" w:styleId="58">
    <w:name w:val="Default"/>
    <w:basedOn w:val="42"/>
    <w:autoRedefine/>
    <w:qFormat/>
    <w:uiPriority w:val="0"/>
    <w:pPr>
      <w:widowControl w:val="0"/>
    </w:pPr>
    <w:rPr>
      <w:rFonts w:ascii="@宋体" w:hAnsi="@宋体" w:eastAsia="宋体" w:cs="@宋体"/>
      <w:color w:val="000000"/>
      <w:sz w:val="24"/>
      <w:szCs w:val="24"/>
      <w:lang w:val="en-US" w:eastAsia="zh-CN" w:bidi="ar-SA"/>
    </w:rPr>
  </w:style>
  <w:style w:type="table" w:customStyle="1" w:styleId="59">
    <w:name w:val="Table Grid Light"/>
    <w:basedOn w:val="45"/>
    <w:autoRedefine/>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0">
    <w:name w:val="Plain Table 1"/>
    <w:basedOn w:val="45"/>
    <w:autoRedefine/>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1">
    <w:name w:val="Plain Table 2"/>
    <w:basedOn w:val="45"/>
    <w:autoRedefine/>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2">
    <w:name w:val="Plain Table 3"/>
    <w:basedOn w:val="45"/>
    <w:autoRedefine/>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Plain Table 4"/>
    <w:basedOn w:val="45"/>
    <w:autoRedefine/>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4">
    <w:name w:val="Plain Table 5"/>
    <w:basedOn w:val="45"/>
    <w:autoRedefine/>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5">
    <w:name w:val="Grid Table 1 Light"/>
    <w:basedOn w:val="45"/>
    <w:autoRedefine/>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6">
    <w:name w:val="Grid Table 1 Light - Accent 1"/>
    <w:basedOn w:val="45"/>
    <w:autoRedefine/>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67">
    <w:name w:val="Grid Table 1 Light - Accent 2"/>
    <w:basedOn w:val="45"/>
    <w:autoRedefine/>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68">
    <w:name w:val="Grid Table 1 Light - Accent 3"/>
    <w:basedOn w:val="45"/>
    <w:autoRedefine/>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9">
    <w:name w:val="Grid Table 1 Light - Accent 4"/>
    <w:basedOn w:val="45"/>
    <w:autoRedefine/>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70">
    <w:name w:val="Grid Table 1 Light - Accent 5"/>
    <w:basedOn w:val="45"/>
    <w:autoRedefine/>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71">
    <w:name w:val="Grid Table 1 Light - Accent 6"/>
    <w:basedOn w:val="45"/>
    <w:autoRedefine/>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72">
    <w:name w:val="Grid Table 2"/>
    <w:basedOn w:val="45"/>
    <w:autoRedefine/>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3">
    <w:name w:val="Grid Table 2 - Accent 1"/>
    <w:basedOn w:val="45"/>
    <w:autoRedefine/>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4">
    <w:name w:val="Grid Table 2 - Accent 2"/>
    <w:basedOn w:val="45"/>
    <w:autoRedefine/>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5">
    <w:name w:val="Grid Table 2 - Accent 3"/>
    <w:basedOn w:val="45"/>
    <w:autoRedefine/>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6">
    <w:name w:val="Grid Table 2 - Accent 4"/>
    <w:basedOn w:val="45"/>
    <w:autoRedefine/>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7">
    <w:name w:val="Grid Table 2 - Accent 5"/>
    <w:basedOn w:val="45"/>
    <w:autoRedefine/>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78">
    <w:name w:val="Grid Table 2 - Accent 6"/>
    <w:basedOn w:val="45"/>
    <w:autoRedefine/>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9">
    <w:name w:val="Grid Table 3"/>
    <w:basedOn w:val="45"/>
    <w:autoRedefine/>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0">
    <w:name w:val="Grid Table 3 - Accent 1"/>
    <w:basedOn w:val="45"/>
    <w:autoRedefine/>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81">
    <w:name w:val="Grid Table 3 - Accent 2"/>
    <w:basedOn w:val="45"/>
    <w:autoRedefine/>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2">
    <w:name w:val="Grid Table 3 - Accent 3"/>
    <w:basedOn w:val="45"/>
    <w:autoRedefine/>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3">
    <w:name w:val="Grid Table 3 - Accent 4"/>
    <w:basedOn w:val="45"/>
    <w:autoRedefine/>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4">
    <w:name w:val="Grid Table 3 - Accent 5"/>
    <w:basedOn w:val="45"/>
    <w:autoRedefine/>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5">
    <w:name w:val="Grid Table 3 - Accent 6"/>
    <w:basedOn w:val="45"/>
    <w:autoRedefine/>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6">
    <w:name w:val="Grid Table 4"/>
    <w:basedOn w:val="45"/>
    <w:autoRedefine/>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7">
    <w:name w:val="Grid Table 4 - Accent 1"/>
    <w:basedOn w:val="45"/>
    <w:autoRedefine/>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2Vert"/>
    <w:tblStylePr w:type="band1Horz">
      <w:rPr>
        <w:rFonts w:ascii="Arial" w:hAnsi="Arial"/>
        <w:color w:val="404040"/>
        <w:sz w:val="22"/>
      </w:rPr>
      <w:tcPr>
        <w:shd w:val="clear" w:color="DEEBF6" w:themeColor="accent1" w:themeTint="32" w:fill="DEEBF6" w:themeFill="accent1" w:themeFillTint="32"/>
      </w:tcPr>
    </w:tblStylePr>
    <w:tblStylePr w:type="band2Horz"/>
    <w:tblStylePr w:type="neCell"/>
    <w:tblStylePr w:type="nwCell"/>
    <w:tblStylePr w:type="seCell"/>
    <w:tblStylePr w:type="swCell"/>
  </w:style>
  <w:style w:type="table" w:customStyle="1" w:styleId="88">
    <w:name w:val="Grid Table 4 - Accent 2"/>
    <w:basedOn w:val="45"/>
    <w:autoRedefine/>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9">
    <w:name w:val="Grid Table 4 - Accent 3"/>
    <w:basedOn w:val="45"/>
    <w:autoRedefine/>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90">
    <w:name w:val="Grid Table 4 - Accent 4"/>
    <w:basedOn w:val="45"/>
    <w:autoRedefine/>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91">
    <w:name w:val="Grid Table 4 - Accent 5"/>
    <w:basedOn w:val="45"/>
    <w:autoRedefine/>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92">
    <w:name w:val="Grid Table 4 - Accent 6"/>
    <w:basedOn w:val="45"/>
    <w:autoRedefine/>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93">
    <w:name w:val="Grid Table 5 Dark"/>
    <w:basedOn w:val="4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4">
    <w:name w:val="Grid Table 5 Dark- Accent 1"/>
    <w:basedOn w:val="4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2Vert"/>
    <w:tblStylePr w:type="band1Horz">
      <w:tcPr>
        <w:shd w:val="clear" w:color="B3D1EB" w:themeColor="accent1" w:themeTint="75" w:fill="B3D1EB" w:themeFill="accent1" w:themeFillTint="75"/>
      </w:tcPr>
    </w:tblStylePr>
    <w:tblStylePr w:type="band2Horz"/>
    <w:tblStylePr w:type="neCell"/>
    <w:tblStylePr w:type="nwCell"/>
    <w:tblStylePr w:type="seCell"/>
    <w:tblStylePr w:type="swCell"/>
  </w:style>
  <w:style w:type="table" w:customStyle="1" w:styleId="95">
    <w:name w:val="Grid Table 5 Dark - Accent 2"/>
    <w:basedOn w:val="4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2Vert"/>
    <w:tblStylePr w:type="band1Horz">
      <w:tcPr>
        <w:shd w:val="clear" w:color="F6C3A0" w:themeColor="accent2" w:themeTint="75" w:fill="F6C3A0" w:themeFill="accent2" w:themeFillTint="75"/>
      </w:tcPr>
    </w:tblStylePr>
    <w:tblStylePr w:type="band2Horz"/>
    <w:tblStylePr w:type="neCell"/>
    <w:tblStylePr w:type="nwCell"/>
    <w:tblStylePr w:type="seCell"/>
    <w:tblStylePr w:type="swCell"/>
  </w:style>
  <w:style w:type="table" w:customStyle="1" w:styleId="96">
    <w:name w:val="Grid Table 5 Dark - Accent 3"/>
    <w:basedOn w:val="4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2Vert"/>
    <w:tblStylePr w:type="band1Horz">
      <w:tcPr>
        <w:shd w:val="clear" w:color="D5D5D5" w:themeColor="accent3" w:themeTint="75" w:fill="D5D5D5" w:themeFill="accent3" w:themeFillTint="75"/>
      </w:tcPr>
    </w:tblStylePr>
    <w:tblStylePr w:type="band2Horz"/>
    <w:tblStylePr w:type="neCell"/>
    <w:tblStylePr w:type="nwCell"/>
    <w:tblStylePr w:type="seCell"/>
    <w:tblStylePr w:type="swCell"/>
  </w:style>
  <w:style w:type="table" w:customStyle="1" w:styleId="97">
    <w:name w:val="Grid Table 5 Dark- Accent 4"/>
    <w:basedOn w:val="4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2Vert"/>
    <w:tblStylePr w:type="band1Horz">
      <w:tcPr>
        <w:shd w:val="clear" w:color="FEE289" w:themeColor="accent4" w:themeTint="75" w:fill="FEE289" w:themeFill="accent4" w:themeFillTint="75"/>
      </w:tcPr>
    </w:tblStylePr>
    <w:tblStylePr w:type="band2Horz"/>
    <w:tblStylePr w:type="neCell"/>
    <w:tblStylePr w:type="nwCell"/>
    <w:tblStylePr w:type="seCell"/>
    <w:tblStylePr w:type="swCell"/>
  </w:style>
  <w:style w:type="table" w:customStyle="1" w:styleId="98">
    <w:name w:val="Grid Table 5 Dark - Accent 5"/>
    <w:basedOn w:val="4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2Vert"/>
    <w:tblStylePr w:type="band1Horz">
      <w:tcPr>
        <w:shd w:val="clear" w:color="A9BEE3" w:themeColor="accent5" w:themeTint="75" w:fill="A9BEE3" w:themeFill="accent5" w:themeFillTint="75"/>
      </w:tcPr>
    </w:tblStylePr>
    <w:tblStylePr w:type="band2Horz"/>
    <w:tblStylePr w:type="neCell"/>
    <w:tblStylePr w:type="nwCell"/>
    <w:tblStylePr w:type="seCell"/>
    <w:tblStylePr w:type="swCell"/>
  </w:style>
  <w:style w:type="table" w:customStyle="1" w:styleId="99">
    <w:name w:val="Grid Table 5 Dark - Accent 6"/>
    <w:basedOn w:val="4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2Vert"/>
    <w:tblStylePr w:type="band1Horz">
      <w:tcPr>
        <w:shd w:val="clear" w:color="BCDBA8" w:themeColor="accent6" w:themeTint="75" w:fill="BCDBA8" w:themeFill="accent6" w:themeFillTint="75"/>
      </w:tcPr>
    </w:tblStylePr>
    <w:tblStylePr w:type="band2Horz"/>
    <w:tblStylePr w:type="neCell"/>
    <w:tblStylePr w:type="nwCell"/>
    <w:tblStylePr w:type="seCell"/>
    <w:tblStylePr w:type="swCell"/>
  </w:style>
  <w:style w:type="table" w:customStyle="1" w:styleId="100">
    <w:name w:val="Grid Table 6 Colorful"/>
    <w:basedOn w:val="45"/>
    <w:autoRedefine/>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1">
    <w:name w:val="Grid Table 6 Colorful - Accent 1"/>
    <w:basedOn w:val="45"/>
    <w:autoRedefine/>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2">
    <w:name w:val="Grid Table 6 Colorful - Accent 2"/>
    <w:basedOn w:val="45"/>
    <w:autoRedefine/>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3">
    <w:name w:val="Grid Table 6 Colorful - Accent 3"/>
    <w:basedOn w:val="45"/>
    <w:autoRedefine/>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4">
    <w:name w:val="Grid Table 6 Colorful - Accent 4"/>
    <w:basedOn w:val="45"/>
    <w:autoRedefine/>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5">
    <w:name w:val="Grid Table 6 Colorful - Accent 5"/>
    <w:basedOn w:val="45"/>
    <w:autoRedefine/>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6">
    <w:name w:val="Grid Table 6 Colorful - Accent 6"/>
    <w:basedOn w:val="45"/>
    <w:autoRedefine/>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2Vert"/>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7">
    <w:name w:val="Grid Table 7 Colorful"/>
    <w:basedOn w:val="45"/>
    <w:autoRedefine/>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8">
    <w:name w:val="Grid Table 7 Colorful - Accent 1"/>
    <w:basedOn w:val="45"/>
    <w:autoRedefine/>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9">
    <w:name w:val="Grid Table 7 Colorful - Accent 2"/>
    <w:basedOn w:val="45"/>
    <w:autoRedefine/>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0">
    <w:name w:val="Grid Table 7 Colorful - Accent 3"/>
    <w:basedOn w:val="45"/>
    <w:autoRedefine/>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1">
    <w:name w:val="Grid Table 7 Colorful - Accent 4"/>
    <w:basedOn w:val="45"/>
    <w:autoRedefine/>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2">
    <w:name w:val="Grid Table 7 Colorful - Accent 5"/>
    <w:basedOn w:val="45"/>
    <w:autoRedefine/>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13">
    <w:name w:val="Grid Table 7 Colorful - Accent 6"/>
    <w:basedOn w:val="45"/>
    <w:autoRedefine/>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2Vert"/>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14">
    <w:name w:val="List Table 1 Light"/>
    <w:basedOn w:val="45"/>
    <w:autoRedefine/>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5">
    <w:name w:val="List Table 1 Light - Accent 1"/>
    <w:basedOn w:val="45"/>
    <w:autoRedefine/>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2Vert"/>
    <w:tblStylePr w:type="band1Horz">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6">
    <w:name w:val="List Table 1 Light - Accent 2"/>
    <w:basedOn w:val="45"/>
    <w:autoRedefine/>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2Vert"/>
    <w:tblStylePr w:type="band1Horz">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7">
    <w:name w:val="List Table 1 Light - Accent 3"/>
    <w:basedOn w:val="45"/>
    <w:autoRedefine/>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2Vert"/>
    <w:tblStylePr w:type="band1Horz">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18">
    <w:name w:val="List Table 1 Light - Accent 4"/>
    <w:basedOn w:val="45"/>
    <w:autoRedefine/>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2Vert"/>
    <w:tblStylePr w:type="band1Horz">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9">
    <w:name w:val="List Table 1 Light - Accent 5"/>
    <w:basedOn w:val="45"/>
    <w:autoRedefine/>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2Vert"/>
    <w:tblStylePr w:type="band1Horz">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20">
    <w:name w:val="List Table 1 Light - Accent 6"/>
    <w:basedOn w:val="45"/>
    <w:autoRedefine/>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2Vert"/>
    <w:tblStylePr w:type="band1Horz">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21">
    <w:name w:val="List Table 2"/>
    <w:basedOn w:val="45"/>
    <w:autoRedefine/>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2">
    <w:name w:val="List Table 2 - Accent 1"/>
    <w:basedOn w:val="45"/>
    <w:autoRedefine/>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23">
    <w:name w:val="List Table 2 - Accent 2"/>
    <w:basedOn w:val="45"/>
    <w:autoRedefine/>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24">
    <w:name w:val="List Table 2 - Accent 3"/>
    <w:basedOn w:val="45"/>
    <w:autoRedefine/>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25">
    <w:name w:val="List Table 2 - Accent 4"/>
    <w:basedOn w:val="45"/>
    <w:autoRedefine/>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26">
    <w:name w:val="List Table 2 - Accent 5"/>
    <w:basedOn w:val="45"/>
    <w:autoRedefine/>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27">
    <w:name w:val="List Table 2 - Accent 6"/>
    <w:basedOn w:val="45"/>
    <w:autoRedefine/>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28">
    <w:name w:val="List Table 3"/>
    <w:basedOn w:val="45"/>
    <w:autoRedefine/>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9">
    <w:name w:val="List Table 3 - Accent 1"/>
    <w:basedOn w:val="45"/>
    <w:autoRedefine/>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30">
    <w:name w:val="List Table 3 - Accent 2"/>
    <w:basedOn w:val="45"/>
    <w:autoRedefine/>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31">
    <w:name w:val="List Table 3 - Accent 3"/>
    <w:basedOn w:val="45"/>
    <w:autoRedefine/>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32">
    <w:name w:val="List Table 3 - Accent 4"/>
    <w:basedOn w:val="45"/>
    <w:autoRedefine/>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33">
    <w:name w:val="List Table 3 - Accent 5"/>
    <w:basedOn w:val="45"/>
    <w:autoRedefine/>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34">
    <w:name w:val="List Table 3 - Accent 6"/>
    <w:basedOn w:val="45"/>
    <w:autoRedefine/>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35">
    <w:name w:val="List Table 4"/>
    <w:basedOn w:val="45"/>
    <w:autoRedefine/>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6">
    <w:name w:val="List Table 4 - Accent 1"/>
    <w:basedOn w:val="45"/>
    <w:autoRedefine/>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37">
    <w:name w:val="List Table 4 - Accent 2"/>
    <w:basedOn w:val="45"/>
    <w:autoRedefine/>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38">
    <w:name w:val="List Table 4 - Accent 3"/>
    <w:basedOn w:val="45"/>
    <w:autoRedefine/>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39">
    <w:name w:val="List Table 4 - Accent 4"/>
    <w:basedOn w:val="45"/>
    <w:autoRedefine/>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40">
    <w:name w:val="List Table 4 - Accent 5"/>
    <w:basedOn w:val="45"/>
    <w:autoRedefine/>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41">
    <w:name w:val="List Table 4 - Accent 6"/>
    <w:basedOn w:val="45"/>
    <w:autoRedefine/>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42">
    <w:name w:val="List Table 5 Dark"/>
    <w:basedOn w:val="45"/>
    <w:autoRedefine/>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3">
    <w:name w:val="List Table 5 Dark - Accent 1"/>
    <w:basedOn w:val="45"/>
    <w:autoRedefine/>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tblStylePr w:type="neCell"/>
    <w:tblStylePr w:type="nwCell"/>
    <w:tblStylePr w:type="seCell"/>
    <w:tblStylePr w:type="swCell"/>
  </w:style>
  <w:style w:type="table" w:customStyle="1" w:styleId="144">
    <w:name w:val="List Table 5 Dark - Accent 2"/>
    <w:basedOn w:val="45"/>
    <w:autoRedefine/>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StylePr w:type="nwCell"/>
    <w:tblStylePr w:type="seCell"/>
    <w:tblStylePr w:type="swCell"/>
  </w:style>
  <w:style w:type="table" w:customStyle="1" w:styleId="145">
    <w:name w:val="List Table 5 Dark - Accent 3"/>
    <w:basedOn w:val="45"/>
    <w:autoRedefine/>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StylePr w:type="nwCell"/>
    <w:tblStylePr w:type="seCell"/>
    <w:tblStylePr w:type="swCell"/>
  </w:style>
  <w:style w:type="table" w:customStyle="1" w:styleId="146">
    <w:name w:val="List Table 5 Dark - Accent 4"/>
    <w:basedOn w:val="45"/>
    <w:autoRedefine/>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StylePr w:type="nwCell"/>
    <w:tblStylePr w:type="seCell"/>
    <w:tblStylePr w:type="swCell"/>
  </w:style>
  <w:style w:type="table" w:customStyle="1" w:styleId="147">
    <w:name w:val="List Table 5 Dark - Accent 5"/>
    <w:basedOn w:val="45"/>
    <w:autoRedefine/>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StylePr w:type="nwCell"/>
    <w:tblStylePr w:type="seCell"/>
    <w:tblStylePr w:type="swCell"/>
  </w:style>
  <w:style w:type="table" w:customStyle="1" w:styleId="148">
    <w:name w:val="List Table 5 Dark - Accent 6"/>
    <w:basedOn w:val="45"/>
    <w:autoRedefine/>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StylePr w:type="nwCell"/>
    <w:tblStylePr w:type="seCell"/>
    <w:tblStylePr w:type="swCell"/>
  </w:style>
  <w:style w:type="table" w:customStyle="1" w:styleId="149">
    <w:name w:val="List Table 6 Colorful"/>
    <w:basedOn w:val="45"/>
    <w:autoRedefine/>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0">
    <w:name w:val="List Table 6 Colorful - Accent 1"/>
    <w:basedOn w:val="45"/>
    <w:autoRedefine/>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1">
    <w:name w:val="List Table 6 Colorful - Accent 2"/>
    <w:basedOn w:val="45"/>
    <w:autoRedefine/>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List Table 6 Colorful - Accent 3"/>
    <w:basedOn w:val="45"/>
    <w:autoRedefine/>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3">
    <w:name w:val="List Table 6 Colorful - Accent 4"/>
    <w:basedOn w:val="45"/>
    <w:autoRedefine/>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List Table 6 Colorful - Accent 5"/>
    <w:basedOn w:val="45"/>
    <w:autoRedefine/>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5">
    <w:name w:val="List Table 6 Colorful - Accent 6"/>
    <w:basedOn w:val="45"/>
    <w:autoRedefine/>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6">
    <w:name w:val="List Table 7 Colorful"/>
    <w:basedOn w:val="45"/>
    <w:autoRedefine/>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7">
    <w:name w:val="List Table 7 Colorful - Accent 1"/>
    <w:basedOn w:val="45"/>
    <w:autoRedefine/>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8">
    <w:name w:val="List Table 7 Colorful - Accent 2"/>
    <w:basedOn w:val="45"/>
    <w:autoRedefine/>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9">
    <w:name w:val="List Table 7 Colorful - Accent 3"/>
    <w:basedOn w:val="45"/>
    <w:autoRedefine/>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0">
    <w:name w:val="List Table 7 Colorful - Accent 4"/>
    <w:basedOn w:val="45"/>
    <w:autoRedefine/>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1">
    <w:name w:val="List Table 7 Colorful - Accent 5"/>
    <w:basedOn w:val="45"/>
    <w:autoRedefine/>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2">
    <w:name w:val="List Table 7 Colorful - Accent 6"/>
    <w:basedOn w:val="45"/>
    <w:autoRedefine/>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3">
    <w:name w:val="Lined - Accent"/>
    <w:basedOn w:val="45"/>
    <w:autoRedefine/>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4">
    <w:name w:val="Lined - Accent 1"/>
    <w:basedOn w:val="45"/>
    <w:autoRedefine/>
    <w:qFormat/>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5">
    <w:name w:val="Lined - Accent 2"/>
    <w:basedOn w:val="45"/>
    <w:autoRedefine/>
    <w:qFormat/>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6">
    <w:name w:val="Lined - Accent 3"/>
    <w:basedOn w:val="45"/>
    <w:autoRedefine/>
    <w:qFormat/>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7">
    <w:name w:val="Lined - Accent 4"/>
    <w:basedOn w:val="45"/>
    <w:autoRedefine/>
    <w:qFormat/>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68">
    <w:name w:val="Lined - Accent 5"/>
    <w:basedOn w:val="45"/>
    <w:autoRedefine/>
    <w:qFormat/>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9">
    <w:name w:val="Lined - Accent 6"/>
    <w:basedOn w:val="45"/>
    <w:autoRedefine/>
    <w:qFormat/>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70">
    <w:name w:val="Bordered &amp; Lined - Accent"/>
    <w:basedOn w:val="45"/>
    <w:autoRedefine/>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1">
    <w:name w:val="Bordered &amp; Lined - Accent 1"/>
    <w:basedOn w:val="45"/>
    <w:autoRedefine/>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72">
    <w:name w:val="Bordered &amp; Lined - Accent 2"/>
    <w:basedOn w:val="45"/>
    <w:autoRedefine/>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73">
    <w:name w:val="Bordered &amp; Lined - Accent 3"/>
    <w:basedOn w:val="45"/>
    <w:autoRedefine/>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74">
    <w:name w:val="Bordered &amp; Lined - Accent 4"/>
    <w:basedOn w:val="45"/>
    <w:autoRedefine/>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75">
    <w:name w:val="Bordered &amp; Lined - Accent 5"/>
    <w:basedOn w:val="45"/>
    <w:autoRedefine/>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76">
    <w:name w:val="Bordered &amp; Lined - Accent 6"/>
    <w:basedOn w:val="45"/>
    <w:autoRedefine/>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77">
    <w:name w:val="Bordered"/>
    <w:basedOn w:val="45"/>
    <w:autoRedefine/>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8">
    <w:name w:val="Bordered - Accent 1"/>
    <w:basedOn w:val="45"/>
    <w:autoRedefine/>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9">
    <w:name w:val="Bordered - Accent 2"/>
    <w:basedOn w:val="45"/>
    <w:autoRedefine/>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80">
    <w:name w:val="Bordered - Accent 3"/>
    <w:basedOn w:val="45"/>
    <w:autoRedefine/>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81">
    <w:name w:val="Bordered - Accent 4"/>
    <w:basedOn w:val="45"/>
    <w:autoRedefine/>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82">
    <w:name w:val="Bordered - Accent 5"/>
    <w:basedOn w:val="45"/>
    <w:autoRedefine/>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83">
    <w:name w:val="Bordered - Accent 6"/>
    <w:basedOn w:val="45"/>
    <w:autoRedefine/>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84">
    <w:name w:val="Heading 1 Char"/>
    <w:basedOn w:val="47"/>
    <w:autoRedefine/>
    <w:qFormat/>
    <w:uiPriority w:val="9"/>
    <w:rPr>
      <w:rFonts w:ascii="Arial" w:hAnsi="Arial" w:eastAsia="Arial" w:cs="Arial"/>
      <w:color w:val="2E75B6" w:themeColor="accent1" w:themeShade="BF"/>
      <w:sz w:val="40"/>
      <w:szCs w:val="40"/>
    </w:rPr>
  </w:style>
  <w:style w:type="character" w:customStyle="1" w:styleId="185">
    <w:name w:val="Heading 2 Char"/>
    <w:basedOn w:val="47"/>
    <w:autoRedefine/>
    <w:qFormat/>
    <w:uiPriority w:val="9"/>
    <w:rPr>
      <w:rFonts w:ascii="Arial" w:hAnsi="Arial" w:eastAsia="Arial" w:cs="Arial"/>
      <w:color w:val="2E75B6" w:themeColor="accent1" w:themeShade="BF"/>
      <w:sz w:val="32"/>
      <w:szCs w:val="32"/>
    </w:rPr>
  </w:style>
  <w:style w:type="character" w:customStyle="1" w:styleId="186">
    <w:name w:val="Heading 3 Char"/>
    <w:basedOn w:val="47"/>
    <w:autoRedefine/>
    <w:qFormat/>
    <w:uiPriority w:val="9"/>
    <w:rPr>
      <w:rFonts w:ascii="Arial" w:hAnsi="Arial" w:eastAsia="Arial" w:cs="Arial"/>
      <w:color w:val="2E75B6" w:themeColor="accent1" w:themeShade="BF"/>
      <w:sz w:val="28"/>
      <w:szCs w:val="28"/>
    </w:rPr>
  </w:style>
  <w:style w:type="character" w:customStyle="1" w:styleId="187">
    <w:name w:val="Heading 4 Char"/>
    <w:basedOn w:val="47"/>
    <w:link w:val="5"/>
    <w:autoRedefine/>
    <w:qFormat/>
    <w:uiPriority w:val="9"/>
    <w:rPr>
      <w:rFonts w:ascii="Arial" w:hAnsi="Arial" w:eastAsia="Arial" w:cs="Arial"/>
      <w:i/>
      <w:iCs/>
      <w:color w:val="2E75B6" w:themeColor="accent1" w:themeShade="BF"/>
    </w:rPr>
  </w:style>
  <w:style w:type="character" w:customStyle="1" w:styleId="188">
    <w:name w:val="Heading 5 Char"/>
    <w:basedOn w:val="47"/>
    <w:autoRedefine/>
    <w:qFormat/>
    <w:uiPriority w:val="9"/>
    <w:rPr>
      <w:rFonts w:ascii="Arial" w:hAnsi="Arial" w:eastAsia="Arial" w:cs="Arial"/>
      <w:color w:val="2E75B6" w:themeColor="accent1" w:themeShade="BF"/>
    </w:rPr>
  </w:style>
  <w:style w:type="character" w:customStyle="1" w:styleId="189">
    <w:name w:val="Heading 6 Char"/>
    <w:basedOn w:val="47"/>
    <w:link w:val="8"/>
    <w:autoRedefine/>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0">
    <w:name w:val="Heading 7 Char"/>
    <w:basedOn w:val="47"/>
    <w:link w:val="9"/>
    <w:autoRedefine/>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1">
    <w:name w:val="Heading 8 Char"/>
    <w:basedOn w:val="47"/>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2">
    <w:name w:val="Heading 9 Char"/>
    <w:basedOn w:val="47"/>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3">
    <w:name w:val="Title Char"/>
    <w:basedOn w:val="47"/>
    <w:autoRedefine/>
    <w:qFormat/>
    <w:uiPriority w:val="10"/>
    <w:rPr>
      <w:rFonts w:ascii="Arial" w:hAnsi="Arial" w:eastAsia="Arial" w:cs="Arial"/>
      <w:spacing w:val="-10"/>
      <w:sz w:val="56"/>
      <w:szCs w:val="56"/>
    </w:rPr>
  </w:style>
  <w:style w:type="character" w:customStyle="1" w:styleId="194">
    <w:name w:val="Subtitle Char"/>
    <w:basedOn w:val="47"/>
    <w:link w:val="34"/>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5">
    <w:name w:val="Quote"/>
    <w:basedOn w:val="1"/>
    <w:next w:val="1"/>
    <w:link w:val="196"/>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6">
    <w:name w:val="Quote Char"/>
    <w:basedOn w:val="47"/>
    <w:link w:val="195"/>
    <w:autoRedefine/>
    <w:qFormat/>
    <w:uiPriority w:val="29"/>
    <w:rPr>
      <w:i/>
      <w:iCs/>
      <w:color w:val="404040" w:themeColor="text1" w:themeTint="BF"/>
      <w14:textFill>
        <w14:solidFill>
          <w14:schemeClr w14:val="tx1">
            <w14:lumMod w14:val="75000"/>
            <w14:lumOff w14:val="25000"/>
          </w14:schemeClr>
        </w14:solidFill>
      </w14:textFill>
    </w:rPr>
  </w:style>
  <w:style w:type="character" w:customStyle="1" w:styleId="197">
    <w:name w:val="Intense Emphasis"/>
    <w:basedOn w:val="47"/>
    <w:autoRedefine/>
    <w:qFormat/>
    <w:uiPriority w:val="21"/>
    <w:rPr>
      <w:i/>
      <w:iCs/>
      <w:color w:val="2E75B6" w:themeColor="accent1" w:themeShade="BF"/>
    </w:rPr>
  </w:style>
  <w:style w:type="paragraph" w:styleId="198">
    <w:name w:val="Intense Quote"/>
    <w:basedOn w:val="1"/>
    <w:next w:val="1"/>
    <w:link w:val="199"/>
    <w:autoRedefine/>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9">
    <w:name w:val="Intense Quote Char"/>
    <w:basedOn w:val="47"/>
    <w:link w:val="198"/>
    <w:autoRedefine/>
    <w:qFormat/>
    <w:uiPriority w:val="30"/>
    <w:rPr>
      <w:i/>
      <w:iCs/>
      <w:color w:val="2E75B6" w:themeColor="accent1" w:themeShade="BF"/>
    </w:rPr>
  </w:style>
  <w:style w:type="character" w:customStyle="1" w:styleId="200">
    <w:name w:val="Intense Reference"/>
    <w:basedOn w:val="47"/>
    <w:autoRedefine/>
    <w:qFormat/>
    <w:uiPriority w:val="32"/>
    <w:rPr>
      <w:b/>
      <w:bCs/>
      <w:smallCaps/>
      <w:color w:val="2E75B6" w:themeColor="accent1" w:themeShade="BF"/>
      <w:spacing w:val="5"/>
    </w:rPr>
  </w:style>
  <w:style w:type="paragraph" w:styleId="201">
    <w:name w:val="No Spacing"/>
    <w:basedOn w:val="1"/>
    <w:autoRedefine/>
    <w:qFormat/>
    <w:uiPriority w:val="1"/>
    <w:pPr>
      <w:spacing w:after="0" w:line="240" w:lineRule="auto"/>
    </w:pPr>
  </w:style>
  <w:style w:type="character" w:customStyle="1" w:styleId="202">
    <w:name w:val="Subtle Emphasis"/>
    <w:basedOn w:val="47"/>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203">
    <w:name w:val="Subtle Reference"/>
    <w:basedOn w:val="47"/>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4">
    <w:name w:val="Book Title"/>
    <w:basedOn w:val="47"/>
    <w:autoRedefine/>
    <w:qFormat/>
    <w:uiPriority w:val="33"/>
    <w:rPr>
      <w:b/>
      <w:bCs/>
      <w:i/>
      <w:iCs/>
      <w:spacing w:val="5"/>
    </w:rPr>
  </w:style>
  <w:style w:type="character" w:customStyle="1" w:styleId="205">
    <w:name w:val="Header Char"/>
    <w:basedOn w:val="47"/>
    <w:autoRedefine/>
    <w:qFormat/>
    <w:uiPriority w:val="99"/>
  </w:style>
  <w:style w:type="character" w:customStyle="1" w:styleId="206">
    <w:name w:val="Footer Char"/>
    <w:basedOn w:val="47"/>
    <w:autoRedefine/>
    <w:qFormat/>
    <w:uiPriority w:val="99"/>
  </w:style>
  <w:style w:type="character" w:customStyle="1" w:styleId="207">
    <w:name w:val="Footnote Text Char"/>
    <w:basedOn w:val="47"/>
    <w:link w:val="36"/>
    <w:autoRedefine/>
    <w:semiHidden/>
    <w:qFormat/>
    <w:uiPriority w:val="99"/>
    <w:rPr>
      <w:sz w:val="20"/>
      <w:szCs w:val="20"/>
    </w:rPr>
  </w:style>
  <w:style w:type="character" w:customStyle="1" w:styleId="208">
    <w:name w:val="Endnote Text Char"/>
    <w:basedOn w:val="47"/>
    <w:link w:val="27"/>
    <w:autoRedefine/>
    <w:semiHidden/>
    <w:qFormat/>
    <w:uiPriority w:val="99"/>
    <w:rPr>
      <w:sz w:val="20"/>
      <w:szCs w:val="20"/>
    </w:rPr>
  </w:style>
  <w:style w:type="character" w:customStyle="1" w:styleId="209">
    <w:name w:val="标题 1 Char"/>
    <w:basedOn w:val="47"/>
    <w:autoRedefine/>
    <w:qFormat/>
    <w:uiPriority w:val="9"/>
    <w:rPr>
      <w:b/>
      <w:bCs/>
      <w:sz w:val="44"/>
      <w:szCs w:val="44"/>
    </w:rPr>
  </w:style>
  <w:style w:type="character" w:customStyle="1" w:styleId="210">
    <w:name w:val="标题 2 Char"/>
    <w:basedOn w:val="47"/>
    <w:autoRedefine/>
    <w:qFormat/>
    <w:uiPriority w:val="9"/>
    <w:rPr>
      <w:rFonts w:asciiTheme="majorHAnsi" w:hAnsiTheme="majorHAnsi" w:eastAsiaTheme="majorEastAsia" w:cstheme="majorBidi"/>
      <w:b/>
      <w:bCs/>
      <w:sz w:val="32"/>
      <w:szCs w:val="32"/>
    </w:rPr>
  </w:style>
  <w:style w:type="character" w:customStyle="1" w:styleId="211">
    <w:name w:val="标题 3 Char"/>
    <w:basedOn w:val="47"/>
    <w:autoRedefine/>
    <w:qFormat/>
    <w:uiPriority w:val="9"/>
    <w:rPr>
      <w:b/>
      <w:bCs/>
      <w:sz w:val="32"/>
      <w:szCs w:val="32"/>
    </w:rPr>
  </w:style>
  <w:style w:type="character" w:customStyle="1" w:styleId="212">
    <w:name w:val="标题 5 Char"/>
    <w:basedOn w:val="47"/>
    <w:autoRedefine/>
    <w:qFormat/>
    <w:uiPriority w:val="9"/>
    <w:rPr>
      <w:b/>
      <w:bCs/>
      <w:sz w:val="28"/>
      <w:szCs w:val="28"/>
    </w:rPr>
  </w:style>
  <w:style w:type="character" w:customStyle="1" w:styleId="213">
    <w:name w:val="标题 8 Char"/>
    <w:basedOn w:val="47"/>
    <w:autoRedefine/>
    <w:qFormat/>
    <w:uiPriority w:val="0"/>
    <w:rPr>
      <w:rFonts w:asciiTheme="majorHAnsi" w:hAnsiTheme="majorHAnsi" w:eastAsiaTheme="majorEastAsia" w:cstheme="majorBidi"/>
      <w:sz w:val="24"/>
      <w:szCs w:val="24"/>
    </w:rPr>
  </w:style>
  <w:style w:type="character" w:customStyle="1" w:styleId="214">
    <w:name w:val="标题 9 Char"/>
    <w:basedOn w:val="47"/>
    <w:autoRedefine/>
    <w:semiHidden/>
    <w:qFormat/>
    <w:uiPriority w:val="9"/>
    <w:rPr>
      <w:rFonts w:asciiTheme="majorHAnsi" w:hAnsiTheme="majorHAnsi" w:eastAsiaTheme="majorEastAsia" w:cstheme="majorBidi"/>
      <w:szCs w:val="21"/>
    </w:rPr>
  </w:style>
  <w:style w:type="character" w:customStyle="1" w:styleId="215">
    <w:name w:val="标题 1 字符"/>
    <w:link w:val="2"/>
    <w:autoRedefine/>
    <w:qFormat/>
    <w:uiPriority w:val="9"/>
    <w:rPr>
      <w:rFonts w:ascii="Times New Roman" w:hAnsi="Times New Roman" w:eastAsia="宋体" w:cs="Times New Roman"/>
      <w:b/>
      <w:bCs/>
      <w:sz w:val="44"/>
      <w:szCs w:val="44"/>
      <w:lang w:val="zh-CN" w:eastAsia="zh-CN"/>
    </w:rPr>
  </w:style>
  <w:style w:type="character" w:customStyle="1" w:styleId="216">
    <w:name w:val="标题 2 字符"/>
    <w:link w:val="3"/>
    <w:autoRedefine/>
    <w:qFormat/>
    <w:uiPriority w:val="9"/>
    <w:rPr>
      <w:rFonts w:ascii="Cambria" w:hAnsi="Cambria" w:eastAsia="宋体" w:cs="Times New Roman"/>
      <w:b/>
      <w:bCs/>
      <w:sz w:val="32"/>
      <w:szCs w:val="32"/>
      <w:lang w:val="zh-CN" w:eastAsia="zh-CN"/>
    </w:rPr>
  </w:style>
  <w:style w:type="character" w:customStyle="1" w:styleId="217">
    <w:name w:val="标题 3 字符"/>
    <w:link w:val="4"/>
    <w:autoRedefine/>
    <w:qFormat/>
    <w:uiPriority w:val="9"/>
    <w:rPr>
      <w:rFonts w:ascii="Times New Roman" w:hAnsi="Times New Roman" w:eastAsia="宋体" w:cs="Times New Roman"/>
      <w:b/>
      <w:bCs/>
      <w:sz w:val="32"/>
      <w:szCs w:val="32"/>
      <w:lang w:val="zh-CN" w:eastAsia="zh-CN"/>
    </w:rPr>
  </w:style>
  <w:style w:type="character" w:customStyle="1" w:styleId="218">
    <w:name w:val="标题 5 字符"/>
    <w:link w:val="6"/>
    <w:autoRedefine/>
    <w:qFormat/>
    <w:uiPriority w:val="9"/>
    <w:rPr>
      <w:rFonts w:ascii="Times New Roman" w:hAnsi="Times New Roman" w:eastAsia="宋体" w:cs="Times New Roman"/>
      <w:b/>
      <w:bCs/>
      <w:sz w:val="28"/>
      <w:szCs w:val="28"/>
      <w:lang w:val="zh-CN" w:eastAsia="zh-CN"/>
    </w:rPr>
  </w:style>
  <w:style w:type="character" w:customStyle="1" w:styleId="219">
    <w:name w:val="标题 8 字符"/>
    <w:link w:val="10"/>
    <w:autoRedefine/>
    <w:qFormat/>
    <w:uiPriority w:val="9"/>
    <w:rPr>
      <w:rFonts w:ascii="等线 Light" w:hAnsi="等线 Light" w:eastAsia="等线 Light" w:cs="Times New Roman"/>
      <w:sz w:val="24"/>
      <w:szCs w:val="24"/>
      <w:lang w:val="zh-CN" w:eastAsia="zh-CN"/>
    </w:rPr>
  </w:style>
  <w:style w:type="character" w:customStyle="1" w:styleId="220">
    <w:name w:val="标题 9 字符"/>
    <w:link w:val="11"/>
    <w:autoRedefine/>
    <w:qFormat/>
    <w:uiPriority w:val="9"/>
    <w:rPr>
      <w:rFonts w:ascii="Cambria" w:hAnsi="Cambria" w:eastAsia="宋体" w:cs="Times New Roman"/>
      <w:szCs w:val="21"/>
      <w:lang w:val="zh-CN" w:eastAsia="zh-CN"/>
    </w:rPr>
  </w:style>
  <w:style w:type="character" w:customStyle="1" w:styleId="221">
    <w:name w:val="批注文字 Char"/>
    <w:basedOn w:val="47"/>
    <w:autoRedefine/>
    <w:qFormat/>
    <w:uiPriority w:val="0"/>
  </w:style>
  <w:style w:type="character" w:customStyle="1" w:styleId="222">
    <w:name w:val="批注文字 字符2"/>
    <w:link w:val="16"/>
    <w:autoRedefine/>
    <w:qFormat/>
    <w:uiPriority w:val="0"/>
    <w:rPr>
      <w:rFonts w:ascii="Times New Roman" w:hAnsi="Times New Roman" w:eastAsia="宋体" w:cs="Times New Roman"/>
      <w:szCs w:val="24"/>
      <w:lang w:val="zh-CN" w:eastAsia="zh-CN"/>
    </w:rPr>
  </w:style>
  <w:style w:type="character" w:customStyle="1" w:styleId="223">
    <w:name w:val="正文文本 3 Char"/>
    <w:basedOn w:val="47"/>
    <w:autoRedefine/>
    <w:qFormat/>
    <w:uiPriority w:val="99"/>
    <w:rPr>
      <w:sz w:val="16"/>
      <w:szCs w:val="16"/>
    </w:rPr>
  </w:style>
  <w:style w:type="character" w:customStyle="1" w:styleId="224">
    <w:name w:val="正文文本 3 字符"/>
    <w:link w:val="17"/>
    <w:autoRedefine/>
    <w:qFormat/>
    <w:uiPriority w:val="99"/>
    <w:rPr>
      <w:rFonts w:ascii="Times New Roman" w:hAnsi="Times New Roman" w:eastAsia="宋体" w:cs="Times New Roman"/>
      <w:sz w:val="16"/>
      <w:szCs w:val="16"/>
      <w:lang w:val="zh-CN" w:eastAsia="zh-CN"/>
    </w:rPr>
  </w:style>
  <w:style w:type="character" w:customStyle="1" w:styleId="225">
    <w:name w:val="正文文本 Char"/>
    <w:basedOn w:val="47"/>
    <w:autoRedefine/>
    <w:qFormat/>
    <w:uiPriority w:val="0"/>
  </w:style>
  <w:style w:type="character" w:customStyle="1" w:styleId="226">
    <w:name w:val="正文文本 字符1"/>
    <w:link w:val="18"/>
    <w:autoRedefine/>
    <w:qFormat/>
    <w:uiPriority w:val="0"/>
    <w:rPr>
      <w:rFonts w:ascii="Times New Roman" w:hAnsi="Times New Roman" w:eastAsia="宋体" w:cs="Times New Roman"/>
      <w:szCs w:val="24"/>
      <w:lang w:val="zh-CN" w:eastAsia="zh-CN"/>
    </w:rPr>
  </w:style>
  <w:style w:type="character" w:customStyle="1" w:styleId="227">
    <w:name w:val="正文文本缩进 Char"/>
    <w:basedOn w:val="47"/>
    <w:autoRedefine/>
    <w:qFormat/>
    <w:uiPriority w:val="0"/>
  </w:style>
  <w:style w:type="character" w:customStyle="1" w:styleId="228">
    <w:name w:val="正文文本缩进 字符1"/>
    <w:link w:val="20"/>
    <w:autoRedefine/>
    <w:qFormat/>
    <w:uiPriority w:val="0"/>
    <w:rPr>
      <w:rFonts w:ascii="仿宋_GB2312" w:hAnsi="Times New Roman" w:eastAsia="仿宋_GB2312" w:cs="Times New Roman"/>
      <w:sz w:val="32"/>
      <w:szCs w:val="20"/>
      <w:lang w:val="zh-CN" w:eastAsia="zh-CN"/>
    </w:rPr>
  </w:style>
  <w:style w:type="paragraph" w:customStyle="1" w:styleId="229">
    <w:name w:val="_Style 36"/>
    <w:basedOn w:val="1"/>
    <w:next w:val="230"/>
    <w:autoRedefine/>
    <w:qFormat/>
    <w:uiPriority w:val="99"/>
    <w:pPr>
      <w:ind w:firstLine="420"/>
    </w:pPr>
    <w:rPr>
      <w:rFonts w:ascii="Times New Roman" w:hAnsi="Times New Roman" w:eastAsia="宋体" w:cs="Times New Roman"/>
      <w:szCs w:val="24"/>
    </w:rPr>
  </w:style>
  <w:style w:type="paragraph" w:styleId="230">
    <w:name w:val="List Paragraph"/>
    <w:basedOn w:val="1"/>
    <w:autoRedefine/>
    <w:qFormat/>
    <w:uiPriority w:val="34"/>
    <w:pPr>
      <w:ind w:firstLine="420"/>
    </w:pPr>
    <w:rPr>
      <w:rFonts w:ascii="Times New Roman" w:hAnsi="Times New Roman" w:eastAsia="宋体" w:cs="Times New Roman"/>
      <w:szCs w:val="24"/>
    </w:rPr>
  </w:style>
  <w:style w:type="character" w:customStyle="1" w:styleId="231">
    <w:name w:val="纯文本 Char"/>
    <w:basedOn w:val="47"/>
    <w:autoRedefine/>
    <w:qFormat/>
    <w:uiPriority w:val="0"/>
    <w:rPr>
      <w:rFonts w:ascii="宋体" w:hAnsi="Courier New" w:eastAsia="宋体" w:cs="Courier New"/>
      <w:szCs w:val="21"/>
    </w:rPr>
  </w:style>
  <w:style w:type="character" w:customStyle="1" w:styleId="232">
    <w:name w:val="纯文本 字符3"/>
    <w:link w:val="24"/>
    <w:autoRedefine/>
    <w:qFormat/>
    <w:uiPriority w:val="0"/>
    <w:rPr>
      <w:rFonts w:ascii="宋体" w:hAnsi="Courier New" w:eastAsia="宋体" w:cs="Times New Roman"/>
      <w:sz w:val="20"/>
      <w:szCs w:val="21"/>
      <w:lang w:val="zh-CN" w:eastAsia="zh-CN"/>
    </w:rPr>
  </w:style>
  <w:style w:type="character" w:customStyle="1" w:styleId="233">
    <w:name w:val="日期 Char"/>
    <w:basedOn w:val="47"/>
    <w:autoRedefine/>
    <w:qFormat/>
    <w:uiPriority w:val="99"/>
  </w:style>
  <w:style w:type="character" w:customStyle="1" w:styleId="234">
    <w:name w:val="日期 字符"/>
    <w:link w:val="26"/>
    <w:autoRedefine/>
    <w:qFormat/>
    <w:uiPriority w:val="99"/>
    <w:rPr>
      <w:rFonts w:ascii="Times New Roman" w:hAnsi="Times New Roman" w:eastAsia="宋体" w:cs="Times New Roman"/>
      <w:szCs w:val="24"/>
      <w:lang w:val="zh-CN" w:eastAsia="zh-CN"/>
    </w:rPr>
  </w:style>
  <w:style w:type="character" w:customStyle="1" w:styleId="235">
    <w:name w:val="批注框文本 Char"/>
    <w:basedOn w:val="47"/>
    <w:autoRedefine/>
    <w:semiHidden/>
    <w:qFormat/>
    <w:uiPriority w:val="0"/>
    <w:rPr>
      <w:sz w:val="18"/>
      <w:szCs w:val="18"/>
    </w:rPr>
  </w:style>
  <w:style w:type="character" w:customStyle="1" w:styleId="236">
    <w:name w:val="页脚 Char"/>
    <w:basedOn w:val="47"/>
    <w:autoRedefine/>
    <w:qFormat/>
    <w:uiPriority w:val="99"/>
    <w:rPr>
      <w:sz w:val="18"/>
      <w:szCs w:val="18"/>
    </w:rPr>
  </w:style>
  <w:style w:type="character" w:customStyle="1" w:styleId="237">
    <w:name w:val="页脚 字符"/>
    <w:link w:val="29"/>
    <w:autoRedefine/>
    <w:qFormat/>
    <w:uiPriority w:val="0"/>
    <w:rPr>
      <w:rFonts w:ascii="Times New Roman" w:hAnsi="Times New Roman" w:eastAsia="宋体" w:cs="Times New Roman"/>
      <w:sz w:val="18"/>
      <w:szCs w:val="18"/>
      <w:lang w:val="zh-CN" w:eastAsia="zh-CN"/>
    </w:rPr>
  </w:style>
  <w:style w:type="character" w:customStyle="1" w:styleId="238">
    <w:name w:val="页眉 Char"/>
    <w:basedOn w:val="47"/>
    <w:autoRedefine/>
    <w:qFormat/>
    <w:uiPriority w:val="99"/>
    <w:rPr>
      <w:sz w:val="18"/>
      <w:szCs w:val="18"/>
    </w:rPr>
  </w:style>
  <w:style w:type="character" w:customStyle="1" w:styleId="239">
    <w:name w:val="页眉 字符"/>
    <w:link w:val="30"/>
    <w:autoRedefine/>
    <w:qFormat/>
    <w:uiPriority w:val="0"/>
    <w:rPr>
      <w:rFonts w:ascii="Times New Roman" w:hAnsi="Times New Roman" w:eastAsia="宋体" w:cs="Times New Roman"/>
      <w:sz w:val="18"/>
      <w:szCs w:val="18"/>
      <w:lang w:val="zh-CN" w:eastAsia="zh-CN"/>
    </w:rPr>
  </w:style>
  <w:style w:type="character" w:customStyle="1" w:styleId="240">
    <w:name w:val="标题 Char"/>
    <w:basedOn w:val="47"/>
    <w:autoRedefine/>
    <w:qFormat/>
    <w:uiPriority w:val="10"/>
    <w:rPr>
      <w:rFonts w:eastAsia="宋体" w:asciiTheme="majorHAnsi" w:hAnsiTheme="majorHAnsi" w:cstheme="majorBidi"/>
      <w:b/>
      <w:bCs/>
      <w:sz w:val="32"/>
      <w:szCs w:val="32"/>
    </w:rPr>
  </w:style>
  <w:style w:type="character" w:customStyle="1" w:styleId="241">
    <w:name w:val="标题 字符"/>
    <w:link w:val="42"/>
    <w:autoRedefine/>
    <w:qFormat/>
    <w:uiPriority w:val="10"/>
    <w:rPr>
      <w:rFonts w:ascii="Cambria" w:hAnsi="Cambria" w:eastAsia="宋体" w:cs="Times New Roman"/>
      <w:b/>
      <w:bCs/>
      <w:sz w:val="32"/>
      <w:szCs w:val="32"/>
      <w:lang w:val="zh-CN" w:eastAsia="zh-CN"/>
    </w:rPr>
  </w:style>
  <w:style w:type="character" w:customStyle="1" w:styleId="242">
    <w:name w:val="批注主题 Char"/>
    <w:basedOn w:val="221"/>
    <w:autoRedefine/>
    <w:qFormat/>
    <w:uiPriority w:val="99"/>
    <w:rPr>
      <w:b/>
      <w:bCs/>
    </w:rPr>
  </w:style>
  <w:style w:type="character" w:customStyle="1" w:styleId="243">
    <w:name w:val="批注主题 字符"/>
    <w:link w:val="43"/>
    <w:autoRedefine/>
    <w:qFormat/>
    <w:uiPriority w:val="99"/>
    <w:rPr>
      <w:rFonts w:ascii="Times New Roman" w:hAnsi="Times New Roman" w:eastAsia="宋体" w:cs="Times New Roman"/>
      <w:b/>
      <w:bCs/>
      <w:szCs w:val="24"/>
      <w:lang w:val="zh-CN" w:eastAsia="zh-CN"/>
    </w:rPr>
  </w:style>
  <w:style w:type="character" w:customStyle="1" w:styleId="244">
    <w:name w:val="正文文本首行缩进 2 字符"/>
    <w:autoRedefine/>
    <w:qFormat/>
    <w:uiPriority w:val="99"/>
    <w:rPr>
      <w:sz w:val="21"/>
      <w:szCs w:val="24"/>
    </w:rPr>
  </w:style>
  <w:style w:type="character" w:customStyle="1" w:styleId="245">
    <w:name w:val="标题 Char1"/>
    <w:autoRedefine/>
    <w:qFormat/>
    <w:uiPriority w:val="0"/>
    <w:rPr>
      <w:rFonts w:ascii="Calibri" w:hAnsi="Calibri"/>
      <w:b/>
      <w:sz w:val="24"/>
      <w:lang w:val="en-GB"/>
    </w:rPr>
  </w:style>
  <w:style w:type="character" w:customStyle="1" w:styleId="246">
    <w:name w:val="正文文本 (26) + 间距 0 pt"/>
    <w:autoRedefine/>
    <w:qFormat/>
    <w:uiPriority w:val="0"/>
    <w:rPr>
      <w:rFonts w:ascii="宋体" w:hAnsi="宋体" w:eastAsia="宋体" w:cs="宋体"/>
      <w:color w:val="000000"/>
      <w:spacing w:val="0"/>
      <w:position w:val="0"/>
      <w:sz w:val="22"/>
      <w:szCs w:val="22"/>
      <w:u w:val="none"/>
      <w:lang w:val="zh-CN" w:eastAsia="zh-CN" w:bidi="zh-CN"/>
    </w:rPr>
  </w:style>
  <w:style w:type="character" w:customStyle="1" w:styleId="247">
    <w:name w:val="正文文本 字符"/>
    <w:autoRedefine/>
    <w:qFormat/>
    <w:uiPriority w:val="0"/>
    <w:rPr>
      <w:rFonts w:ascii="Times New Roman" w:hAnsi="Times New Roman"/>
      <w:sz w:val="21"/>
      <w:szCs w:val="24"/>
    </w:rPr>
  </w:style>
  <w:style w:type="character" w:customStyle="1" w:styleId="248">
    <w:name w:val="批注文字 字符1"/>
    <w:autoRedefine/>
    <w:qFormat/>
    <w:uiPriority w:val="0"/>
    <w:rPr>
      <w:rFonts w:ascii="Times New Roman" w:hAnsi="Times New Roman"/>
      <w:sz w:val="21"/>
      <w:szCs w:val="24"/>
    </w:rPr>
  </w:style>
  <w:style w:type="character" w:customStyle="1" w:styleId="249">
    <w:name w:val="批注文字 字符"/>
    <w:autoRedefine/>
    <w:qFormat/>
    <w:uiPriority w:val="0"/>
    <w:rPr>
      <w:rFonts w:ascii="Times New Roman" w:hAnsi="Times New Roman"/>
      <w:sz w:val="21"/>
      <w:szCs w:val="24"/>
    </w:rPr>
  </w:style>
  <w:style w:type="character" w:customStyle="1" w:styleId="250">
    <w:name w:val="未处理的提及"/>
    <w:autoRedefine/>
    <w:unhideWhenUsed/>
    <w:qFormat/>
    <w:uiPriority w:val="99"/>
    <w:rPr>
      <w:color w:val="605E5C"/>
      <w:shd w:val="clear" w:color="auto" w:fill="E1DFDD"/>
    </w:rPr>
  </w:style>
  <w:style w:type="character" w:customStyle="1" w:styleId="251">
    <w:name w:val="apple-style-span"/>
    <w:autoRedefine/>
    <w:qFormat/>
    <w:uiPriority w:val="0"/>
  </w:style>
  <w:style w:type="character" w:customStyle="1" w:styleId="252">
    <w:name w:val="纯文本 字符2"/>
    <w:autoRedefine/>
    <w:qFormat/>
    <w:uiPriority w:val="0"/>
    <w:rPr>
      <w:rFonts w:ascii="宋体" w:hAnsi="Courier New" w:eastAsia="宋体" w:cs="Courier New"/>
      <w:szCs w:val="21"/>
    </w:rPr>
  </w:style>
  <w:style w:type="character" w:customStyle="1" w:styleId="253">
    <w:name w:val="textcontents"/>
    <w:autoRedefine/>
    <w:qFormat/>
    <w:uiPriority w:val="0"/>
  </w:style>
  <w:style w:type="character" w:customStyle="1" w:styleId="254">
    <w:name w:val="纯文本 字符1"/>
    <w:autoRedefine/>
    <w:qFormat/>
    <w:uiPriority w:val="0"/>
    <w:rPr>
      <w:rFonts w:ascii="宋体" w:hAnsi="Courier New"/>
    </w:rPr>
  </w:style>
  <w:style w:type="character" w:customStyle="1" w:styleId="255">
    <w:name w:val="标题 1 字符1"/>
    <w:autoRedefine/>
    <w:qFormat/>
    <w:uiPriority w:val="0"/>
    <w:rPr>
      <w:b/>
      <w:bCs/>
      <w:sz w:val="44"/>
      <w:szCs w:val="44"/>
    </w:rPr>
  </w:style>
  <w:style w:type="character" w:customStyle="1" w:styleId="256">
    <w:name w:val="纯文本 字符"/>
    <w:autoRedefine/>
    <w:qFormat/>
    <w:uiPriority w:val="0"/>
    <w:rPr>
      <w:rFonts w:ascii="宋体" w:hAnsi="Courier New" w:eastAsia="宋体" w:cs="Courier New"/>
      <w:szCs w:val="21"/>
    </w:rPr>
  </w:style>
  <w:style w:type="paragraph" w:customStyle="1" w:styleId="257">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258">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259">
    <w:name w:val="TOC Heading"/>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F5496"/>
      <w:sz w:val="32"/>
      <w:szCs w:val="32"/>
      <w:lang w:val="en-US" w:eastAsia="zh-CN"/>
    </w:rPr>
  </w:style>
  <w:style w:type="paragraph" w:customStyle="1" w:styleId="260">
    <w:name w:val="表内文字"/>
    <w:basedOn w:val="1"/>
    <w:autoRedefine/>
    <w:qFormat/>
    <w:uiPriority w:val="0"/>
    <w:pPr>
      <w:spacing w:before="50" w:after="50"/>
      <w:jc w:val="center"/>
    </w:pPr>
    <w:rPr>
      <w:rFonts w:ascii="仿宋_GB2312" w:hAnsi="宋体" w:eastAsia="仿宋_GB2312" w:cs="Times New Roman"/>
      <w:b/>
      <w:color w:val="000000"/>
      <w:sz w:val="32"/>
      <w:szCs w:val="32"/>
    </w:rPr>
  </w:style>
  <w:style w:type="paragraph" w:customStyle="1" w:styleId="261">
    <w:name w:val="Table Paragraph"/>
    <w:basedOn w:val="1"/>
    <w:autoRedefine/>
    <w:qFormat/>
    <w:uiPriority w:val="1"/>
    <w:pPr>
      <w:jc w:val="left"/>
    </w:pPr>
    <w:rPr>
      <w:rFonts w:ascii="Calibri" w:hAnsi="Calibri" w:eastAsia="宋体" w:cs="Times New Roman"/>
      <w:sz w:val="22"/>
      <w:lang w:eastAsia="en-US"/>
    </w:rPr>
  </w:style>
  <w:style w:type="character" w:customStyle="1" w:styleId="262">
    <w:name w:val="正文文本缩进 字符"/>
    <w:autoRedefine/>
    <w:qFormat/>
    <w:uiPriority w:val="0"/>
    <w:rPr>
      <w:rFonts w:ascii="仿宋_GB2312" w:hAnsi="Times New Roman" w:eastAsia="仿宋_GB2312" w:cs="Times New Roman"/>
      <w:sz w:val="32"/>
      <w:szCs w:val="20"/>
    </w:rPr>
  </w:style>
  <w:style w:type="character" w:customStyle="1" w:styleId="263">
    <w:name w:val="正文2 Char Char"/>
    <w:link w:val="264"/>
    <w:autoRedefine/>
    <w:qFormat/>
    <w:uiPriority w:val="0"/>
    <w:rPr>
      <w:sz w:val="24"/>
    </w:rPr>
  </w:style>
  <w:style w:type="paragraph" w:customStyle="1" w:styleId="264">
    <w:name w:val="正文2"/>
    <w:basedOn w:val="1"/>
    <w:link w:val="263"/>
    <w:autoRedefine/>
    <w:qFormat/>
    <w:uiPriority w:val="0"/>
    <w:pPr>
      <w:spacing w:before="156" w:line="360" w:lineRule="auto"/>
      <w:ind w:firstLine="510"/>
    </w:pPr>
    <w:rPr>
      <w:sz w:val="24"/>
    </w:rPr>
  </w:style>
  <w:style w:type="character" w:customStyle="1" w:styleId="265">
    <w:name w:val="纯文本 Char2"/>
    <w:autoRedefine/>
    <w:qFormat/>
    <w:uiPriority w:val="0"/>
    <w:rPr>
      <w:rFonts w:ascii="宋体" w:hAnsi="Courier New" w:cs="Arial"/>
      <w:szCs w:val="21"/>
    </w:rPr>
  </w:style>
  <w:style w:type="paragraph" w:customStyle="1" w:styleId="266">
    <w:name w:val="表格文字"/>
    <w:basedOn w:val="1"/>
    <w:next w:val="18"/>
    <w:autoRedefine/>
    <w:qFormat/>
    <w:uiPriority w:val="0"/>
    <w:pPr>
      <w:spacing w:line="420" w:lineRule="atLeast"/>
      <w:jc w:val="left"/>
    </w:pPr>
    <w:rPr>
      <w:rFonts w:ascii="Times New Roman" w:hAnsi="Times New Roman" w:eastAsia="宋体" w:cs="Times New Roman"/>
      <w:szCs w:val="24"/>
    </w:rPr>
  </w:style>
  <w:style w:type="paragraph" w:customStyle="1" w:styleId="267">
    <w:name w:val="样式5"/>
    <w:basedOn w:val="1"/>
    <w:autoRedefine/>
    <w:qFormat/>
    <w:uiPriority w:val="0"/>
    <w:pPr>
      <w:spacing w:line="440" w:lineRule="exact"/>
      <w:ind w:left="2" w:firstLine="480"/>
    </w:pPr>
    <w:rPr>
      <w:rFonts w:ascii="仿宋_GB2312" w:hAnsi="仿宋" w:eastAsia="仿宋_GB2312" w:cs="Times New Roman"/>
      <w:sz w:val="24"/>
      <w:szCs w:val="24"/>
    </w:rPr>
  </w:style>
  <w:style w:type="paragraph" w:customStyle="1" w:styleId="268">
    <w:name w:val="正文缩进1"/>
    <w:basedOn w:val="1"/>
    <w:next w:val="20"/>
    <w:autoRedefine/>
    <w:qFormat/>
    <w:uiPriority w:val="0"/>
    <w:pPr>
      <w:spacing w:after="120" w:line="360" w:lineRule="auto"/>
      <w:ind w:left="420" w:firstLine="480"/>
    </w:pPr>
    <w:rPr>
      <w:rFonts w:ascii="Times New Roman" w:hAnsi="Times New Roman" w:eastAsia="宋体" w:cs="Times New Roman"/>
      <w:sz w:val="24"/>
      <w:szCs w:val="21"/>
    </w:rPr>
  </w:style>
  <w:style w:type="character" w:customStyle="1" w:styleId="269">
    <w:name w:val="NormalCharacter"/>
    <w:autoRedefine/>
    <w:qFormat/>
    <w:uiPriority w:val="0"/>
  </w:style>
  <w:style w:type="character" w:customStyle="1" w:styleId="270">
    <w:name w:val="批注框文本 字符"/>
    <w:link w:val="28"/>
    <w:autoRedefine/>
    <w:semiHidden/>
    <w:qFormat/>
    <w:uiPriority w:val="0"/>
    <w:rPr>
      <w:rFonts w:ascii="Times New Roman" w:hAnsi="Times New Roman" w:eastAsia="宋体" w:cs="Times New Roman"/>
      <w:sz w:val="18"/>
      <w:szCs w:val="18"/>
    </w:rPr>
  </w:style>
  <w:style w:type="character" w:customStyle="1" w:styleId="271">
    <w:name w:val="正文首行缩进 2 字符"/>
    <w:autoRedefine/>
    <w:qFormat/>
    <w:uiPriority w:val="99"/>
    <w:rPr>
      <w:rFonts w:ascii="仿宋_GB2312" w:hAnsi="Times New Roman" w:eastAsia="仿宋_GB2312" w:cs="Times New Roman"/>
      <w:sz w:val="21"/>
      <w:szCs w:val="24"/>
    </w:rPr>
  </w:style>
  <w:style w:type="character" w:customStyle="1" w:styleId="272">
    <w:name w:val="纯文本 Char1"/>
    <w:autoRedefine/>
    <w:qFormat/>
    <w:uiPriority w:val="0"/>
    <w:rPr>
      <w:rFonts w:ascii="宋体" w:hAnsi="Courier New" w:eastAsia="宋体" w:cs="Times New Roman"/>
      <w:sz w:val="20"/>
      <w:szCs w:val="21"/>
    </w:rPr>
  </w:style>
  <w:style w:type="character" w:customStyle="1" w:styleId="273">
    <w:name w:val="标题 2 Char1"/>
    <w:autoRedefine/>
    <w:qFormat/>
    <w:uiPriority w:val="9"/>
    <w:rPr>
      <w:rFonts w:ascii="Cambria" w:hAnsi="Cambria"/>
      <w:b/>
      <w:bCs/>
      <w:sz w:val="32"/>
      <w:szCs w:val="32"/>
      <w:lang w:val="zh-CN" w:eastAsia="zh-CN"/>
    </w:rPr>
  </w:style>
  <w:style w:type="character" w:customStyle="1" w:styleId="274">
    <w:name w:val="标题 8 Char1"/>
    <w:autoRedefine/>
    <w:qFormat/>
    <w:uiPriority w:val="9"/>
    <w:rPr>
      <w:rFonts w:ascii="等线 Light" w:hAnsi="等线 Light" w:eastAsia="等线 Light"/>
      <w:sz w:val="24"/>
      <w:szCs w:val="24"/>
      <w:lang w:val="zh-CN" w:eastAsia="zh-CN"/>
    </w:rPr>
  </w:style>
  <w:style w:type="character" w:customStyle="1" w:styleId="275">
    <w:name w:val="批注文字 Char1"/>
    <w:autoRedefine/>
    <w:qFormat/>
    <w:uiPriority w:val="0"/>
    <w:rPr>
      <w:sz w:val="21"/>
      <w:szCs w:val="24"/>
      <w:lang w:val="zh-CN" w:eastAsia="zh-CN"/>
    </w:rPr>
  </w:style>
  <w:style w:type="character" w:customStyle="1" w:styleId="276">
    <w:name w:val="正文文本 Char1"/>
    <w:autoRedefine/>
    <w:qFormat/>
    <w:uiPriority w:val="0"/>
    <w:rPr>
      <w:sz w:val="21"/>
      <w:szCs w:val="24"/>
      <w:lang w:val="zh-CN" w:eastAsia="zh-CN"/>
    </w:rPr>
  </w:style>
  <w:style w:type="character" w:customStyle="1" w:styleId="277">
    <w:name w:val="正文首行缩进 2 字符1"/>
    <w:autoRedefine/>
    <w:semiHidden/>
    <w:qFormat/>
    <w:uiPriority w:val="99"/>
    <w:rPr>
      <w:rFonts w:ascii="仿宋_GB2312" w:hAnsi="Times New Roman" w:eastAsia="仿宋_GB2312" w:cs="Times New Roman"/>
      <w:sz w:val="21"/>
      <w:szCs w:val="24"/>
      <w:lang w:val="zh-CN" w:eastAsia="zh-CN"/>
    </w:rPr>
  </w:style>
  <w:style w:type="character" w:customStyle="1" w:styleId="278">
    <w:name w:val="正文首行缩进 2 字符2"/>
    <w:autoRedefine/>
    <w:semiHidden/>
    <w:qFormat/>
    <w:uiPriority w:val="99"/>
    <w:rPr>
      <w:rFonts w:ascii="仿宋_GB2312" w:hAnsi="Times New Roman" w:eastAsia="仿宋_GB2312" w:cs="Times New Roman"/>
      <w:sz w:val="21"/>
      <w:szCs w:val="24"/>
      <w:lang w:val="zh-CN" w:eastAsia="zh-CN"/>
    </w:rPr>
  </w:style>
  <w:style w:type="character" w:customStyle="1" w:styleId="279">
    <w:name w:val="正文首行缩进 2 Char"/>
    <w:basedOn w:val="227"/>
    <w:link w:val="44"/>
    <w:autoRedefine/>
    <w:semiHidden/>
    <w:qFormat/>
    <w:uiPriority w:val="99"/>
    <w:rPr>
      <w:rFonts w:ascii="Times New Roman" w:hAnsi="Times New Roman" w:eastAsia="宋体" w:cs="Times New Roman"/>
      <w:szCs w:val="24"/>
    </w:rPr>
  </w:style>
  <w:style w:type="paragraph" w:customStyle="1" w:styleId="280">
    <w:name w:val="Heading 2"/>
    <w:basedOn w:val="1"/>
    <w:next w:val="1"/>
    <w:autoRedefine/>
    <w:qFormat/>
    <w:uiPriority w:val="0"/>
    <w:pPr>
      <w:keepNext/>
      <w:keepLines/>
      <w:spacing w:before="260" w:after="260" w:line="416" w:lineRule="auto"/>
    </w:pPr>
    <w:rPr>
      <w:rFonts w:ascii="Arial" w:hAnsi="Arial" w:eastAsia="黑体" w:cs="Times New Roman"/>
      <w:b/>
      <w:bCs/>
      <w:sz w:val="32"/>
      <w:szCs w:val="32"/>
    </w:rPr>
  </w:style>
  <w:style w:type="paragraph" w:customStyle="1" w:styleId="281">
    <w:name w:val="列表段落1"/>
    <w:basedOn w:val="1"/>
    <w:autoRedefine/>
    <w:qFormat/>
    <w:uiPriority w:val="0"/>
    <w:pPr>
      <w:ind w:firstLine="200"/>
    </w:pPr>
  </w:style>
  <w:style w:type="character" w:customStyle="1" w:styleId="282">
    <w:name w:val="font21"/>
    <w:basedOn w:val="47"/>
    <w:autoRedefine/>
    <w:qFormat/>
    <w:uiPriority w:val="0"/>
    <w:rPr>
      <w:rFonts w:hint="eastAsia" w:ascii="等线" w:hAnsi="等线" w:eastAsia="等线" w:cs="等线"/>
      <w:color w:val="000000"/>
      <w:sz w:val="20"/>
      <w:szCs w:val="20"/>
      <w:u w:val="none"/>
    </w:rPr>
  </w:style>
  <w:style w:type="character" w:customStyle="1" w:styleId="283">
    <w:name w:val="font31"/>
    <w:basedOn w:val="47"/>
    <w:autoRedefine/>
    <w:qFormat/>
    <w:uiPriority w:val="0"/>
    <w:rPr>
      <w:rFonts w:hint="eastAsia" w:ascii="等线" w:hAnsi="等线" w:eastAsia="等线" w:cs="等线"/>
      <w:b/>
      <w:bCs/>
      <w:color w:val="000000"/>
      <w:sz w:val="20"/>
      <w:szCs w:val="20"/>
      <w:u w:val="none"/>
    </w:rPr>
  </w:style>
  <w:style w:type="character" w:customStyle="1" w:styleId="284">
    <w:name w:val="font41"/>
    <w:basedOn w:val="47"/>
    <w:autoRedefine/>
    <w:qFormat/>
    <w:uiPriority w:val="0"/>
    <w:rPr>
      <w:rFonts w:hint="default" w:ascii="Times New Roman" w:hAnsi="Times New Roman" w:cs="Times New Roman"/>
      <w:color w:val="000000"/>
      <w:sz w:val="20"/>
      <w:szCs w:val="20"/>
      <w:u w:val="none"/>
    </w:rPr>
  </w:style>
  <w:style w:type="paragraph" w:customStyle="1" w:styleId="285">
    <w:name w:val="样式 标题 2 + 宋体"/>
    <w:basedOn w:val="3"/>
    <w:autoRedefine/>
    <w:qFormat/>
    <w:uiPriority w:val="99"/>
    <w:rPr>
      <w:rFonts w:ascii="宋体" w:hAnsi="宋体"/>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106</Pages>
  <Words>13058</Words>
  <Characters>14503</Characters>
  <TotalTime>208</TotalTime>
  <ScaleCrop>false</ScaleCrop>
  <LinksUpToDate>false</LinksUpToDate>
  <CharactersWithSpaces>14611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2022-03-23T06:45:00Z</dcterms:created>
  <dc:creator>个人用户</dc:creator>
  <cp:lastModifiedBy>WPS_1780826910</cp:lastModifiedBy>
  <dcterms:modified xsi:type="dcterms:W3CDTF">2026-09-10T03:45:47Z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39757954E991472092343BD624E7751A_13</vt:lpwstr>
  </property>
  <property fmtid="{D5CDD505-2E9C-101B-9397-08002B2CF9AE}" pid="4" name="KSOTemplateDocerSaveRecord">
    <vt:lpwstr>eyJoZGlkIjoiYWM2NTJhMzRjZTdiNTI5OTA4YjQzNjUzZGFmNjQ0MWMiLCJ1c2VySWQiOiIxODUzOTk1ODM3In0=</vt:lpwstr>
  </property>
</Properties>
</file>