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13、</w:t>
      </w:r>
      <w:r>
        <w:rPr>
          <w:rFonts w:hint="eastAsia"/>
          <w:b/>
          <w:bCs/>
          <w:sz w:val="36"/>
          <w:szCs w:val="44"/>
          <w:lang w:val="en-US" w:eastAsia="zh-CN"/>
        </w:rPr>
        <w:t>14</w:t>
      </w:r>
      <w:r>
        <w:rPr>
          <w:rFonts w:hint="eastAsia"/>
          <w:b/>
          <w:bCs/>
          <w:sz w:val="36"/>
          <w:szCs w:val="44"/>
        </w:rPr>
        <w:t>、16项更正后的维护清单内容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0"/>
        <w:gridCol w:w="500"/>
        <w:gridCol w:w="547"/>
        <w:gridCol w:w="547"/>
        <w:gridCol w:w="547"/>
        <w:gridCol w:w="614"/>
        <w:gridCol w:w="2195"/>
        <w:gridCol w:w="2197"/>
        <w:gridCol w:w="336"/>
        <w:gridCol w:w="3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3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维保设备名称/维保类型</w:t>
            </w:r>
          </w:p>
        </w:tc>
        <w:tc>
          <w:tcPr>
            <w:tcW w:w="32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32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32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维保上控单价（更正前）</w:t>
            </w:r>
          </w:p>
        </w:tc>
        <w:tc>
          <w:tcPr>
            <w:tcW w:w="3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维保上控单价（更正后）</w:t>
            </w:r>
          </w:p>
        </w:tc>
        <w:tc>
          <w:tcPr>
            <w:tcW w:w="131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维保内容（更正前）</w:t>
            </w:r>
          </w:p>
        </w:tc>
        <w:tc>
          <w:tcPr>
            <w:tcW w:w="131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维保内容（更正后）</w:t>
            </w:r>
          </w:p>
        </w:tc>
        <w:tc>
          <w:tcPr>
            <w:tcW w:w="20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维保方式</w:t>
            </w:r>
          </w:p>
        </w:tc>
        <w:tc>
          <w:tcPr>
            <w:tcW w:w="21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维保频次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3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8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8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8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8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2" w:hRule="atLeast"/>
          <w:jc w:val="center"/>
        </w:trPr>
        <w:tc>
          <w:tcPr>
            <w:tcW w:w="30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0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备品备件</w:t>
            </w:r>
          </w:p>
        </w:tc>
        <w:tc>
          <w:tcPr>
            <w:tcW w:w="32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</w:p>
        </w:tc>
        <w:tc>
          <w:tcPr>
            <w:tcW w:w="32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32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31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季度对备品备件进行盘点核对，核查备件种类、数量、库存与完好状态，建立并更新备件台账；确保摄像机、电源适配器、光纤收发器等常用易损件备货充足，故障时及时领用更换，保障运维时效与在线率指标。</w:t>
            </w:r>
          </w:p>
        </w:tc>
        <w:tc>
          <w:tcPr>
            <w:tcW w:w="131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季度对备品备件进行盘点核对，核查备件种类、数量、库存与完好状态，建立并更新备件台账；确保摄像机、电源适配器、光纤收发器等常用易损件备货充足，故障时及时领用更换，保障运维时效与在线率指标。</w:t>
            </w:r>
          </w:p>
        </w:tc>
        <w:tc>
          <w:tcPr>
            <w:tcW w:w="20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</w:t>
            </w:r>
          </w:p>
        </w:tc>
        <w:tc>
          <w:tcPr>
            <w:tcW w:w="21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atLeast"/>
          <w:jc w:val="center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车辆成本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2600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为运维服务提供日常巡检、故障处置、应急抢修等现场作业保障用车，满足项目现场维护需求；车辆使用、油料及维护等费用按约定标准据实列支，纳入运维成本核算。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为运维服务提供日常巡检、故障处置、应急抢修等现场作业保障用车，满足项目现场维护需求；车辆使用、油料及维护等费用按约定标准据实列支，纳入运维成本核算。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  <w:jc w:val="center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运营商线路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18200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保障前端点位至监控中心传输线路的稳定运行，协调运营商及时处置断网、带宽不足等线路故障，按期缴纳线路使用费，确保视频信号实时、畅通回传，留存线路保障与协调记录。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路57条，其中100Mb(14条)，50Mb(43条)。保障前端点位至监控中心传输线路的稳定运行，协调运营商及时处置断网、带宽不足等线路故障，按期缴纳线路使用费，确保视频信号实时、畅通回传，留存线路保障与协调记录。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22327C"/>
    <w:rsid w:val="22DF6387"/>
    <w:rsid w:val="3A6126F1"/>
    <w:rsid w:val="59F4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2026-09-18T14:53:00Z</dcterms:created>
  <dc:creator>Administrator</dc:creator>
  <cp:lastModifiedBy>Administrator</cp:lastModifiedBy>
  <dcterms:modified xsi:type="dcterms:W3CDTF">2026-09-18T15:19:48Z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