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9C071">
      <w:pPr>
        <w:spacing w:line="560" w:lineRule="exact"/>
        <w:jc w:val="center"/>
        <w:rPr>
          <w:rFonts w:hint="eastAsia" w:ascii="宋体" w:hAnsi="宋体"/>
          <w:color w:val="auto"/>
          <w:sz w:val="44"/>
          <w:szCs w:val="44"/>
          <w:highlight w:val="none"/>
        </w:rPr>
      </w:pPr>
      <w:r>
        <w:rPr>
          <w:rFonts w:hint="eastAsia" w:ascii="宋体" w:hAnsi="宋体"/>
          <w:color w:val="auto"/>
          <w:sz w:val="44"/>
          <w:szCs w:val="44"/>
          <w:highlight w:val="none"/>
        </w:rPr>
        <w:t>崇左市人民医院保洁、绿植养护及电梯司乘服务</w:t>
      </w:r>
    </w:p>
    <w:p w14:paraId="484705E4">
      <w:pPr>
        <w:spacing w:line="560" w:lineRule="exact"/>
        <w:jc w:val="center"/>
        <w:rPr>
          <w:rFonts w:hint="eastAsia" w:ascii="宋体" w:hAnsi="宋体"/>
          <w:color w:val="auto"/>
          <w:sz w:val="44"/>
          <w:szCs w:val="44"/>
          <w:highlight w:val="none"/>
        </w:rPr>
      </w:pPr>
      <w:r>
        <w:rPr>
          <w:rFonts w:hint="eastAsia" w:ascii="宋体" w:hAnsi="宋体"/>
          <w:color w:val="auto"/>
          <w:sz w:val="44"/>
          <w:szCs w:val="44"/>
          <w:highlight w:val="none"/>
        </w:rPr>
        <w:t>项目（CZZC2026-G3-990076-CZSZ）</w:t>
      </w:r>
    </w:p>
    <w:p w14:paraId="66F98FE7">
      <w:pPr>
        <w:spacing w:line="560" w:lineRule="exact"/>
        <w:jc w:val="center"/>
        <w:rPr>
          <w:rFonts w:ascii="宋体" w:hAnsi="宋体"/>
          <w:color w:val="auto"/>
          <w:sz w:val="44"/>
          <w:szCs w:val="44"/>
          <w:highlight w:val="none"/>
        </w:rPr>
      </w:pPr>
      <w:r>
        <w:rPr>
          <w:rFonts w:hint="eastAsia" w:ascii="宋体" w:hAnsi="宋体"/>
          <w:color w:val="auto"/>
          <w:sz w:val="44"/>
          <w:szCs w:val="44"/>
          <w:highlight w:val="none"/>
        </w:rPr>
        <w:t>公开招标文件预公示</w:t>
      </w:r>
    </w:p>
    <w:p w14:paraId="29A5BE95">
      <w:pPr>
        <w:spacing w:line="5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各有关供应商：</w:t>
      </w:r>
    </w:p>
    <w:p w14:paraId="0041DAEF">
      <w:pPr>
        <w:spacing w:line="5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我中心受</w:t>
      </w:r>
      <w:r>
        <w:rPr>
          <w:rFonts w:hint="eastAsia" w:ascii="仿宋_GB2312" w:hAnsi="宋体" w:eastAsia="仿宋_GB2312"/>
          <w:color w:val="auto"/>
          <w:sz w:val="30"/>
          <w:szCs w:val="30"/>
          <w:highlight w:val="none"/>
          <w:lang w:eastAsia="zh-CN"/>
        </w:rPr>
        <w:t>崇左市人民医院</w:t>
      </w:r>
      <w:r>
        <w:rPr>
          <w:rFonts w:hint="eastAsia" w:ascii="仿宋_GB2312" w:hAnsi="宋体" w:eastAsia="仿宋_GB2312"/>
          <w:color w:val="auto"/>
          <w:sz w:val="30"/>
          <w:szCs w:val="30"/>
          <w:highlight w:val="none"/>
        </w:rPr>
        <w:t>委托，拟对崇左市人民医院保洁、绿植养护及电梯司乘服务项目</w:t>
      </w:r>
      <w:r>
        <w:rPr>
          <w:rFonts w:hint="eastAsia" w:ascii="仿宋_GB2312" w:hAnsi="宋体" w:eastAsia="仿宋_GB2312"/>
          <w:color w:val="auto"/>
          <w:sz w:val="30"/>
          <w:szCs w:val="30"/>
          <w:highlight w:val="none"/>
          <w:u w:val="single"/>
        </w:rPr>
        <w:t>（CZZC2026-G3-990076-CZSZ）</w:t>
      </w:r>
      <w:r>
        <w:rPr>
          <w:rFonts w:hint="eastAsia" w:ascii="仿宋_GB2312" w:hAnsi="宋体" w:eastAsia="仿宋_GB2312"/>
          <w:color w:val="auto"/>
          <w:sz w:val="30"/>
          <w:szCs w:val="30"/>
          <w:highlight w:val="none"/>
        </w:rPr>
        <w:t>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于</w:t>
      </w:r>
      <w:r>
        <w:rPr>
          <w:rFonts w:hint="eastAsia" w:ascii="仿宋_GB2312" w:hAnsi="宋体" w:eastAsia="仿宋_GB2312"/>
          <w:b/>
          <w:bCs/>
          <w:color w:val="auto"/>
          <w:sz w:val="30"/>
          <w:szCs w:val="30"/>
          <w:highlight w:val="none"/>
          <w:u w:val="single"/>
        </w:rPr>
        <w:t>20</w:t>
      </w:r>
      <w:r>
        <w:rPr>
          <w:rFonts w:hint="eastAsia" w:ascii="仿宋_GB2312" w:hAnsi="宋体" w:eastAsia="仿宋_GB2312"/>
          <w:b/>
          <w:bCs/>
          <w:color w:val="auto"/>
          <w:sz w:val="30"/>
          <w:szCs w:val="30"/>
          <w:highlight w:val="none"/>
          <w:u w:val="single"/>
          <w:lang w:val="en-US" w:eastAsia="zh-CN"/>
        </w:rPr>
        <w:t>26</w:t>
      </w:r>
      <w:r>
        <w:rPr>
          <w:rFonts w:hint="eastAsia" w:ascii="仿宋_GB2312" w:hAnsi="宋体" w:eastAsia="仿宋_GB2312"/>
          <w:b/>
          <w:bCs/>
          <w:color w:val="auto"/>
          <w:sz w:val="30"/>
          <w:szCs w:val="30"/>
          <w:highlight w:val="none"/>
          <w:u w:val="single"/>
        </w:rPr>
        <w:t>年</w:t>
      </w:r>
      <w:r>
        <w:rPr>
          <w:rFonts w:hint="eastAsia" w:ascii="仿宋_GB2312" w:hAnsi="宋体" w:eastAsia="仿宋_GB2312"/>
          <w:b/>
          <w:bCs/>
          <w:color w:val="auto"/>
          <w:sz w:val="30"/>
          <w:szCs w:val="30"/>
          <w:highlight w:val="none"/>
          <w:u w:val="single"/>
          <w:lang w:val="en-US" w:eastAsia="zh-CN"/>
        </w:rPr>
        <w:t>6</w:t>
      </w:r>
      <w:r>
        <w:rPr>
          <w:rFonts w:hint="eastAsia" w:ascii="仿宋_GB2312" w:hAnsi="宋体" w:eastAsia="仿宋_GB2312"/>
          <w:b/>
          <w:bCs/>
          <w:color w:val="auto"/>
          <w:sz w:val="30"/>
          <w:szCs w:val="30"/>
          <w:highlight w:val="none"/>
          <w:u w:val="single"/>
        </w:rPr>
        <w:t>月</w:t>
      </w:r>
      <w:r>
        <w:rPr>
          <w:rFonts w:hint="eastAsia" w:ascii="仿宋_GB2312" w:hAnsi="宋体" w:eastAsia="仿宋_GB2312"/>
          <w:b/>
          <w:bCs/>
          <w:color w:val="auto"/>
          <w:sz w:val="30"/>
          <w:szCs w:val="30"/>
          <w:highlight w:val="none"/>
          <w:u w:val="single"/>
          <w:lang w:val="en-US" w:eastAsia="zh-CN"/>
        </w:rPr>
        <w:t>12</w:t>
      </w:r>
      <w:bookmarkStart w:id="74" w:name="_GoBack"/>
      <w:bookmarkEnd w:id="74"/>
      <w:r>
        <w:rPr>
          <w:rFonts w:hint="eastAsia" w:ascii="仿宋_GB2312" w:hAnsi="宋体" w:eastAsia="仿宋_GB2312"/>
          <w:b/>
          <w:bCs/>
          <w:color w:val="auto"/>
          <w:sz w:val="30"/>
          <w:szCs w:val="30"/>
          <w:highlight w:val="none"/>
          <w:u w:val="single"/>
        </w:rPr>
        <w:t>日</w:t>
      </w:r>
      <w:r>
        <w:rPr>
          <w:rFonts w:hint="eastAsia" w:ascii="仿宋_GB2312" w:hAnsi="宋体" w:eastAsia="仿宋_GB2312"/>
          <w:b/>
          <w:bCs/>
          <w:color w:val="auto"/>
          <w:sz w:val="30"/>
          <w:szCs w:val="30"/>
          <w:highlight w:val="none"/>
          <w:u w:val="single"/>
          <w:lang w:val="en-US" w:eastAsia="zh-CN"/>
        </w:rPr>
        <w:t>17</w:t>
      </w:r>
      <w:r>
        <w:rPr>
          <w:rFonts w:hint="eastAsia" w:ascii="仿宋_GB2312" w:hAnsi="宋体" w:eastAsia="仿宋_GB2312"/>
          <w:b/>
          <w:bCs/>
          <w:color w:val="auto"/>
          <w:sz w:val="30"/>
          <w:szCs w:val="30"/>
          <w:highlight w:val="none"/>
          <w:u w:val="single"/>
        </w:rPr>
        <w:t>时</w:t>
      </w:r>
      <w:r>
        <w:rPr>
          <w:rFonts w:hint="eastAsia" w:ascii="仿宋_GB2312" w:hAnsi="宋体" w:eastAsia="仿宋_GB2312"/>
          <w:color w:val="auto"/>
          <w:sz w:val="30"/>
          <w:szCs w:val="30"/>
          <w:highlight w:val="none"/>
        </w:rPr>
        <w:t>前以书面形式</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rPr>
        <w:t>意见函须加盖公章</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rPr>
        <w:t>向我中心反映，以便我中心完善采购文件。</w:t>
      </w:r>
      <w:r>
        <w:rPr>
          <w:rFonts w:hint="eastAsia" w:ascii="仿宋_GB2312" w:hAnsi="宋体" w:eastAsia="仿宋_GB2312"/>
          <w:b/>
          <w:bCs/>
          <w:color w:val="auto"/>
          <w:sz w:val="30"/>
          <w:szCs w:val="30"/>
          <w:highlight w:val="none"/>
        </w:rPr>
        <w:t>如供应商需提交意见函，请携带企业营业执照（或事业单位法人证书）副本复印件</w:t>
      </w:r>
      <w:r>
        <w:rPr>
          <w:rFonts w:hint="eastAsia" w:ascii="仿宋_GB2312" w:hAnsi="宋体" w:eastAsia="仿宋_GB2312"/>
          <w:color w:val="auto"/>
          <w:sz w:val="30"/>
          <w:szCs w:val="30"/>
          <w:highlight w:val="none"/>
        </w:rPr>
        <w:t>（加盖公章，一份）、</w:t>
      </w:r>
      <w:r>
        <w:rPr>
          <w:rFonts w:hint="eastAsia" w:ascii="仿宋_GB2312" w:hAnsi="宋体" w:eastAsia="仿宋_GB2312"/>
          <w:b/>
          <w:bCs/>
          <w:color w:val="auto"/>
          <w:sz w:val="30"/>
          <w:szCs w:val="30"/>
          <w:highlight w:val="none"/>
        </w:rPr>
        <w:t>经办人身份证原件及复印件</w:t>
      </w:r>
      <w:r>
        <w:rPr>
          <w:rFonts w:hint="eastAsia" w:ascii="仿宋_GB2312" w:hAnsi="宋体" w:eastAsia="仿宋_GB2312"/>
          <w:color w:val="auto"/>
          <w:sz w:val="30"/>
          <w:szCs w:val="30"/>
          <w:highlight w:val="none"/>
        </w:rPr>
        <w:t>（加盖公章，一份）</w:t>
      </w:r>
      <w:r>
        <w:rPr>
          <w:rFonts w:hint="eastAsia" w:ascii="仿宋_GB2312" w:hAnsi="宋体" w:eastAsia="仿宋_GB2312"/>
          <w:b/>
          <w:bCs/>
          <w:color w:val="auto"/>
          <w:sz w:val="30"/>
          <w:szCs w:val="30"/>
          <w:highlight w:val="none"/>
        </w:rPr>
        <w:t>提交意见函原件</w:t>
      </w:r>
      <w:r>
        <w:rPr>
          <w:rFonts w:hint="eastAsia" w:ascii="仿宋_GB2312" w:hAnsi="宋体" w:eastAsia="仿宋_GB2312"/>
          <w:color w:val="auto"/>
          <w:sz w:val="30"/>
          <w:szCs w:val="30"/>
          <w:highlight w:val="none"/>
        </w:rPr>
        <w:t>。意见函应注明联系人和联系方式。专业人员个人请提交意见签名，并附身份证、职称等复印件。</w:t>
      </w:r>
    </w:p>
    <w:p w14:paraId="7B7FD590">
      <w:pPr>
        <w:spacing w:line="560" w:lineRule="exact"/>
        <w:ind w:firstLine="6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对各有关供应商、专业人员等逾期送达、匿名送达以及其他不符合上述条件的意见函件我中心不予受理。  </w:t>
      </w:r>
    </w:p>
    <w:p w14:paraId="18E13952">
      <w:pPr>
        <w:spacing w:line="5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联系地址：崇左市</w:t>
      </w:r>
      <w:r>
        <w:rPr>
          <w:rFonts w:hint="eastAsia" w:ascii="仿宋_GB2312" w:hAnsi="宋体" w:eastAsia="仿宋_GB2312"/>
          <w:color w:val="auto"/>
          <w:sz w:val="30"/>
          <w:szCs w:val="30"/>
          <w:highlight w:val="none"/>
          <w:lang w:eastAsia="zh-CN"/>
        </w:rPr>
        <w:t>江州</w:t>
      </w:r>
      <w:r>
        <w:rPr>
          <w:rFonts w:hint="eastAsia" w:ascii="仿宋_GB2312" w:hAnsi="宋体" w:eastAsia="仿宋_GB2312"/>
          <w:color w:val="auto"/>
          <w:sz w:val="30"/>
          <w:szCs w:val="30"/>
          <w:highlight w:val="none"/>
        </w:rPr>
        <w:t>区石景林东路5号</w:t>
      </w:r>
    </w:p>
    <w:p w14:paraId="5D30DE53">
      <w:pPr>
        <w:spacing w:line="560" w:lineRule="exact"/>
        <w:ind w:firstLine="6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联系人：</w:t>
      </w:r>
      <w:r>
        <w:rPr>
          <w:rFonts w:hint="eastAsia" w:ascii="仿宋_GB2312" w:hAnsi="宋体" w:eastAsia="仿宋_GB2312"/>
          <w:color w:val="auto"/>
          <w:sz w:val="30"/>
          <w:szCs w:val="30"/>
          <w:highlight w:val="none"/>
          <w:lang w:eastAsia="zh-CN"/>
        </w:rPr>
        <w:t>黄何斌</w:t>
      </w:r>
      <w:r>
        <w:rPr>
          <w:rFonts w:hint="eastAsia" w:ascii="仿宋_GB2312" w:hAnsi="宋体" w:eastAsia="仿宋_GB2312"/>
          <w:color w:val="auto"/>
          <w:sz w:val="30"/>
          <w:szCs w:val="30"/>
          <w:highlight w:val="none"/>
        </w:rPr>
        <w:t xml:space="preserve">       </w:t>
      </w:r>
      <w:r>
        <w:rPr>
          <w:rFonts w:hint="eastAsia" w:ascii="仿宋_GB2312" w:hAnsi="宋体" w:eastAsia="仿宋_GB2312"/>
          <w:color w:val="auto"/>
          <w:sz w:val="30"/>
          <w:szCs w:val="30"/>
          <w:highlight w:val="none"/>
          <w:lang w:val="en-US" w:eastAsia="zh-CN"/>
        </w:rPr>
        <w:t xml:space="preserve">    </w:t>
      </w:r>
    </w:p>
    <w:p w14:paraId="73FC2309">
      <w:pPr>
        <w:spacing w:line="560" w:lineRule="exact"/>
        <w:ind w:firstLine="6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联系电话</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rPr>
        <w:t>0771-</w:t>
      </w:r>
      <w:r>
        <w:rPr>
          <w:rFonts w:hint="eastAsia" w:ascii="仿宋_GB2312" w:hAnsi="宋体" w:eastAsia="仿宋_GB2312"/>
          <w:color w:val="auto"/>
          <w:sz w:val="30"/>
          <w:szCs w:val="30"/>
          <w:highlight w:val="none"/>
          <w:lang w:val="en-US" w:eastAsia="zh-CN"/>
        </w:rPr>
        <w:t>7920270</w:t>
      </w:r>
      <w:r>
        <w:rPr>
          <w:rFonts w:hint="eastAsia" w:ascii="仿宋_GB2312" w:hAnsi="宋体" w:eastAsia="仿宋_GB2312"/>
          <w:color w:val="auto"/>
          <w:sz w:val="30"/>
          <w:szCs w:val="30"/>
          <w:highlight w:val="none"/>
        </w:rPr>
        <w:t xml:space="preserve">                   </w:t>
      </w:r>
    </w:p>
    <w:p w14:paraId="12B86DCE">
      <w:pPr>
        <w:spacing w:line="5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eastAsia="zh-CN"/>
        </w:rPr>
        <w:t>件</w:t>
      </w:r>
      <w:r>
        <w:rPr>
          <w:rFonts w:hint="eastAsia" w:ascii="仿宋_GB2312" w:hAnsi="宋体" w:eastAsia="仿宋_GB2312"/>
          <w:color w:val="auto"/>
          <w:sz w:val="30"/>
          <w:szCs w:val="30"/>
          <w:highlight w:val="none"/>
        </w:rPr>
        <w:t>：崇左市人民医院保洁、绿植养护及电梯司乘服务项目（CZZC2026-G3-990076-CZSZ）公开招标文件预公示内容</w:t>
      </w:r>
    </w:p>
    <w:p w14:paraId="2212665A">
      <w:pPr>
        <w:spacing w:line="560" w:lineRule="exact"/>
        <w:rPr>
          <w:rFonts w:hint="eastAsia" w:ascii="仿宋_GB2312" w:hAnsi="宋体" w:eastAsia="仿宋_GB2312"/>
          <w:color w:val="auto"/>
          <w:sz w:val="30"/>
          <w:szCs w:val="30"/>
          <w:highlight w:val="none"/>
        </w:rPr>
      </w:pPr>
    </w:p>
    <w:p w14:paraId="00DF1FE7">
      <w:pPr>
        <w:spacing w:line="56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eastAsia="zh-CN"/>
        </w:rPr>
        <w:t>崇左市政府集中采</w:t>
      </w:r>
      <w:r>
        <w:rPr>
          <w:rFonts w:hint="eastAsia" w:ascii="仿宋_GB2312" w:hAnsi="宋体" w:eastAsia="仿宋_GB2312"/>
          <w:color w:val="auto"/>
          <w:sz w:val="30"/>
          <w:szCs w:val="30"/>
          <w:highlight w:val="none"/>
        </w:rPr>
        <w:t>购中心</w:t>
      </w:r>
    </w:p>
    <w:p w14:paraId="405C7B94">
      <w:pPr>
        <w:spacing w:line="56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lang w:val="en-US" w:eastAsia="zh-CN"/>
        </w:rPr>
        <w:t>6</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6</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9</w:t>
      </w:r>
      <w:r>
        <w:rPr>
          <w:rFonts w:hint="eastAsia" w:ascii="仿宋_GB2312" w:hAnsi="宋体" w:eastAsia="仿宋_GB2312"/>
          <w:color w:val="auto"/>
          <w:sz w:val="30"/>
          <w:szCs w:val="30"/>
          <w:highlight w:val="none"/>
        </w:rPr>
        <w:t>日</w:t>
      </w:r>
    </w:p>
    <w:p w14:paraId="13210AC4">
      <w:pPr>
        <w:spacing w:line="560" w:lineRule="exact"/>
        <w:jc w:val="right"/>
        <w:rPr>
          <w:rFonts w:hint="eastAsia" w:ascii="仿宋_GB2312" w:hAnsi="宋体" w:eastAsia="仿宋_GB2312"/>
          <w:color w:val="auto"/>
          <w:sz w:val="30"/>
          <w:szCs w:val="30"/>
          <w:highlight w:val="none"/>
        </w:rPr>
      </w:pPr>
    </w:p>
    <w:p w14:paraId="7DA9E7F3">
      <w:pPr>
        <w:pStyle w:val="28"/>
        <w:spacing w:line="440" w:lineRule="exact"/>
        <w:rPr>
          <w:rFonts w:hint="eastAsia"/>
          <w:bCs/>
          <w:color w:val="auto"/>
          <w:sz w:val="24"/>
          <w:szCs w:val="24"/>
        </w:rPr>
      </w:pPr>
      <w:r>
        <w:rPr>
          <w:rFonts w:hint="eastAsia"/>
          <w:bCs/>
          <w:color w:val="auto"/>
          <w:sz w:val="24"/>
          <w:szCs w:val="24"/>
        </w:rPr>
        <w:t>附件：</w:t>
      </w:r>
    </w:p>
    <w:p w14:paraId="6A8F421D">
      <w:pPr>
        <w:spacing w:beforeLines="50"/>
        <w:jc w:val="center"/>
        <w:rPr>
          <w:rFonts w:ascii="宋体" w:hAnsi="宋体" w:cs="宋体"/>
          <w:color w:val="auto"/>
          <w:sz w:val="72"/>
          <w:szCs w:val="72"/>
        </w:rPr>
      </w:pPr>
    </w:p>
    <w:p w14:paraId="47DF3398">
      <w:pPr>
        <w:pStyle w:val="597"/>
        <w:pageBreakBefore/>
        <w:widowControl w:val="0"/>
        <w:spacing w:after="120" w:line="480" w:lineRule="exact"/>
        <w:ind w:firstLine="0" w:firstLineChars="0"/>
        <w:jc w:val="center"/>
        <w:rPr>
          <w:rFonts w:ascii="宋体" w:hAnsi="宋体" w:cs="宋体"/>
          <w:color w:val="auto"/>
          <w:sz w:val="28"/>
          <w:szCs w:val="28"/>
        </w:rPr>
      </w:pPr>
      <w:r>
        <w:rPr>
          <w:rFonts w:hint="eastAsia" w:ascii="宋体" w:hAnsi="宋体" w:cs="宋体"/>
          <w:color w:val="auto"/>
          <w:sz w:val="32"/>
          <w:szCs w:val="32"/>
        </w:rPr>
        <w:t>公开招标公告</w:t>
      </w:r>
    </w:p>
    <w:p w14:paraId="1A6438BA">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color w:val="auto"/>
        </w:rPr>
      </w:pPr>
      <w:r>
        <w:rPr>
          <w:rFonts w:hint="eastAsia" w:ascii="宋体" w:hAnsi="宋体" w:cs="宋体"/>
          <w:color w:val="auto"/>
        </w:rPr>
        <w:t>项目概况</w:t>
      </w:r>
    </w:p>
    <w:p w14:paraId="38127E00">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color w:val="auto"/>
        </w:rPr>
      </w:pPr>
      <w:r>
        <w:rPr>
          <w:rFonts w:hint="eastAsia" w:ascii="宋体" w:hAnsi="宋体" w:cs="宋体"/>
          <w:color w:val="auto"/>
          <w:kern w:val="0"/>
          <w:szCs w:val="21"/>
        </w:rPr>
        <w:t>崇左市人民医院保洁、绿植养护及电梯司乘服务项目招标项目的潜在投标人应在广西政府采购云平台（网址：http://www.gcy.zfcg.gxzf.gov.cn）获取招标文件，并于</w:t>
      </w:r>
      <w:r>
        <w:rPr>
          <w:rFonts w:hint="eastAsia" w:ascii="宋体" w:hAnsi="宋体" w:cs="宋体"/>
          <w:color w:val="auto"/>
          <w:kern w:val="0"/>
          <w:szCs w:val="21"/>
          <w:highlight w:val="yellow"/>
        </w:rPr>
        <w:t>2026年xx月xx日</w:t>
      </w:r>
      <w:r>
        <w:rPr>
          <w:rFonts w:hint="eastAsia" w:ascii="宋体" w:hAnsi="宋体" w:cs="宋体"/>
          <w:color w:val="auto"/>
          <w:kern w:val="0"/>
          <w:szCs w:val="21"/>
        </w:rPr>
        <w:t>9:00（北京时间）前递交投标文件。</w:t>
      </w:r>
    </w:p>
    <w:p w14:paraId="4D094061">
      <w:pPr>
        <w:pStyle w:val="49"/>
        <w:spacing w:before="255" w:beforeAutospacing="0" w:after="255" w:afterAutospacing="0" w:line="300" w:lineRule="atLeast"/>
        <w:jc w:val="both"/>
        <w:rPr>
          <w:rFonts w:cs="宋体"/>
          <w:color w:val="auto"/>
          <w:sz w:val="21"/>
          <w:szCs w:val="21"/>
        </w:rPr>
      </w:pPr>
      <w:r>
        <w:rPr>
          <w:rStyle w:val="58"/>
          <w:rFonts w:hint="eastAsia" w:ascii="宋体" w:hAnsi="宋体" w:cs="宋体"/>
          <w:color w:val="auto"/>
          <w:szCs w:val="21"/>
        </w:rPr>
        <w:t>一、项目基本情况</w:t>
      </w:r>
      <w:r>
        <w:rPr>
          <w:rFonts w:hint="eastAsia" w:cs="宋体"/>
          <w:color w:val="auto"/>
          <w:sz w:val="21"/>
          <w:szCs w:val="21"/>
        </w:rPr>
        <w:t>                       </w:t>
      </w:r>
    </w:p>
    <w:p w14:paraId="29BB7C47">
      <w:pPr>
        <w:pStyle w:val="49"/>
        <w:spacing w:before="75" w:beforeAutospacing="0" w:after="75" w:afterAutospacing="0" w:line="300" w:lineRule="atLeast"/>
        <w:ind w:firstLine="420" w:firstLineChars="200"/>
        <w:rPr>
          <w:rFonts w:cs="宋体"/>
          <w:color w:val="auto"/>
          <w:sz w:val="21"/>
          <w:szCs w:val="21"/>
        </w:rPr>
      </w:pPr>
      <w:r>
        <w:rPr>
          <w:rFonts w:hint="eastAsia" w:cs="宋体"/>
          <w:color w:val="auto"/>
          <w:sz w:val="21"/>
          <w:szCs w:val="21"/>
        </w:rPr>
        <w:t>项目编号：CZZC2026-G3-990076-CZSZ</w:t>
      </w:r>
    </w:p>
    <w:p w14:paraId="3423E297">
      <w:pPr>
        <w:pStyle w:val="49"/>
        <w:spacing w:before="75" w:beforeAutospacing="0" w:after="75" w:afterAutospacing="0" w:line="300" w:lineRule="atLeast"/>
        <w:ind w:firstLine="420" w:firstLineChars="200"/>
        <w:rPr>
          <w:rFonts w:cs="宋体"/>
          <w:color w:val="auto"/>
          <w:sz w:val="21"/>
          <w:szCs w:val="21"/>
        </w:rPr>
      </w:pPr>
      <w:r>
        <w:rPr>
          <w:rFonts w:hint="eastAsia" w:cs="宋体"/>
          <w:color w:val="auto"/>
          <w:sz w:val="21"/>
          <w:szCs w:val="21"/>
        </w:rPr>
        <w:t>项目名称：崇左市人民医院保洁、绿植养护及电梯司乘服务项目</w:t>
      </w:r>
    </w:p>
    <w:p w14:paraId="78C14084">
      <w:pPr>
        <w:pStyle w:val="49"/>
        <w:spacing w:before="75" w:beforeAutospacing="0" w:after="75" w:afterAutospacing="0" w:line="300" w:lineRule="atLeast"/>
        <w:ind w:firstLine="420" w:firstLineChars="200"/>
        <w:rPr>
          <w:rFonts w:cs="宋体"/>
          <w:color w:val="auto"/>
          <w:sz w:val="21"/>
          <w:szCs w:val="21"/>
        </w:rPr>
      </w:pPr>
      <w:r>
        <w:rPr>
          <w:rFonts w:hint="eastAsia" w:cs="宋体"/>
          <w:color w:val="auto"/>
          <w:sz w:val="21"/>
          <w:szCs w:val="21"/>
        </w:rPr>
        <w:t>预算总金额（元）：8568000</w:t>
      </w:r>
    </w:p>
    <w:p w14:paraId="188A0CC2">
      <w:pPr>
        <w:pStyle w:val="49"/>
        <w:spacing w:before="75" w:beforeAutospacing="0" w:after="75" w:afterAutospacing="0" w:line="300" w:lineRule="atLeast"/>
        <w:ind w:firstLine="420" w:firstLineChars="200"/>
        <w:rPr>
          <w:rFonts w:cs="宋体"/>
          <w:color w:val="auto"/>
          <w:sz w:val="21"/>
          <w:szCs w:val="21"/>
        </w:rPr>
      </w:pPr>
      <w:r>
        <w:rPr>
          <w:rFonts w:hint="eastAsia" w:cs="宋体"/>
          <w:color w:val="auto"/>
          <w:sz w:val="21"/>
          <w:szCs w:val="21"/>
        </w:rPr>
        <w:t>采购需求：</w:t>
      </w:r>
    </w:p>
    <w:p w14:paraId="2CF3A484">
      <w:pPr>
        <w:pStyle w:val="49"/>
        <w:spacing w:before="75" w:beforeAutospacing="0" w:after="75" w:afterAutospacing="0" w:line="300" w:lineRule="atLeast"/>
        <w:ind w:firstLine="420" w:firstLineChars="200"/>
        <w:rPr>
          <w:rFonts w:cs="宋体"/>
          <w:color w:val="auto"/>
          <w:sz w:val="21"/>
          <w:szCs w:val="21"/>
        </w:rPr>
      </w:pPr>
    </w:p>
    <w:p w14:paraId="0A997081">
      <w:pPr>
        <w:pStyle w:val="49"/>
        <w:spacing w:before="75" w:beforeAutospacing="0" w:after="75" w:afterAutospacing="0"/>
        <w:ind w:firstLine="420" w:firstLineChars="200"/>
        <w:rPr>
          <w:rFonts w:cs="宋体"/>
          <w:color w:val="auto"/>
          <w:sz w:val="21"/>
          <w:szCs w:val="21"/>
          <w:shd w:val="clear" w:color="auto" w:fill="F7F7F7"/>
        </w:rPr>
      </w:pPr>
      <w:r>
        <w:rPr>
          <w:rFonts w:hint="eastAsia" w:cs="宋体"/>
          <w:color w:val="auto"/>
          <w:sz w:val="21"/>
          <w:szCs w:val="21"/>
          <w:shd w:val="clear" w:color="auto" w:fill="F7F7F7"/>
        </w:rPr>
        <w:t>标项名称：崇左市人民医院保洁、绿植养护及电梯司乘服务项目</w:t>
      </w:r>
    </w:p>
    <w:p w14:paraId="4518154B">
      <w:pPr>
        <w:pStyle w:val="49"/>
        <w:spacing w:before="75" w:beforeAutospacing="0" w:after="75" w:afterAutospacing="0"/>
        <w:ind w:firstLine="420" w:firstLineChars="200"/>
        <w:rPr>
          <w:rFonts w:cs="宋体"/>
          <w:color w:val="auto"/>
          <w:sz w:val="21"/>
          <w:szCs w:val="21"/>
          <w:shd w:val="clear" w:color="auto" w:fill="F7F7F7"/>
        </w:rPr>
      </w:pPr>
      <w:r>
        <w:rPr>
          <w:rFonts w:hint="eastAsia" w:cs="宋体"/>
          <w:color w:val="auto"/>
          <w:sz w:val="21"/>
          <w:szCs w:val="21"/>
          <w:shd w:val="clear" w:color="auto" w:fill="F7F7F7"/>
        </w:rPr>
        <w:t>数量：</w:t>
      </w:r>
    </w:p>
    <w:p w14:paraId="6670B879">
      <w:pPr>
        <w:pStyle w:val="49"/>
        <w:spacing w:before="75" w:beforeAutospacing="0" w:after="75" w:afterAutospacing="0"/>
        <w:ind w:firstLine="420" w:firstLineChars="200"/>
        <w:rPr>
          <w:rFonts w:cs="宋体"/>
          <w:color w:val="auto"/>
          <w:sz w:val="21"/>
          <w:szCs w:val="21"/>
          <w:shd w:val="clear" w:color="auto" w:fill="F7F7F7"/>
        </w:rPr>
      </w:pPr>
      <w:r>
        <w:rPr>
          <w:rFonts w:hint="eastAsia" w:cs="宋体"/>
          <w:color w:val="auto"/>
          <w:sz w:val="21"/>
          <w:szCs w:val="21"/>
          <w:shd w:val="clear" w:color="auto" w:fill="F7F7F7"/>
        </w:rPr>
        <w:t>预算金额（元）：8568000</w:t>
      </w:r>
    </w:p>
    <w:p w14:paraId="117A013A">
      <w:pPr>
        <w:pStyle w:val="49"/>
        <w:spacing w:before="75" w:beforeAutospacing="0" w:after="75" w:afterAutospacing="0"/>
        <w:ind w:firstLine="420" w:firstLineChars="200"/>
        <w:rPr>
          <w:rFonts w:cs="宋体"/>
          <w:color w:val="auto"/>
          <w:sz w:val="21"/>
          <w:szCs w:val="21"/>
        </w:rPr>
      </w:pPr>
      <w:r>
        <w:rPr>
          <w:rFonts w:hint="eastAsia" w:cs="宋体"/>
          <w:color w:val="auto"/>
          <w:sz w:val="21"/>
          <w:szCs w:val="21"/>
          <w:shd w:val="clear" w:color="auto" w:fill="F7F7F7"/>
        </w:rPr>
        <w:t>简要规格描述或项目基本概况介绍、用途：崇左市人民医院保洁、绿植养护及电梯司乘服务项目1项，</w:t>
      </w:r>
      <w:r>
        <w:rPr>
          <w:rStyle w:val="182"/>
          <w:rFonts w:hint="eastAsia" w:ascii="宋体" w:hAnsi="宋体" w:cs="宋体"/>
          <w:color w:val="auto"/>
          <w:sz w:val="21"/>
          <w:szCs w:val="21"/>
          <w:shd w:val="clear" w:color="auto" w:fill="F7F7F7"/>
        </w:rPr>
        <w:t>详见采购文件。</w:t>
      </w:r>
    </w:p>
    <w:p w14:paraId="29019134">
      <w:pPr>
        <w:pStyle w:val="49"/>
        <w:spacing w:before="75" w:beforeAutospacing="0" w:after="75" w:afterAutospacing="0"/>
        <w:ind w:firstLine="420" w:firstLineChars="200"/>
        <w:rPr>
          <w:rFonts w:cs="宋体"/>
          <w:color w:val="auto"/>
          <w:sz w:val="21"/>
          <w:szCs w:val="21"/>
        </w:rPr>
      </w:pPr>
      <w:r>
        <w:rPr>
          <w:rFonts w:hint="eastAsia" w:cs="宋体"/>
          <w:color w:val="auto"/>
          <w:sz w:val="21"/>
          <w:szCs w:val="21"/>
          <w:shd w:val="clear" w:color="auto" w:fill="F7F7F7"/>
        </w:rPr>
        <w:t>最高限价（如有）：/</w:t>
      </w:r>
    </w:p>
    <w:p w14:paraId="77C51A35">
      <w:pPr>
        <w:pStyle w:val="49"/>
        <w:spacing w:before="75" w:beforeAutospacing="0" w:after="75" w:afterAutospacing="0"/>
        <w:ind w:firstLine="420" w:firstLineChars="200"/>
        <w:rPr>
          <w:rFonts w:cs="宋体"/>
          <w:color w:val="auto"/>
          <w:sz w:val="21"/>
          <w:szCs w:val="21"/>
        </w:rPr>
      </w:pPr>
      <w:r>
        <w:rPr>
          <w:rFonts w:hint="eastAsia" w:cs="宋体"/>
          <w:color w:val="auto"/>
          <w:sz w:val="21"/>
          <w:szCs w:val="21"/>
          <w:shd w:val="clear" w:color="auto" w:fill="F7F7F7"/>
        </w:rPr>
        <w:t>合同履约期限：</w:t>
      </w:r>
      <w:r>
        <w:rPr>
          <w:rStyle w:val="69"/>
          <w:rFonts w:hint="eastAsia" w:ascii="宋体" w:hAnsi="宋体" w:eastAsia="宋体" w:cs="宋体"/>
          <w:color w:val="auto"/>
          <w:szCs w:val="21"/>
          <w:shd w:val="clear" w:color="auto" w:fill="F7F7F7"/>
        </w:rPr>
        <w:t>自合同签订之日起至项目合同履约完毕。</w:t>
      </w:r>
    </w:p>
    <w:p w14:paraId="23F259BF">
      <w:pPr>
        <w:pStyle w:val="49"/>
        <w:spacing w:before="75" w:beforeAutospacing="0" w:after="75" w:afterAutospacing="0"/>
        <w:ind w:firstLine="420" w:firstLineChars="200"/>
        <w:rPr>
          <w:rFonts w:cs="宋体"/>
          <w:color w:val="auto"/>
          <w:sz w:val="21"/>
          <w:szCs w:val="21"/>
          <w:shd w:val="clear" w:color="auto" w:fill="F7F7F7"/>
        </w:rPr>
      </w:pPr>
      <w:r>
        <w:rPr>
          <w:rFonts w:hint="eastAsia" w:cs="宋体"/>
          <w:color w:val="auto"/>
          <w:sz w:val="21"/>
          <w:szCs w:val="21"/>
          <w:shd w:val="clear" w:color="auto" w:fill="F7F7F7"/>
        </w:rPr>
        <w:t>本标项（</w:t>
      </w:r>
      <w:r>
        <w:rPr>
          <w:rStyle w:val="69"/>
          <w:rFonts w:hint="eastAsia" w:ascii="宋体" w:hAnsi="宋体" w:eastAsia="宋体" w:cs="宋体"/>
          <w:color w:val="auto"/>
          <w:szCs w:val="21"/>
          <w:shd w:val="clear" w:color="auto" w:fill="F7F7F7"/>
        </w:rPr>
        <w:t>否</w:t>
      </w:r>
      <w:r>
        <w:rPr>
          <w:rFonts w:hint="eastAsia" w:cs="宋体"/>
          <w:color w:val="auto"/>
          <w:sz w:val="21"/>
          <w:szCs w:val="21"/>
          <w:shd w:val="clear" w:color="auto" w:fill="F7F7F7"/>
        </w:rPr>
        <w:t>）接受联合体投标</w:t>
      </w:r>
    </w:p>
    <w:p w14:paraId="0C81E042">
      <w:pPr>
        <w:pStyle w:val="49"/>
        <w:spacing w:before="75" w:beforeAutospacing="0" w:after="75" w:afterAutospacing="0"/>
        <w:ind w:firstLine="420" w:firstLineChars="200"/>
        <w:rPr>
          <w:rFonts w:cs="宋体"/>
          <w:color w:val="auto"/>
          <w:sz w:val="21"/>
          <w:szCs w:val="21"/>
        </w:rPr>
      </w:pPr>
      <w:r>
        <w:rPr>
          <w:rFonts w:hint="eastAsia" w:cs="宋体"/>
          <w:color w:val="auto"/>
          <w:sz w:val="21"/>
          <w:szCs w:val="21"/>
          <w:shd w:val="clear" w:color="auto" w:fill="F7F7F7"/>
        </w:rPr>
        <w:t>备注：</w:t>
      </w:r>
      <w:r>
        <w:rPr>
          <w:rStyle w:val="148"/>
          <w:rFonts w:hint="eastAsia" w:ascii="宋体" w:hAnsi="宋体" w:cs="宋体"/>
          <w:color w:val="auto"/>
          <w:sz w:val="21"/>
          <w:szCs w:val="21"/>
          <w:shd w:val="clear" w:color="auto" w:fill="F7F7F7"/>
        </w:rPr>
        <w:t>本项目为线上电子招标项目，有意向参与本项目的供应商应当做好参与全流程电子招投标交易的充分准备。</w:t>
      </w:r>
    </w:p>
    <w:p w14:paraId="2DAC3738">
      <w:pPr>
        <w:pStyle w:val="49"/>
        <w:spacing w:before="75" w:beforeAutospacing="0" w:after="75" w:afterAutospacing="0" w:line="300" w:lineRule="atLeast"/>
        <w:rPr>
          <w:rFonts w:cs="宋体"/>
          <w:color w:val="auto"/>
          <w:sz w:val="21"/>
          <w:szCs w:val="21"/>
        </w:rPr>
      </w:pPr>
    </w:p>
    <w:p w14:paraId="42FB9730">
      <w:pPr>
        <w:pStyle w:val="49"/>
        <w:spacing w:before="75" w:beforeAutospacing="0" w:after="75" w:afterAutospacing="0" w:line="300" w:lineRule="atLeast"/>
        <w:rPr>
          <w:rFonts w:cs="宋体"/>
          <w:color w:val="auto"/>
          <w:sz w:val="21"/>
          <w:szCs w:val="21"/>
        </w:rPr>
      </w:pPr>
      <w:r>
        <w:rPr>
          <w:rStyle w:val="58"/>
          <w:rFonts w:hint="eastAsia" w:ascii="宋体" w:hAnsi="宋体" w:cs="宋体"/>
          <w:color w:val="auto"/>
          <w:szCs w:val="21"/>
        </w:rPr>
        <w:t>二、申请人的资格要求：</w:t>
      </w:r>
    </w:p>
    <w:p w14:paraId="5167FEA1">
      <w:pPr>
        <w:pStyle w:val="49"/>
        <w:spacing w:before="75" w:beforeAutospacing="0" w:after="75" w:afterAutospacing="0" w:line="300" w:lineRule="atLeast"/>
        <w:rPr>
          <w:rFonts w:cs="宋体"/>
          <w:color w:val="auto"/>
          <w:sz w:val="21"/>
          <w:szCs w:val="21"/>
        </w:rPr>
      </w:pPr>
      <w:r>
        <w:rPr>
          <w:rFonts w:hint="eastAsia" w:cs="宋体"/>
          <w:color w:val="auto"/>
          <w:sz w:val="21"/>
          <w:szCs w:val="21"/>
        </w:rPr>
        <w:t>  1.满足《中华人民共和国政府采购法》第二十二条规定；</w:t>
      </w:r>
    </w:p>
    <w:p w14:paraId="13D5F419">
      <w:pPr>
        <w:pStyle w:val="49"/>
        <w:spacing w:before="75" w:beforeAutospacing="0" w:after="75" w:afterAutospacing="0" w:line="300" w:lineRule="atLeast"/>
        <w:rPr>
          <w:rFonts w:cs="宋体"/>
          <w:color w:val="auto"/>
          <w:sz w:val="21"/>
          <w:szCs w:val="21"/>
        </w:rPr>
      </w:pPr>
      <w:r>
        <w:rPr>
          <w:rFonts w:hint="eastAsia" w:cs="宋体"/>
          <w:color w:val="auto"/>
          <w:sz w:val="21"/>
          <w:szCs w:val="21"/>
        </w:rPr>
        <w:t>  2.落实政府采购政策需满足的资格要求：</w:t>
      </w:r>
      <w:r>
        <w:rPr>
          <w:rStyle w:val="224"/>
          <w:rFonts w:hint="eastAsia" w:ascii="宋体" w:hAnsi="宋体" w:cs="宋体"/>
          <w:color w:val="auto"/>
          <w:sz w:val="21"/>
          <w:szCs w:val="21"/>
        </w:rPr>
        <w:t>分标1：本项目专门面向中小企业（供应商应为中小企业、监狱企业、残疾人福利性单位）。</w:t>
      </w:r>
    </w:p>
    <w:p w14:paraId="1883A8B9">
      <w:pPr>
        <w:pStyle w:val="49"/>
        <w:spacing w:before="75" w:beforeAutospacing="0" w:after="75" w:afterAutospacing="0" w:line="300" w:lineRule="atLeast"/>
        <w:rPr>
          <w:rFonts w:cs="宋体"/>
          <w:color w:val="auto"/>
          <w:sz w:val="21"/>
          <w:szCs w:val="21"/>
        </w:rPr>
      </w:pPr>
      <w:r>
        <w:rPr>
          <w:rFonts w:hint="eastAsia" w:cs="宋体"/>
          <w:color w:val="auto"/>
          <w:sz w:val="21"/>
          <w:szCs w:val="21"/>
        </w:rPr>
        <w:t>  3.本项目的特定资格要求：</w:t>
      </w:r>
      <w:r>
        <w:rPr>
          <w:rStyle w:val="160"/>
          <w:rFonts w:hint="eastAsia" w:ascii="宋体" w:hAnsi="宋体" w:cs="宋体"/>
          <w:color w:val="auto"/>
          <w:sz w:val="21"/>
          <w:szCs w:val="21"/>
        </w:rPr>
        <w:t>无</w:t>
      </w:r>
    </w:p>
    <w:p w14:paraId="4428F7F2">
      <w:pPr>
        <w:pStyle w:val="49"/>
        <w:spacing w:before="255" w:beforeAutospacing="0" w:after="255" w:afterAutospacing="0" w:line="300" w:lineRule="atLeast"/>
        <w:jc w:val="both"/>
        <w:rPr>
          <w:rFonts w:cs="宋体"/>
          <w:color w:val="auto"/>
          <w:sz w:val="21"/>
          <w:szCs w:val="21"/>
        </w:rPr>
      </w:pPr>
      <w:r>
        <w:rPr>
          <w:rStyle w:val="58"/>
          <w:rFonts w:hint="eastAsia" w:ascii="宋体" w:hAnsi="宋体" w:cs="宋体"/>
          <w:color w:val="auto"/>
          <w:szCs w:val="21"/>
        </w:rPr>
        <w:t>三、获取招标文件</w:t>
      </w:r>
      <w:r>
        <w:rPr>
          <w:rFonts w:hint="eastAsia" w:cs="宋体"/>
          <w:color w:val="auto"/>
          <w:sz w:val="21"/>
          <w:szCs w:val="21"/>
        </w:rPr>
        <w:t> </w:t>
      </w:r>
    </w:p>
    <w:p w14:paraId="35933C25">
      <w:pPr>
        <w:pStyle w:val="49"/>
        <w:spacing w:before="75" w:beforeAutospacing="0" w:after="75" w:afterAutospacing="0" w:line="300" w:lineRule="atLeast"/>
        <w:rPr>
          <w:rFonts w:cs="宋体"/>
          <w:color w:val="auto"/>
          <w:sz w:val="21"/>
          <w:szCs w:val="21"/>
        </w:rPr>
      </w:pPr>
      <w:r>
        <w:rPr>
          <w:rFonts w:hint="eastAsia" w:cs="宋体"/>
          <w:color w:val="auto"/>
          <w:sz w:val="21"/>
          <w:szCs w:val="21"/>
        </w:rPr>
        <w:t>   时间：</w:t>
      </w:r>
      <w:r>
        <w:rPr>
          <w:rStyle w:val="196"/>
          <w:rFonts w:hint="eastAsia" w:cs="宋体"/>
          <w:color w:val="auto"/>
          <w:sz w:val="21"/>
          <w:szCs w:val="21"/>
        </w:rPr>
        <w:t>2026年xx月xx日</w:t>
      </w:r>
      <w:r>
        <w:rPr>
          <w:rFonts w:hint="eastAsia" w:cs="宋体"/>
          <w:color w:val="auto"/>
          <w:sz w:val="21"/>
          <w:szCs w:val="21"/>
          <w:highlight w:val="yellow"/>
        </w:rPr>
        <w:t>至</w:t>
      </w:r>
      <w:r>
        <w:rPr>
          <w:rStyle w:val="328"/>
          <w:rFonts w:hint="eastAsia" w:cs="宋体"/>
          <w:color w:val="auto"/>
          <w:sz w:val="21"/>
          <w:szCs w:val="21"/>
        </w:rPr>
        <w:t>2026年</w:t>
      </w:r>
      <w:r>
        <w:rPr>
          <w:rStyle w:val="196"/>
          <w:rFonts w:hint="eastAsia" w:cs="宋体"/>
          <w:color w:val="auto"/>
          <w:sz w:val="21"/>
          <w:szCs w:val="21"/>
        </w:rPr>
        <w:t>xx</w:t>
      </w:r>
      <w:r>
        <w:rPr>
          <w:rStyle w:val="328"/>
          <w:rFonts w:hint="eastAsia" w:cs="宋体"/>
          <w:color w:val="auto"/>
          <w:sz w:val="21"/>
          <w:szCs w:val="21"/>
        </w:rPr>
        <w:t>月</w:t>
      </w:r>
      <w:r>
        <w:rPr>
          <w:rStyle w:val="196"/>
          <w:rFonts w:hint="eastAsia" w:cs="宋体"/>
          <w:color w:val="auto"/>
          <w:sz w:val="21"/>
          <w:szCs w:val="21"/>
        </w:rPr>
        <w:t>xx</w:t>
      </w:r>
      <w:r>
        <w:rPr>
          <w:rStyle w:val="328"/>
          <w:rFonts w:hint="eastAsia" w:cs="宋体"/>
          <w:color w:val="auto"/>
          <w:sz w:val="21"/>
          <w:szCs w:val="21"/>
        </w:rPr>
        <w:t>日</w:t>
      </w:r>
      <w:r>
        <w:rPr>
          <w:rFonts w:hint="eastAsia" w:cs="宋体"/>
          <w:color w:val="auto"/>
          <w:sz w:val="21"/>
          <w:szCs w:val="21"/>
        </w:rPr>
        <w:t>，每天上午</w:t>
      </w:r>
      <w:r>
        <w:rPr>
          <w:rStyle w:val="219"/>
          <w:rFonts w:hint="eastAsia" w:ascii="宋体" w:hAnsi="宋体" w:cs="宋体"/>
          <w:color w:val="auto"/>
          <w:sz w:val="21"/>
          <w:szCs w:val="21"/>
        </w:rPr>
        <w:t>00:00至11:59</w:t>
      </w:r>
      <w:r>
        <w:rPr>
          <w:rFonts w:hint="eastAsia" w:cs="宋体"/>
          <w:color w:val="auto"/>
          <w:sz w:val="21"/>
          <w:szCs w:val="21"/>
        </w:rPr>
        <w:t> ，下午</w:t>
      </w:r>
      <w:r>
        <w:rPr>
          <w:rStyle w:val="140"/>
          <w:rFonts w:hint="eastAsia" w:ascii="宋体" w:hAnsi="宋体" w:cs="宋体"/>
          <w:color w:val="auto"/>
          <w:sz w:val="21"/>
          <w:szCs w:val="21"/>
        </w:rPr>
        <w:t>12:00至23:59</w:t>
      </w:r>
      <w:r>
        <w:rPr>
          <w:rFonts w:hint="eastAsia" w:cs="宋体"/>
          <w:color w:val="auto"/>
          <w:sz w:val="21"/>
          <w:szCs w:val="21"/>
        </w:rPr>
        <w:t>（北京时间，法定节假日除外）</w:t>
      </w:r>
    </w:p>
    <w:p w14:paraId="6D50BB8C">
      <w:pPr>
        <w:pStyle w:val="49"/>
        <w:spacing w:before="75" w:beforeAutospacing="0" w:after="75" w:afterAutospacing="0" w:line="300" w:lineRule="atLeast"/>
        <w:rPr>
          <w:rFonts w:cs="宋体"/>
          <w:color w:val="auto"/>
          <w:sz w:val="21"/>
          <w:szCs w:val="21"/>
        </w:rPr>
      </w:pPr>
      <w:r>
        <w:rPr>
          <w:rFonts w:hint="eastAsia" w:cs="宋体"/>
          <w:color w:val="auto"/>
          <w:sz w:val="21"/>
          <w:szCs w:val="21"/>
        </w:rPr>
        <w:t>  地点（网址）：</w:t>
      </w:r>
      <w:r>
        <w:rPr>
          <w:rStyle w:val="312"/>
          <w:rFonts w:hint="eastAsia" w:ascii="宋体" w:hAnsi="宋体" w:cs="宋体"/>
          <w:color w:val="auto"/>
          <w:sz w:val="21"/>
          <w:szCs w:val="21"/>
        </w:rPr>
        <w:t>广西政府采购云平台（网址：http://www.gcy.zfcg.gxzf.gov.cn）</w:t>
      </w:r>
      <w:r>
        <w:rPr>
          <w:rFonts w:hint="eastAsia" w:cs="宋体"/>
          <w:color w:val="auto"/>
          <w:sz w:val="21"/>
          <w:szCs w:val="21"/>
        </w:rPr>
        <w:t> </w:t>
      </w:r>
    </w:p>
    <w:p w14:paraId="6E8001B8">
      <w:pPr>
        <w:pStyle w:val="49"/>
        <w:spacing w:before="75" w:beforeAutospacing="0" w:after="75" w:afterAutospacing="0" w:line="300" w:lineRule="atLeast"/>
        <w:rPr>
          <w:rStyle w:val="310"/>
          <w:rFonts w:ascii="宋体" w:hAnsi="宋体" w:cs="宋体"/>
          <w:color w:val="auto"/>
          <w:sz w:val="21"/>
          <w:szCs w:val="21"/>
        </w:rPr>
      </w:pPr>
      <w:r>
        <w:rPr>
          <w:rFonts w:hint="eastAsia" w:cs="宋体"/>
          <w:color w:val="auto"/>
          <w:sz w:val="21"/>
          <w:szCs w:val="21"/>
        </w:rPr>
        <w:t>  方式：</w:t>
      </w:r>
      <w:r>
        <w:rPr>
          <w:rStyle w:val="310"/>
          <w:rFonts w:hint="eastAsia" w:ascii="宋体" w:hAnsi="宋体" w:cs="宋体"/>
          <w:color w:val="auto"/>
          <w:sz w:val="21"/>
          <w:szCs w:val="21"/>
        </w:rPr>
        <w:t>登录广西政府采购云平台（网址：http://www.gcy.zfcg.gxzf.gov.cn）进行报名并获取采购文件；未注册的供应商可在广西政府采购云平台完成注册后再行报名。如在操作过程中遇到问题或需技术支持，请致电广西政府采购云平台客服热线：95763。</w:t>
      </w:r>
    </w:p>
    <w:p w14:paraId="3647867F">
      <w:pPr>
        <w:pStyle w:val="49"/>
        <w:spacing w:before="75" w:beforeAutospacing="0" w:after="75" w:afterAutospacing="0" w:line="300" w:lineRule="atLeast"/>
        <w:rPr>
          <w:rFonts w:cs="宋体"/>
          <w:color w:val="auto"/>
          <w:sz w:val="21"/>
          <w:szCs w:val="21"/>
        </w:rPr>
      </w:pPr>
      <w:r>
        <w:rPr>
          <w:rStyle w:val="310"/>
          <w:rFonts w:hint="eastAsia" w:ascii="宋体" w:hAnsi="宋体" w:cs="宋体"/>
          <w:color w:val="auto"/>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color w:val="auto"/>
          <w:sz w:val="21"/>
          <w:szCs w:val="21"/>
        </w:rPr>
        <w:t> </w:t>
      </w:r>
    </w:p>
    <w:p w14:paraId="35CB4B44">
      <w:pPr>
        <w:pStyle w:val="49"/>
        <w:spacing w:before="75" w:beforeAutospacing="0" w:after="75" w:afterAutospacing="0" w:line="300" w:lineRule="atLeast"/>
        <w:rPr>
          <w:rFonts w:cs="宋体"/>
          <w:color w:val="auto"/>
          <w:sz w:val="21"/>
          <w:szCs w:val="21"/>
        </w:rPr>
      </w:pPr>
      <w:r>
        <w:rPr>
          <w:rFonts w:hint="eastAsia" w:cs="宋体"/>
          <w:color w:val="auto"/>
          <w:sz w:val="21"/>
          <w:szCs w:val="21"/>
        </w:rPr>
        <w:t>  售价（元）：</w:t>
      </w:r>
      <w:r>
        <w:rPr>
          <w:rStyle w:val="299"/>
          <w:rFonts w:hint="eastAsia" w:ascii="宋体" w:hAnsi="宋体" w:cs="宋体"/>
          <w:color w:val="auto"/>
          <w:sz w:val="21"/>
          <w:szCs w:val="21"/>
        </w:rPr>
        <w:t>0</w:t>
      </w:r>
      <w:r>
        <w:rPr>
          <w:rFonts w:hint="eastAsia" w:cs="宋体"/>
          <w:color w:val="auto"/>
          <w:sz w:val="21"/>
          <w:szCs w:val="21"/>
        </w:rPr>
        <w:t> </w:t>
      </w:r>
    </w:p>
    <w:p w14:paraId="579F0376">
      <w:pPr>
        <w:pStyle w:val="49"/>
        <w:spacing w:before="255" w:beforeAutospacing="0" w:after="255" w:afterAutospacing="0" w:line="300" w:lineRule="atLeast"/>
        <w:jc w:val="both"/>
        <w:rPr>
          <w:rFonts w:cs="宋体"/>
          <w:color w:val="auto"/>
          <w:sz w:val="21"/>
          <w:szCs w:val="21"/>
        </w:rPr>
      </w:pPr>
      <w:r>
        <w:rPr>
          <w:rStyle w:val="58"/>
          <w:rFonts w:hint="eastAsia" w:ascii="宋体" w:hAnsi="宋体" w:cs="宋体"/>
          <w:color w:val="auto"/>
          <w:szCs w:val="21"/>
        </w:rPr>
        <w:t>四、提交投标文件截止时间、开标时间和地点</w:t>
      </w:r>
    </w:p>
    <w:p w14:paraId="72B25E31">
      <w:pPr>
        <w:pStyle w:val="49"/>
        <w:spacing w:before="75" w:beforeAutospacing="0" w:after="75" w:afterAutospacing="0" w:line="300" w:lineRule="atLeast"/>
        <w:rPr>
          <w:rFonts w:cs="宋体"/>
          <w:color w:val="auto"/>
          <w:sz w:val="21"/>
          <w:szCs w:val="21"/>
        </w:rPr>
      </w:pPr>
      <w:r>
        <w:rPr>
          <w:rFonts w:hint="eastAsia" w:cs="宋体"/>
          <w:color w:val="auto"/>
          <w:sz w:val="21"/>
          <w:szCs w:val="21"/>
        </w:rPr>
        <w:t>   提交投标文件截止时间：</w:t>
      </w:r>
      <w:r>
        <w:rPr>
          <w:rStyle w:val="280"/>
          <w:rFonts w:hint="eastAsia" w:cs="宋体"/>
          <w:color w:val="auto"/>
          <w:sz w:val="21"/>
          <w:szCs w:val="21"/>
        </w:rPr>
        <w:t>2026年xx月xx日</w:t>
      </w:r>
      <w:r>
        <w:rPr>
          <w:rStyle w:val="280"/>
          <w:rFonts w:hint="eastAsia" w:ascii="宋体" w:hAnsi="宋体" w:cs="宋体"/>
          <w:color w:val="auto"/>
          <w:sz w:val="21"/>
          <w:szCs w:val="21"/>
        </w:rPr>
        <w:t>9:00</w:t>
      </w:r>
      <w:r>
        <w:rPr>
          <w:rFonts w:hint="eastAsia" w:cs="宋体"/>
          <w:color w:val="auto"/>
          <w:sz w:val="21"/>
          <w:szCs w:val="21"/>
        </w:rPr>
        <w:t>（北京时间）</w:t>
      </w:r>
    </w:p>
    <w:p w14:paraId="74BE8F5C">
      <w:pPr>
        <w:pStyle w:val="49"/>
        <w:spacing w:before="75" w:beforeAutospacing="0" w:after="75" w:afterAutospacing="0" w:line="300" w:lineRule="atLeast"/>
        <w:rPr>
          <w:rFonts w:cs="宋体"/>
          <w:color w:val="auto"/>
          <w:sz w:val="21"/>
          <w:szCs w:val="21"/>
        </w:rPr>
      </w:pPr>
      <w:r>
        <w:rPr>
          <w:rFonts w:hint="eastAsia" w:cs="宋体"/>
          <w:color w:val="auto"/>
          <w:sz w:val="21"/>
          <w:szCs w:val="21"/>
        </w:rPr>
        <w:t>   投标地点（网址）：</w:t>
      </w:r>
      <w:r>
        <w:rPr>
          <w:rStyle w:val="159"/>
          <w:rFonts w:hint="eastAsia" w:ascii="宋体" w:hAnsi="宋体" w:cs="宋体"/>
          <w:color w:val="auto"/>
          <w:sz w:val="21"/>
          <w:szCs w:val="21"/>
        </w:rPr>
        <w:t>http://www.gcy.zfcg.gxzf.gov.cn。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r>
        <w:rPr>
          <w:rFonts w:hint="eastAsia" w:cs="宋体"/>
          <w:color w:val="auto"/>
          <w:sz w:val="21"/>
          <w:szCs w:val="21"/>
        </w:rPr>
        <w:t> </w:t>
      </w:r>
    </w:p>
    <w:p w14:paraId="17FF4D91">
      <w:pPr>
        <w:pStyle w:val="49"/>
        <w:spacing w:before="75" w:beforeAutospacing="0" w:after="75" w:afterAutospacing="0" w:line="300" w:lineRule="atLeast"/>
        <w:rPr>
          <w:rFonts w:cs="宋体"/>
          <w:color w:val="auto"/>
          <w:sz w:val="21"/>
          <w:szCs w:val="21"/>
        </w:rPr>
      </w:pPr>
      <w:r>
        <w:rPr>
          <w:rFonts w:hint="eastAsia" w:cs="宋体"/>
          <w:color w:val="auto"/>
          <w:sz w:val="21"/>
          <w:szCs w:val="21"/>
        </w:rPr>
        <w:t>  开标时间：</w:t>
      </w:r>
      <w:r>
        <w:rPr>
          <w:rFonts w:hint="eastAsia" w:cs="宋体"/>
          <w:color w:val="auto"/>
          <w:sz w:val="21"/>
          <w:szCs w:val="21"/>
          <w:highlight w:val="yellow"/>
        </w:rPr>
        <w:t>2026年xx月xx日</w:t>
      </w:r>
      <w:r>
        <w:rPr>
          <w:rFonts w:hint="eastAsia" w:cs="宋体"/>
          <w:color w:val="auto"/>
          <w:sz w:val="21"/>
          <w:szCs w:val="21"/>
        </w:rPr>
        <w:t>9:00 </w:t>
      </w:r>
    </w:p>
    <w:p w14:paraId="61263E30">
      <w:pPr>
        <w:pStyle w:val="49"/>
        <w:spacing w:before="75" w:beforeAutospacing="0" w:after="75" w:afterAutospacing="0" w:line="300" w:lineRule="atLeast"/>
        <w:rPr>
          <w:rFonts w:cs="宋体"/>
          <w:color w:val="auto"/>
          <w:sz w:val="21"/>
          <w:szCs w:val="21"/>
        </w:rPr>
      </w:pPr>
      <w:r>
        <w:rPr>
          <w:rFonts w:hint="eastAsia" w:cs="宋体"/>
          <w:color w:val="auto"/>
          <w:sz w:val="21"/>
          <w:szCs w:val="21"/>
        </w:rPr>
        <w:t>  开标地点：崇左市公共资源交易中心</w:t>
      </w:r>
      <w:r>
        <w:rPr>
          <w:rFonts w:hint="eastAsia" w:cs="宋体"/>
          <w:color w:val="auto"/>
          <w:sz w:val="21"/>
          <w:szCs w:val="21"/>
          <w:highlight w:val="yellow"/>
        </w:rPr>
        <w:t>xx</w:t>
      </w:r>
      <w:r>
        <w:rPr>
          <w:rFonts w:hint="eastAsia" w:cs="宋体"/>
          <w:color w:val="auto"/>
          <w:sz w:val="21"/>
          <w:szCs w:val="21"/>
        </w:rPr>
        <w:t>号开标室通过广西政府采购云平台实行在线解密开启。</w:t>
      </w:r>
    </w:p>
    <w:p w14:paraId="6EDA5205">
      <w:pPr>
        <w:pStyle w:val="49"/>
        <w:spacing w:before="255" w:beforeAutospacing="0" w:after="255" w:afterAutospacing="0" w:line="300" w:lineRule="atLeast"/>
        <w:jc w:val="both"/>
        <w:rPr>
          <w:rFonts w:cs="宋体"/>
          <w:color w:val="auto"/>
          <w:sz w:val="21"/>
          <w:szCs w:val="21"/>
        </w:rPr>
      </w:pPr>
      <w:r>
        <w:rPr>
          <w:rStyle w:val="58"/>
          <w:rFonts w:hint="eastAsia" w:ascii="宋体" w:hAnsi="宋体" w:cs="宋体"/>
          <w:color w:val="auto"/>
          <w:szCs w:val="21"/>
        </w:rPr>
        <w:t>五、公告期限</w:t>
      </w:r>
      <w:r>
        <w:rPr>
          <w:rFonts w:hint="eastAsia" w:cs="宋体"/>
          <w:color w:val="auto"/>
          <w:sz w:val="21"/>
          <w:szCs w:val="21"/>
        </w:rPr>
        <w:t> </w:t>
      </w:r>
    </w:p>
    <w:p w14:paraId="139F02FC">
      <w:pPr>
        <w:pStyle w:val="49"/>
        <w:spacing w:before="75" w:beforeAutospacing="0" w:after="75" w:afterAutospacing="0"/>
        <w:rPr>
          <w:rFonts w:cs="宋体"/>
          <w:color w:val="auto"/>
          <w:sz w:val="21"/>
          <w:szCs w:val="21"/>
        </w:rPr>
      </w:pPr>
      <w:r>
        <w:rPr>
          <w:rFonts w:hint="eastAsia" w:cs="宋体"/>
          <w:color w:val="auto"/>
          <w:sz w:val="21"/>
          <w:szCs w:val="21"/>
        </w:rPr>
        <w:t>  自本公告发布之日起5个工作日。</w:t>
      </w:r>
    </w:p>
    <w:p w14:paraId="2396B79F">
      <w:pPr>
        <w:pStyle w:val="49"/>
        <w:spacing w:before="255" w:beforeAutospacing="0" w:after="255" w:afterAutospacing="0" w:line="300" w:lineRule="atLeast"/>
        <w:jc w:val="both"/>
        <w:rPr>
          <w:rFonts w:cs="宋体"/>
          <w:color w:val="auto"/>
          <w:sz w:val="21"/>
          <w:szCs w:val="21"/>
        </w:rPr>
      </w:pPr>
      <w:r>
        <w:rPr>
          <w:rStyle w:val="58"/>
          <w:rFonts w:hint="eastAsia" w:ascii="宋体" w:hAnsi="宋体" w:cs="宋体"/>
          <w:color w:val="auto"/>
          <w:szCs w:val="21"/>
        </w:rPr>
        <w:t>六、其他补充事宜</w:t>
      </w:r>
    </w:p>
    <w:p w14:paraId="24640A9A">
      <w:pPr>
        <w:pStyle w:val="49"/>
        <w:spacing w:before="75" w:beforeAutospacing="0" w:after="75" w:afterAutospacing="0" w:line="315" w:lineRule="atLeast"/>
        <w:ind w:firstLine="420" w:firstLineChars="200"/>
        <w:rPr>
          <w:rStyle w:val="308"/>
          <w:rFonts w:ascii="宋体" w:hAnsi="宋体" w:cs="宋体"/>
          <w:color w:val="auto"/>
          <w:sz w:val="21"/>
          <w:szCs w:val="21"/>
        </w:rPr>
      </w:pPr>
      <w:r>
        <w:rPr>
          <w:rStyle w:val="308"/>
          <w:rFonts w:hint="eastAsia" w:ascii="宋体" w:hAnsi="宋体" w:cs="宋体"/>
          <w:color w:val="auto"/>
          <w:sz w:val="21"/>
          <w:szCs w:val="21"/>
        </w:rPr>
        <w:t>1.投标保证金（人民币）：本项目不收取投标保证金。</w:t>
      </w:r>
    </w:p>
    <w:p w14:paraId="0E2DEC5F">
      <w:pPr>
        <w:widowControl/>
        <w:spacing w:before="50" w:after="50" w:line="300" w:lineRule="exact"/>
        <w:ind w:firstLine="420" w:firstLineChars="200"/>
        <w:jc w:val="left"/>
        <w:rPr>
          <w:rStyle w:val="308"/>
          <w:rFonts w:ascii="宋体" w:hAnsi="宋体" w:cs="宋体"/>
          <w:color w:val="auto"/>
          <w:szCs w:val="21"/>
        </w:rPr>
      </w:pPr>
      <w:r>
        <w:rPr>
          <w:rStyle w:val="308"/>
          <w:rFonts w:hint="eastAsia" w:ascii="宋体" w:hAnsi="宋体" w:cs="宋体"/>
          <w:color w:val="auto"/>
          <w:szCs w:val="21"/>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5ABAF469">
      <w:pPr>
        <w:widowControl/>
        <w:spacing w:before="50" w:after="50" w:line="300" w:lineRule="exact"/>
        <w:ind w:firstLine="420" w:firstLineChars="200"/>
        <w:jc w:val="left"/>
        <w:rPr>
          <w:rStyle w:val="308"/>
          <w:rFonts w:ascii="宋体" w:hAnsi="宋体" w:cs="宋体"/>
          <w:color w:val="auto"/>
          <w:szCs w:val="21"/>
        </w:rPr>
      </w:pPr>
      <w:r>
        <w:rPr>
          <w:rStyle w:val="308"/>
          <w:rFonts w:hint="eastAsia" w:ascii="宋体" w:hAnsi="宋体" w:cs="宋体"/>
          <w:color w:val="auto"/>
          <w:szCs w:val="21"/>
        </w:rPr>
        <w:t>3.网上公告媒体查询：中国政府采购网（www.ccgp.gov.cn）、广西壮族自治区政府采购网（zfcg.gxzf.gov.cn）、</w:t>
      </w:r>
      <w:r>
        <w:rPr>
          <w:rFonts w:hint="eastAsia" w:ascii="宋体" w:hAnsi="宋体" w:cs="宋体"/>
          <w:color w:val="auto"/>
          <w:kern w:val="0"/>
          <w:szCs w:val="21"/>
        </w:rPr>
        <w:t>全国公共资源交易平台（广西。崇左）(http://ggzy.jgswj.gxzf.gov.cn/czggzy)</w:t>
      </w:r>
      <w:r>
        <w:rPr>
          <w:rStyle w:val="308"/>
          <w:rFonts w:hint="eastAsia" w:ascii="宋体" w:hAnsi="宋体" w:cs="宋体"/>
          <w:color w:val="auto"/>
          <w:szCs w:val="21"/>
        </w:rPr>
        <w:t>。</w:t>
      </w:r>
    </w:p>
    <w:p w14:paraId="340B41C8">
      <w:pPr>
        <w:widowControl/>
        <w:spacing w:before="50" w:after="50" w:line="300" w:lineRule="exact"/>
        <w:ind w:firstLine="420" w:firstLineChars="200"/>
        <w:jc w:val="left"/>
        <w:rPr>
          <w:rStyle w:val="308"/>
          <w:rFonts w:ascii="宋体" w:hAnsi="宋体" w:cs="宋体"/>
          <w:color w:val="auto"/>
          <w:szCs w:val="21"/>
        </w:rPr>
      </w:pPr>
      <w:r>
        <w:rPr>
          <w:rStyle w:val="308"/>
          <w:rFonts w:hint="eastAsia" w:ascii="宋体" w:hAnsi="宋体" w:cs="宋体"/>
          <w:color w:val="auto"/>
          <w:szCs w:val="21"/>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2790F73">
      <w:pPr>
        <w:ind w:firstLine="420" w:firstLineChars="200"/>
        <w:rPr>
          <w:rStyle w:val="308"/>
          <w:rFonts w:ascii="宋体" w:hAnsi="宋体" w:cs="宋体"/>
          <w:color w:val="auto"/>
          <w:szCs w:val="21"/>
        </w:rPr>
      </w:pPr>
      <w:r>
        <w:rPr>
          <w:rStyle w:val="308"/>
          <w:rFonts w:hint="eastAsia" w:ascii="宋体" w:hAnsi="宋体" w:cs="宋体"/>
          <w:color w:val="auto"/>
          <w:szCs w:val="21"/>
        </w:rPr>
        <w:t>5.对在“信用中国”网站（www.creditchina.gov.cn）、中国政府采购网（www.ccgp.gov.cn）等渠道列入失信被执行人、重大税收违法失信主体、政府采购严重违法失信行为记录名单的供应商，不得参与政府采购活动。</w:t>
      </w:r>
    </w:p>
    <w:p w14:paraId="34948D72">
      <w:pPr>
        <w:widowControl/>
        <w:spacing w:before="50" w:after="50" w:line="300" w:lineRule="exact"/>
        <w:ind w:firstLine="420" w:firstLineChars="200"/>
        <w:jc w:val="left"/>
        <w:rPr>
          <w:rStyle w:val="308"/>
          <w:rFonts w:ascii="宋体" w:hAnsi="宋体" w:cs="宋体"/>
          <w:color w:val="auto"/>
          <w:szCs w:val="21"/>
        </w:rPr>
      </w:pPr>
      <w:r>
        <w:rPr>
          <w:rStyle w:val="308"/>
          <w:rFonts w:hint="eastAsia" w:ascii="宋体" w:hAnsi="宋体" w:cs="宋体"/>
          <w:color w:val="auto"/>
          <w:szCs w:val="21"/>
        </w:rPr>
        <w:t>6.其他注意事项：</w:t>
      </w:r>
    </w:p>
    <w:p w14:paraId="435EF430">
      <w:pPr>
        <w:widowControl/>
        <w:spacing w:before="50" w:after="50" w:line="300" w:lineRule="exact"/>
        <w:ind w:firstLine="420" w:firstLineChars="200"/>
        <w:jc w:val="left"/>
        <w:rPr>
          <w:rStyle w:val="308"/>
          <w:rFonts w:ascii="宋体" w:hAnsi="宋体" w:cs="宋体"/>
          <w:color w:val="auto"/>
          <w:szCs w:val="21"/>
        </w:rPr>
      </w:pPr>
      <w:r>
        <w:rPr>
          <w:rFonts w:hint="eastAsia" w:ascii="宋体" w:hAnsi="宋体" w:cs="宋体"/>
          <w:color w:val="auto"/>
          <w:szCs w:val="21"/>
        </w:rPr>
        <w:t>（1）</w:t>
      </w:r>
      <w:r>
        <w:rPr>
          <w:rStyle w:val="308"/>
          <w:rFonts w:hint="eastAsia" w:ascii="宋体" w:hAnsi="宋体" w:cs="宋体"/>
          <w:color w:val="auto"/>
          <w:szCs w:val="21"/>
        </w:rPr>
        <w:t>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14:paraId="6BBE9CD0">
      <w:pPr>
        <w:widowControl/>
        <w:spacing w:before="50" w:after="50" w:line="300" w:lineRule="exact"/>
        <w:ind w:firstLine="420" w:firstLineChars="200"/>
        <w:jc w:val="left"/>
        <w:rPr>
          <w:rStyle w:val="308"/>
          <w:rFonts w:ascii="宋体" w:hAnsi="宋体" w:cs="宋体"/>
          <w:color w:val="auto"/>
          <w:szCs w:val="21"/>
        </w:rPr>
      </w:pPr>
      <w:r>
        <w:rPr>
          <w:rStyle w:val="308"/>
          <w:rFonts w:hint="eastAsia" w:ascii="宋体" w:hAnsi="宋体" w:cs="宋体"/>
          <w:color w:val="auto"/>
          <w:szCs w:val="21"/>
        </w:rPr>
        <w:t>（2）供应商应及时熟悉掌握电子标系统操作指南（见广西政府采购云平台首页右上角—服务中心—帮助文档—项目采购）：https://helpcenter.zcygov.cn/document/#/document/dashboard?siteCode=gx。</w:t>
      </w:r>
    </w:p>
    <w:p w14:paraId="05C15979">
      <w:pPr>
        <w:widowControl/>
        <w:spacing w:before="50" w:after="50" w:line="300" w:lineRule="exact"/>
        <w:ind w:firstLine="420" w:firstLineChars="200"/>
        <w:jc w:val="left"/>
        <w:rPr>
          <w:rStyle w:val="308"/>
          <w:rFonts w:ascii="宋体" w:hAnsi="宋体" w:cs="宋体"/>
          <w:color w:val="auto"/>
          <w:szCs w:val="21"/>
        </w:rPr>
      </w:pPr>
      <w:r>
        <w:rPr>
          <w:rStyle w:val="308"/>
          <w:rFonts w:hint="eastAsia" w:ascii="宋体" w:hAnsi="宋体" w:cs="宋体"/>
          <w:color w:val="auto"/>
          <w:szCs w:val="21"/>
        </w:rPr>
        <w:t>（3）供应商应及时完成CA证书申领和绑定（见广西壮族自治区政府采购网—办事服务—下载专区—广西政府采购云平台CA证书办理操作指南）</w:t>
      </w:r>
    </w:p>
    <w:p w14:paraId="5C91F12C">
      <w:pPr>
        <w:widowControl/>
        <w:spacing w:before="50" w:after="50" w:line="300" w:lineRule="exact"/>
        <w:ind w:firstLine="420" w:firstLineChars="200"/>
        <w:jc w:val="left"/>
        <w:rPr>
          <w:rStyle w:val="308"/>
          <w:rFonts w:ascii="宋体" w:hAnsi="宋体" w:cs="宋体"/>
          <w:color w:val="auto"/>
          <w:szCs w:val="21"/>
        </w:rPr>
      </w:pPr>
      <w:r>
        <w:rPr>
          <w:rStyle w:val="308"/>
          <w:rFonts w:hint="eastAsia" w:ascii="宋体" w:hAnsi="宋体" w:cs="宋体"/>
          <w:color w:val="auto"/>
          <w:szCs w:val="21"/>
        </w:rPr>
        <w:t>（4）供应商通过广西政府采购云平台新版客户端软件制作投标文件，广西政府采购云平台新版客户端软件请供应商自行前往下载并安装（见广西壮族自治区政府采购网—办事服务—下载专区）。</w:t>
      </w:r>
    </w:p>
    <w:p w14:paraId="1E704C9F">
      <w:pPr>
        <w:widowControl/>
        <w:spacing w:before="50" w:after="50" w:line="300" w:lineRule="exact"/>
        <w:ind w:firstLine="420" w:firstLineChars="200"/>
        <w:jc w:val="left"/>
        <w:rPr>
          <w:rStyle w:val="308"/>
          <w:rFonts w:ascii="宋体" w:hAnsi="宋体" w:cs="宋体"/>
          <w:color w:val="auto"/>
          <w:szCs w:val="21"/>
        </w:rPr>
      </w:pPr>
      <w:r>
        <w:rPr>
          <w:rStyle w:val="308"/>
          <w:rFonts w:hint="eastAsia" w:ascii="宋体" w:hAnsi="宋体" w:cs="宋体"/>
          <w:color w:val="auto"/>
          <w:szCs w:val="21"/>
        </w:rPr>
        <w:t>（5）因未注册入库、未办理CA证书、CA证书故障、操作不当、CA证书逾期等原因造成无法投标或投标失败等后果由供应商自行承担。</w:t>
      </w:r>
    </w:p>
    <w:p w14:paraId="18AC19CD">
      <w:pPr>
        <w:widowControl/>
        <w:spacing w:before="50" w:after="50" w:line="300" w:lineRule="exact"/>
        <w:ind w:firstLine="420" w:firstLineChars="200"/>
        <w:jc w:val="left"/>
        <w:rPr>
          <w:rFonts w:ascii="宋体" w:hAnsi="宋体" w:cs="宋体"/>
          <w:color w:val="auto"/>
          <w:szCs w:val="21"/>
        </w:rPr>
      </w:pPr>
      <w:r>
        <w:rPr>
          <w:rStyle w:val="308"/>
          <w:rFonts w:hint="eastAsia" w:ascii="宋体" w:hAnsi="宋体" w:cs="宋体"/>
          <w:color w:val="auto"/>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ascii="宋体" w:hAnsi="宋体" w:cs="宋体"/>
          <w:color w:val="auto"/>
          <w:szCs w:val="21"/>
        </w:rPr>
        <w:t> </w:t>
      </w:r>
    </w:p>
    <w:p w14:paraId="19D1F7CF">
      <w:pPr>
        <w:widowControl/>
        <w:spacing w:before="50" w:after="50" w:line="300" w:lineRule="exact"/>
        <w:ind w:firstLine="420" w:firstLineChars="200"/>
        <w:jc w:val="left"/>
        <w:rPr>
          <w:rFonts w:ascii="宋体" w:hAnsi="宋体" w:cs="宋体"/>
          <w:color w:val="auto"/>
          <w:szCs w:val="21"/>
        </w:rPr>
      </w:pPr>
      <w:r>
        <w:rPr>
          <w:rFonts w:hint="eastAsia" w:ascii="宋体" w:hAnsi="宋体" w:cs="宋体"/>
          <w:color w:val="auto"/>
          <w:szCs w:val="21"/>
        </w:rPr>
        <w:t>7.</w:t>
      </w:r>
      <w:bookmarkStart w:id="0" w:name="auto_fouce_2"/>
      <w:r>
        <w:rPr>
          <w:rFonts w:hint="eastAsia" w:ascii="宋体" w:hAnsi="宋体" w:cs="宋体"/>
          <w:color w:val="auto"/>
          <w:szCs w:val="21"/>
        </w:rPr>
        <w:t>本项目采用远程异地评标，主会场地址：崇左市公共资源交易中心（崇左市江州区石景林东路5号政务服务中心综合楼五楼），副会场地址：</w:t>
      </w:r>
      <w:r>
        <w:rPr>
          <w:rFonts w:hint="eastAsia"/>
          <w:color w:val="auto"/>
          <w:spacing w:val="3"/>
          <w:highlight w:val="yellow"/>
        </w:rPr>
        <w:t>xx市公共资源交易中心（xxx）</w:t>
      </w:r>
      <w:r>
        <w:rPr>
          <w:rFonts w:hint="eastAsia" w:ascii="宋体" w:hAnsi="宋体" w:cs="宋体"/>
          <w:color w:val="auto"/>
          <w:szCs w:val="21"/>
        </w:rPr>
        <w:t>。</w:t>
      </w:r>
      <w:bookmarkEnd w:id="0"/>
      <w:r>
        <w:rPr>
          <w:rFonts w:hint="eastAsia" w:ascii="宋体" w:hAnsi="宋体" w:cs="宋体"/>
          <w:color w:val="auto"/>
          <w:szCs w:val="21"/>
        </w:rPr>
        <w:t> </w:t>
      </w:r>
    </w:p>
    <w:p w14:paraId="49D404B5">
      <w:pPr>
        <w:pStyle w:val="49"/>
        <w:spacing w:before="255" w:beforeAutospacing="0" w:after="255" w:afterAutospacing="0" w:line="480" w:lineRule="atLeast"/>
        <w:jc w:val="both"/>
        <w:rPr>
          <w:rFonts w:cs="宋体"/>
          <w:color w:val="auto"/>
          <w:sz w:val="21"/>
          <w:szCs w:val="21"/>
        </w:rPr>
      </w:pPr>
      <w:r>
        <w:rPr>
          <w:rStyle w:val="58"/>
          <w:rFonts w:hint="eastAsia" w:ascii="宋体" w:hAnsi="宋体" w:cs="宋体"/>
          <w:color w:val="auto"/>
          <w:szCs w:val="21"/>
        </w:rPr>
        <w:t>七、对本次采购提出询问，请按以下方式联系</w:t>
      </w:r>
    </w:p>
    <w:p w14:paraId="2EDCBFE9">
      <w:pPr>
        <w:pStyle w:val="49"/>
        <w:spacing w:before="75" w:beforeAutospacing="0" w:after="75" w:afterAutospacing="0" w:line="300" w:lineRule="atLeast"/>
        <w:rPr>
          <w:rFonts w:cs="宋体"/>
          <w:color w:val="auto"/>
          <w:sz w:val="21"/>
          <w:szCs w:val="21"/>
        </w:rPr>
      </w:pPr>
      <w:r>
        <w:rPr>
          <w:rFonts w:hint="eastAsia" w:cs="宋体"/>
          <w:color w:val="auto"/>
          <w:sz w:val="21"/>
          <w:szCs w:val="21"/>
        </w:rPr>
        <w:t>  1.采购人信息</w:t>
      </w:r>
    </w:p>
    <w:p w14:paraId="6B15CEE6">
      <w:pPr>
        <w:pStyle w:val="49"/>
        <w:spacing w:before="75" w:beforeAutospacing="0" w:after="75" w:afterAutospacing="0" w:line="300" w:lineRule="atLeast"/>
        <w:rPr>
          <w:rFonts w:cs="宋体"/>
          <w:color w:val="auto"/>
          <w:sz w:val="21"/>
          <w:szCs w:val="21"/>
        </w:rPr>
      </w:pPr>
      <w:r>
        <w:rPr>
          <w:rFonts w:hint="eastAsia" w:cs="宋体"/>
          <w:color w:val="auto"/>
          <w:sz w:val="21"/>
          <w:szCs w:val="21"/>
        </w:rPr>
        <w:t>  名   称：崇左市人民医院 </w:t>
      </w:r>
    </w:p>
    <w:p w14:paraId="6306B213">
      <w:pPr>
        <w:pStyle w:val="49"/>
        <w:spacing w:before="75" w:beforeAutospacing="0" w:after="75" w:afterAutospacing="0" w:line="300" w:lineRule="atLeast"/>
        <w:rPr>
          <w:rFonts w:cs="宋体"/>
          <w:color w:val="auto"/>
          <w:sz w:val="21"/>
          <w:szCs w:val="21"/>
        </w:rPr>
      </w:pPr>
      <w:r>
        <w:rPr>
          <w:rFonts w:hint="eastAsia" w:cs="宋体"/>
          <w:color w:val="auto"/>
          <w:sz w:val="21"/>
          <w:szCs w:val="21"/>
        </w:rPr>
        <w:t>  地   址：崇左市龙峡山东路6号</w:t>
      </w:r>
    </w:p>
    <w:p w14:paraId="5438701E">
      <w:pPr>
        <w:pStyle w:val="49"/>
        <w:spacing w:before="75" w:beforeAutospacing="0" w:after="75" w:afterAutospacing="0" w:line="300" w:lineRule="atLeast"/>
        <w:rPr>
          <w:rFonts w:cs="宋体"/>
          <w:color w:val="auto"/>
          <w:sz w:val="21"/>
          <w:szCs w:val="21"/>
        </w:rPr>
      </w:pPr>
      <w:r>
        <w:rPr>
          <w:rFonts w:hint="eastAsia" w:cs="宋体"/>
          <w:color w:val="auto"/>
          <w:sz w:val="21"/>
          <w:szCs w:val="21"/>
        </w:rPr>
        <w:t>  项目联系人：农欧霞  </w:t>
      </w:r>
    </w:p>
    <w:p w14:paraId="6854B397">
      <w:pPr>
        <w:pStyle w:val="49"/>
        <w:spacing w:before="75" w:beforeAutospacing="0" w:after="75" w:afterAutospacing="0" w:line="300" w:lineRule="atLeast"/>
        <w:rPr>
          <w:rFonts w:cs="宋体"/>
          <w:color w:val="auto"/>
          <w:sz w:val="21"/>
          <w:szCs w:val="21"/>
        </w:rPr>
      </w:pPr>
      <w:r>
        <w:rPr>
          <w:rFonts w:hint="eastAsia" w:cs="宋体"/>
          <w:color w:val="auto"/>
          <w:sz w:val="21"/>
          <w:szCs w:val="21"/>
        </w:rPr>
        <w:t>  项目联系方式：0771-7993193</w:t>
      </w:r>
    </w:p>
    <w:p w14:paraId="49895507">
      <w:pPr>
        <w:pStyle w:val="49"/>
        <w:spacing w:before="75" w:beforeAutospacing="0" w:after="75" w:afterAutospacing="0" w:line="300" w:lineRule="atLeast"/>
        <w:rPr>
          <w:rFonts w:cs="宋体"/>
          <w:color w:val="auto"/>
          <w:sz w:val="21"/>
          <w:szCs w:val="21"/>
        </w:rPr>
      </w:pPr>
      <w:r>
        <w:rPr>
          <w:rFonts w:hint="eastAsia" w:cs="宋体"/>
          <w:color w:val="auto"/>
          <w:sz w:val="21"/>
          <w:szCs w:val="21"/>
        </w:rPr>
        <w:t>  </w:t>
      </w:r>
    </w:p>
    <w:p w14:paraId="5750C34C">
      <w:pPr>
        <w:pStyle w:val="49"/>
        <w:spacing w:before="75" w:beforeAutospacing="0" w:after="75" w:afterAutospacing="0" w:line="300" w:lineRule="atLeast"/>
        <w:rPr>
          <w:rFonts w:cs="宋体"/>
          <w:color w:val="auto"/>
          <w:sz w:val="21"/>
          <w:szCs w:val="21"/>
        </w:rPr>
      </w:pPr>
      <w:r>
        <w:rPr>
          <w:rFonts w:hint="eastAsia" w:cs="宋体"/>
          <w:color w:val="auto"/>
          <w:sz w:val="21"/>
          <w:szCs w:val="21"/>
        </w:rPr>
        <w:t>  2.采购代理机构信息       </w:t>
      </w:r>
    </w:p>
    <w:p w14:paraId="049DE96E">
      <w:pPr>
        <w:pStyle w:val="49"/>
        <w:spacing w:before="75" w:beforeAutospacing="0" w:after="75" w:afterAutospacing="0" w:line="300" w:lineRule="atLeast"/>
        <w:rPr>
          <w:rFonts w:cs="宋体"/>
          <w:color w:val="auto"/>
          <w:sz w:val="21"/>
          <w:szCs w:val="21"/>
        </w:rPr>
      </w:pPr>
      <w:r>
        <w:rPr>
          <w:rFonts w:hint="eastAsia" w:cs="宋体"/>
          <w:color w:val="auto"/>
          <w:sz w:val="21"/>
          <w:szCs w:val="21"/>
        </w:rPr>
        <w:t>  名   称：</w:t>
      </w:r>
      <w:r>
        <w:rPr>
          <w:rStyle w:val="183"/>
          <w:rFonts w:hint="eastAsia" w:ascii="宋体" w:hAnsi="宋体" w:cs="宋体"/>
          <w:color w:val="auto"/>
          <w:sz w:val="21"/>
          <w:szCs w:val="21"/>
        </w:rPr>
        <w:t>崇左市政府集中采购中心</w:t>
      </w:r>
      <w:r>
        <w:rPr>
          <w:rFonts w:hint="eastAsia" w:cs="宋体"/>
          <w:color w:val="auto"/>
          <w:sz w:val="21"/>
          <w:szCs w:val="21"/>
        </w:rPr>
        <w:t>        </w:t>
      </w:r>
    </w:p>
    <w:p w14:paraId="65D49706">
      <w:pPr>
        <w:pStyle w:val="49"/>
        <w:spacing w:before="75" w:beforeAutospacing="0" w:after="75" w:afterAutospacing="0" w:line="300" w:lineRule="atLeast"/>
        <w:rPr>
          <w:rFonts w:cs="宋体"/>
          <w:color w:val="auto"/>
          <w:sz w:val="21"/>
          <w:szCs w:val="21"/>
        </w:rPr>
      </w:pPr>
      <w:r>
        <w:rPr>
          <w:rFonts w:hint="eastAsia" w:cs="宋体"/>
          <w:color w:val="auto"/>
          <w:sz w:val="21"/>
          <w:szCs w:val="21"/>
        </w:rPr>
        <w:t>  地   址：崇左市江州区石景林东路5号（崇左市政务服务中心综合楼）        </w:t>
      </w:r>
    </w:p>
    <w:p w14:paraId="6421B069">
      <w:pPr>
        <w:pStyle w:val="49"/>
        <w:spacing w:before="75" w:beforeAutospacing="0" w:after="75" w:afterAutospacing="0" w:line="300" w:lineRule="atLeast"/>
        <w:rPr>
          <w:rFonts w:cs="宋体"/>
          <w:color w:val="auto"/>
          <w:sz w:val="21"/>
          <w:szCs w:val="21"/>
        </w:rPr>
      </w:pPr>
      <w:r>
        <w:rPr>
          <w:rFonts w:hint="eastAsia" w:cs="宋体"/>
          <w:color w:val="auto"/>
          <w:sz w:val="21"/>
          <w:szCs w:val="21"/>
        </w:rPr>
        <w:t>  项目联系人：黄何斌        </w:t>
      </w:r>
    </w:p>
    <w:p w14:paraId="6EB7BA34">
      <w:pPr>
        <w:pStyle w:val="49"/>
        <w:spacing w:before="75" w:beforeAutospacing="0" w:after="75" w:afterAutospacing="0" w:line="300" w:lineRule="atLeast"/>
        <w:rPr>
          <w:rStyle w:val="136"/>
          <w:rFonts w:ascii="宋体" w:hAnsi="宋体" w:cs="宋体"/>
          <w:color w:val="auto"/>
          <w:sz w:val="21"/>
          <w:szCs w:val="21"/>
        </w:rPr>
      </w:pPr>
      <w:r>
        <w:rPr>
          <w:rFonts w:hint="eastAsia" w:cs="宋体"/>
          <w:color w:val="auto"/>
          <w:sz w:val="21"/>
          <w:szCs w:val="21"/>
        </w:rPr>
        <w:t>  项目联系方式：0771-7920270</w:t>
      </w:r>
    </w:p>
    <w:p w14:paraId="5B7586A2">
      <w:pPr>
        <w:tabs>
          <w:tab w:val="left" w:pos="4529"/>
        </w:tabs>
        <w:spacing w:line="360" w:lineRule="auto"/>
        <w:ind w:firstLine="420" w:firstLineChars="200"/>
        <w:jc w:val="left"/>
        <w:outlineLvl w:val="2"/>
        <w:rPr>
          <w:rFonts w:ascii="宋体" w:hAnsi="宋体" w:cs="宋体"/>
          <w:color w:val="auto"/>
        </w:rPr>
      </w:pPr>
    </w:p>
    <w:p w14:paraId="33D8D895">
      <w:pPr>
        <w:tabs>
          <w:tab w:val="left" w:pos="4529"/>
        </w:tabs>
        <w:spacing w:line="360" w:lineRule="auto"/>
        <w:ind w:firstLine="420" w:firstLineChars="200"/>
        <w:jc w:val="left"/>
        <w:outlineLvl w:val="2"/>
        <w:rPr>
          <w:rFonts w:ascii="宋体" w:hAnsi="宋体" w:cs="宋体"/>
          <w:color w:val="auto"/>
        </w:rPr>
      </w:pPr>
      <w:r>
        <w:rPr>
          <w:rFonts w:hint="eastAsia" w:ascii="宋体" w:hAnsi="宋体" w:cs="宋体"/>
          <w:color w:val="auto"/>
          <w:kern w:val="0"/>
          <w:szCs w:val="21"/>
        </w:rPr>
        <w:t>3.</w:t>
      </w:r>
      <w:r>
        <w:rPr>
          <w:rFonts w:hint="eastAsia" w:ascii="宋体" w:hAnsi="宋体" w:cs="宋体"/>
          <w:color w:val="auto"/>
        </w:rPr>
        <w:t>监督管理部门信息</w:t>
      </w:r>
    </w:p>
    <w:p w14:paraId="54D4AAA5">
      <w:pPr>
        <w:tabs>
          <w:tab w:val="left" w:pos="4529"/>
        </w:tabs>
        <w:spacing w:line="360" w:lineRule="auto"/>
        <w:ind w:firstLine="420" w:firstLineChars="200"/>
        <w:jc w:val="left"/>
        <w:outlineLvl w:val="2"/>
        <w:rPr>
          <w:rFonts w:ascii="宋体" w:hAnsi="宋体" w:cs="宋体"/>
          <w:color w:val="auto"/>
        </w:rPr>
      </w:pPr>
      <w:r>
        <w:rPr>
          <w:rFonts w:hint="eastAsia" w:ascii="宋体" w:hAnsi="宋体" w:cs="宋体"/>
          <w:color w:val="auto"/>
        </w:rPr>
        <w:t>名   称：崇左市财政局政府采购监督管理科        </w:t>
      </w:r>
    </w:p>
    <w:p w14:paraId="50185AB8">
      <w:pPr>
        <w:tabs>
          <w:tab w:val="left" w:pos="4529"/>
        </w:tabs>
        <w:spacing w:line="360" w:lineRule="auto"/>
        <w:ind w:firstLine="420" w:firstLineChars="200"/>
        <w:jc w:val="left"/>
        <w:outlineLvl w:val="2"/>
        <w:rPr>
          <w:rFonts w:ascii="宋体" w:hAnsi="宋体" w:cs="宋体"/>
          <w:color w:val="auto"/>
        </w:rPr>
      </w:pPr>
      <w:r>
        <w:rPr>
          <w:rFonts w:hint="eastAsia" w:ascii="宋体" w:hAnsi="宋体" w:cs="宋体"/>
          <w:color w:val="auto"/>
        </w:rPr>
        <w:t>地   址：崇左市江州区友谊大道中段</w:t>
      </w:r>
    </w:p>
    <w:p w14:paraId="121A6F6F">
      <w:pPr>
        <w:tabs>
          <w:tab w:val="left" w:pos="4529"/>
        </w:tabs>
        <w:spacing w:line="360" w:lineRule="auto"/>
        <w:ind w:firstLine="420" w:firstLineChars="200"/>
        <w:jc w:val="left"/>
        <w:outlineLvl w:val="2"/>
        <w:rPr>
          <w:rFonts w:ascii="宋体" w:hAnsi="宋体" w:cs="宋体"/>
          <w:color w:val="auto"/>
        </w:rPr>
      </w:pPr>
      <w:r>
        <w:rPr>
          <w:rFonts w:hint="eastAsia" w:ascii="宋体" w:hAnsi="宋体" w:cs="宋体"/>
          <w:color w:val="auto"/>
        </w:rPr>
        <w:t>联系方式：0771-5962613</w:t>
      </w:r>
    </w:p>
    <w:p w14:paraId="202EA594">
      <w:pPr>
        <w:tabs>
          <w:tab w:val="left" w:pos="4529"/>
        </w:tabs>
        <w:ind w:firstLine="420" w:firstLineChars="200"/>
        <w:jc w:val="left"/>
        <w:rPr>
          <w:rFonts w:ascii="宋体" w:hAnsi="宋体" w:cs="宋体"/>
          <w:color w:val="auto"/>
        </w:rPr>
      </w:pPr>
      <w:r>
        <w:rPr>
          <w:rFonts w:hint="eastAsia" w:ascii="宋体" w:hAnsi="宋体" w:cs="宋体"/>
          <w:color w:val="auto"/>
          <w:szCs w:val="21"/>
        </w:rPr>
        <w:t> </w:t>
      </w:r>
    </w:p>
    <w:p w14:paraId="305C58E2">
      <w:pPr>
        <w:pStyle w:val="49"/>
        <w:spacing w:before="75" w:beforeAutospacing="0" w:after="75" w:afterAutospacing="0" w:line="300" w:lineRule="atLeast"/>
        <w:rPr>
          <w:rStyle w:val="136"/>
          <w:rFonts w:ascii="宋体" w:hAnsi="宋体" w:cs="宋体"/>
          <w:color w:val="auto"/>
          <w:sz w:val="21"/>
          <w:szCs w:val="21"/>
        </w:rPr>
      </w:pPr>
    </w:p>
    <w:p w14:paraId="477041F8">
      <w:pPr>
        <w:pStyle w:val="49"/>
        <w:spacing w:before="75" w:beforeAutospacing="0" w:after="75" w:afterAutospacing="0" w:line="300" w:lineRule="atLeast"/>
        <w:rPr>
          <w:rStyle w:val="136"/>
          <w:rFonts w:ascii="宋体" w:hAnsi="宋体" w:cs="宋体"/>
          <w:color w:val="auto"/>
          <w:sz w:val="21"/>
          <w:szCs w:val="21"/>
        </w:rPr>
      </w:pPr>
    </w:p>
    <w:p w14:paraId="3AC6507D">
      <w:pPr>
        <w:pStyle w:val="49"/>
        <w:spacing w:before="75" w:beforeAutospacing="0" w:after="75" w:afterAutospacing="0" w:line="300" w:lineRule="atLeast"/>
        <w:rPr>
          <w:rFonts w:cs="宋体"/>
          <w:color w:val="auto"/>
          <w:sz w:val="21"/>
          <w:szCs w:val="21"/>
        </w:rPr>
      </w:pPr>
    </w:p>
    <w:p w14:paraId="219C5FDE">
      <w:pPr>
        <w:pStyle w:val="49"/>
        <w:spacing w:before="75" w:beforeAutospacing="0" w:after="75" w:afterAutospacing="0" w:line="300" w:lineRule="atLeast"/>
        <w:rPr>
          <w:rFonts w:cs="宋体"/>
          <w:color w:val="auto"/>
          <w:sz w:val="21"/>
          <w:szCs w:val="21"/>
        </w:rPr>
      </w:pPr>
    </w:p>
    <w:p w14:paraId="6999A2C7">
      <w:pPr>
        <w:pStyle w:val="49"/>
        <w:spacing w:before="60" w:beforeAutospacing="0" w:after="60" w:afterAutospacing="0" w:line="240" w:lineRule="atLeast"/>
        <w:rPr>
          <w:rFonts w:cs="宋体"/>
          <w:color w:val="auto"/>
          <w:sz w:val="21"/>
          <w:szCs w:val="21"/>
        </w:rPr>
      </w:pPr>
    </w:p>
    <w:p w14:paraId="0462C453">
      <w:pPr>
        <w:adjustRightInd w:val="0"/>
        <w:snapToGrid w:val="0"/>
        <w:spacing w:line="400" w:lineRule="exact"/>
        <w:ind w:firstLine="420" w:firstLineChars="200"/>
        <w:rPr>
          <w:rFonts w:ascii="宋体" w:hAnsi="宋体" w:cs="宋体"/>
          <w:color w:val="auto"/>
          <w:szCs w:val="21"/>
        </w:rPr>
      </w:pPr>
    </w:p>
    <w:p w14:paraId="785BF459">
      <w:pPr>
        <w:adjustRightInd w:val="0"/>
        <w:snapToGrid w:val="0"/>
        <w:spacing w:line="380" w:lineRule="exact"/>
        <w:ind w:left="238" w:firstLine="420" w:firstLineChars="200"/>
        <w:jc w:val="right"/>
        <w:rPr>
          <w:rFonts w:ascii="宋体" w:hAnsi="宋体" w:cs="宋体"/>
          <w:color w:val="auto"/>
          <w:szCs w:val="21"/>
        </w:rPr>
      </w:pPr>
      <w:r>
        <w:rPr>
          <w:rFonts w:hint="eastAsia" w:ascii="宋体" w:hAnsi="宋体" w:cs="宋体"/>
          <w:color w:val="auto"/>
          <w:szCs w:val="21"/>
        </w:rPr>
        <w:t>崇左市政府集中采购中心</w:t>
      </w:r>
    </w:p>
    <w:p w14:paraId="26BBCD86">
      <w:pPr>
        <w:widowControl/>
        <w:adjustRightInd w:val="0"/>
        <w:snapToGrid w:val="0"/>
        <w:spacing w:line="380" w:lineRule="exact"/>
        <w:ind w:right="384" w:rightChars="183" w:firstLine="420" w:firstLineChars="200"/>
        <w:jc w:val="right"/>
        <w:rPr>
          <w:rFonts w:ascii="宋体" w:hAnsi="宋体" w:cs="宋体"/>
          <w:color w:val="auto"/>
          <w:kern w:val="0"/>
          <w:szCs w:val="21"/>
          <w:highlight w:val="yellow"/>
        </w:rPr>
      </w:pPr>
      <w:r>
        <w:rPr>
          <w:rStyle w:val="196"/>
          <w:rFonts w:hint="eastAsia" w:ascii="宋体" w:hAnsi="宋体" w:cs="宋体"/>
          <w:color w:val="auto"/>
          <w:szCs w:val="21"/>
          <w:highlight w:val="yellow"/>
        </w:rPr>
        <w:t>2026年xx月xx日</w:t>
      </w:r>
    </w:p>
    <w:p w14:paraId="5503CB15">
      <w:pPr>
        <w:jc w:val="right"/>
        <w:rPr>
          <w:rFonts w:ascii="宋体" w:hAnsi="宋体" w:cs="宋体"/>
          <w:color w:val="auto"/>
        </w:rPr>
      </w:pPr>
    </w:p>
    <w:p w14:paraId="2B374F26">
      <w:pPr>
        <w:snapToGrid w:val="0"/>
        <w:spacing w:beforeLines="50" w:afterLines="50"/>
        <w:ind w:left="238"/>
        <w:jc w:val="center"/>
        <w:rPr>
          <w:rFonts w:ascii="宋体" w:hAnsi="宋体" w:cs="宋体"/>
          <w:color w:val="auto"/>
          <w:sz w:val="32"/>
          <w:szCs w:val="32"/>
        </w:rPr>
      </w:pPr>
    </w:p>
    <w:p w14:paraId="31C9B0E4">
      <w:pPr>
        <w:snapToGrid w:val="0"/>
        <w:spacing w:before="156" w:after="156" w:line="320" w:lineRule="exact"/>
        <w:ind w:left="238"/>
        <w:jc w:val="center"/>
        <w:rPr>
          <w:rStyle w:val="244"/>
          <w:rFonts w:ascii="宋体" w:hAnsi="宋体" w:cs="宋体"/>
          <w:b/>
          <w:color w:val="auto"/>
          <w:sz w:val="28"/>
          <w:szCs w:val="28"/>
          <w:u w:val="none"/>
        </w:rPr>
      </w:pPr>
      <w:r>
        <w:rPr>
          <w:rFonts w:hint="eastAsia" w:ascii="宋体" w:hAnsi="宋体" w:cs="宋体"/>
          <w:b/>
          <w:bCs/>
          <w:color w:val="auto"/>
          <w:sz w:val="32"/>
          <w:szCs w:val="32"/>
        </w:rPr>
        <w:br w:type="page"/>
      </w:r>
      <w:r>
        <w:rPr>
          <w:rFonts w:hint="eastAsia" w:ascii="宋体" w:hAnsi="宋体" w:cs="宋体"/>
          <w:b/>
          <w:color w:val="auto"/>
          <w:sz w:val="32"/>
          <w:szCs w:val="32"/>
        </w:rPr>
        <w:t>项目采购需求</w:t>
      </w:r>
    </w:p>
    <w:p w14:paraId="000D1518">
      <w:pPr>
        <w:adjustRightInd w:val="0"/>
        <w:snapToGrid w:val="0"/>
        <w:spacing w:line="520" w:lineRule="exact"/>
        <w:rPr>
          <w:rFonts w:ascii="宋体" w:hAnsi="宋体" w:cs="宋体"/>
          <w:color w:val="auto"/>
          <w:szCs w:val="21"/>
        </w:rPr>
      </w:pPr>
      <w:r>
        <w:rPr>
          <w:rFonts w:hint="eastAsia" w:ascii="宋体" w:hAnsi="宋体" w:cs="宋体"/>
          <w:color w:val="auto"/>
          <w:szCs w:val="21"/>
        </w:rPr>
        <w:t>说明：</w:t>
      </w:r>
    </w:p>
    <w:p w14:paraId="7D1B8ECE">
      <w:pPr>
        <w:numPr>
          <w:ilvl w:val="0"/>
          <w:numId w:val="1"/>
        </w:numPr>
        <w:adjustRightInd w:val="0"/>
        <w:snapToGrid w:val="0"/>
        <w:spacing w:line="520" w:lineRule="atLeast"/>
        <w:ind w:firstLine="420" w:firstLineChars="200"/>
        <w:jc w:val="left"/>
        <w:rPr>
          <w:rFonts w:ascii="宋体" w:hAnsi="宋体" w:cs="宋体"/>
          <w:color w:val="auto"/>
          <w:szCs w:val="21"/>
        </w:rPr>
      </w:pPr>
      <w:bookmarkStart w:id="1" w:name="auto_fouce_3"/>
      <w:r>
        <w:rPr>
          <w:rFonts w:hint="eastAsia" w:ascii="宋体" w:hAnsi="宋体" w:cs="宋体"/>
          <w:color w:val="auto"/>
          <w:szCs w:val="21"/>
        </w:rPr>
        <w:t>标记“▲”符号的为“实质性要求”，是指本招标文件中已经指明不满足则响应文件按无效响应处理的条款，或者不能负偏离的条款。</w:t>
      </w:r>
      <w:bookmarkEnd w:id="1"/>
    </w:p>
    <w:p w14:paraId="644B20FF">
      <w:pPr>
        <w:numPr>
          <w:ilvl w:val="0"/>
          <w:numId w:val="1"/>
        </w:numPr>
        <w:adjustRightInd w:val="0"/>
        <w:snapToGrid w:val="0"/>
        <w:spacing w:line="520" w:lineRule="atLeast"/>
        <w:ind w:firstLine="420" w:firstLineChars="200"/>
        <w:jc w:val="left"/>
        <w:rPr>
          <w:color w:val="auto"/>
        </w:rPr>
      </w:pPr>
      <w:r>
        <w:rPr>
          <w:rFonts w:hint="eastAsia" w:ascii="宋体" w:hAnsi="宋体" w:cs="宋体"/>
          <w:color w:val="auto"/>
          <w:szCs w:val="21"/>
        </w:rPr>
        <w:t>物业管理服务费预算为：428.4</w:t>
      </w:r>
      <w:r>
        <w:rPr>
          <w:rFonts w:hint="eastAsia" w:hAnsi="宋体" w:cs="宋体"/>
          <w:color w:val="auto"/>
          <w:szCs w:val="21"/>
        </w:rPr>
        <w:t>万</w:t>
      </w:r>
      <w:r>
        <w:rPr>
          <w:rFonts w:hint="eastAsia" w:ascii="宋体" w:hAnsi="宋体" w:cs="宋体"/>
          <w:color w:val="auto"/>
          <w:szCs w:val="21"/>
        </w:rPr>
        <w:t>元/年</w:t>
      </w:r>
      <w:r>
        <w:rPr>
          <w:rFonts w:hint="eastAsia" w:hAnsi="宋体" w:cs="宋体"/>
          <w:color w:val="auto"/>
          <w:szCs w:val="21"/>
        </w:rPr>
        <w:t>*2年=856.8万元</w:t>
      </w:r>
      <w:r>
        <w:rPr>
          <w:rFonts w:hint="eastAsia" w:ascii="宋体" w:hAnsi="宋体" w:cs="宋体"/>
          <w:color w:val="auto"/>
          <w:szCs w:val="21"/>
        </w:rPr>
        <w:t>。</w:t>
      </w:r>
    </w:p>
    <w:p w14:paraId="456C0788">
      <w:pPr>
        <w:numPr>
          <w:ilvl w:val="0"/>
          <w:numId w:val="1"/>
        </w:numPr>
        <w:adjustRightInd w:val="0"/>
        <w:snapToGrid w:val="0"/>
        <w:spacing w:line="520" w:lineRule="atLeast"/>
        <w:ind w:firstLine="420" w:firstLineChars="200"/>
        <w:jc w:val="left"/>
        <w:rPr>
          <w:rFonts w:ascii="宋体" w:hAnsi="宋体" w:cs="宋体"/>
          <w:color w:val="auto"/>
        </w:rPr>
      </w:pPr>
      <w:r>
        <w:rPr>
          <w:rFonts w:hint="eastAsia" w:ascii="宋体" w:hAnsi="宋体" w:cs="宋体"/>
          <w:color w:val="auto"/>
          <w:szCs w:val="21"/>
        </w:rPr>
        <w:t>本项目采购标的对应的中小企业划分标准所属</w:t>
      </w:r>
      <w:r>
        <w:rPr>
          <w:rFonts w:hint="eastAsia" w:ascii="宋体" w:hAnsi="宋体" w:cs="宋体"/>
          <w:b/>
          <w:bCs/>
          <w:color w:val="auto"/>
          <w:szCs w:val="21"/>
          <w:u w:val="single"/>
        </w:rPr>
        <w:t>物业管理</w:t>
      </w:r>
      <w:r>
        <w:rPr>
          <w:rFonts w:hint="eastAsia" w:ascii="宋体" w:hAnsi="宋体" w:cs="宋体"/>
          <w:color w:val="auto"/>
          <w:szCs w:val="21"/>
        </w:rPr>
        <w:t>行业。</w:t>
      </w:r>
    </w:p>
    <w:p w14:paraId="2C4788FA">
      <w:pPr>
        <w:spacing w:line="440" w:lineRule="exact"/>
        <w:ind w:firstLine="420" w:firstLineChars="200"/>
        <w:rPr>
          <w:rFonts w:ascii="宋体" w:hAnsi="宋体" w:cs="宋体"/>
          <w:b/>
          <w:color w:val="auto"/>
          <w:szCs w:val="21"/>
        </w:rPr>
      </w:pPr>
      <w:r>
        <w:rPr>
          <w:rFonts w:hint="eastAsia" w:ascii="宋体" w:hAnsi="宋体" w:cs="宋体"/>
          <w:b/>
          <w:color w:val="auto"/>
          <w:szCs w:val="21"/>
        </w:rPr>
        <w:t>一、项目基本情况</w:t>
      </w:r>
    </w:p>
    <w:p w14:paraId="252CFDAB">
      <w:pPr>
        <w:spacing w:line="440" w:lineRule="exact"/>
        <w:ind w:firstLine="420" w:firstLineChars="200"/>
        <w:rPr>
          <w:rFonts w:ascii="宋体" w:hAnsi="宋体" w:cs="宋体"/>
          <w:bCs/>
          <w:color w:val="auto"/>
          <w:szCs w:val="21"/>
        </w:rPr>
      </w:pPr>
      <w:r>
        <w:rPr>
          <w:rFonts w:hint="eastAsia" w:ascii="宋体" w:hAnsi="宋体" w:cs="宋体"/>
          <w:bCs/>
          <w:color w:val="auto"/>
          <w:szCs w:val="21"/>
        </w:rPr>
        <w:t>（一）物业名称：崇左市人民医院保洁、绿植养护及电梯司乘服务项目</w:t>
      </w:r>
    </w:p>
    <w:p w14:paraId="3EB7A625">
      <w:pPr>
        <w:spacing w:line="440" w:lineRule="exact"/>
        <w:ind w:firstLine="420" w:firstLineChars="200"/>
        <w:rPr>
          <w:rFonts w:ascii="宋体" w:hAnsi="宋体" w:cs="宋体"/>
          <w:bCs/>
          <w:color w:val="auto"/>
          <w:szCs w:val="21"/>
        </w:rPr>
      </w:pPr>
      <w:r>
        <w:rPr>
          <w:rFonts w:hint="eastAsia" w:ascii="宋体" w:hAnsi="宋体" w:cs="宋体"/>
          <w:bCs/>
          <w:color w:val="auto"/>
          <w:szCs w:val="21"/>
        </w:rPr>
        <w:t>（二）采购内容：</w:t>
      </w:r>
    </w:p>
    <w:p w14:paraId="1F8633B6">
      <w:pPr>
        <w:spacing w:line="440" w:lineRule="exact"/>
        <w:ind w:firstLine="420" w:firstLineChars="200"/>
        <w:rPr>
          <w:rFonts w:hAnsi="宋体"/>
          <w:color w:val="auto"/>
        </w:rPr>
      </w:pPr>
      <w:r>
        <w:rPr>
          <w:rFonts w:hint="eastAsia" w:hAnsi="宋体"/>
          <w:color w:val="auto"/>
        </w:rPr>
        <w:t>崇左市人民医院所有楼栋、外围绿地、路面等的保洁及绿地绿植的养护工作，电梯司乘服务等。</w:t>
      </w:r>
    </w:p>
    <w:p w14:paraId="69CA1D95">
      <w:pPr>
        <w:spacing w:line="440" w:lineRule="exact"/>
        <w:ind w:firstLine="420" w:firstLineChars="200"/>
        <w:rPr>
          <w:rFonts w:ascii="宋体" w:hAnsi="宋体" w:cs="宋体"/>
          <w:bCs/>
          <w:color w:val="auto"/>
          <w:szCs w:val="21"/>
        </w:rPr>
      </w:pPr>
      <w:r>
        <w:rPr>
          <w:rFonts w:hint="eastAsia" w:ascii="宋体" w:hAnsi="宋体" w:cs="宋体"/>
          <w:bCs/>
          <w:color w:val="auto"/>
          <w:szCs w:val="21"/>
        </w:rPr>
        <w:t>（三）服务期限：二年</w:t>
      </w:r>
    </w:p>
    <w:p w14:paraId="05FF4EFB">
      <w:pPr>
        <w:spacing w:line="440" w:lineRule="exact"/>
        <w:ind w:firstLine="420" w:firstLineChars="200"/>
        <w:rPr>
          <w:rFonts w:ascii="宋体" w:hAnsi="宋体" w:cs="宋体"/>
          <w:b/>
          <w:color w:val="auto"/>
          <w:szCs w:val="21"/>
        </w:rPr>
      </w:pPr>
      <w:r>
        <w:rPr>
          <w:rFonts w:hint="eastAsia" w:ascii="宋体" w:hAnsi="宋体" w:cs="宋体"/>
          <w:color w:val="auto"/>
          <w:szCs w:val="21"/>
        </w:rPr>
        <w:t>▲</w:t>
      </w:r>
      <w:r>
        <w:rPr>
          <w:rFonts w:hint="eastAsia" w:ascii="宋体" w:hAnsi="宋体" w:cs="宋体"/>
          <w:b/>
          <w:color w:val="auto"/>
          <w:szCs w:val="21"/>
        </w:rPr>
        <w:t>二、</w:t>
      </w:r>
      <w:r>
        <w:rPr>
          <w:rFonts w:hint="eastAsia" w:ascii="宋体" w:hAnsi="宋体" w:cs="宋体"/>
          <w:b/>
          <w:bCs/>
          <w:color w:val="auto"/>
          <w:szCs w:val="21"/>
        </w:rPr>
        <w:t>商务技术服务要求：</w:t>
      </w:r>
    </w:p>
    <w:tbl>
      <w:tblPr>
        <w:tblStyle w:val="5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748"/>
        <w:gridCol w:w="352"/>
        <w:gridCol w:w="100"/>
        <w:gridCol w:w="7855"/>
      </w:tblGrid>
      <w:tr w14:paraId="6920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11" w:type="dxa"/>
            <w:gridSpan w:val="5"/>
            <w:tcBorders>
              <w:top w:val="single" w:color="000000" w:sz="4" w:space="0"/>
              <w:left w:val="single" w:color="000000" w:sz="4" w:space="0"/>
              <w:bottom w:val="single" w:color="000000" w:sz="4" w:space="0"/>
              <w:right w:val="single" w:color="000000" w:sz="4" w:space="0"/>
            </w:tcBorders>
            <w:vAlign w:val="center"/>
          </w:tcPr>
          <w:p w14:paraId="1DFAA1E5">
            <w:pPr>
              <w:jc w:val="left"/>
              <w:rPr>
                <w:rFonts w:ascii="宋体" w:hAnsi="宋体" w:cs="宋体"/>
                <w:b/>
                <w:bCs/>
                <w:color w:val="auto"/>
              </w:rPr>
            </w:pPr>
            <w:r>
              <w:rPr>
                <w:rFonts w:hint="eastAsia" w:ascii="宋体" w:hAnsi="宋体" w:cs="宋体"/>
                <w:color w:val="auto"/>
                <w:szCs w:val="21"/>
              </w:rPr>
              <w:t>▲</w:t>
            </w:r>
            <w:r>
              <w:rPr>
                <w:rFonts w:hint="eastAsia" w:ascii="宋体" w:hAnsi="宋体" w:cs="宋体"/>
                <w:b/>
                <w:color w:val="auto"/>
                <w:szCs w:val="21"/>
              </w:rPr>
              <w:t>一、项目要求及技术需求</w:t>
            </w:r>
          </w:p>
        </w:tc>
      </w:tr>
      <w:tr w14:paraId="6C94A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dxa"/>
            <w:tcBorders>
              <w:top w:val="single" w:color="000000" w:sz="4" w:space="0"/>
              <w:left w:val="single" w:color="000000" w:sz="4" w:space="0"/>
              <w:bottom w:val="single" w:color="000000" w:sz="4" w:space="0"/>
              <w:right w:val="single" w:color="000000" w:sz="4" w:space="0"/>
            </w:tcBorders>
            <w:vAlign w:val="center"/>
          </w:tcPr>
          <w:p w14:paraId="72BD8235">
            <w:pPr>
              <w:jc w:val="center"/>
              <w:rPr>
                <w:rFonts w:ascii="宋体" w:hAnsi="宋体" w:cs="宋体"/>
                <w:b/>
                <w:bCs/>
                <w:color w:val="auto"/>
                <w:szCs w:val="21"/>
              </w:rPr>
            </w:pPr>
            <w:r>
              <w:rPr>
                <w:rFonts w:hint="eastAsia" w:ascii="宋体" w:hAnsi="宋体" w:cs="宋体"/>
                <w:b/>
                <w:bCs/>
                <w:color w:val="auto"/>
              </w:rPr>
              <w:t>序号</w:t>
            </w:r>
          </w:p>
        </w:tc>
        <w:tc>
          <w:tcPr>
            <w:tcW w:w="748" w:type="dxa"/>
            <w:tcBorders>
              <w:top w:val="single" w:color="000000" w:sz="4" w:space="0"/>
              <w:left w:val="single" w:color="000000" w:sz="4" w:space="0"/>
              <w:bottom w:val="single" w:color="000000" w:sz="4" w:space="0"/>
              <w:right w:val="single" w:color="000000" w:sz="4" w:space="0"/>
            </w:tcBorders>
            <w:vAlign w:val="center"/>
          </w:tcPr>
          <w:p w14:paraId="43241C0F">
            <w:pPr>
              <w:jc w:val="center"/>
              <w:rPr>
                <w:rFonts w:ascii="宋体" w:hAnsi="宋体" w:cs="宋体"/>
                <w:b/>
                <w:bCs/>
                <w:color w:val="auto"/>
              </w:rPr>
            </w:pPr>
            <w:r>
              <w:rPr>
                <w:rFonts w:hint="eastAsia" w:ascii="宋体" w:hAnsi="宋体" w:cs="宋体"/>
                <w:b/>
                <w:bCs/>
                <w:color w:val="auto"/>
              </w:rPr>
              <w:t>服务</w:t>
            </w:r>
          </w:p>
          <w:p w14:paraId="213F8F16">
            <w:pPr>
              <w:jc w:val="center"/>
              <w:rPr>
                <w:rFonts w:ascii="宋体" w:hAnsi="宋体" w:cs="宋体"/>
                <w:b/>
                <w:bCs/>
                <w:color w:val="auto"/>
              </w:rPr>
            </w:pPr>
            <w:r>
              <w:rPr>
                <w:rFonts w:hint="eastAsia" w:ascii="宋体" w:hAnsi="宋体" w:cs="宋体"/>
                <w:b/>
                <w:bCs/>
                <w:color w:val="auto"/>
              </w:rPr>
              <w:t>名称</w:t>
            </w:r>
          </w:p>
        </w:tc>
        <w:tc>
          <w:tcPr>
            <w:tcW w:w="452" w:type="dxa"/>
            <w:gridSpan w:val="2"/>
            <w:tcBorders>
              <w:top w:val="single" w:color="000000" w:sz="4" w:space="0"/>
              <w:left w:val="single" w:color="000000" w:sz="4" w:space="0"/>
              <w:bottom w:val="single" w:color="000000" w:sz="4" w:space="0"/>
              <w:right w:val="single" w:color="000000" w:sz="4" w:space="0"/>
            </w:tcBorders>
            <w:vAlign w:val="center"/>
          </w:tcPr>
          <w:p w14:paraId="24B3D43C">
            <w:pPr>
              <w:jc w:val="center"/>
              <w:rPr>
                <w:rFonts w:ascii="宋体" w:hAnsi="宋体" w:cs="宋体"/>
                <w:b/>
                <w:bCs/>
                <w:color w:val="auto"/>
              </w:rPr>
            </w:pPr>
            <w:r>
              <w:rPr>
                <w:rFonts w:hint="eastAsia" w:ascii="宋体" w:hAnsi="宋体" w:cs="宋体"/>
                <w:b/>
                <w:color w:val="auto"/>
                <w:kern w:val="0"/>
                <w:szCs w:val="21"/>
              </w:rPr>
              <w:t>数量</w:t>
            </w:r>
          </w:p>
        </w:tc>
        <w:tc>
          <w:tcPr>
            <w:tcW w:w="7855" w:type="dxa"/>
            <w:tcBorders>
              <w:top w:val="single" w:color="000000" w:sz="4" w:space="0"/>
              <w:left w:val="single" w:color="000000" w:sz="4" w:space="0"/>
              <w:bottom w:val="single" w:color="000000" w:sz="4" w:space="0"/>
              <w:right w:val="single" w:color="000000" w:sz="4" w:space="0"/>
            </w:tcBorders>
            <w:vAlign w:val="center"/>
          </w:tcPr>
          <w:p w14:paraId="322F0AA4">
            <w:pPr>
              <w:jc w:val="center"/>
              <w:rPr>
                <w:rFonts w:ascii="宋体" w:hAnsi="宋体" w:cs="宋体"/>
                <w:b/>
                <w:bCs/>
                <w:color w:val="auto"/>
              </w:rPr>
            </w:pPr>
            <w:r>
              <w:rPr>
                <w:rFonts w:hint="eastAsia" w:ascii="宋体" w:hAnsi="宋体" w:cs="宋体"/>
                <w:b/>
                <w:bCs/>
                <w:color w:val="auto"/>
              </w:rPr>
              <w:t>服务要求</w:t>
            </w:r>
          </w:p>
        </w:tc>
      </w:tr>
      <w:tr w14:paraId="1EC1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556" w:type="dxa"/>
            <w:tcBorders>
              <w:top w:val="single" w:color="000000" w:sz="4" w:space="0"/>
              <w:left w:val="single" w:color="000000" w:sz="4" w:space="0"/>
              <w:bottom w:val="single" w:color="000000" w:sz="4" w:space="0"/>
              <w:right w:val="single" w:color="000000" w:sz="4" w:space="0"/>
            </w:tcBorders>
            <w:vAlign w:val="center"/>
          </w:tcPr>
          <w:p w14:paraId="30FCE0A8">
            <w:pPr>
              <w:pStyle w:val="53"/>
              <w:ind w:firstLine="0" w:firstLineChars="0"/>
              <w:jc w:val="center"/>
              <w:rPr>
                <w:rFonts w:ascii="宋体" w:hAnsi="宋体" w:cs="宋体"/>
                <w:color w:val="auto"/>
                <w:szCs w:val="21"/>
              </w:rPr>
            </w:pPr>
            <w:r>
              <w:rPr>
                <w:rFonts w:hint="eastAsia" w:ascii="宋体" w:hAnsi="宋体" w:cs="宋体"/>
                <w:color w:val="auto"/>
                <w:szCs w:val="21"/>
              </w:rPr>
              <w:t>1</w:t>
            </w:r>
          </w:p>
        </w:tc>
        <w:tc>
          <w:tcPr>
            <w:tcW w:w="748" w:type="dxa"/>
            <w:tcBorders>
              <w:top w:val="single" w:color="000000" w:sz="4" w:space="0"/>
              <w:left w:val="single" w:color="000000" w:sz="4" w:space="0"/>
              <w:bottom w:val="single" w:color="000000" w:sz="4" w:space="0"/>
              <w:right w:val="single" w:color="000000" w:sz="4" w:space="0"/>
            </w:tcBorders>
            <w:vAlign w:val="center"/>
          </w:tcPr>
          <w:p w14:paraId="7F3C7085">
            <w:pPr>
              <w:pStyle w:val="53"/>
              <w:ind w:firstLine="0" w:firstLineChars="0"/>
              <w:jc w:val="center"/>
              <w:rPr>
                <w:rFonts w:ascii="宋体" w:hAnsi="宋体" w:cs="宋体"/>
                <w:color w:val="auto"/>
                <w:szCs w:val="21"/>
              </w:rPr>
            </w:pPr>
            <w:r>
              <w:rPr>
                <w:rFonts w:hint="eastAsia"/>
                <w:color w:val="auto"/>
              </w:rPr>
              <w:t>崇左市人民医院保洁、绿植养护及电梯司乘服务项目</w:t>
            </w:r>
          </w:p>
        </w:tc>
        <w:tc>
          <w:tcPr>
            <w:tcW w:w="452" w:type="dxa"/>
            <w:gridSpan w:val="2"/>
            <w:tcBorders>
              <w:top w:val="single" w:color="000000" w:sz="4" w:space="0"/>
              <w:left w:val="single" w:color="000000" w:sz="4" w:space="0"/>
              <w:bottom w:val="single" w:color="000000" w:sz="4" w:space="0"/>
              <w:right w:val="single" w:color="000000" w:sz="4" w:space="0"/>
            </w:tcBorders>
            <w:vAlign w:val="center"/>
          </w:tcPr>
          <w:p w14:paraId="4A65D508">
            <w:pPr>
              <w:pStyle w:val="53"/>
              <w:ind w:firstLine="0" w:firstLineChars="0"/>
              <w:jc w:val="center"/>
              <w:rPr>
                <w:color w:val="auto"/>
              </w:rPr>
            </w:pPr>
            <w:r>
              <w:rPr>
                <w:rFonts w:hint="eastAsia" w:ascii="宋体" w:hAnsi="宋体" w:cs="宋体"/>
                <w:color w:val="auto"/>
                <w:szCs w:val="21"/>
              </w:rPr>
              <w:t>1项</w:t>
            </w:r>
          </w:p>
        </w:tc>
        <w:tc>
          <w:tcPr>
            <w:tcW w:w="7855" w:type="dxa"/>
            <w:tcBorders>
              <w:top w:val="single" w:color="000000" w:sz="4" w:space="0"/>
              <w:left w:val="single" w:color="000000" w:sz="4" w:space="0"/>
              <w:bottom w:val="single" w:color="000000" w:sz="4" w:space="0"/>
              <w:right w:val="single" w:color="000000" w:sz="4" w:space="0"/>
            </w:tcBorders>
            <w:vAlign w:val="center"/>
          </w:tcPr>
          <w:p w14:paraId="250FFA47">
            <w:pPr>
              <w:snapToGrid w:val="0"/>
              <w:spacing w:line="360" w:lineRule="exact"/>
              <w:ind w:firstLine="420"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一、项目基本情况</w:t>
            </w:r>
          </w:p>
          <w:p w14:paraId="3597846B">
            <w:pPr>
              <w:snapToGrid w:val="0"/>
              <w:spacing w:line="360" w:lineRule="exact"/>
              <w:ind w:firstLine="420"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崇左市人民医院位于崇左市龙峡山东路6号，建筑面积约16.66万平方米，占地约100亩。</w:t>
            </w:r>
          </w:p>
          <w:p w14:paraId="7F09FD2D">
            <w:pPr>
              <w:snapToGrid w:val="0"/>
              <w:spacing w:line="360" w:lineRule="exact"/>
              <w:ind w:firstLine="420"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二、采购需求</w:t>
            </w:r>
          </w:p>
          <w:p w14:paraId="55CD443F">
            <w:pPr>
              <w:snapToGrid w:val="0"/>
              <w:spacing w:line="360" w:lineRule="exact"/>
              <w:ind w:firstLine="420" w:firstLineChars="200"/>
              <w:outlineLvl w:val="1"/>
              <w:rPr>
                <w:rFonts w:asciiTheme="minorEastAsia" w:hAnsiTheme="minorEastAsia" w:eastAsiaTheme="minorEastAsia" w:cstheme="minorEastAsia"/>
                <w:color w:val="auto"/>
                <w:szCs w:val="21"/>
                <w:highlight w:val="yellow"/>
              </w:rPr>
            </w:pPr>
            <w:bookmarkStart w:id="2" w:name="_Toc382583155"/>
            <w:bookmarkStart w:id="3" w:name="_Toc468649936"/>
            <w:r>
              <w:rPr>
                <w:rFonts w:hint="eastAsia" w:asciiTheme="minorEastAsia" w:hAnsiTheme="minorEastAsia" w:eastAsiaTheme="minorEastAsia" w:cstheme="minorEastAsia"/>
                <w:bCs/>
                <w:color w:val="auto"/>
                <w:szCs w:val="21"/>
              </w:rPr>
              <w:t>1.服务内容：</w:t>
            </w:r>
            <w:r>
              <w:rPr>
                <w:rFonts w:hint="eastAsia" w:asciiTheme="minorEastAsia" w:hAnsiTheme="minorEastAsia" w:eastAsiaTheme="minorEastAsia" w:cstheme="minorEastAsia"/>
                <w:color w:val="auto"/>
                <w:szCs w:val="21"/>
              </w:rPr>
              <w:t>崇左市人民医院所有楼栋、外围绿地、路面等的保洁及绿地绿植的养护工作，电梯司乘服务等。</w:t>
            </w:r>
          </w:p>
          <w:p w14:paraId="3A32BC7C">
            <w:pPr>
              <w:snapToGrid w:val="0"/>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2.服务人员配置：</w:t>
            </w:r>
            <w:r>
              <w:rPr>
                <w:rFonts w:hint="eastAsia" w:asciiTheme="minorEastAsia" w:hAnsiTheme="minorEastAsia" w:eastAsiaTheme="minorEastAsia" w:cstheme="minorEastAsia"/>
                <w:color w:val="auto"/>
                <w:szCs w:val="21"/>
              </w:rPr>
              <w:t>崇左市人民医院所有楼栋、外围绿地、路面等的保洁及绿地绿植的养护工作要求配置管理人员和保洁员至少119名（含</w:t>
            </w:r>
            <w:r>
              <w:rPr>
                <w:rFonts w:hint="eastAsia" w:asciiTheme="minorEastAsia" w:hAnsiTheme="minorEastAsia" w:eastAsiaTheme="minorEastAsia" w:cstheme="minorEastAsia"/>
                <w:color w:val="auto"/>
                <w:kern w:val="0"/>
                <w:szCs w:val="21"/>
              </w:rPr>
              <w:t>其他岗位人员</w:t>
            </w:r>
            <w:r>
              <w:rPr>
                <w:rFonts w:hint="eastAsia" w:asciiTheme="minorEastAsia" w:hAnsiTheme="minorEastAsia" w:eastAsiaTheme="minorEastAsia" w:cstheme="minorEastAsia"/>
                <w:color w:val="auto"/>
                <w:szCs w:val="21"/>
              </w:rPr>
              <w:t>及电梯司机6人）</w:t>
            </w:r>
            <w:r>
              <w:rPr>
                <w:rFonts w:hint="eastAsia" w:asciiTheme="minorEastAsia" w:hAnsiTheme="minorEastAsia" w:eastAsiaTheme="minorEastAsia" w:cstheme="minorEastAsia"/>
                <w:bCs/>
                <w:color w:val="auto"/>
                <w:szCs w:val="21"/>
              </w:rPr>
              <w:t>。</w:t>
            </w:r>
          </w:p>
          <w:p w14:paraId="39503EDF">
            <w:pPr>
              <w:snapToGrid w:val="0"/>
              <w:spacing w:line="360" w:lineRule="exact"/>
              <w:ind w:firstLine="420" w:firstLineChars="200"/>
              <w:outlineLvl w:val="1"/>
              <w:rPr>
                <w:rFonts w:asciiTheme="minorEastAsia" w:hAnsiTheme="minorEastAsia" w:eastAsiaTheme="minorEastAsia" w:cstheme="minorEastAsia"/>
                <w:color w:val="auto"/>
                <w:szCs w:val="21"/>
                <w:highlight w:val="lightGray"/>
              </w:rPr>
            </w:pPr>
            <w:r>
              <w:rPr>
                <w:rFonts w:hint="eastAsia" w:asciiTheme="minorEastAsia" w:hAnsiTheme="minorEastAsia" w:eastAsiaTheme="minorEastAsia" w:cstheme="minorEastAsia"/>
                <w:bCs/>
                <w:color w:val="auto"/>
                <w:szCs w:val="21"/>
              </w:rPr>
              <w:t>3.服务范围：崇左市人民医院内所有范围的保洁及</w:t>
            </w:r>
            <w:r>
              <w:rPr>
                <w:rFonts w:hint="eastAsia" w:asciiTheme="minorEastAsia" w:hAnsiTheme="minorEastAsia" w:eastAsiaTheme="minorEastAsia" w:cstheme="minorEastAsia"/>
                <w:color w:val="auto"/>
                <w:szCs w:val="21"/>
              </w:rPr>
              <w:t>绿地绿植的养护工作，电梯司乘服务等。</w:t>
            </w:r>
          </w:p>
          <w:p w14:paraId="26B8356D">
            <w:pPr>
              <w:snapToGrid w:val="0"/>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各科室大输液的运送：每天按各科室药房的需求，把各品种液体按规定的时间送到各科室，满足各科室的用药需求。同时，做好每次运送输液的名称、规格、数量、科室的登记，并经药房工作人员核实签字后方可送到各科室。运送时必须遵循药品先进先出原则，并核对有效日期，防止过期药品进入科室。</w:t>
            </w:r>
          </w:p>
          <w:p w14:paraId="4D26E74C">
            <w:pPr>
              <w:snapToGrid w:val="0"/>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5.输液空瓶的处理：每天收集科室的输液空瓶，打包成袋，每周五送到指定的地点；院方有检查时，应按相关要求及时将输液空瓶送到指定地点存放。</w:t>
            </w:r>
          </w:p>
          <w:p w14:paraId="01781CF4">
            <w:pPr>
              <w:snapToGrid w:val="0"/>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6.医疗垃圾清运：工作人员经过培训，具备防护、清洗、消毒等相关知识和技能，根据《医疗废物管理条例》和《医疗卫生机构医疗废物管理办法》的要求，对各科室的医疗垃圾进行回收登记，确保医疗垃圾的分类收集并密闭运送至医疗垃圾暂存间存放。与医疗废物处理公司进行对接，处理医疗废物的转运交接工作。</w:t>
            </w:r>
          </w:p>
          <w:p w14:paraId="009EAFE4">
            <w:pPr>
              <w:snapToGrid w:val="0"/>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7.电梯的日常管理、引导及梯外服务工作。</w:t>
            </w:r>
          </w:p>
          <w:bookmarkEnd w:id="2"/>
          <w:bookmarkEnd w:id="3"/>
          <w:p w14:paraId="60A70A1B">
            <w:pPr>
              <w:snapToGrid w:val="0"/>
              <w:spacing w:line="360" w:lineRule="exact"/>
              <w:ind w:firstLine="420" w:firstLineChars="200"/>
              <w:jc w:val="left"/>
              <w:rPr>
                <w:rFonts w:asciiTheme="minorEastAsia" w:hAnsiTheme="minorEastAsia" w:eastAsiaTheme="minorEastAsia" w:cstheme="minorEastAsia"/>
                <w:b/>
                <w:color w:val="auto"/>
                <w:szCs w:val="21"/>
              </w:rPr>
            </w:pPr>
            <w:bookmarkStart w:id="4" w:name="_Toc468649937"/>
            <w:bookmarkStart w:id="5" w:name="_Toc382583156"/>
            <w:r>
              <w:rPr>
                <w:rFonts w:hint="eastAsia" w:asciiTheme="minorEastAsia" w:hAnsiTheme="minorEastAsia" w:eastAsiaTheme="minorEastAsia" w:cstheme="minorEastAsia"/>
                <w:b/>
                <w:color w:val="auto"/>
                <w:szCs w:val="21"/>
              </w:rPr>
              <w:t>三、</w:t>
            </w:r>
            <w:bookmarkEnd w:id="4"/>
            <w:r>
              <w:rPr>
                <w:rFonts w:hint="eastAsia" w:asciiTheme="minorEastAsia" w:hAnsiTheme="minorEastAsia" w:eastAsiaTheme="minorEastAsia" w:cstheme="minorEastAsia"/>
                <w:b/>
                <w:color w:val="auto"/>
                <w:szCs w:val="21"/>
              </w:rPr>
              <w:t>服务要求及标准</w:t>
            </w:r>
          </w:p>
          <w:p w14:paraId="2B4FA67A">
            <w:pPr>
              <w:snapToGrid w:val="0"/>
              <w:spacing w:line="360" w:lineRule="exact"/>
              <w:ind w:firstLine="420"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（一）保洁内容及服务次数要求</w:t>
            </w:r>
          </w:p>
          <w:p w14:paraId="236EC353">
            <w:pPr>
              <w:snapToGrid w:val="0"/>
              <w:spacing w:line="36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1.门急诊区域</w:t>
            </w:r>
          </w:p>
          <w:tbl>
            <w:tblPr>
              <w:tblStyle w:val="55"/>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364"/>
              <w:gridCol w:w="1588"/>
            </w:tblGrid>
            <w:tr w14:paraId="0EE3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6" w:type="dxa"/>
                  <w:noWrap/>
                  <w:vAlign w:val="center"/>
                </w:tcPr>
                <w:p w14:paraId="7E18082B">
                  <w:pPr>
                    <w:snapToGrid w:val="0"/>
                    <w:spacing w:line="36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5364" w:type="dxa"/>
                  <w:noWrap/>
                </w:tcPr>
                <w:p w14:paraId="5E4FBB43">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工作内容</w:t>
                  </w:r>
                </w:p>
              </w:tc>
              <w:tc>
                <w:tcPr>
                  <w:tcW w:w="1588" w:type="dxa"/>
                  <w:noWrap/>
                </w:tcPr>
                <w:p w14:paraId="59A57578">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频次</w:t>
                  </w:r>
                </w:p>
              </w:tc>
            </w:tr>
            <w:tr w14:paraId="6EA0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6" w:type="dxa"/>
                  <w:noWrap/>
                  <w:vAlign w:val="center"/>
                </w:tcPr>
                <w:p w14:paraId="52F3871B">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5364" w:type="dxa"/>
                  <w:noWrap/>
                </w:tcPr>
                <w:p w14:paraId="005FFD4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分类收集区域内垃圾、更换垃圾袋（垃圾不超过3/4）</w:t>
                  </w:r>
                </w:p>
              </w:tc>
              <w:tc>
                <w:tcPr>
                  <w:tcW w:w="1588" w:type="dxa"/>
                  <w:noWrap/>
                  <w:vAlign w:val="center"/>
                </w:tcPr>
                <w:p w14:paraId="70F7157E">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▲每日4次</w:t>
                  </w:r>
                </w:p>
              </w:tc>
            </w:tr>
            <w:tr w14:paraId="0327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6" w:type="dxa"/>
                  <w:noWrap/>
                  <w:vAlign w:val="center"/>
                </w:tcPr>
                <w:p w14:paraId="1CEA459B">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5364" w:type="dxa"/>
                  <w:noWrap/>
                </w:tcPr>
                <w:p w14:paraId="1191FAA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区域内地面、楼道扬尘（无扬尘干扫）</w:t>
                  </w:r>
                </w:p>
              </w:tc>
              <w:tc>
                <w:tcPr>
                  <w:tcW w:w="1588" w:type="dxa"/>
                  <w:noWrap/>
                  <w:vAlign w:val="center"/>
                </w:tcPr>
                <w:p w14:paraId="12F1EFD0">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3837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6" w:type="dxa"/>
                  <w:noWrap/>
                  <w:vAlign w:val="center"/>
                </w:tcPr>
                <w:p w14:paraId="55D15575">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5364" w:type="dxa"/>
                  <w:noWrap/>
                </w:tcPr>
                <w:p w14:paraId="48C63F9F">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区域内地面、楼道湿拖（进行地面消毒、清洁）</w:t>
                  </w:r>
                </w:p>
              </w:tc>
              <w:tc>
                <w:tcPr>
                  <w:tcW w:w="1588" w:type="dxa"/>
                  <w:noWrap/>
                  <w:vAlign w:val="center"/>
                </w:tcPr>
                <w:p w14:paraId="45B15031">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0D2D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46" w:type="dxa"/>
                  <w:noWrap/>
                  <w:vAlign w:val="center"/>
                </w:tcPr>
                <w:p w14:paraId="0BAAEB32">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5364" w:type="dxa"/>
                  <w:noWrap/>
                </w:tcPr>
                <w:p w14:paraId="7B86D50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区域内各式家具（办公桌椅、橱柜等）、办公用品（含病历牌）、台面擦拭</w:t>
                  </w:r>
                </w:p>
              </w:tc>
              <w:tc>
                <w:tcPr>
                  <w:tcW w:w="1588" w:type="dxa"/>
                  <w:noWrap/>
                  <w:vAlign w:val="center"/>
                </w:tcPr>
                <w:p w14:paraId="7DA175F8">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4C2F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46" w:type="dxa"/>
                  <w:noWrap/>
                  <w:vAlign w:val="center"/>
                </w:tcPr>
                <w:p w14:paraId="6402A85A">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5364" w:type="dxa"/>
                  <w:noWrap/>
                </w:tcPr>
                <w:p w14:paraId="5B995CA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区域内电脑、电话、仪器（含各种医用器材，精密仪器除外）、器械（治疗车、病历夹、病历架等）、轮椅、床单位、床头柜、凳子、微波炉、饮水机外部、氧气管、低处电器表面的清洗或擦拭</w:t>
                  </w:r>
                </w:p>
              </w:tc>
              <w:tc>
                <w:tcPr>
                  <w:tcW w:w="1588" w:type="dxa"/>
                  <w:noWrap/>
                  <w:vAlign w:val="center"/>
                </w:tcPr>
                <w:p w14:paraId="4C857318">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▲每日1次（一床一巾，抹布分类分区使用，不能交叉感染）。</w:t>
                  </w:r>
                </w:p>
              </w:tc>
            </w:tr>
            <w:tr w14:paraId="6332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46" w:type="dxa"/>
                  <w:noWrap/>
                  <w:vAlign w:val="center"/>
                </w:tcPr>
                <w:p w14:paraId="2DC908D3">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5364" w:type="dxa"/>
                  <w:noWrap/>
                </w:tcPr>
                <w:p w14:paraId="3026AD4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区域内洗手池、水池、水龙头、皂盒、擦手纸盒清洗、擦拭</w:t>
                  </w:r>
                </w:p>
              </w:tc>
              <w:tc>
                <w:tcPr>
                  <w:tcW w:w="1588" w:type="dxa"/>
                  <w:noWrap/>
                  <w:vAlign w:val="center"/>
                </w:tcPr>
                <w:p w14:paraId="7E6482FF">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5590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6" w:type="dxa"/>
                  <w:noWrap/>
                  <w:vAlign w:val="center"/>
                </w:tcPr>
                <w:p w14:paraId="39D21ECC">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5364" w:type="dxa"/>
                  <w:noWrap/>
                </w:tcPr>
                <w:p w14:paraId="03FB5324">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卫生间（含镜子、水龙头、脸盆、台面、毛巾架、马桶、淋浴器、地面）</w:t>
                  </w:r>
                </w:p>
              </w:tc>
              <w:tc>
                <w:tcPr>
                  <w:tcW w:w="1588" w:type="dxa"/>
                  <w:noWrap/>
                  <w:vAlign w:val="center"/>
                </w:tcPr>
                <w:p w14:paraId="4ECB5AAA">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▲每日1次，地面上下午各1次（污染时随时清洁）。</w:t>
                  </w:r>
                </w:p>
              </w:tc>
            </w:tr>
            <w:tr w14:paraId="528E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46" w:type="dxa"/>
                  <w:noWrap/>
                  <w:vAlign w:val="center"/>
                </w:tcPr>
                <w:p w14:paraId="6339BD62">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5364" w:type="dxa"/>
                  <w:noWrap/>
                </w:tcPr>
                <w:p w14:paraId="61AC39A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区域内窗台、阳台、把手、栏杆、花瓶、花盆、开关盒、接线盒、设备带、各类低处标牌、垃圾桶擦拭</w:t>
                  </w:r>
                </w:p>
              </w:tc>
              <w:tc>
                <w:tcPr>
                  <w:tcW w:w="1588" w:type="dxa"/>
                  <w:noWrap/>
                  <w:vAlign w:val="center"/>
                </w:tcPr>
                <w:p w14:paraId="0E44B47B">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5E6D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6" w:type="dxa"/>
                  <w:noWrap/>
                  <w:vAlign w:val="center"/>
                </w:tcPr>
                <w:p w14:paraId="3C8C6ABD">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5364" w:type="dxa"/>
                  <w:noWrap/>
                </w:tcPr>
                <w:p w14:paraId="01925A1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治疗室卫生清洁</w:t>
                  </w:r>
                </w:p>
              </w:tc>
              <w:tc>
                <w:tcPr>
                  <w:tcW w:w="1588" w:type="dxa"/>
                  <w:noWrap/>
                  <w:vAlign w:val="center"/>
                </w:tcPr>
                <w:p w14:paraId="2A729E3E">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4EFA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46" w:type="dxa"/>
                  <w:noWrap/>
                  <w:vAlign w:val="center"/>
                </w:tcPr>
                <w:p w14:paraId="6081C047">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p>
              </w:tc>
              <w:tc>
                <w:tcPr>
                  <w:tcW w:w="5364" w:type="dxa"/>
                  <w:noWrap/>
                </w:tcPr>
                <w:p w14:paraId="11B23E5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消防栓、消防器、消防门清洁</w:t>
                  </w:r>
                </w:p>
              </w:tc>
              <w:tc>
                <w:tcPr>
                  <w:tcW w:w="1588" w:type="dxa"/>
                  <w:noWrap/>
                  <w:vAlign w:val="center"/>
                </w:tcPr>
                <w:p w14:paraId="5C3F301F">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每周1次（污染时随时清洁）。</w:t>
                  </w:r>
                </w:p>
              </w:tc>
            </w:tr>
            <w:tr w14:paraId="3650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46" w:type="dxa"/>
                  <w:noWrap/>
                  <w:vAlign w:val="center"/>
                </w:tcPr>
                <w:p w14:paraId="6F3BC9E8">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w:t>
                  </w:r>
                </w:p>
              </w:tc>
              <w:tc>
                <w:tcPr>
                  <w:tcW w:w="5364" w:type="dxa"/>
                  <w:noWrap/>
                </w:tcPr>
                <w:p w14:paraId="2B4153D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非医疗不锈钢物体表面闪钢保养、门窗玻璃擦拭</w:t>
                  </w:r>
                </w:p>
              </w:tc>
              <w:tc>
                <w:tcPr>
                  <w:tcW w:w="1588" w:type="dxa"/>
                  <w:noWrap/>
                  <w:vAlign w:val="center"/>
                </w:tcPr>
                <w:p w14:paraId="1A95AF50">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每周1次（污染时随时清洁）。</w:t>
                  </w:r>
                </w:p>
              </w:tc>
            </w:tr>
            <w:tr w14:paraId="24A6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46" w:type="dxa"/>
                  <w:noWrap/>
                  <w:vAlign w:val="center"/>
                </w:tcPr>
                <w:p w14:paraId="2179A578">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w:t>
                  </w:r>
                </w:p>
              </w:tc>
              <w:tc>
                <w:tcPr>
                  <w:tcW w:w="5364" w:type="dxa"/>
                  <w:noWrap/>
                </w:tcPr>
                <w:p w14:paraId="12998EB0">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高处标牌、壁挂物擦拭、卫生间墙壁</w:t>
                  </w:r>
                </w:p>
              </w:tc>
              <w:tc>
                <w:tcPr>
                  <w:tcW w:w="1588" w:type="dxa"/>
                  <w:noWrap/>
                  <w:vAlign w:val="center"/>
                </w:tcPr>
                <w:p w14:paraId="65E86A0E">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每周1次（污染时随时清洁）</w:t>
                  </w:r>
                </w:p>
              </w:tc>
            </w:tr>
            <w:tr w14:paraId="6A4A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ign w:val="center"/>
                </w:tcPr>
                <w:p w14:paraId="3F5083A1">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w:t>
                  </w:r>
                </w:p>
              </w:tc>
              <w:tc>
                <w:tcPr>
                  <w:tcW w:w="5364" w:type="dxa"/>
                  <w:noWrap/>
                </w:tcPr>
                <w:p w14:paraId="0A28F7C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低处墙面静电除尘、落地瓷砖、踢脚板、地角、低处管道擦拭</w:t>
                  </w:r>
                </w:p>
              </w:tc>
              <w:tc>
                <w:tcPr>
                  <w:tcW w:w="1588" w:type="dxa"/>
                  <w:noWrap/>
                </w:tcPr>
                <w:p w14:paraId="634A3F23">
                  <w:pPr>
                    <w:snapToGrid w:val="0"/>
                    <w:spacing w:before="110"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每周2次（污染时随时清洁）。</w:t>
                  </w:r>
                </w:p>
              </w:tc>
            </w:tr>
            <w:tr w14:paraId="4274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46" w:type="dxa"/>
                  <w:noWrap/>
                </w:tcPr>
                <w:p w14:paraId="5D46724D">
                  <w:pPr>
                    <w:snapToGrid w:val="0"/>
                    <w:spacing w:before="110" w:line="360" w:lineRule="exact"/>
                    <w:ind w:right="131"/>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w:t>
                  </w:r>
                </w:p>
              </w:tc>
              <w:tc>
                <w:tcPr>
                  <w:tcW w:w="5364" w:type="dxa"/>
                  <w:noWrap/>
                </w:tcPr>
                <w:p w14:paraId="7C8F824D">
                  <w:pPr>
                    <w:snapToGrid w:val="0"/>
                    <w:spacing w:line="36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高处（含天花板、高处墙面、梁及架等）除尘（建筑物外墙两米以下）</w:t>
                  </w:r>
                </w:p>
              </w:tc>
              <w:tc>
                <w:tcPr>
                  <w:tcW w:w="1588" w:type="dxa"/>
                  <w:noWrap/>
                </w:tcPr>
                <w:p w14:paraId="1370CEBD">
                  <w:pPr>
                    <w:snapToGrid w:val="0"/>
                    <w:spacing w:before="110" w:line="360" w:lineRule="exact"/>
                    <w:ind w:firstLine="105" w:firstLineChars="5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每月1次（污染时随时清洁）。</w:t>
                  </w:r>
                </w:p>
              </w:tc>
            </w:tr>
            <w:tr w14:paraId="16EF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46" w:type="dxa"/>
                  <w:noWrap/>
                  <w:vAlign w:val="center"/>
                </w:tcPr>
                <w:p w14:paraId="19FC46E0">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w:t>
                  </w:r>
                </w:p>
              </w:tc>
              <w:tc>
                <w:tcPr>
                  <w:tcW w:w="5364" w:type="dxa"/>
                  <w:noWrap/>
                  <w:vAlign w:val="center"/>
                </w:tcPr>
                <w:p w14:paraId="0E5E4D5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灯具、烟感、监视器、通风口、排气扇、风扇、空调表面等高处设备擦洗</w:t>
                  </w:r>
                </w:p>
              </w:tc>
              <w:tc>
                <w:tcPr>
                  <w:tcW w:w="1588" w:type="dxa"/>
                  <w:noWrap/>
                  <w:vAlign w:val="center"/>
                </w:tcPr>
                <w:p w14:paraId="6CDB6256">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每月1次（污染时随时清洁）。</w:t>
                  </w:r>
                </w:p>
              </w:tc>
            </w:tr>
            <w:tr w14:paraId="551D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46" w:type="dxa"/>
                  <w:noWrap/>
                </w:tcPr>
                <w:p w14:paraId="5802BCA2">
                  <w:pPr>
                    <w:snapToGrid w:val="0"/>
                    <w:spacing w:before="34" w:line="360" w:lineRule="exact"/>
                    <w:ind w:right="131"/>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w:t>
                  </w:r>
                </w:p>
              </w:tc>
              <w:tc>
                <w:tcPr>
                  <w:tcW w:w="5364" w:type="dxa"/>
                  <w:noWrap/>
                </w:tcPr>
                <w:p w14:paraId="5DBE05D1">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虫网、蜘蛛网清理</w:t>
                  </w:r>
                </w:p>
              </w:tc>
              <w:tc>
                <w:tcPr>
                  <w:tcW w:w="1588" w:type="dxa"/>
                  <w:noWrap/>
                </w:tcPr>
                <w:p w14:paraId="19C090AE">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42C8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46" w:type="dxa"/>
                  <w:noWrap/>
                </w:tcPr>
                <w:p w14:paraId="19A22EDF">
                  <w:pPr>
                    <w:snapToGrid w:val="0"/>
                    <w:spacing w:before="34" w:line="360" w:lineRule="exact"/>
                    <w:ind w:right="131"/>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w:t>
                  </w:r>
                </w:p>
              </w:tc>
              <w:tc>
                <w:tcPr>
                  <w:tcW w:w="5364" w:type="dxa"/>
                  <w:noWrap/>
                </w:tcPr>
                <w:p w14:paraId="1261A73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室内绿植养护、清洁</w:t>
                  </w:r>
                </w:p>
              </w:tc>
              <w:tc>
                <w:tcPr>
                  <w:tcW w:w="1588" w:type="dxa"/>
                  <w:noWrap/>
                </w:tcPr>
                <w:p w14:paraId="51C877EC">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60DA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46" w:type="dxa"/>
                  <w:noWrap/>
                </w:tcPr>
                <w:p w14:paraId="098DBC79">
                  <w:pPr>
                    <w:snapToGrid w:val="0"/>
                    <w:spacing w:before="34" w:line="360" w:lineRule="exact"/>
                    <w:ind w:right="131"/>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w:t>
                  </w:r>
                </w:p>
              </w:tc>
              <w:tc>
                <w:tcPr>
                  <w:tcW w:w="5364" w:type="dxa"/>
                  <w:noWrap/>
                </w:tcPr>
                <w:p w14:paraId="48D6EBE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垃圾分类清运</w:t>
                  </w:r>
                </w:p>
              </w:tc>
              <w:tc>
                <w:tcPr>
                  <w:tcW w:w="1588" w:type="dxa"/>
                  <w:noWrap/>
                </w:tcPr>
                <w:p w14:paraId="03C80979">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7B0E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46" w:type="dxa"/>
                  <w:noWrap/>
                </w:tcPr>
                <w:p w14:paraId="0123AA15">
                  <w:pPr>
                    <w:snapToGrid w:val="0"/>
                    <w:spacing w:before="34" w:line="360" w:lineRule="exact"/>
                    <w:ind w:right="131"/>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w:t>
                  </w:r>
                </w:p>
              </w:tc>
              <w:tc>
                <w:tcPr>
                  <w:tcW w:w="5364" w:type="dxa"/>
                  <w:noWrap/>
                </w:tcPr>
                <w:p w14:paraId="327DED94">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各种检查时，响应医院要求，随时安排人员巡查搞好卫生</w:t>
                  </w:r>
                </w:p>
              </w:tc>
              <w:tc>
                <w:tcPr>
                  <w:tcW w:w="1588" w:type="dxa"/>
                  <w:noWrap/>
                </w:tcPr>
                <w:p w14:paraId="472DBC7C">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3FE8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6" w:type="dxa"/>
                  <w:noWrap/>
                </w:tcPr>
                <w:p w14:paraId="6C864346">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w:t>
                  </w:r>
                </w:p>
              </w:tc>
              <w:tc>
                <w:tcPr>
                  <w:tcW w:w="5364" w:type="dxa"/>
                  <w:noWrap/>
                </w:tcPr>
                <w:p w14:paraId="05E8D10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加卫生间泡沫剂</w:t>
                  </w:r>
                </w:p>
              </w:tc>
              <w:tc>
                <w:tcPr>
                  <w:tcW w:w="1588" w:type="dxa"/>
                  <w:noWrap/>
                </w:tcPr>
                <w:p w14:paraId="791C65B7">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4FCC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6" w:type="dxa"/>
                  <w:noWrap/>
                </w:tcPr>
                <w:p w14:paraId="2FFD6395">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23</w:t>
                  </w:r>
                </w:p>
              </w:tc>
              <w:tc>
                <w:tcPr>
                  <w:tcW w:w="5364" w:type="dxa"/>
                  <w:noWrap/>
                </w:tcPr>
                <w:p w14:paraId="28D1FEE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门急诊平台地面清洗</w:t>
                  </w:r>
                </w:p>
              </w:tc>
              <w:tc>
                <w:tcPr>
                  <w:tcW w:w="1588" w:type="dxa"/>
                  <w:noWrap/>
                </w:tcPr>
                <w:p w14:paraId="5B354051">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w:t>
                  </w:r>
                </w:p>
              </w:tc>
            </w:tr>
            <w:tr w14:paraId="2AC5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6" w:type="dxa"/>
                  <w:noWrap/>
                </w:tcPr>
                <w:p w14:paraId="245D7ECF">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w:t>
                  </w:r>
                </w:p>
              </w:tc>
              <w:tc>
                <w:tcPr>
                  <w:tcW w:w="5364" w:type="dxa"/>
                  <w:noWrap/>
                </w:tcPr>
                <w:p w14:paraId="7872398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污物间医疗、生活垃圾分类放置清楚</w:t>
                  </w:r>
                </w:p>
              </w:tc>
              <w:tc>
                <w:tcPr>
                  <w:tcW w:w="1588" w:type="dxa"/>
                  <w:noWrap/>
                </w:tcPr>
                <w:p w14:paraId="77739907">
                  <w:pPr>
                    <w:snapToGrid w:val="0"/>
                    <w:spacing w:line="360" w:lineRule="exact"/>
                    <w:ind w:firstLine="105"/>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32C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6" w:type="dxa"/>
                  <w:noWrap/>
                </w:tcPr>
                <w:p w14:paraId="45B32044">
                  <w:pPr>
                    <w:snapToGrid w:val="0"/>
                    <w:spacing w:before="34" w:line="360" w:lineRule="exact"/>
                    <w:ind w:right="131"/>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w:t>
                  </w:r>
                </w:p>
              </w:tc>
              <w:tc>
                <w:tcPr>
                  <w:tcW w:w="5364" w:type="dxa"/>
                  <w:noWrap/>
                </w:tcPr>
                <w:p w14:paraId="1A77BFD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清洁工具按区域分开放置（清洁、半污染、污染区）</w:t>
                  </w:r>
                </w:p>
              </w:tc>
              <w:tc>
                <w:tcPr>
                  <w:tcW w:w="1588" w:type="dxa"/>
                  <w:noWrap/>
                </w:tcPr>
                <w:p w14:paraId="0AF8E14A">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bl>
          <w:p w14:paraId="46B5C703">
            <w:pPr>
              <w:snapToGrid w:val="0"/>
              <w:spacing w:line="360" w:lineRule="exac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2.手术室及产房</w:t>
            </w:r>
          </w:p>
          <w:tbl>
            <w:tblPr>
              <w:tblStyle w:val="55"/>
              <w:tblW w:w="7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437"/>
              <w:gridCol w:w="1444"/>
            </w:tblGrid>
            <w:tr w14:paraId="6355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77" w:type="dxa"/>
                  <w:noWrap/>
                  <w:vAlign w:val="center"/>
                </w:tcPr>
                <w:p w14:paraId="3EDEE90E">
                  <w:pPr>
                    <w:snapToGrid w:val="0"/>
                    <w:spacing w:line="36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5437" w:type="dxa"/>
                  <w:noWrap/>
                </w:tcPr>
                <w:p w14:paraId="24FC751F">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工作内容</w:t>
                  </w:r>
                </w:p>
              </w:tc>
              <w:tc>
                <w:tcPr>
                  <w:tcW w:w="1444" w:type="dxa"/>
                  <w:noWrap/>
                </w:tcPr>
                <w:p w14:paraId="4D6D740A">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频次</w:t>
                  </w:r>
                </w:p>
              </w:tc>
            </w:tr>
            <w:tr w14:paraId="553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7" w:type="dxa"/>
                  <w:noWrap/>
                  <w:vAlign w:val="center"/>
                </w:tcPr>
                <w:p w14:paraId="0CF0371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5437" w:type="dxa"/>
                  <w:noWrap/>
                </w:tcPr>
                <w:p w14:paraId="382E7BC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分类收集区域内垃圾、更换垃圾袋（垃圾不超过3/4）</w:t>
                  </w:r>
                </w:p>
              </w:tc>
              <w:tc>
                <w:tcPr>
                  <w:tcW w:w="1444" w:type="dxa"/>
                  <w:noWrap/>
                  <w:vAlign w:val="center"/>
                </w:tcPr>
                <w:p w14:paraId="0BB6373D">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▲每日4次</w:t>
                  </w:r>
                </w:p>
              </w:tc>
            </w:tr>
            <w:tr w14:paraId="4131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7" w:type="dxa"/>
                  <w:noWrap/>
                  <w:vAlign w:val="center"/>
                </w:tcPr>
                <w:p w14:paraId="0FB97BC2">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5437" w:type="dxa"/>
                  <w:noWrap/>
                </w:tcPr>
                <w:p w14:paraId="38C8A10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区域内地面、楼道扬尘（无扬尘干扫）</w:t>
                  </w:r>
                </w:p>
              </w:tc>
              <w:tc>
                <w:tcPr>
                  <w:tcW w:w="1444" w:type="dxa"/>
                  <w:noWrap/>
                  <w:vAlign w:val="center"/>
                </w:tcPr>
                <w:p w14:paraId="422A3A28">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047A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77" w:type="dxa"/>
                  <w:noWrap/>
                  <w:vAlign w:val="center"/>
                </w:tcPr>
                <w:p w14:paraId="108A0F5B">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5437" w:type="dxa"/>
                  <w:noWrap/>
                </w:tcPr>
                <w:p w14:paraId="42646D2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区域内地面、楼道湿拖（进行地面消毒、清洁）</w:t>
                  </w:r>
                </w:p>
              </w:tc>
              <w:tc>
                <w:tcPr>
                  <w:tcW w:w="1444" w:type="dxa"/>
                  <w:noWrap/>
                  <w:vAlign w:val="center"/>
                </w:tcPr>
                <w:p w14:paraId="6E1CD92C">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3C15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77" w:type="dxa"/>
                  <w:noWrap/>
                  <w:vAlign w:val="center"/>
                </w:tcPr>
                <w:p w14:paraId="327EB751">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5437" w:type="dxa"/>
                  <w:noWrap/>
                </w:tcPr>
                <w:p w14:paraId="03EAA7D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区域内各式家具（办公桌椅、橱柜等）、办公用品（含病历牌）、台面擦拭</w:t>
                  </w:r>
                </w:p>
              </w:tc>
              <w:tc>
                <w:tcPr>
                  <w:tcW w:w="1444" w:type="dxa"/>
                  <w:noWrap/>
                  <w:vAlign w:val="center"/>
                </w:tcPr>
                <w:p w14:paraId="2A6B5E29">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3B1A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77" w:type="dxa"/>
                  <w:noWrap/>
                  <w:vAlign w:val="center"/>
                </w:tcPr>
                <w:p w14:paraId="1C740D31">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5437" w:type="dxa"/>
                  <w:noWrap/>
                </w:tcPr>
                <w:p w14:paraId="27CC747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区域内电脑、电话、仪器（含各种医用器材，精密仪器除外）、器械（治疗车、病历夹、病历架等）、轮椅、床单位、床头柜、凳子、微波炉、饮水机外部、氧气管、低处电器表面的清洗或擦拭</w:t>
                  </w:r>
                </w:p>
              </w:tc>
              <w:tc>
                <w:tcPr>
                  <w:tcW w:w="1444" w:type="dxa"/>
                  <w:noWrap/>
                  <w:vAlign w:val="center"/>
                </w:tcPr>
                <w:p w14:paraId="0DF7F598">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▲每日1次（一床一巾，抹布分类分区使用，不能交叉感染）</w:t>
                  </w:r>
                </w:p>
              </w:tc>
            </w:tr>
            <w:tr w14:paraId="2B86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77" w:type="dxa"/>
                  <w:noWrap/>
                  <w:vAlign w:val="center"/>
                </w:tcPr>
                <w:p w14:paraId="4DE0736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5437" w:type="dxa"/>
                  <w:noWrap/>
                </w:tcPr>
                <w:p w14:paraId="4D0F9F76">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区域内洗手池、水池、水龙头、皂盒、擦手纸盒清洗、擦拭</w:t>
                  </w:r>
                </w:p>
              </w:tc>
              <w:tc>
                <w:tcPr>
                  <w:tcW w:w="1444" w:type="dxa"/>
                  <w:noWrap/>
                  <w:vAlign w:val="center"/>
                </w:tcPr>
                <w:p w14:paraId="38AED26D">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0229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77" w:type="dxa"/>
                  <w:noWrap/>
                  <w:vAlign w:val="center"/>
                </w:tcPr>
                <w:p w14:paraId="774F8023">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5437" w:type="dxa"/>
                  <w:noWrap/>
                </w:tcPr>
                <w:p w14:paraId="6E1D920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卫生间（含镜子、水龙头、脸盆、台面、毛巾架、马桶、淋浴器、地面）。</w:t>
                  </w:r>
                </w:p>
              </w:tc>
              <w:tc>
                <w:tcPr>
                  <w:tcW w:w="1444" w:type="dxa"/>
                  <w:noWrap/>
                  <w:vAlign w:val="center"/>
                </w:tcPr>
                <w:p w14:paraId="77158870">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▲每日1次，地面上下午各1次（污染时随时清洁）</w:t>
                  </w:r>
                </w:p>
              </w:tc>
            </w:tr>
            <w:tr w14:paraId="609C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77" w:type="dxa"/>
                  <w:noWrap/>
                  <w:vAlign w:val="center"/>
                </w:tcPr>
                <w:p w14:paraId="57EA4564">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5437" w:type="dxa"/>
                  <w:noWrap/>
                </w:tcPr>
                <w:p w14:paraId="52C1164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平车、抢救车、检查床的擦拭、消毒</w:t>
                  </w:r>
                </w:p>
              </w:tc>
              <w:tc>
                <w:tcPr>
                  <w:tcW w:w="1444" w:type="dxa"/>
                  <w:noWrap/>
                  <w:vAlign w:val="center"/>
                </w:tcPr>
                <w:p w14:paraId="65363DF7">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483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77" w:type="dxa"/>
                  <w:noWrap/>
                  <w:vAlign w:val="center"/>
                </w:tcPr>
                <w:p w14:paraId="5FF6FCF4">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5437" w:type="dxa"/>
                  <w:noWrap/>
                </w:tcPr>
                <w:p w14:paraId="309A619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区域内医护人员使用后工作拖鞋、家属探视鞋清洗消毒、整理</w:t>
                  </w:r>
                </w:p>
              </w:tc>
              <w:tc>
                <w:tcPr>
                  <w:tcW w:w="1444" w:type="dxa"/>
                  <w:noWrap/>
                  <w:vAlign w:val="center"/>
                </w:tcPr>
                <w:p w14:paraId="38014023">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6AED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77" w:type="dxa"/>
                  <w:noWrap/>
                  <w:vAlign w:val="center"/>
                </w:tcPr>
                <w:p w14:paraId="3D26B2CB">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p>
              </w:tc>
              <w:tc>
                <w:tcPr>
                  <w:tcW w:w="5437" w:type="dxa"/>
                  <w:noWrap/>
                </w:tcPr>
                <w:p w14:paraId="105D6FF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防滑地垫、消防栓、消防器擦拭、冰箱内外部清洗</w:t>
                  </w:r>
                </w:p>
              </w:tc>
              <w:tc>
                <w:tcPr>
                  <w:tcW w:w="1444" w:type="dxa"/>
                  <w:noWrap/>
                  <w:vAlign w:val="center"/>
                </w:tcPr>
                <w:p w14:paraId="757DEB4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每周1次（污染时随时清洁）</w:t>
                  </w:r>
                </w:p>
              </w:tc>
            </w:tr>
            <w:tr w14:paraId="3E5B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77" w:type="dxa"/>
                  <w:noWrap/>
                  <w:vAlign w:val="center"/>
                </w:tcPr>
                <w:p w14:paraId="7139ED8A">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w:t>
                  </w:r>
                </w:p>
              </w:tc>
              <w:tc>
                <w:tcPr>
                  <w:tcW w:w="5437" w:type="dxa"/>
                  <w:noWrap/>
                </w:tcPr>
                <w:p w14:paraId="6292C6E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非医疗不锈钢物体表面不锈钢保养、门窗玻璃清洗</w:t>
                  </w:r>
                </w:p>
              </w:tc>
              <w:tc>
                <w:tcPr>
                  <w:tcW w:w="1444" w:type="dxa"/>
                  <w:noWrap/>
                  <w:vAlign w:val="center"/>
                </w:tcPr>
                <w:p w14:paraId="776F1C0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每周1次（污染时随时清洁）</w:t>
                  </w:r>
                </w:p>
              </w:tc>
            </w:tr>
            <w:tr w14:paraId="0DF0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77" w:type="dxa"/>
                  <w:noWrap/>
                  <w:vAlign w:val="center"/>
                </w:tcPr>
                <w:p w14:paraId="20B8F6F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w:t>
                  </w:r>
                </w:p>
              </w:tc>
              <w:tc>
                <w:tcPr>
                  <w:tcW w:w="5437" w:type="dxa"/>
                  <w:noWrap/>
                </w:tcPr>
                <w:p w14:paraId="67A07EC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高处标牌、壁挂物擦拭、卫生间墙壁</w:t>
                  </w:r>
                </w:p>
              </w:tc>
              <w:tc>
                <w:tcPr>
                  <w:tcW w:w="1444" w:type="dxa"/>
                  <w:noWrap/>
                  <w:vAlign w:val="center"/>
                </w:tcPr>
                <w:p w14:paraId="785852C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每周1次（污染时随时清洁）</w:t>
                  </w:r>
                </w:p>
              </w:tc>
            </w:tr>
            <w:tr w14:paraId="47B1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77" w:type="dxa"/>
                  <w:noWrap/>
                  <w:vAlign w:val="center"/>
                </w:tcPr>
                <w:p w14:paraId="46AD16FC">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w:t>
                  </w:r>
                </w:p>
              </w:tc>
              <w:tc>
                <w:tcPr>
                  <w:tcW w:w="5437" w:type="dxa"/>
                  <w:noWrap/>
                </w:tcPr>
                <w:p w14:paraId="1D4DF5C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低处墙面静电除尘、落地瓷砖、踢脚板、地角、低处管道擦拭</w:t>
                  </w:r>
                </w:p>
              </w:tc>
              <w:tc>
                <w:tcPr>
                  <w:tcW w:w="1444" w:type="dxa"/>
                  <w:noWrap/>
                </w:tcPr>
                <w:p w14:paraId="50432F06">
                  <w:pPr>
                    <w:snapToGrid w:val="0"/>
                    <w:spacing w:before="110"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每周2次（污染时随时清洁）</w:t>
                  </w:r>
                </w:p>
              </w:tc>
            </w:tr>
            <w:tr w14:paraId="409C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77" w:type="dxa"/>
                  <w:noWrap/>
                </w:tcPr>
                <w:p w14:paraId="30E8F287">
                  <w:pPr>
                    <w:snapToGrid w:val="0"/>
                    <w:spacing w:before="110" w:line="360" w:lineRule="exact"/>
                    <w:ind w:right="131"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w:t>
                  </w:r>
                </w:p>
              </w:tc>
              <w:tc>
                <w:tcPr>
                  <w:tcW w:w="5437" w:type="dxa"/>
                  <w:noWrap/>
                </w:tcPr>
                <w:p w14:paraId="436907F1">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高处（含天花板、高处墙面、梁及架等）除尘（建筑物外墙两米以下）</w:t>
                  </w:r>
                </w:p>
              </w:tc>
              <w:tc>
                <w:tcPr>
                  <w:tcW w:w="1444" w:type="dxa"/>
                  <w:noWrap/>
                </w:tcPr>
                <w:p w14:paraId="0DAB2438">
                  <w:pPr>
                    <w:snapToGrid w:val="0"/>
                    <w:spacing w:before="110" w:line="36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每月1次（污染时随时清洁）</w:t>
                  </w:r>
                </w:p>
              </w:tc>
            </w:tr>
            <w:tr w14:paraId="2E53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77" w:type="dxa"/>
                  <w:noWrap/>
                  <w:vAlign w:val="center"/>
                </w:tcPr>
                <w:p w14:paraId="4950009E">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w:t>
                  </w:r>
                </w:p>
              </w:tc>
              <w:tc>
                <w:tcPr>
                  <w:tcW w:w="5437" w:type="dxa"/>
                  <w:noWrap/>
                  <w:vAlign w:val="center"/>
                </w:tcPr>
                <w:p w14:paraId="0B502976">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灯具、烟感、监视器、通风口、回风口、排气扇等高处设备擦洗</w:t>
                  </w:r>
                </w:p>
              </w:tc>
              <w:tc>
                <w:tcPr>
                  <w:tcW w:w="1444" w:type="dxa"/>
                  <w:noWrap/>
                  <w:vAlign w:val="center"/>
                </w:tcPr>
                <w:p w14:paraId="2818D4C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每月1次（污染时随时清洁）</w:t>
                  </w:r>
                </w:p>
              </w:tc>
            </w:tr>
            <w:tr w14:paraId="2136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77" w:type="dxa"/>
                  <w:noWrap/>
                </w:tcPr>
                <w:p w14:paraId="6F164EF4">
                  <w:pPr>
                    <w:snapToGrid w:val="0"/>
                    <w:spacing w:line="360" w:lineRule="exact"/>
                    <w:ind w:right="131"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w:t>
                  </w:r>
                </w:p>
              </w:tc>
              <w:tc>
                <w:tcPr>
                  <w:tcW w:w="5437" w:type="dxa"/>
                  <w:noWrap/>
                </w:tcPr>
                <w:p w14:paraId="30B0E243">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手术室、治疗室等功能区的清洁及术后的整理、清洁、消毒</w:t>
                  </w:r>
                </w:p>
              </w:tc>
              <w:tc>
                <w:tcPr>
                  <w:tcW w:w="1444" w:type="dxa"/>
                  <w:noWrap/>
                </w:tcPr>
                <w:p w14:paraId="03389E10">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256A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77" w:type="dxa"/>
                  <w:noWrap/>
                  <w:vAlign w:val="center"/>
                </w:tcPr>
                <w:p w14:paraId="008D9497">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w:t>
                  </w:r>
                </w:p>
              </w:tc>
              <w:tc>
                <w:tcPr>
                  <w:tcW w:w="5437" w:type="dxa"/>
                  <w:noWrap/>
                </w:tcPr>
                <w:p w14:paraId="2E5D02DF">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各区域内墙面、地面的打扫、擦拭、整理</w:t>
                  </w:r>
                </w:p>
              </w:tc>
              <w:tc>
                <w:tcPr>
                  <w:tcW w:w="1444" w:type="dxa"/>
                  <w:noWrap/>
                </w:tcPr>
                <w:p w14:paraId="64898136">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w:t>
                  </w:r>
                </w:p>
              </w:tc>
            </w:tr>
            <w:tr w14:paraId="33C4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7" w:type="dxa"/>
                  <w:noWrap/>
                </w:tcPr>
                <w:p w14:paraId="58899D87">
                  <w:pPr>
                    <w:snapToGrid w:val="0"/>
                    <w:spacing w:before="34" w:line="360" w:lineRule="exact"/>
                    <w:ind w:right="131"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w:t>
                  </w:r>
                </w:p>
              </w:tc>
              <w:tc>
                <w:tcPr>
                  <w:tcW w:w="5437" w:type="dxa"/>
                  <w:noWrap/>
                </w:tcPr>
                <w:p w14:paraId="045E5C2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虫网、蜘蛛网清理</w:t>
                  </w:r>
                </w:p>
              </w:tc>
              <w:tc>
                <w:tcPr>
                  <w:tcW w:w="1444" w:type="dxa"/>
                  <w:noWrap/>
                </w:tcPr>
                <w:p w14:paraId="7405248A">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7417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7" w:type="dxa"/>
                  <w:noWrap/>
                </w:tcPr>
                <w:p w14:paraId="302261C9">
                  <w:pPr>
                    <w:snapToGrid w:val="0"/>
                    <w:spacing w:before="34" w:line="360" w:lineRule="exact"/>
                    <w:ind w:right="131"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19</w:t>
                  </w:r>
                </w:p>
              </w:tc>
              <w:tc>
                <w:tcPr>
                  <w:tcW w:w="5437" w:type="dxa"/>
                  <w:noWrap/>
                </w:tcPr>
                <w:p w14:paraId="47C51E7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清洁工具按区域分开放置（清洁、半污染、污染区）</w:t>
                  </w:r>
                </w:p>
              </w:tc>
              <w:tc>
                <w:tcPr>
                  <w:tcW w:w="1444" w:type="dxa"/>
                  <w:noWrap/>
                </w:tcPr>
                <w:p w14:paraId="451894E3">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4A25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77" w:type="dxa"/>
                  <w:noWrap/>
                </w:tcPr>
                <w:p w14:paraId="45AD402F">
                  <w:pPr>
                    <w:snapToGrid w:val="0"/>
                    <w:spacing w:before="34" w:line="360" w:lineRule="exact"/>
                    <w:ind w:right="131"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w:t>
                  </w:r>
                </w:p>
              </w:tc>
              <w:tc>
                <w:tcPr>
                  <w:tcW w:w="5437" w:type="dxa"/>
                  <w:noWrap/>
                </w:tcPr>
                <w:p w14:paraId="08E71AC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污物间医疗、生活垃圾分类放置清楚</w:t>
                  </w:r>
                </w:p>
              </w:tc>
              <w:tc>
                <w:tcPr>
                  <w:tcW w:w="1444" w:type="dxa"/>
                  <w:noWrap/>
                </w:tcPr>
                <w:p w14:paraId="5B61C071">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5FC2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77" w:type="dxa"/>
                  <w:noWrap/>
                </w:tcPr>
                <w:p w14:paraId="2DB4001E">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w:t>
                  </w:r>
                </w:p>
              </w:tc>
              <w:tc>
                <w:tcPr>
                  <w:tcW w:w="5437" w:type="dxa"/>
                  <w:noWrap/>
                </w:tcPr>
                <w:p w14:paraId="54B000E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加卫生间洗手液</w:t>
                  </w:r>
                </w:p>
              </w:tc>
              <w:tc>
                <w:tcPr>
                  <w:tcW w:w="1444" w:type="dxa"/>
                  <w:noWrap/>
                </w:tcPr>
                <w:p w14:paraId="4E8E46FC">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6CE8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77" w:type="dxa"/>
                  <w:noWrap/>
                </w:tcPr>
                <w:p w14:paraId="2772535F">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w:t>
                  </w:r>
                </w:p>
              </w:tc>
              <w:tc>
                <w:tcPr>
                  <w:tcW w:w="5437" w:type="dxa"/>
                  <w:noWrap/>
                </w:tcPr>
                <w:p w14:paraId="4785ED3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垃圾分类清运</w:t>
                  </w:r>
                </w:p>
              </w:tc>
              <w:tc>
                <w:tcPr>
                  <w:tcW w:w="1444" w:type="dxa"/>
                  <w:noWrap/>
                </w:tcPr>
                <w:p w14:paraId="075550E6">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2B69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77" w:type="dxa"/>
                  <w:noWrap/>
                </w:tcPr>
                <w:p w14:paraId="159FB77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23</w:t>
                  </w:r>
                </w:p>
              </w:tc>
              <w:tc>
                <w:tcPr>
                  <w:tcW w:w="5437" w:type="dxa"/>
                  <w:noWrap/>
                </w:tcPr>
                <w:p w14:paraId="562A7493">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具体未描述到的保洁要求遵照科室的要求执行。</w:t>
                  </w:r>
                </w:p>
              </w:tc>
              <w:tc>
                <w:tcPr>
                  <w:tcW w:w="1444" w:type="dxa"/>
                  <w:noWrap/>
                </w:tcPr>
                <w:p w14:paraId="35166F66">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bl>
          <w:p w14:paraId="14FC84A2">
            <w:pPr>
              <w:snapToGrid w:val="0"/>
              <w:spacing w:line="36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3.住院部各病区</w:t>
            </w:r>
          </w:p>
          <w:tbl>
            <w:tblPr>
              <w:tblStyle w:val="55"/>
              <w:tblW w:w="7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5222"/>
              <w:gridCol w:w="1482"/>
            </w:tblGrid>
            <w:tr w14:paraId="5352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10FE4AFB">
                  <w:pPr>
                    <w:snapToGrid w:val="0"/>
                    <w:spacing w:line="36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5222" w:type="dxa"/>
                  <w:noWrap/>
                </w:tcPr>
                <w:p w14:paraId="6021B011">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工作内容</w:t>
                  </w:r>
                </w:p>
              </w:tc>
              <w:tc>
                <w:tcPr>
                  <w:tcW w:w="1482" w:type="dxa"/>
                  <w:noWrap/>
                </w:tcPr>
                <w:p w14:paraId="4CF1FE68">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频次</w:t>
                  </w:r>
                </w:p>
              </w:tc>
            </w:tr>
            <w:tr w14:paraId="0E4E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50898BA2">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5222" w:type="dxa"/>
                  <w:noWrap/>
                </w:tcPr>
                <w:p w14:paraId="3624C03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分类收集区域内垃圾、更换垃圾袋（垃圾不超过3/4）</w:t>
                  </w:r>
                </w:p>
              </w:tc>
              <w:tc>
                <w:tcPr>
                  <w:tcW w:w="1482" w:type="dxa"/>
                  <w:noWrap/>
                  <w:vAlign w:val="center"/>
                </w:tcPr>
                <w:p w14:paraId="45E9A8B4">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▲每日4次</w:t>
                  </w:r>
                </w:p>
              </w:tc>
            </w:tr>
            <w:tr w14:paraId="3D7F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50F34B33">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5222" w:type="dxa"/>
                  <w:noWrap/>
                </w:tcPr>
                <w:p w14:paraId="1C50002F">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区域内地面、楼道扬尘（无扬尘干扫）</w:t>
                  </w:r>
                </w:p>
              </w:tc>
              <w:tc>
                <w:tcPr>
                  <w:tcW w:w="1482" w:type="dxa"/>
                  <w:noWrap/>
                  <w:vAlign w:val="center"/>
                </w:tcPr>
                <w:p w14:paraId="303D5C23">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43D1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71561A7E">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5222" w:type="dxa"/>
                  <w:noWrap/>
                </w:tcPr>
                <w:p w14:paraId="3E0E7CB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区域内地面、楼道湿拖（进行地面消毒、清洁）</w:t>
                  </w:r>
                </w:p>
              </w:tc>
              <w:tc>
                <w:tcPr>
                  <w:tcW w:w="1482" w:type="dxa"/>
                  <w:noWrap/>
                  <w:vAlign w:val="center"/>
                </w:tcPr>
                <w:p w14:paraId="5C7DCD09">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4873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05962EDB">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5222" w:type="dxa"/>
                  <w:noWrap/>
                </w:tcPr>
                <w:p w14:paraId="1A99E846">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区域内各式家具（办公桌椅、橱柜等）、办公用品（含病历牌）、台面擦拭</w:t>
                  </w:r>
                </w:p>
              </w:tc>
              <w:tc>
                <w:tcPr>
                  <w:tcW w:w="1482" w:type="dxa"/>
                  <w:noWrap/>
                  <w:vAlign w:val="center"/>
                </w:tcPr>
                <w:p w14:paraId="2B9D4CA1">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02B5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60F79B40">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5222" w:type="dxa"/>
                  <w:noWrap/>
                </w:tcPr>
                <w:p w14:paraId="6F7B102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区域内电脑、电话、仪器（含各种医用器材）、器械（治疗车、病历夹、病历架等）、轮椅、床单位、床头柜、凳子、微波炉、氧气管、低处电器表面的清洗或擦拭</w:t>
                  </w:r>
                </w:p>
              </w:tc>
              <w:tc>
                <w:tcPr>
                  <w:tcW w:w="1482" w:type="dxa"/>
                  <w:noWrap/>
                  <w:vAlign w:val="center"/>
                </w:tcPr>
                <w:p w14:paraId="2002F6E7">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▲每日1次（一床一巾，抹布分类分区使用，不能交叉感染）</w:t>
                  </w:r>
                </w:p>
              </w:tc>
            </w:tr>
            <w:tr w14:paraId="4E40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4" w:type="dxa"/>
                  <w:noWrap/>
                  <w:vAlign w:val="center"/>
                </w:tcPr>
                <w:p w14:paraId="63CBA9D6">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5222" w:type="dxa"/>
                  <w:noWrap/>
                </w:tcPr>
                <w:p w14:paraId="4CAF027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区域内洗手池、水池、水龙头、皂盒清洗、擦拭</w:t>
                  </w:r>
                </w:p>
              </w:tc>
              <w:tc>
                <w:tcPr>
                  <w:tcW w:w="1482" w:type="dxa"/>
                  <w:noWrap/>
                  <w:vAlign w:val="center"/>
                </w:tcPr>
                <w:p w14:paraId="1BCE085A">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764B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674" w:type="dxa"/>
                  <w:noWrap/>
                  <w:vAlign w:val="center"/>
                </w:tcPr>
                <w:p w14:paraId="0EF23409">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5222" w:type="dxa"/>
                  <w:noWrap/>
                </w:tcPr>
                <w:p w14:paraId="7F2DBDC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卫生间（含镜子、水龙头、脸盆、台面、毛巾架、马桶、淋浴器、地面）</w:t>
                  </w:r>
                </w:p>
              </w:tc>
              <w:tc>
                <w:tcPr>
                  <w:tcW w:w="1482" w:type="dxa"/>
                  <w:noWrap/>
                  <w:vAlign w:val="center"/>
                </w:tcPr>
                <w:p w14:paraId="0768638B">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▲每日1次，地面上下午各1次（污染时随时清洁）</w:t>
                  </w:r>
                </w:p>
              </w:tc>
            </w:tr>
            <w:tr w14:paraId="7442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28193D26">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5222" w:type="dxa"/>
                  <w:noWrap/>
                </w:tcPr>
                <w:p w14:paraId="55096713">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区域内窗台、阳台、把手、栏杆、花瓶、花盆、开关盒、接线盒、设备带、各类低处标牌、垃圾桶擦拭</w:t>
                  </w:r>
                </w:p>
              </w:tc>
              <w:tc>
                <w:tcPr>
                  <w:tcW w:w="1482" w:type="dxa"/>
                  <w:noWrap/>
                  <w:vAlign w:val="center"/>
                </w:tcPr>
                <w:p w14:paraId="46107C04">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6AC4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73A5BC6E">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5222" w:type="dxa"/>
                  <w:noWrap/>
                </w:tcPr>
                <w:p w14:paraId="2CE77153">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区域内医护人员使用后工作拖鞋、家属探视鞋清洗消毒、整理</w:t>
                  </w:r>
                </w:p>
              </w:tc>
              <w:tc>
                <w:tcPr>
                  <w:tcW w:w="1482" w:type="dxa"/>
                  <w:noWrap/>
                  <w:vAlign w:val="center"/>
                </w:tcPr>
                <w:p w14:paraId="0DB67E34">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2D05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572BD4B9">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p>
              </w:tc>
              <w:tc>
                <w:tcPr>
                  <w:tcW w:w="5222" w:type="dxa"/>
                  <w:noWrap/>
                </w:tcPr>
                <w:p w14:paraId="5E35A40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防滑地垫、消防栓、消防器擦拭、冰箱内外部清洗</w:t>
                  </w:r>
                </w:p>
              </w:tc>
              <w:tc>
                <w:tcPr>
                  <w:tcW w:w="1482" w:type="dxa"/>
                  <w:noWrap/>
                  <w:vAlign w:val="center"/>
                </w:tcPr>
                <w:p w14:paraId="593F1057">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每周1次（污染时随时清洁）</w:t>
                  </w:r>
                </w:p>
              </w:tc>
            </w:tr>
            <w:tr w14:paraId="35D6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2C96A622">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w:t>
                  </w:r>
                </w:p>
              </w:tc>
              <w:tc>
                <w:tcPr>
                  <w:tcW w:w="5222" w:type="dxa"/>
                  <w:noWrap/>
                </w:tcPr>
                <w:p w14:paraId="00214E9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非医疗不锈钢物体表面不锈钢保养、门窗玻璃清洗</w:t>
                  </w:r>
                </w:p>
              </w:tc>
              <w:tc>
                <w:tcPr>
                  <w:tcW w:w="1482" w:type="dxa"/>
                  <w:noWrap/>
                  <w:vAlign w:val="center"/>
                </w:tcPr>
                <w:p w14:paraId="57E0C215">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每周1次（污染时随时清洁）</w:t>
                  </w:r>
                </w:p>
              </w:tc>
            </w:tr>
            <w:tr w14:paraId="4C61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6CADE1DE">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w:t>
                  </w:r>
                </w:p>
              </w:tc>
              <w:tc>
                <w:tcPr>
                  <w:tcW w:w="5222" w:type="dxa"/>
                  <w:noWrap/>
                </w:tcPr>
                <w:p w14:paraId="0CE0E39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高处标牌、壁挂物擦拭、卫生间墙壁</w:t>
                  </w:r>
                </w:p>
              </w:tc>
              <w:tc>
                <w:tcPr>
                  <w:tcW w:w="1482" w:type="dxa"/>
                  <w:noWrap/>
                  <w:vAlign w:val="center"/>
                </w:tcPr>
                <w:p w14:paraId="78C55C0A">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每周1次（污染时随时清洁）</w:t>
                  </w:r>
                </w:p>
              </w:tc>
            </w:tr>
            <w:tr w14:paraId="086E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4BF6A8F4">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w:t>
                  </w:r>
                </w:p>
              </w:tc>
              <w:tc>
                <w:tcPr>
                  <w:tcW w:w="5222" w:type="dxa"/>
                  <w:noWrap/>
                </w:tcPr>
                <w:p w14:paraId="2D208FA4">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低处墙面静电除尘、落地瓷砖、踢脚板、地角、低处管道擦拭</w:t>
                  </w:r>
                </w:p>
              </w:tc>
              <w:tc>
                <w:tcPr>
                  <w:tcW w:w="1482" w:type="dxa"/>
                  <w:noWrap/>
                </w:tcPr>
                <w:p w14:paraId="7CBAA373">
                  <w:pPr>
                    <w:snapToGrid w:val="0"/>
                    <w:spacing w:before="110"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每周2次（污染时随时清洁）</w:t>
                  </w:r>
                </w:p>
              </w:tc>
            </w:tr>
            <w:tr w14:paraId="671D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265287D6">
                  <w:pPr>
                    <w:snapToGrid w:val="0"/>
                    <w:spacing w:before="110" w:line="360" w:lineRule="exact"/>
                    <w:ind w:right="131"/>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w:t>
                  </w:r>
                </w:p>
              </w:tc>
              <w:tc>
                <w:tcPr>
                  <w:tcW w:w="5222" w:type="dxa"/>
                  <w:noWrap/>
                </w:tcPr>
                <w:p w14:paraId="3C323780">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高处（含天花板、高处墙面、梁及架等）除尘（建筑物外墙两米以下）</w:t>
                  </w:r>
                </w:p>
              </w:tc>
              <w:tc>
                <w:tcPr>
                  <w:tcW w:w="1482" w:type="dxa"/>
                  <w:noWrap/>
                </w:tcPr>
                <w:p w14:paraId="6DC085CE">
                  <w:pPr>
                    <w:snapToGrid w:val="0"/>
                    <w:spacing w:before="110" w:line="360" w:lineRule="exact"/>
                    <w:ind w:firstLine="105" w:firstLineChars="5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每月1次（污染时随时清洁）</w:t>
                  </w:r>
                </w:p>
              </w:tc>
            </w:tr>
            <w:tr w14:paraId="78F9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ign w:val="center"/>
                </w:tcPr>
                <w:p w14:paraId="0F74B69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w:t>
                  </w:r>
                </w:p>
              </w:tc>
              <w:tc>
                <w:tcPr>
                  <w:tcW w:w="5222" w:type="dxa"/>
                  <w:noWrap/>
                  <w:vAlign w:val="center"/>
                </w:tcPr>
                <w:p w14:paraId="7CB2CD7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灯具、烟感、监视器、通风口、排气扇、风扇、空调表面等高处设备擦洗</w:t>
                  </w:r>
                </w:p>
              </w:tc>
              <w:tc>
                <w:tcPr>
                  <w:tcW w:w="1482" w:type="dxa"/>
                  <w:noWrap/>
                  <w:vAlign w:val="center"/>
                </w:tcPr>
                <w:p w14:paraId="091D2B87">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每月1次（污染时随时清洁）</w:t>
                  </w:r>
                </w:p>
              </w:tc>
            </w:tr>
            <w:tr w14:paraId="4B03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4" w:type="dxa"/>
                  <w:noWrap/>
                </w:tcPr>
                <w:p w14:paraId="08F23BA9">
                  <w:pPr>
                    <w:snapToGrid w:val="0"/>
                    <w:spacing w:line="360" w:lineRule="exact"/>
                    <w:ind w:right="131"/>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w:t>
                  </w:r>
                </w:p>
              </w:tc>
              <w:tc>
                <w:tcPr>
                  <w:tcW w:w="5222" w:type="dxa"/>
                  <w:noWrap/>
                </w:tcPr>
                <w:p w14:paraId="3DAA002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治疗室的卫生、床单位终末消毒</w:t>
                  </w:r>
                </w:p>
              </w:tc>
              <w:tc>
                <w:tcPr>
                  <w:tcW w:w="1482" w:type="dxa"/>
                  <w:noWrap/>
                </w:tcPr>
                <w:p w14:paraId="28CC4FE0">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1DC7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4" w:type="dxa"/>
                  <w:noWrap/>
                  <w:vAlign w:val="center"/>
                </w:tcPr>
                <w:p w14:paraId="5F0BEBE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w:t>
                  </w:r>
                </w:p>
              </w:tc>
              <w:tc>
                <w:tcPr>
                  <w:tcW w:w="5222" w:type="dxa"/>
                  <w:noWrap/>
                </w:tcPr>
                <w:p w14:paraId="4116933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暖箱、光疗箱、吸痰管、痰盂的擦洗和消毒</w:t>
                  </w:r>
                </w:p>
              </w:tc>
              <w:tc>
                <w:tcPr>
                  <w:tcW w:w="1482" w:type="dxa"/>
                  <w:noWrap/>
                </w:tcPr>
                <w:p w14:paraId="6B373871">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443E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4F694959">
                  <w:pPr>
                    <w:snapToGrid w:val="0"/>
                    <w:spacing w:before="34" w:line="360" w:lineRule="exact"/>
                    <w:ind w:right="131"/>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w:t>
                  </w:r>
                </w:p>
              </w:tc>
              <w:tc>
                <w:tcPr>
                  <w:tcW w:w="5222" w:type="dxa"/>
                  <w:noWrap/>
                </w:tcPr>
                <w:p w14:paraId="1198510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虫网、蜘蛛网清理</w:t>
                  </w:r>
                </w:p>
              </w:tc>
              <w:tc>
                <w:tcPr>
                  <w:tcW w:w="1482" w:type="dxa"/>
                  <w:noWrap/>
                </w:tcPr>
                <w:p w14:paraId="79788852">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2B66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3FFD7189">
                  <w:pPr>
                    <w:snapToGrid w:val="0"/>
                    <w:spacing w:before="34" w:line="360" w:lineRule="exact"/>
                    <w:ind w:right="131"/>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19</w:t>
                  </w:r>
                </w:p>
              </w:tc>
              <w:tc>
                <w:tcPr>
                  <w:tcW w:w="5222" w:type="dxa"/>
                  <w:noWrap/>
                </w:tcPr>
                <w:p w14:paraId="2F6A6C5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室内绿植养护、清洁</w:t>
                  </w:r>
                </w:p>
              </w:tc>
              <w:tc>
                <w:tcPr>
                  <w:tcW w:w="1482" w:type="dxa"/>
                  <w:noWrap/>
                </w:tcPr>
                <w:p w14:paraId="0608769C">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43D9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4156C232">
                  <w:pPr>
                    <w:snapToGrid w:val="0"/>
                    <w:spacing w:before="34" w:line="360" w:lineRule="exact"/>
                    <w:ind w:right="131"/>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w:t>
                  </w:r>
                </w:p>
              </w:tc>
              <w:tc>
                <w:tcPr>
                  <w:tcW w:w="5222" w:type="dxa"/>
                  <w:noWrap/>
                </w:tcPr>
                <w:p w14:paraId="6F8723F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污物间医疗、生活垃圾分类放置清楚</w:t>
                  </w:r>
                </w:p>
              </w:tc>
              <w:tc>
                <w:tcPr>
                  <w:tcW w:w="1482" w:type="dxa"/>
                  <w:noWrap/>
                </w:tcPr>
                <w:p w14:paraId="27B07B7B">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1630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74" w:type="dxa"/>
                  <w:noWrap/>
                </w:tcPr>
                <w:p w14:paraId="5B22D571">
                  <w:pPr>
                    <w:snapToGrid w:val="0"/>
                    <w:spacing w:before="34" w:line="360" w:lineRule="exact"/>
                    <w:ind w:right="131"/>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w:t>
                  </w:r>
                </w:p>
              </w:tc>
              <w:tc>
                <w:tcPr>
                  <w:tcW w:w="5222" w:type="dxa"/>
                  <w:noWrap/>
                </w:tcPr>
                <w:p w14:paraId="144DFE4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各种检查时，响应医院要求，随时安排人员巡查，搞好卫生</w:t>
                  </w:r>
                </w:p>
              </w:tc>
              <w:tc>
                <w:tcPr>
                  <w:tcW w:w="1482" w:type="dxa"/>
                  <w:noWrap/>
                </w:tcPr>
                <w:p w14:paraId="2F667100">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44A8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tcPr>
                <w:p w14:paraId="5780AB92">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w:t>
                  </w:r>
                </w:p>
              </w:tc>
              <w:tc>
                <w:tcPr>
                  <w:tcW w:w="5222" w:type="dxa"/>
                  <w:noWrap/>
                </w:tcPr>
                <w:p w14:paraId="5AAD6674">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清洁工具按区域分开放置（清洁、半污染、污染区）</w:t>
                  </w:r>
                </w:p>
              </w:tc>
              <w:tc>
                <w:tcPr>
                  <w:tcW w:w="1482" w:type="dxa"/>
                  <w:noWrap/>
                </w:tcPr>
                <w:p w14:paraId="7B51CE12">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3FF3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4" w:type="dxa"/>
                  <w:noWrap/>
                </w:tcPr>
                <w:p w14:paraId="1CBCA9EB">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23</w:t>
                  </w:r>
                </w:p>
              </w:tc>
              <w:tc>
                <w:tcPr>
                  <w:tcW w:w="5222" w:type="dxa"/>
                  <w:noWrap/>
                </w:tcPr>
                <w:p w14:paraId="448E6640">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垃圾分类清运</w:t>
                  </w:r>
                </w:p>
              </w:tc>
              <w:tc>
                <w:tcPr>
                  <w:tcW w:w="1482" w:type="dxa"/>
                  <w:noWrap/>
                </w:tcPr>
                <w:p w14:paraId="32E6C108">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bl>
          <w:p w14:paraId="0D85D81E">
            <w:pPr>
              <w:snapToGrid w:val="0"/>
              <w:spacing w:line="36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4.行政办公区域</w:t>
            </w:r>
          </w:p>
          <w:tbl>
            <w:tblPr>
              <w:tblStyle w:val="55"/>
              <w:tblW w:w="7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5648"/>
              <w:gridCol w:w="1155"/>
            </w:tblGrid>
            <w:tr w14:paraId="263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75" w:type="dxa"/>
                  <w:noWrap/>
                </w:tcPr>
                <w:p w14:paraId="041DD745">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5648" w:type="dxa"/>
                  <w:noWrap/>
                </w:tcPr>
                <w:p w14:paraId="19FA8F7F">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工作内容</w:t>
                  </w:r>
                </w:p>
              </w:tc>
              <w:tc>
                <w:tcPr>
                  <w:tcW w:w="1155" w:type="dxa"/>
                  <w:noWrap/>
                </w:tcPr>
                <w:p w14:paraId="2C96E873">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频次</w:t>
                  </w:r>
                </w:p>
              </w:tc>
            </w:tr>
            <w:tr w14:paraId="2B56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4FD3F787">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w:t>
                  </w:r>
                </w:p>
              </w:tc>
              <w:tc>
                <w:tcPr>
                  <w:tcW w:w="5648" w:type="dxa"/>
                  <w:noWrap/>
                </w:tcPr>
                <w:p w14:paraId="152D1CE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收集区域内垃圾、更换垃圾袋</w:t>
                  </w:r>
                </w:p>
              </w:tc>
              <w:tc>
                <w:tcPr>
                  <w:tcW w:w="1155" w:type="dxa"/>
                  <w:noWrap/>
                </w:tcPr>
                <w:p w14:paraId="1DC8619A">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▲每日2次</w:t>
                  </w:r>
                </w:p>
              </w:tc>
            </w:tr>
            <w:tr w14:paraId="4861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29B319CB">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w:t>
                  </w:r>
                </w:p>
              </w:tc>
              <w:tc>
                <w:tcPr>
                  <w:tcW w:w="5648" w:type="dxa"/>
                  <w:noWrap/>
                </w:tcPr>
                <w:p w14:paraId="712486D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区域内地面、楼道扬尘（无扬尘干扫）</w:t>
                  </w:r>
                </w:p>
              </w:tc>
              <w:tc>
                <w:tcPr>
                  <w:tcW w:w="1155" w:type="dxa"/>
                  <w:noWrap/>
                </w:tcPr>
                <w:p w14:paraId="21A1EBB6">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▲每日2次</w:t>
                  </w:r>
                </w:p>
              </w:tc>
            </w:tr>
            <w:tr w14:paraId="16D2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7580E09B">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w:t>
                  </w:r>
                </w:p>
              </w:tc>
              <w:tc>
                <w:tcPr>
                  <w:tcW w:w="5648" w:type="dxa"/>
                  <w:noWrap/>
                </w:tcPr>
                <w:p w14:paraId="3E561CA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区域内地面、楼道湿拖（进行地面消毒、清洁）</w:t>
                  </w:r>
                </w:p>
              </w:tc>
              <w:tc>
                <w:tcPr>
                  <w:tcW w:w="1155" w:type="dxa"/>
                  <w:noWrap/>
                </w:tcPr>
                <w:p w14:paraId="59914346">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▲每日2次</w:t>
                  </w:r>
                </w:p>
              </w:tc>
            </w:tr>
            <w:tr w14:paraId="7A91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1E458CFA">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w:t>
                  </w:r>
                </w:p>
              </w:tc>
              <w:tc>
                <w:tcPr>
                  <w:tcW w:w="5648" w:type="dxa"/>
                  <w:noWrap/>
                </w:tcPr>
                <w:p w14:paraId="21DEC2D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区域内家具（桌椅、橱柜等）、台面擦拭</w:t>
                  </w:r>
                </w:p>
              </w:tc>
              <w:tc>
                <w:tcPr>
                  <w:tcW w:w="1155" w:type="dxa"/>
                  <w:noWrap/>
                </w:tcPr>
                <w:p w14:paraId="799AE850">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▲每日2次</w:t>
                  </w:r>
                </w:p>
              </w:tc>
            </w:tr>
            <w:tr w14:paraId="7C5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75" w:type="dxa"/>
                  <w:noWrap/>
                </w:tcPr>
                <w:p w14:paraId="15E8BB79">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6</w:t>
                  </w:r>
                </w:p>
              </w:tc>
              <w:tc>
                <w:tcPr>
                  <w:tcW w:w="5648" w:type="dxa"/>
                  <w:noWrap/>
                </w:tcPr>
                <w:p w14:paraId="4EDEC5D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区域内洗手池、水池、水龙头、皂盒、擦手纸盒清洗、擦拭</w:t>
                  </w:r>
                </w:p>
              </w:tc>
              <w:tc>
                <w:tcPr>
                  <w:tcW w:w="1155" w:type="dxa"/>
                  <w:noWrap/>
                </w:tcPr>
                <w:p w14:paraId="697AE033">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▲每日1次</w:t>
                  </w:r>
                </w:p>
              </w:tc>
            </w:tr>
            <w:tr w14:paraId="2BA0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575" w:type="dxa"/>
                  <w:noWrap/>
                </w:tcPr>
                <w:p w14:paraId="5313E30C">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7</w:t>
                  </w:r>
                </w:p>
              </w:tc>
              <w:tc>
                <w:tcPr>
                  <w:tcW w:w="5648" w:type="dxa"/>
                  <w:noWrap/>
                </w:tcPr>
                <w:p w14:paraId="5F1F58EF">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卫生间（含镜子、水龙头、脸盆、台面、毛巾架、马桶、淋浴器、地面）、开水间冲洗、擦拭、消毒</w:t>
                  </w:r>
                </w:p>
              </w:tc>
              <w:tc>
                <w:tcPr>
                  <w:tcW w:w="1155" w:type="dxa"/>
                  <w:noWrap/>
                </w:tcPr>
                <w:p w14:paraId="47A98B44">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▲每日2次（污染时随时）</w:t>
                  </w:r>
                </w:p>
              </w:tc>
            </w:tr>
            <w:tr w14:paraId="6572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575" w:type="dxa"/>
                  <w:noWrap/>
                </w:tcPr>
                <w:p w14:paraId="715E76F4">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8</w:t>
                  </w:r>
                </w:p>
              </w:tc>
              <w:tc>
                <w:tcPr>
                  <w:tcW w:w="5648" w:type="dxa"/>
                  <w:noWrap/>
                </w:tcPr>
                <w:p w14:paraId="36649B64">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区域内电脑、电话、仪器（含各种医用器材）、微波炉、低处电器表面清洗或擦拭</w:t>
                  </w:r>
                </w:p>
              </w:tc>
              <w:tc>
                <w:tcPr>
                  <w:tcW w:w="1155" w:type="dxa"/>
                  <w:noWrap/>
                </w:tcPr>
                <w:p w14:paraId="67B121FE">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▲每日1次</w:t>
                  </w:r>
                </w:p>
              </w:tc>
            </w:tr>
            <w:tr w14:paraId="7B3A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575" w:type="dxa"/>
                  <w:noWrap/>
                </w:tcPr>
                <w:p w14:paraId="5C89A725">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9</w:t>
                  </w:r>
                </w:p>
              </w:tc>
              <w:tc>
                <w:tcPr>
                  <w:tcW w:w="5648" w:type="dxa"/>
                  <w:noWrap/>
                </w:tcPr>
                <w:p w14:paraId="52A56E61">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区域内门（玻璃门）、门框、窗框、窗台、阳台、把手、栏杆、花瓶、花盆、开关盒、接线盒、各类低处标牌、垃圾桶擦拭</w:t>
                  </w:r>
                </w:p>
              </w:tc>
              <w:tc>
                <w:tcPr>
                  <w:tcW w:w="1155" w:type="dxa"/>
                  <w:noWrap/>
                </w:tcPr>
                <w:p w14:paraId="4969916C">
                  <w:pPr>
                    <w:snapToGrid w:val="0"/>
                    <w:spacing w:line="360" w:lineRule="exact"/>
                    <w:ind w:firstLine="105" w:firstLineChars="50"/>
                    <w:rPr>
                      <w:rFonts w:asciiTheme="minorEastAsia" w:hAnsiTheme="minorEastAsia" w:eastAsiaTheme="minorEastAsia" w:cstheme="minorEastAsia"/>
                      <w:bCs/>
                      <w:color w:val="auto"/>
                      <w:szCs w:val="21"/>
                    </w:rPr>
                  </w:pPr>
                </w:p>
                <w:p w14:paraId="4683BC61">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▲每日1次</w:t>
                  </w:r>
                </w:p>
              </w:tc>
            </w:tr>
            <w:tr w14:paraId="118D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55C6E041">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10</w:t>
                  </w:r>
                </w:p>
              </w:tc>
              <w:tc>
                <w:tcPr>
                  <w:tcW w:w="5648" w:type="dxa"/>
                  <w:noWrap/>
                </w:tcPr>
                <w:p w14:paraId="038E09A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消防栓、消防器擦拭、开水机、门窗玻璃清洗</w:t>
                  </w:r>
                </w:p>
              </w:tc>
              <w:tc>
                <w:tcPr>
                  <w:tcW w:w="1155" w:type="dxa"/>
                  <w:noWrap/>
                </w:tcPr>
                <w:p w14:paraId="4CBAC107">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每周1次</w:t>
                  </w:r>
                </w:p>
              </w:tc>
            </w:tr>
            <w:tr w14:paraId="4496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41DA68D2">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11</w:t>
                  </w:r>
                </w:p>
              </w:tc>
              <w:tc>
                <w:tcPr>
                  <w:tcW w:w="5648" w:type="dxa"/>
                  <w:noWrap/>
                </w:tcPr>
                <w:p w14:paraId="54FD6423">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非医疗不锈钢物体表面闪钢保养</w:t>
                  </w:r>
                </w:p>
              </w:tc>
              <w:tc>
                <w:tcPr>
                  <w:tcW w:w="1155" w:type="dxa"/>
                  <w:noWrap/>
                </w:tcPr>
                <w:p w14:paraId="44F73B5A">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每周1次</w:t>
                  </w:r>
                </w:p>
              </w:tc>
            </w:tr>
            <w:tr w14:paraId="4BCB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269E9822">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12</w:t>
                  </w:r>
                </w:p>
              </w:tc>
              <w:tc>
                <w:tcPr>
                  <w:tcW w:w="5648" w:type="dxa"/>
                  <w:noWrap/>
                </w:tcPr>
                <w:p w14:paraId="4121D16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高处标牌、壁挂物擦拭、卫生间墙壁</w:t>
                  </w:r>
                </w:p>
              </w:tc>
              <w:tc>
                <w:tcPr>
                  <w:tcW w:w="1155" w:type="dxa"/>
                  <w:noWrap/>
                </w:tcPr>
                <w:p w14:paraId="1C185B30">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每周1次</w:t>
                  </w:r>
                </w:p>
              </w:tc>
            </w:tr>
            <w:tr w14:paraId="4BCC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75" w:type="dxa"/>
                  <w:noWrap/>
                </w:tcPr>
                <w:p w14:paraId="65074E85">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13</w:t>
                  </w:r>
                </w:p>
              </w:tc>
              <w:tc>
                <w:tcPr>
                  <w:tcW w:w="5648" w:type="dxa"/>
                  <w:noWrap/>
                </w:tcPr>
                <w:p w14:paraId="243F0266">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低处墙面静电除尘、落地瓷砖、踢脚板、地角、低处管道擦拭</w:t>
                  </w:r>
                </w:p>
              </w:tc>
              <w:tc>
                <w:tcPr>
                  <w:tcW w:w="1155" w:type="dxa"/>
                  <w:noWrap/>
                </w:tcPr>
                <w:p w14:paraId="7B97B6C4">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每周2次</w:t>
                  </w:r>
                </w:p>
              </w:tc>
            </w:tr>
            <w:tr w14:paraId="0F4A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06E5C4A0">
                  <w:pPr>
                    <w:snapToGrid w:val="0"/>
                    <w:spacing w:line="360" w:lineRule="exact"/>
                    <w:ind w:firstLine="105" w:firstLineChars="50"/>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14</w:t>
                  </w:r>
                </w:p>
              </w:tc>
              <w:tc>
                <w:tcPr>
                  <w:tcW w:w="5648" w:type="dxa"/>
                  <w:noWrap/>
                </w:tcPr>
                <w:p w14:paraId="7B67AA3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高处（含天花板、高处墙面、梁、窗帘及架等）除尘</w:t>
                  </w:r>
                </w:p>
              </w:tc>
              <w:tc>
                <w:tcPr>
                  <w:tcW w:w="1155" w:type="dxa"/>
                  <w:noWrap/>
                </w:tcPr>
                <w:p w14:paraId="09E245E7">
                  <w:pPr>
                    <w:snapToGrid w:val="0"/>
                    <w:spacing w:line="360" w:lineRule="exact"/>
                    <w:ind w:firstLine="105" w:firstLineChars="5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每月1次</w:t>
                  </w:r>
                </w:p>
              </w:tc>
            </w:tr>
            <w:tr w14:paraId="4305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575" w:type="dxa"/>
                  <w:noWrap/>
                </w:tcPr>
                <w:p w14:paraId="0198EF34">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w:t>
                  </w:r>
                </w:p>
              </w:tc>
              <w:tc>
                <w:tcPr>
                  <w:tcW w:w="5648" w:type="dxa"/>
                  <w:noWrap/>
                </w:tcPr>
                <w:p w14:paraId="3B48DCA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灯具、音响、监视器、通风口、排气扇、风扇、空调等高处设备表面擦洗</w:t>
                  </w:r>
                </w:p>
              </w:tc>
              <w:tc>
                <w:tcPr>
                  <w:tcW w:w="1155" w:type="dxa"/>
                  <w:noWrap/>
                </w:tcPr>
                <w:p w14:paraId="18D63F09">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w:t>
                  </w:r>
                </w:p>
              </w:tc>
            </w:tr>
            <w:tr w14:paraId="4377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1FEA8146">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w:t>
                  </w:r>
                </w:p>
              </w:tc>
              <w:tc>
                <w:tcPr>
                  <w:tcW w:w="5648" w:type="dxa"/>
                  <w:noWrap/>
                </w:tcPr>
                <w:p w14:paraId="399D2F4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室内绿植养护、清洁</w:t>
                  </w:r>
                </w:p>
              </w:tc>
              <w:tc>
                <w:tcPr>
                  <w:tcW w:w="1155" w:type="dxa"/>
                  <w:noWrap/>
                </w:tcPr>
                <w:p w14:paraId="3759FD01">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0FD5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0EB7D500">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w:t>
                  </w:r>
                </w:p>
              </w:tc>
              <w:tc>
                <w:tcPr>
                  <w:tcW w:w="5648" w:type="dxa"/>
                  <w:noWrap/>
                </w:tcPr>
                <w:p w14:paraId="3081D71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虫网、蜘蛛网清理</w:t>
                  </w:r>
                </w:p>
              </w:tc>
              <w:tc>
                <w:tcPr>
                  <w:tcW w:w="1155" w:type="dxa"/>
                  <w:noWrap/>
                </w:tcPr>
                <w:p w14:paraId="3F43C6B7">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2946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2ECBA984">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w:t>
                  </w:r>
                </w:p>
              </w:tc>
              <w:tc>
                <w:tcPr>
                  <w:tcW w:w="5648" w:type="dxa"/>
                  <w:noWrap/>
                </w:tcPr>
                <w:p w14:paraId="6C4DBD2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科室特殊需求</w:t>
                  </w:r>
                </w:p>
              </w:tc>
              <w:tc>
                <w:tcPr>
                  <w:tcW w:w="1155" w:type="dxa"/>
                  <w:noWrap/>
                </w:tcPr>
                <w:p w14:paraId="2330C7A6">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43F5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75" w:type="dxa"/>
                  <w:noWrap/>
                </w:tcPr>
                <w:p w14:paraId="0EC6F69E">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19</w:t>
                  </w:r>
                </w:p>
              </w:tc>
              <w:tc>
                <w:tcPr>
                  <w:tcW w:w="5648" w:type="dxa"/>
                  <w:noWrap/>
                </w:tcPr>
                <w:p w14:paraId="1AB19B2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各种检查时，响应医院要求，随时安排人员巡查搞好卫生</w:t>
                  </w:r>
                </w:p>
              </w:tc>
              <w:tc>
                <w:tcPr>
                  <w:tcW w:w="1155" w:type="dxa"/>
                  <w:noWrap/>
                </w:tcPr>
                <w:p w14:paraId="3E7ECDAA">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2AA5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575" w:type="dxa"/>
                  <w:noWrap/>
                </w:tcPr>
                <w:p w14:paraId="04CE8889">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w:t>
                  </w:r>
                </w:p>
              </w:tc>
              <w:tc>
                <w:tcPr>
                  <w:tcW w:w="5648" w:type="dxa"/>
                  <w:noWrap/>
                </w:tcPr>
                <w:p w14:paraId="18B0AAD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楼梯扶手、栏杆</w:t>
                  </w:r>
                </w:p>
              </w:tc>
              <w:tc>
                <w:tcPr>
                  <w:tcW w:w="1155" w:type="dxa"/>
                  <w:noWrap/>
                </w:tcPr>
                <w:p w14:paraId="7995FA7E">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▲每日1次</w:t>
                  </w:r>
                </w:p>
              </w:tc>
            </w:tr>
          </w:tbl>
          <w:p w14:paraId="3B0015F4">
            <w:pPr>
              <w:pStyle w:val="34"/>
              <w:rPr>
                <w:color w:val="auto"/>
              </w:rPr>
            </w:pPr>
          </w:p>
          <w:p w14:paraId="7117E546">
            <w:pPr>
              <w:snapToGrid w:val="0"/>
              <w:spacing w:line="360" w:lineRule="exac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5.会议室</w:t>
            </w:r>
          </w:p>
          <w:tbl>
            <w:tblPr>
              <w:tblStyle w:val="55"/>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5656"/>
              <w:gridCol w:w="1128"/>
            </w:tblGrid>
            <w:tr w14:paraId="41BD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574" w:type="dxa"/>
                  <w:noWrap/>
                </w:tcPr>
                <w:p w14:paraId="68296E3E">
                  <w:pPr>
                    <w:snapToGrid w:val="0"/>
                    <w:spacing w:line="360" w:lineRule="exact"/>
                    <w:ind w:firstLine="105" w:firstLineChars="50"/>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序号</w:t>
                  </w:r>
                </w:p>
              </w:tc>
              <w:tc>
                <w:tcPr>
                  <w:tcW w:w="5656" w:type="dxa"/>
                  <w:noWrap/>
                </w:tcPr>
                <w:p w14:paraId="20B0E0CE">
                  <w:pPr>
                    <w:snapToGrid w:val="0"/>
                    <w:spacing w:line="360" w:lineRule="exact"/>
                    <w:ind w:firstLine="105" w:firstLineChars="50"/>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工作内容</w:t>
                  </w:r>
                </w:p>
              </w:tc>
              <w:tc>
                <w:tcPr>
                  <w:tcW w:w="1128" w:type="dxa"/>
                  <w:noWrap/>
                </w:tcPr>
                <w:p w14:paraId="6064BBD5">
                  <w:pPr>
                    <w:snapToGrid w:val="0"/>
                    <w:spacing w:line="360" w:lineRule="exact"/>
                    <w:ind w:firstLine="105" w:firstLineChars="50"/>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频次</w:t>
                  </w:r>
                </w:p>
              </w:tc>
            </w:tr>
            <w:tr w14:paraId="1713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6731D61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5656" w:type="dxa"/>
                  <w:noWrap/>
                </w:tcPr>
                <w:p w14:paraId="7D6E255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收集区域内垃圾、更换垃圾袋</w:t>
                  </w:r>
                </w:p>
              </w:tc>
              <w:tc>
                <w:tcPr>
                  <w:tcW w:w="1128" w:type="dxa"/>
                  <w:vMerge w:val="restart"/>
                  <w:noWrap/>
                </w:tcPr>
                <w:p w14:paraId="51BAE390">
                  <w:pPr>
                    <w:snapToGrid w:val="0"/>
                    <w:spacing w:line="360" w:lineRule="exact"/>
                    <w:ind w:firstLine="105" w:firstLineChars="50"/>
                    <w:rPr>
                      <w:rFonts w:asciiTheme="minorEastAsia" w:hAnsiTheme="minorEastAsia" w:eastAsiaTheme="minorEastAsia" w:cstheme="minorEastAsia"/>
                      <w:color w:val="auto"/>
                      <w:szCs w:val="21"/>
                    </w:rPr>
                  </w:pPr>
                </w:p>
                <w:p w14:paraId="00C9EBF1">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▲每日1次（如有会议随时）</w:t>
                  </w:r>
                </w:p>
              </w:tc>
            </w:tr>
            <w:tr w14:paraId="2D84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10EEF829">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5656" w:type="dxa"/>
                  <w:noWrap/>
                </w:tcPr>
                <w:p w14:paraId="2858233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区域内地面扫尘（无扬尘干扫）</w:t>
                  </w:r>
                </w:p>
              </w:tc>
              <w:tc>
                <w:tcPr>
                  <w:tcW w:w="1128" w:type="dxa"/>
                  <w:vMerge w:val="continue"/>
                  <w:noWrap/>
                </w:tcPr>
                <w:p w14:paraId="4E291FAC">
                  <w:pPr>
                    <w:snapToGrid w:val="0"/>
                    <w:spacing w:line="360" w:lineRule="exact"/>
                    <w:ind w:firstLine="105" w:firstLineChars="50"/>
                    <w:rPr>
                      <w:rFonts w:asciiTheme="minorEastAsia" w:hAnsiTheme="minorEastAsia" w:eastAsiaTheme="minorEastAsia" w:cstheme="minorEastAsia"/>
                      <w:color w:val="auto"/>
                      <w:szCs w:val="21"/>
                    </w:rPr>
                  </w:pPr>
                </w:p>
              </w:tc>
            </w:tr>
            <w:tr w14:paraId="25BC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464F6AE1">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5656" w:type="dxa"/>
                  <w:noWrap/>
                </w:tcPr>
                <w:p w14:paraId="462C8BF1">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区域内地面湿拖（进行地面消毒、清洁）</w:t>
                  </w:r>
                </w:p>
              </w:tc>
              <w:tc>
                <w:tcPr>
                  <w:tcW w:w="1128" w:type="dxa"/>
                  <w:vMerge w:val="continue"/>
                  <w:noWrap/>
                </w:tcPr>
                <w:p w14:paraId="5CE367F3">
                  <w:pPr>
                    <w:snapToGrid w:val="0"/>
                    <w:spacing w:line="360" w:lineRule="exact"/>
                    <w:ind w:firstLine="105" w:firstLineChars="50"/>
                    <w:rPr>
                      <w:rFonts w:asciiTheme="minorEastAsia" w:hAnsiTheme="minorEastAsia" w:eastAsiaTheme="minorEastAsia" w:cstheme="minorEastAsia"/>
                      <w:color w:val="auto"/>
                      <w:szCs w:val="21"/>
                    </w:rPr>
                  </w:pPr>
                </w:p>
              </w:tc>
            </w:tr>
            <w:tr w14:paraId="0EE4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41951450">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5656" w:type="dxa"/>
                  <w:noWrap/>
                </w:tcPr>
                <w:p w14:paraId="15B1902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区域内家具（桌椅、橱柜等）、台面擦拭</w:t>
                  </w:r>
                </w:p>
              </w:tc>
              <w:tc>
                <w:tcPr>
                  <w:tcW w:w="1128" w:type="dxa"/>
                  <w:vMerge w:val="continue"/>
                  <w:noWrap/>
                </w:tcPr>
                <w:p w14:paraId="69494194">
                  <w:pPr>
                    <w:snapToGrid w:val="0"/>
                    <w:spacing w:line="360" w:lineRule="exact"/>
                    <w:ind w:firstLine="105" w:firstLineChars="50"/>
                    <w:rPr>
                      <w:rFonts w:asciiTheme="minorEastAsia" w:hAnsiTheme="minorEastAsia" w:eastAsiaTheme="minorEastAsia" w:cstheme="minorEastAsia"/>
                      <w:color w:val="auto"/>
                      <w:szCs w:val="21"/>
                    </w:rPr>
                  </w:pPr>
                </w:p>
              </w:tc>
            </w:tr>
            <w:tr w14:paraId="2957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6E6A0687">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5656" w:type="dxa"/>
                  <w:noWrap/>
                </w:tcPr>
                <w:p w14:paraId="4728358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区域内洗手池、水池、水龙头、地面、皂盒清洗、擦拭</w:t>
                  </w:r>
                </w:p>
              </w:tc>
              <w:tc>
                <w:tcPr>
                  <w:tcW w:w="1128" w:type="dxa"/>
                  <w:vMerge w:val="continue"/>
                  <w:noWrap/>
                </w:tcPr>
                <w:p w14:paraId="1B027716">
                  <w:pPr>
                    <w:snapToGrid w:val="0"/>
                    <w:spacing w:line="360" w:lineRule="exact"/>
                    <w:ind w:firstLine="105" w:firstLineChars="50"/>
                    <w:rPr>
                      <w:rFonts w:asciiTheme="minorEastAsia" w:hAnsiTheme="minorEastAsia" w:eastAsiaTheme="minorEastAsia" w:cstheme="minorEastAsia"/>
                      <w:color w:val="auto"/>
                      <w:szCs w:val="21"/>
                    </w:rPr>
                  </w:pPr>
                </w:p>
              </w:tc>
            </w:tr>
            <w:tr w14:paraId="1DBB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74" w:type="dxa"/>
                  <w:noWrap/>
                </w:tcPr>
                <w:p w14:paraId="50263086">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5656" w:type="dxa"/>
                  <w:noWrap/>
                </w:tcPr>
                <w:p w14:paraId="542BBF8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卫生间（含镜子、水龙头、脸盆、台面、毛巾架、马桶、淋浴器、地面）、开水间冲洗、擦拭、消毒</w:t>
                  </w:r>
                </w:p>
              </w:tc>
              <w:tc>
                <w:tcPr>
                  <w:tcW w:w="1128" w:type="dxa"/>
                  <w:vMerge w:val="continue"/>
                  <w:noWrap/>
                </w:tcPr>
                <w:p w14:paraId="0457DBEA">
                  <w:pPr>
                    <w:snapToGrid w:val="0"/>
                    <w:spacing w:line="360" w:lineRule="exact"/>
                    <w:ind w:firstLine="105" w:firstLineChars="50"/>
                    <w:rPr>
                      <w:rFonts w:asciiTheme="minorEastAsia" w:hAnsiTheme="minorEastAsia" w:eastAsiaTheme="minorEastAsia" w:cstheme="minorEastAsia"/>
                      <w:color w:val="auto"/>
                      <w:szCs w:val="21"/>
                    </w:rPr>
                  </w:pPr>
                </w:p>
              </w:tc>
            </w:tr>
            <w:tr w14:paraId="0C63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74" w:type="dxa"/>
                  <w:noWrap/>
                </w:tcPr>
                <w:p w14:paraId="468FEF20">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5656" w:type="dxa"/>
                  <w:noWrap/>
                </w:tcPr>
                <w:p w14:paraId="716DBB0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区域内电脑、电话、仪器、开水机、冰箱、空调、低处电器表面清洗或擦拭</w:t>
                  </w:r>
                </w:p>
              </w:tc>
              <w:tc>
                <w:tcPr>
                  <w:tcW w:w="1128" w:type="dxa"/>
                  <w:noWrap/>
                </w:tcPr>
                <w:p w14:paraId="5876020A">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15FB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74" w:type="dxa"/>
                  <w:noWrap/>
                </w:tcPr>
                <w:p w14:paraId="0ED6BDB8">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5656" w:type="dxa"/>
                  <w:noWrap/>
                </w:tcPr>
                <w:p w14:paraId="7806B79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区域内门（玻璃门）、门框、窗框、门牌、窗台、花瓶、花盆、开关盒、接线盒、各类低处标牌、垃圾桶擦拭</w:t>
                  </w:r>
                </w:p>
              </w:tc>
              <w:tc>
                <w:tcPr>
                  <w:tcW w:w="1128" w:type="dxa"/>
                  <w:noWrap/>
                </w:tcPr>
                <w:p w14:paraId="7D0544F1">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3486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6A12F391">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5656" w:type="dxa"/>
                  <w:noWrap/>
                </w:tcPr>
                <w:p w14:paraId="2D0577FF">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消防栓、消防器的擦拭、门窗玻璃清洗</w:t>
                  </w:r>
                </w:p>
              </w:tc>
              <w:tc>
                <w:tcPr>
                  <w:tcW w:w="1128" w:type="dxa"/>
                  <w:noWrap/>
                </w:tcPr>
                <w:p w14:paraId="7F79EA53">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6CCE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545EC258">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p>
              </w:tc>
              <w:tc>
                <w:tcPr>
                  <w:tcW w:w="5656" w:type="dxa"/>
                  <w:noWrap/>
                </w:tcPr>
                <w:p w14:paraId="2FE1FA56">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非医疗不锈钢物体表面闪钢保养</w:t>
                  </w:r>
                </w:p>
              </w:tc>
              <w:tc>
                <w:tcPr>
                  <w:tcW w:w="1128" w:type="dxa"/>
                  <w:noWrap/>
                </w:tcPr>
                <w:p w14:paraId="22FDCBED">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5FE7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574" w:type="dxa"/>
                  <w:noWrap/>
                </w:tcPr>
                <w:p w14:paraId="3618923C">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w:t>
                  </w:r>
                </w:p>
              </w:tc>
              <w:tc>
                <w:tcPr>
                  <w:tcW w:w="5656" w:type="dxa"/>
                  <w:noWrap/>
                </w:tcPr>
                <w:p w14:paraId="7F09F98F">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高处标牌、壁挂物擦拭、卫生间墙壁</w:t>
                  </w:r>
                </w:p>
              </w:tc>
              <w:tc>
                <w:tcPr>
                  <w:tcW w:w="1128" w:type="dxa"/>
                  <w:noWrap/>
                </w:tcPr>
                <w:p w14:paraId="149CD786">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5E87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574" w:type="dxa"/>
                  <w:noWrap/>
                </w:tcPr>
                <w:p w14:paraId="4DEEC7C8">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w:t>
                  </w:r>
                </w:p>
              </w:tc>
              <w:tc>
                <w:tcPr>
                  <w:tcW w:w="5656" w:type="dxa"/>
                  <w:noWrap/>
                </w:tcPr>
                <w:p w14:paraId="359B887C">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低处墙面静电除尘、落地瓷砖、踢脚板、地角、低处管道擦拭</w:t>
                  </w:r>
                </w:p>
              </w:tc>
              <w:tc>
                <w:tcPr>
                  <w:tcW w:w="1128" w:type="dxa"/>
                  <w:noWrap/>
                </w:tcPr>
                <w:p w14:paraId="5A6CEF1D">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每周2次</w:t>
                  </w:r>
                </w:p>
              </w:tc>
            </w:tr>
            <w:tr w14:paraId="5577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74" w:type="dxa"/>
                  <w:noWrap/>
                </w:tcPr>
                <w:p w14:paraId="087A82F9">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w:t>
                  </w:r>
                </w:p>
              </w:tc>
              <w:tc>
                <w:tcPr>
                  <w:tcW w:w="5656" w:type="dxa"/>
                  <w:noWrap/>
                </w:tcPr>
                <w:p w14:paraId="3F29DA50">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高处（含天花板、高处墙面、梁、窗帘及架等）除尘</w:t>
                  </w:r>
                </w:p>
              </w:tc>
              <w:tc>
                <w:tcPr>
                  <w:tcW w:w="1128" w:type="dxa"/>
                  <w:noWrap/>
                </w:tcPr>
                <w:p w14:paraId="37D4222C">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w:t>
                  </w:r>
                </w:p>
              </w:tc>
            </w:tr>
            <w:tr w14:paraId="06DF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74" w:type="dxa"/>
                  <w:noWrap/>
                </w:tcPr>
                <w:p w14:paraId="6BA8F5D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w:t>
                  </w:r>
                </w:p>
              </w:tc>
              <w:tc>
                <w:tcPr>
                  <w:tcW w:w="5656" w:type="dxa"/>
                  <w:noWrap/>
                </w:tcPr>
                <w:p w14:paraId="162C427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灯具、音响、烟感、通风口、排气扇、风扇、空调表面等高处设备擦洗</w:t>
                  </w:r>
                </w:p>
              </w:tc>
              <w:tc>
                <w:tcPr>
                  <w:tcW w:w="1128" w:type="dxa"/>
                  <w:noWrap/>
                </w:tcPr>
                <w:p w14:paraId="58549FB2">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w:t>
                  </w:r>
                </w:p>
              </w:tc>
            </w:tr>
            <w:tr w14:paraId="10A0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74" w:type="dxa"/>
                  <w:noWrap/>
                </w:tcPr>
                <w:p w14:paraId="6921BCFA">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w:t>
                  </w:r>
                </w:p>
              </w:tc>
              <w:tc>
                <w:tcPr>
                  <w:tcW w:w="5656" w:type="dxa"/>
                  <w:noWrap/>
                </w:tcPr>
                <w:p w14:paraId="5340F7B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室内绿植养护、清洁</w:t>
                  </w:r>
                </w:p>
              </w:tc>
              <w:tc>
                <w:tcPr>
                  <w:tcW w:w="1128" w:type="dxa"/>
                  <w:noWrap/>
                </w:tcPr>
                <w:p w14:paraId="1316F7AA">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2CF1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74" w:type="dxa"/>
                  <w:noWrap/>
                </w:tcPr>
                <w:p w14:paraId="6E275D52">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w:t>
                  </w:r>
                </w:p>
              </w:tc>
              <w:tc>
                <w:tcPr>
                  <w:tcW w:w="5656" w:type="dxa"/>
                  <w:noWrap/>
                </w:tcPr>
                <w:p w14:paraId="07F7678C">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虫网、蜘蛛网清理</w:t>
                  </w:r>
                </w:p>
              </w:tc>
              <w:tc>
                <w:tcPr>
                  <w:tcW w:w="1128" w:type="dxa"/>
                  <w:noWrap/>
                </w:tcPr>
                <w:p w14:paraId="753A8ECE">
                  <w:pPr>
                    <w:snapToGrid w:val="0"/>
                    <w:spacing w:line="360" w:lineRule="exact"/>
                    <w:ind w:firstLine="105" w:firstLineChars="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bl>
          <w:p w14:paraId="276387F1">
            <w:pPr>
              <w:snapToGrid w:val="0"/>
              <w:spacing w:line="360" w:lineRule="exac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6.公共区域</w:t>
            </w:r>
          </w:p>
          <w:tbl>
            <w:tblPr>
              <w:tblStyle w:val="55"/>
              <w:tblW w:w="7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4855"/>
              <w:gridCol w:w="2065"/>
            </w:tblGrid>
            <w:tr w14:paraId="2A33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9" w:type="dxa"/>
                  <w:noWrap/>
                </w:tcPr>
                <w:p w14:paraId="2CDB38B5">
                  <w:pPr>
                    <w:snapToGrid w:val="0"/>
                    <w:spacing w:line="360" w:lineRule="exact"/>
                    <w:ind w:firstLine="105" w:firstLineChars="50"/>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序号</w:t>
                  </w:r>
                </w:p>
              </w:tc>
              <w:tc>
                <w:tcPr>
                  <w:tcW w:w="4855" w:type="dxa"/>
                  <w:noWrap/>
                </w:tcPr>
                <w:p w14:paraId="7C358263">
                  <w:pPr>
                    <w:snapToGrid w:val="0"/>
                    <w:spacing w:line="360" w:lineRule="exact"/>
                    <w:ind w:firstLine="105" w:firstLineChars="50"/>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工作内容</w:t>
                  </w:r>
                </w:p>
              </w:tc>
              <w:tc>
                <w:tcPr>
                  <w:tcW w:w="2065" w:type="dxa"/>
                  <w:noWrap/>
                </w:tcPr>
                <w:p w14:paraId="1F79D154">
                  <w:pPr>
                    <w:snapToGrid w:val="0"/>
                    <w:spacing w:line="360" w:lineRule="exact"/>
                    <w:ind w:firstLine="105" w:firstLineChars="50"/>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频次</w:t>
                  </w:r>
                </w:p>
              </w:tc>
            </w:tr>
            <w:tr w14:paraId="552D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79" w:type="dxa"/>
                  <w:noWrap/>
                  <w:vAlign w:val="center"/>
                </w:tcPr>
                <w:p w14:paraId="425C3F0A">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4855" w:type="dxa"/>
                  <w:noWrap/>
                </w:tcPr>
                <w:p w14:paraId="12529A2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收集区域内垃圾、更换垃圾袋（污物满3/4时更换）</w:t>
                  </w:r>
                </w:p>
              </w:tc>
              <w:tc>
                <w:tcPr>
                  <w:tcW w:w="2065" w:type="dxa"/>
                  <w:noWrap/>
                </w:tcPr>
                <w:p w14:paraId="3507EBE9">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▲每日2次（特殊区域增加频次）</w:t>
                  </w:r>
                </w:p>
              </w:tc>
            </w:tr>
            <w:tr w14:paraId="2928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0D8A49C">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4855" w:type="dxa"/>
                  <w:noWrap/>
                </w:tcPr>
                <w:p w14:paraId="2E4EAC3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区域内地面、楼道湿拖</w:t>
                  </w:r>
                </w:p>
              </w:tc>
              <w:tc>
                <w:tcPr>
                  <w:tcW w:w="2065" w:type="dxa"/>
                  <w:noWrap/>
                </w:tcPr>
                <w:p w14:paraId="746FA8EC">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1300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72A40BE4">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4855" w:type="dxa"/>
                  <w:noWrap/>
                </w:tcPr>
                <w:p w14:paraId="4C93FEE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区域内地面、楼道扫尘</w:t>
                  </w:r>
                </w:p>
              </w:tc>
              <w:tc>
                <w:tcPr>
                  <w:tcW w:w="2065" w:type="dxa"/>
                  <w:noWrap/>
                </w:tcPr>
                <w:p w14:paraId="162B9732">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4819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6515954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4855" w:type="dxa"/>
                  <w:noWrap/>
                </w:tcPr>
                <w:p w14:paraId="08CC23E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区域内洗手池、水池、水龙头清洗、擦拭</w:t>
                  </w:r>
                </w:p>
              </w:tc>
              <w:tc>
                <w:tcPr>
                  <w:tcW w:w="2065" w:type="dxa"/>
                  <w:noWrap/>
                </w:tcPr>
                <w:p w14:paraId="2A602B9B">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r w14:paraId="4A94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79" w:type="dxa"/>
                  <w:noWrap/>
                  <w:vAlign w:val="center"/>
                </w:tcPr>
                <w:p w14:paraId="59D3A9C2">
                  <w:pPr>
                    <w:snapToGrid w:val="0"/>
                    <w:spacing w:line="360" w:lineRule="exact"/>
                    <w:ind w:firstLine="105" w:firstLineChars="50"/>
                    <w:jc w:val="center"/>
                    <w:rPr>
                      <w:rFonts w:asciiTheme="minorEastAsia" w:hAnsiTheme="minorEastAsia" w:eastAsiaTheme="minorEastAsia" w:cstheme="minorEastAsia"/>
                      <w:color w:val="auto"/>
                      <w:szCs w:val="21"/>
                    </w:rPr>
                  </w:pPr>
                </w:p>
                <w:p w14:paraId="4167770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4855" w:type="dxa"/>
                  <w:noWrap/>
                </w:tcPr>
                <w:p w14:paraId="5C4A1AD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卫生间（含水龙头、洗手池、台面、马桶、蹲厕、厕所门板、地面、墙面、窗框）冲洗、擦拭、消毒</w:t>
                  </w:r>
                </w:p>
              </w:tc>
              <w:tc>
                <w:tcPr>
                  <w:tcW w:w="2065" w:type="dxa"/>
                  <w:noWrap/>
                </w:tcPr>
                <w:p w14:paraId="29013866">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▲随时（高峰期早上9:30-11:30卫生间定人专职保洁）</w:t>
                  </w:r>
                </w:p>
              </w:tc>
            </w:tr>
            <w:tr w14:paraId="08E5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79" w:type="dxa"/>
                  <w:noWrap/>
                  <w:vAlign w:val="center"/>
                </w:tcPr>
                <w:p w14:paraId="698A8066">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4855" w:type="dxa"/>
                  <w:noWrap/>
                </w:tcPr>
                <w:p w14:paraId="321AF7F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区域内墙面、把手、栏杆、花瓶、花盆、开关盒、接线盒、各类低处标牌、垃圾桶擦拭</w:t>
                  </w:r>
                </w:p>
              </w:tc>
              <w:tc>
                <w:tcPr>
                  <w:tcW w:w="2065" w:type="dxa"/>
                  <w:noWrap/>
                </w:tcPr>
                <w:p w14:paraId="184D8BD1">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64DA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7AB3E88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4855" w:type="dxa"/>
                  <w:noWrap/>
                </w:tcPr>
                <w:p w14:paraId="750E93B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电梯（内箱体）、污梯（内箱体）、扶手电梯</w:t>
                  </w:r>
                </w:p>
              </w:tc>
              <w:tc>
                <w:tcPr>
                  <w:tcW w:w="2065" w:type="dxa"/>
                  <w:noWrap/>
                </w:tcPr>
                <w:p w14:paraId="2219911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1323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0848448">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4855" w:type="dxa"/>
                  <w:noWrap/>
                </w:tcPr>
                <w:p w14:paraId="35124A46">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区域内的楼道擦洗</w:t>
                  </w:r>
                </w:p>
              </w:tc>
              <w:tc>
                <w:tcPr>
                  <w:tcW w:w="2065" w:type="dxa"/>
                  <w:noWrap/>
                </w:tcPr>
                <w:p w14:paraId="020B6827">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2CAD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22FDF2DF">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4855" w:type="dxa"/>
                  <w:noWrap/>
                </w:tcPr>
                <w:p w14:paraId="29052B4F">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室内外的垃圾桶、垃圾篓清洗、消毒、杀虫</w:t>
                  </w:r>
                </w:p>
              </w:tc>
              <w:tc>
                <w:tcPr>
                  <w:tcW w:w="2065" w:type="dxa"/>
                  <w:noWrap/>
                </w:tcPr>
                <w:p w14:paraId="66AD1A8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5AC2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12197488">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p>
              </w:tc>
              <w:tc>
                <w:tcPr>
                  <w:tcW w:w="4855" w:type="dxa"/>
                  <w:noWrap/>
                </w:tcPr>
                <w:p w14:paraId="7832AC2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消防栓、消防器擦拭、门窗玻璃清洗</w:t>
                  </w:r>
                </w:p>
              </w:tc>
              <w:tc>
                <w:tcPr>
                  <w:tcW w:w="2065" w:type="dxa"/>
                  <w:noWrap/>
                </w:tcPr>
                <w:p w14:paraId="1CDF4D51">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7804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79" w:type="dxa"/>
                  <w:noWrap/>
                  <w:vAlign w:val="center"/>
                </w:tcPr>
                <w:p w14:paraId="3FFED3F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w:t>
                  </w:r>
                </w:p>
              </w:tc>
              <w:tc>
                <w:tcPr>
                  <w:tcW w:w="4855" w:type="dxa"/>
                  <w:noWrap/>
                </w:tcPr>
                <w:p w14:paraId="3AFA63B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外围绿化地的落叶</w:t>
                  </w:r>
                </w:p>
              </w:tc>
              <w:tc>
                <w:tcPr>
                  <w:tcW w:w="2065" w:type="dxa"/>
                  <w:noWrap/>
                </w:tcPr>
                <w:p w14:paraId="485BA03E">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每日清扫，检查时加强</w:t>
                  </w:r>
                </w:p>
              </w:tc>
            </w:tr>
            <w:tr w14:paraId="7AF2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79" w:type="dxa"/>
                  <w:noWrap/>
                  <w:vAlign w:val="center"/>
                </w:tcPr>
                <w:p w14:paraId="7E7BCCC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w:t>
                  </w:r>
                </w:p>
              </w:tc>
              <w:tc>
                <w:tcPr>
                  <w:tcW w:w="4855" w:type="dxa"/>
                  <w:noWrap/>
                </w:tcPr>
                <w:p w14:paraId="31A3830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低处墙面静电除尘、落地瓷砖、踢脚板、地角、低处管道擦拭</w:t>
                  </w:r>
                </w:p>
              </w:tc>
              <w:tc>
                <w:tcPr>
                  <w:tcW w:w="2065" w:type="dxa"/>
                  <w:noWrap/>
                </w:tcPr>
                <w:p w14:paraId="2972048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每周2次</w:t>
                  </w:r>
                </w:p>
              </w:tc>
            </w:tr>
            <w:tr w14:paraId="7180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79" w:type="dxa"/>
                  <w:noWrap/>
                  <w:vAlign w:val="center"/>
                </w:tcPr>
                <w:p w14:paraId="5E53E087">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w:t>
                  </w:r>
                </w:p>
              </w:tc>
              <w:tc>
                <w:tcPr>
                  <w:tcW w:w="4855" w:type="dxa"/>
                  <w:noWrap/>
                </w:tcPr>
                <w:p w14:paraId="2113146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中心花园水池落叶清理</w:t>
                  </w:r>
                </w:p>
              </w:tc>
              <w:tc>
                <w:tcPr>
                  <w:tcW w:w="2065" w:type="dxa"/>
                  <w:noWrap/>
                </w:tcPr>
                <w:p w14:paraId="2F8E8A46">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每周2次（落叶期增加频次）</w:t>
                  </w:r>
                </w:p>
              </w:tc>
            </w:tr>
            <w:tr w14:paraId="252D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0A9A53B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w:t>
                  </w:r>
                </w:p>
              </w:tc>
              <w:tc>
                <w:tcPr>
                  <w:tcW w:w="4855" w:type="dxa"/>
                  <w:noWrap/>
                </w:tcPr>
                <w:p w14:paraId="28F9375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非医疗不锈钢物体表面闪钢保养</w:t>
                  </w:r>
                </w:p>
              </w:tc>
              <w:tc>
                <w:tcPr>
                  <w:tcW w:w="2065" w:type="dxa"/>
                  <w:noWrap/>
                </w:tcPr>
                <w:p w14:paraId="5536475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448E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DF9013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w:t>
                  </w:r>
                </w:p>
              </w:tc>
              <w:tc>
                <w:tcPr>
                  <w:tcW w:w="4855" w:type="dxa"/>
                  <w:noWrap/>
                </w:tcPr>
                <w:p w14:paraId="61E7CCB6">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高处标牌、壁挂物擦拭、卫生间墙壁</w:t>
                  </w:r>
                </w:p>
              </w:tc>
              <w:tc>
                <w:tcPr>
                  <w:tcW w:w="2065" w:type="dxa"/>
                  <w:noWrap/>
                </w:tcPr>
                <w:p w14:paraId="0D128B92">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w:t>
                  </w:r>
                </w:p>
              </w:tc>
            </w:tr>
            <w:tr w14:paraId="042E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182604CB">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w:t>
                  </w:r>
                </w:p>
              </w:tc>
              <w:tc>
                <w:tcPr>
                  <w:tcW w:w="4855" w:type="dxa"/>
                  <w:noWrap/>
                </w:tcPr>
                <w:p w14:paraId="3C6D795F">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灯具、音响、烟感、监视器等高处设备擦洗</w:t>
                  </w:r>
                </w:p>
              </w:tc>
              <w:tc>
                <w:tcPr>
                  <w:tcW w:w="2065" w:type="dxa"/>
                  <w:noWrap/>
                </w:tcPr>
                <w:p w14:paraId="549C1452">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w:t>
                  </w:r>
                </w:p>
              </w:tc>
            </w:tr>
            <w:tr w14:paraId="29D9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023B75D3">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w:t>
                  </w:r>
                </w:p>
              </w:tc>
              <w:tc>
                <w:tcPr>
                  <w:tcW w:w="4855" w:type="dxa"/>
                  <w:noWrap/>
                </w:tcPr>
                <w:p w14:paraId="27A83886">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防滑地垫的清洗</w:t>
                  </w:r>
                </w:p>
              </w:tc>
              <w:tc>
                <w:tcPr>
                  <w:tcW w:w="2065" w:type="dxa"/>
                  <w:noWrap/>
                </w:tcPr>
                <w:p w14:paraId="7721D512">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w:t>
                  </w:r>
                </w:p>
              </w:tc>
            </w:tr>
            <w:tr w14:paraId="1877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7" w:hRule="atLeast"/>
                <w:jc w:val="center"/>
              </w:trPr>
              <w:tc>
                <w:tcPr>
                  <w:tcW w:w="579" w:type="dxa"/>
                  <w:noWrap/>
                  <w:vAlign w:val="center"/>
                </w:tcPr>
                <w:p w14:paraId="5E13F6DB">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w:t>
                  </w:r>
                </w:p>
              </w:tc>
              <w:tc>
                <w:tcPr>
                  <w:tcW w:w="4855" w:type="dxa"/>
                  <w:noWrap/>
                </w:tcPr>
                <w:p w14:paraId="3BFAC0C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天台、楼顶地面保洁，无纸屑、烟头、尘土、落叶，无杂物堵塞，保持排水孔通畅</w:t>
                  </w:r>
                </w:p>
              </w:tc>
              <w:tc>
                <w:tcPr>
                  <w:tcW w:w="2065" w:type="dxa"/>
                  <w:noWrap/>
                </w:tcPr>
                <w:p w14:paraId="2BABCB2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每周1次（雨后/特殊天气：立即清理积水、疏通排水。</w:t>
                  </w:r>
                </w:p>
                <w:p w14:paraId="166D656F">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梅雨/潮湿季节：增加除青苔、防滑频次）</w:t>
                  </w:r>
                </w:p>
              </w:tc>
            </w:tr>
            <w:tr w14:paraId="1A2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79" w:type="dxa"/>
                  <w:noWrap/>
                  <w:vAlign w:val="center"/>
                </w:tcPr>
                <w:p w14:paraId="576C5BCE">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w:t>
                  </w:r>
                </w:p>
              </w:tc>
              <w:tc>
                <w:tcPr>
                  <w:tcW w:w="4855" w:type="dxa"/>
                  <w:noWrap/>
                </w:tcPr>
                <w:p w14:paraId="7BBE2E64">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地下车库地面干净、无垃圾、无积水、无油污、无泥沙、无明显灰尘；标识清晰、设施完好整洁、无异味、无乱堆乱放</w:t>
                  </w:r>
                </w:p>
              </w:tc>
              <w:tc>
                <w:tcPr>
                  <w:tcW w:w="2065" w:type="dxa"/>
                  <w:noWrap/>
                </w:tcPr>
                <w:p w14:paraId="655B8AE2">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每日1次</w:t>
                  </w:r>
                </w:p>
              </w:tc>
            </w:tr>
            <w:tr w14:paraId="6407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7405ABDA">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w:t>
                  </w:r>
                </w:p>
              </w:tc>
              <w:tc>
                <w:tcPr>
                  <w:tcW w:w="4855" w:type="dxa"/>
                  <w:noWrap/>
                </w:tcPr>
                <w:p w14:paraId="52CDF33C">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虫网、蜘蛛网清理</w:t>
                  </w:r>
                </w:p>
              </w:tc>
              <w:tc>
                <w:tcPr>
                  <w:tcW w:w="2065" w:type="dxa"/>
                  <w:noWrap/>
                </w:tcPr>
                <w:p w14:paraId="3BE185F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w:t>
                  </w:r>
                </w:p>
              </w:tc>
            </w:tr>
            <w:tr w14:paraId="7A60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0AC90A64">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w:t>
                  </w:r>
                </w:p>
              </w:tc>
              <w:tc>
                <w:tcPr>
                  <w:tcW w:w="4855" w:type="dxa"/>
                  <w:noWrap/>
                </w:tcPr>
                <w:p w14:paraId="3E917D3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巡逻保洁</w:t>
                  </w:r>
                </w:p>
              </w:tc>
              <w:tc>
                <w:tcPr>
                  <w:tcW w:w="2065" w:type="dxa"/>
                  <w:noWrap/>
                </w:tcPr>
                <w:p w14:paraId="77C24FBF">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6FB3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6929FA88">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23</w:t>
                  </w:r>
                </w:p>
              </w:tc>
              <w:tc>
                <w:tcPr>
                  <w:tcW w:w="4855" w:type="dxa"/>
                  <w:noWrap/>
                </w:tcPr>
                <w:p w14:paraId="60884CF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围墙保持清洁，无小广告</w:t>
                  </w:r>
                </w:p>
              </w:tc>
              <w:tc>
                <w:tcPr>
                  <w:tcW w:w="2065" w:type="dxa"/>
                  <w:noWrap/>
                </w:tcPr>
                <w:p w14:paraId="7E5AC5A6">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时</w:t>
                  </w:r>
                </w:p>
              </w:tc>
            </w:tr>
            <w:tr w14:paraId="0269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7C2AB452">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w:t>
                  </w:r>
                </w:p>
              </w:tc>
              <w:tc>
                <w:tcPr>
                  <w:tcW w:w="4855" w:type="dxa"/>
                  <w:noWrap/>
                </w:tcPr>
                <w:p w14:paraId="20DD605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高处（含天花板、高处墙面、梁等）除尘</w:t>
                  </w:r>
                </w:p>
              </w:tc>
              <w:tc>
                <w:tcPr>
                  <w:tcW w:w="2065" w:type="dxa"/>
                  <w:noWrap/>
                </w:tcPr>
                <w:p w14:paraId="65EF487E">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每月1次</w:t>
                  </w:r>
                </w:p>
              </w:tc>
            </w:tr>
            <w:tr w14:paraId="2D5C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756780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w:t>
                  </w:r>
                </w:p>
              </w:tc>
              <w:tc>
                <w:tcPr>
                  <w:tcW w:w="4855" w:type="dxa"/>
                  <w:noWrap/>
                </w:tcPr>
                <w:p w14:paraId="639D472C">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区域内的钢化平台高空玻璃保洁</w:t>
                  </w:r>
                </w:p>
              </w:tc>
              <w:tc>
                <w:tcPr>
                  <w:tcW w:w="2065" w:type="dxa"/>
                  <w:noWrap/>
                </w:tcPr>
                <w:p w14:paraId="5478B74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保持清洁</w:t>
                  </w:r>
                </w:p>
              </w:tc>
            </w:tr>
            <w:tr w14:paraId="6A0C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4AE9C548">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w:t>
                  </w:r>
                </w:p>
              </w:tc>
              <w:tc>
                <w:tcPr>
                  <w:tcW w:w="4855" w:type="dxa"/>
                  <w:noWrap/>
                </w:tcPr>
                <w:p w14:paraId="075C39FF">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所有楼栋的外墙保洁</w:t>
                  </w:r>
                </w:p>
              </w:tc>
              <w:tc>
                <w:tcPr>
                  <w:tcW w:w="2065" w:type="dxa"/>
                  <w:noWrap/>
                </w:tcPr>
                <w:p w14:paraId="6F6C29C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每年一次</w:t>
                  </w:r>
                </w:p>
              </w:tc>
            </w:tr>
            <w:tr w14:paraId="6BEA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22CDEB59">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w:t>
                  </w:r>
                </w:p>
              </w:tc>
              <w:tc>
                <w:tcPr>
                  <w:tcW w:w="4855" w:type="dxa"/>
                  <w:noWrap/>
                </w:tcPr>
                <w:p w14:paraId="24DE650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各种检查时，响应医院要求，随时安排人员巡查搞好卫生</w:t>
                  </w:r>
                </w:p>
              </w:tc>
              <w:tc>
                <w:tcPr>
                  <w:tcW w:w="2065" w:type="dxa"/>
                  <w:noWrap/>
                </w:tcPr>
                <w:p w14:paraId="00C93607">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010A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9" w:type="dxa"/>
                  <w:noWrap/>
                  <w:vAlign w:val="center"/>
                </w:tcPr>
                <w:p w14:paraId="6227CEE4">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28</w:t>
                  </w:r>
                </w:p>
              </w:tc>
              <w:tc>
                <w:tcPr>
                  <w:tcW w:w="4855" w:type="dxa"/>
                  <w:noWrap/>
                </w:tcPr>
                <w:p w14:paraId="6581C15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清除建筑垃圾</w:t>
                  </w:r>
                </w:p>
              </w:tc>
              <w:tc>
                <w:tcPr>
                  <w:tcW w:w="2065" w:type="dxa"/>
                  <w:noWrap/>
                </w:tcPr>
                <w:p w14:paraId="2382ABB3">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池满清理</w:t>
                  </w:r>
                </w:p>
              </w:tc>
            </w:tr>
            <w:tr w14:paraId="744B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79" w:type="dxa"/>
                  <w:noWrap/>
                  <w:vAlign w:val="center"/>
                </w:tcPr>
                <w:p w14:paraId="6735EF5C">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w:t>
                  </w:r>
                </w:p>
              </w:tc>
              <w:tc>
                <w:tcPr>
                  <w:tcW w:w="4855" w:type="dxa"/>
                  <w:noWrap/>
                </w:tcPr>
                <w:p w14:paraId="5BEC0E1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所有飘棚含玻璃棚（门诊楼、外科楼、内科楼）</w:t>
                  </w:r>
                </w:p>
              </w:tc>
              <w:tc>
                <w:tcPr>
                  <w:tcW w:w="2065" w:type="dxa"/>
                  <w:noWrap/>
                </w:tcPr>
                <w:p w14:paraId="2E0EE048">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每年3次</w:t>
                  </w:r>
                </w:p>
              </w:tc>
            </w:tr>
          </w:tbl>
          <w:p w14:paraId="579A3DAE">
            <w:pPr>
              <w:numPr>
                <w:ilvl w:val="0"/>
                <w:numId w:val="2"/>
              </w:numPr>
              <w:snapToGrid w:val="0"/>
              <w:spacing w:line="360" w:lineRule="exact"/>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各区域绿化</w:t>
            </w:r>
          </w:p>
          <w:tbl>
            <w:tblPr>
              <w:tblStyle w:val="55"/>
              <w:tblW w:w="7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5372"/>
              <w:gridCol w:w="1244"/>
            </w:tblGrid>
            <w:tr w14:paraId="0921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3E1E667C">
                  <w:pPr>
                    <w:snapToGrid w:val="0"/>
                    <w:spacing w:line="36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5372" w:type="dxa"/>
                  <w:noWrap/>
                  <w:vAlign w:val="center"/>
                </w:tcPr>
                <w:p w14:paraId="641B2B05">
                  <w:pPr>
                    <w:snapToGrid w:val="0"/>
                    <w:spacing w:line="360" w:lineRule="exact"/>
                    <w:ind w:firstLine="105" w:firstLineChars="50"/>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工作内容</w:t>
                  </w:r>
                </w:p>
              </w:tc>
              <w:tc>
                <w:tcPr>
                  <w:tcW w:w="1244" w:type="dxa"/>
                  <w:noWrap/>
                  <w:vAlign w:val="center"/>
                </w:tcPr>
                <w:p w14:paraId="675378AA">
                  <w:pPr>
                    <w:snapToGrid w:val="0"/>
                    <w:spacing w:line="36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频次</w:t>
                  </w:r>
                </w:p>
              </w:tc>
            </w:tr>
            <w:tr w14:paraId="6640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79C03FE6">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5372" w:type="dxa"/>
                  <w:noWrap/>
                </w:tcPr>
                <w:p w14:paraId="70FCEA6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绿化带绿植修剪</w:t>
                  </w:r>
                </w:p>
              </w:tc>
              <w:tc>
                <w:tcPr>
                  <w:tcW w:w="1244" w:type="dxa"/>
                  <w:noWrap/>
                  <w:vAlign w:val="center"/>
                </w:tcPr>
                <w:p w14:paraId="4111D65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适时</w:t>
                  </w:r>
                </w:p>
              </w:tc>
            </w:tr>
            <w:tr w14:paraId="0433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4ED190CA">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5372" w:type="dxa"/>
                  <w:noWrap/>
                </w:tcPr>
                <w:p w14:paraId="3260C77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高大树木枯枝修剪</w:t>
                  </w:r>
                </w:p>
              </w:tc>
              <w:tc>
                <w:tcPr>
                  <w:tcW w:w="1244" w:type="dxa"/>
                  <w:noWrap/>
                  <w:vAlign w:val="center"/>
                </w:tcPr>
                <w:p w14:paraId="63C499A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适时</w:t>
                  </w:r>
                </w:p>
              </w:tc>
            </w:tr>
            <w:tr w14:paraId="7A44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33669FEF">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5372" w:type="dxa"/>
                  <w:noWrap/>
                </w:tcPr>
                <w:p w14:paraId="2B6B178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草皮按需施肥</w:t>
                  </w:r>
                </w:p>
              </w:tc>
              <w:tc>
                <w:tcPr>
                  <w:tcW w:w="1244" w:type="dxa"/>
                  <w:noWrap/>
                  <w:vAlign w:val="center"/>
                </w:tcPr>
                <w:p w14:paraId="507CF289">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▲每年不少于2次</w:t>
                  </w:r>
                </w:p>
              </w:tc>
            </w:tr>
            <w:tr w14:paraId="06D7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374866F0">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5372" w:type="dxa"/>
                  <w:noWrap/>
                </w:tcPr>
                <w:p w14:paraId="769D8FC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树木按需施肥</w:t>
                  </w:r>
                </w:p>
              </w:tc>
              <w:tc>
                <w:tcPr>
                  <w:tcW w:w="1244" w:type="dxa"/>
                  <w:noWrap/>
                  <w:vAlign w:val="center"/>
                </w:tcPr>
                <w:p w14:paraId="6F113643">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▲每年不少于2次</w:t>
                  </w:r>
                </w:p>
              </w:tc>
            </w:tr>
            <w:tr w14:paraId="424D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0C954CB8">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5372" w:type="dxa"/>
                  <w:noWrap/>
                </w:tcPr>
                <w:p w14:paraId="50AB415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花卉按需施肥（根据不同花卉施肥要求执行）</w:t>
                  </w:r>
                </w:p>
              </w:tc>
              <w:tc>
                <w:tcPr>
                  <w:tcW w:w="1244" w:type="dxa"/>
                  <w:noWrap/>
                  <w:vAlign w:val="center"/>
                </w:tcPr>
                <w:p w14:paraId="148399B1">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▲每年不少于3次</w:t>
                  </w:r>
                </w:p>
              </w:tc>
            </w:tr>
            <w:tr w14:paraId="04D7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3" w:type="dxa"/>
                  <w:noWrap/>
                  <w:vAlign w:val="center"/>
                </w:tcPr>
                <w:p w14:paraId="1234507E">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5372" w:type="dxa"/>
                  <w:noWrap/>
                </w:tcPr>
                <w:p w14:paraId="2CFE5BE1">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杂草按需清除</w:t>
                  </w:r>
                </w:p>
              </w:tc>
              <w:tc>
                <w:tcPr>
                  <w:tcW w:w="1244" w:type="dxa"/>
                  <w:noWrap/>
                  <w:vAlign w:val="center"/>
                </w:tcPr>
                <w:p w14:paraId="1D4A4882">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▲每月不少于2次</w:t>
                  </w:r>
                </w:p>
              </w:tc>
            </w:tr>
            <w:tr w14:paraId="323C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57E1E41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5372" w:type="dxa"/>
                  <w:noWrap/>
                </w:tcPr>
                <w:p w14:paraId="1897A49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枯萎及裸露泥土部分补种</w:t>
                  </w:r>
                </w:p>
              </w:tc>
              <w:tc>
                <w:tcPr>
                  <w:tcW w:w="1244" w:type="dxa"/>
                  <w:noWrap/>
                  <w:vAlign w:val="center"/>
                </w:tcPr>
                <w:p w14:paraId="294AD16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随时</w:t>
                  </w:r>
                </w:p>
              </w:tc>
            </w:tr>
            <w:tr w14:paraId="3718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0165451B">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5372" w:type="dxa"/>
                  <w:noWrap/>
                </w:tcPr>
                <w:p w14:paraId="3CB292E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修剪清理出的枯枝树叶清理</w:t>
                  </w:r>
                </w:p>
              </w:tc>
              <w:tc>
                <w:tcPr>
                  <w:tcW w:w="1244" w:type="dxa"/>
                  <w:noWrap/>
                  <w:vAlign w:val="center"/>
                </w:tcPr>
                <w:p w14:paraId="416D18DD">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及时清理</w:t>
                  </w:r>
                </w:p>
              </w:tc>
            </w:tr>
            <w:tr w14:paraId="7BCD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4FE374B6">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5372" w:type="dxa"/>
                  <w:noWrap/>
                </w:tcPr>
                <w:p w14:paraId="63F8528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病虫害防治</w:t>
                  </w:r>
                </w:p>
              </w:tc>
              <w:tc>
                <w:tcPr>
                  <w:tcW w:w="1244" w:type="dxa"/>
                  <w:noWrap/>
                  <w:vAlign w:val="center"/>
                </w:tcPr>
                <w:p w14:paraId="0EA00D21">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及时防治</w:t>
                  </w:r>
                </w:p>
              </w:tc>
            </w:tr>
            <w:tr w14:paraId="3593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2231542A">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p>
              </w:tc>
              <w:tc>
                <w:tcPr>
                  <w:tcW w:w="5372" w:type="dxa"/>
                  <w:noWrap/>
                </w:tcPr>
                <w:p w14:paraId="2B54967A">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浇水</w:t>
                  </w:r>
                </w:p>
              </w:tc>
              <w:tc>
                <w:tcPr>
                  <w:tcW w:w="1244" w:type="dxa"/>
                  <w:noWrap/>
                  <w:vAlign w:val="center"/>
                </w:tcPr>
                <w:p w14:paraId="31FAA4AC">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适时</w:t>
                  </w:r>
                </w:p>
              </w:tc>
            </w:tr>
            <w:tr w14:paraId="447E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ign w:val="center"/>
                </w:tcPr>
                <w:p w14:paraId="7668D18F">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w:t>
                  </w:r>
                </w:p>
              </w:tc>
              <w:tc>
                <w:tcPr>
                  <w:tcW w:w="5372" w:type="dxa"/>
                  <w:noWrap/>
                </w:tcPr>
                <w:p w14:paraId="44EFD20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草皮修剪</w:t>
                  </w:r>
                </w:p>
              </w:tc>
              <w:tc>
                <w:tcPr>
                  <w:tcW w:w="1244" w:type="dxa"/>
                  <w:noWrap/>
                  <w:vAlign w:val="center"/>
                </w:tcPr>
                <w:p w14:paraId="53A6AC44">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适时</w:t>
                  </w:r>
                </w:p>
              </w:tc>
            </w:tr>
            <w:tr w14:paraId="2DFA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63" w:type="dxa"/>
                  <w:noWrap/>
                  <w:vAlign w:val="center"/>
                </w:tcPr>
                <w:p w14:paraId="5F3F96FA">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w:t>
                  </w:r>
                </w:p>
              </w:tc>
              <w:tc>
                <w:tcPr>
                  <w:tcW w:w="5372" w:type="dxa"/>
                  <w:noWrap/>
                </w:tcPr>
                <w:p w14:paraId="55E8BC77">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绿地、绿植底下垃圾清理</w:t>
                  </w:r>
                </w:p>
              </w:tc>
              <w:tc>
                <w:tcPr>
                  <w:tcW w:w="1244" w:type="dxa"/>
                  <w:noWrap/>
                  <w:vAlign w:val="center"/>
                </w:tcPr>
                <w:p w14:paraId="38DA1305">
                  <w:pPr>
                    <w:snapToGrid w:val="0"/>
                    <w:spacing w:line="36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每日2次</w:t>
                  </w:r>
                </w:p>
              </w:tc>
            </w:tr>
          </w:tbl>
          <w:p w14:paraId="045C1A3E">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备注：</w:t>
            </w:r>
            <w:r>
              <w:rPr>
                <w:rFonts w:hint="eastAsia" w:ascii="宋体" w:hAnsi="宋体" w:cs="宋体"/>
                <w:b/>
                <w:bCs/>
                <w:color w:val="auto"/>
                <w:kern w:val="0"/>
                <w:szCs w:val="21"/>
              </w:rPr>
              <w:t>①</w:t>
            </w:r>
            <w:r>
              <w:rPr>
                <w:rFonts w:hint="eastAsia" w:asciiTheme="minorEastAsia" w:hAnsiTheme="minorEastAsia" w:eastAsiaTheme="minorEastAsia" w:cstheme="minorEastAsia"/>
                <w:b/>
                <w:bCs/>
                <w:color w:val="auto"/>
                <w:kern w:val="0"/>
                <w:szCs w:val="21"/>
              </w:rPr>
              <w:t>保洁用品等所需费用全部包括在服务费中。</w:t>
            </w:r>
            <w:r>
              <w:rPr>
                <w:rFonts w:hint="eastAsia" w:ascii="等线" w:hAnsi="等线" w:eastAsia="等线" w:cs="等线"/>
                <w:b/>
                <w:bCs/>
                <w:color w:val="auto"/>
                <w:kern w:val="0"/>
                <w:szCs w:val="21"/>
              </w:rPr>
              <w:t>②</w:t>
            </w:r>
            <w:r>
              <w:rPr>
                <w:rFonts w:hint="eastAsia" w:asciiTheme="minorEastAsia" w:hAnsiTheme="minorEastAsia" w:eastAsiaTheme="minorEastAsia" w:cstheme="minorEastAsia"/>
                <w:b/>
                <w:bCs/>
                <w:color w:val="auto"/>
                <w:kern w:val="0"/>
                <w:szCs w:val="21"/>
              </w:rPr>
              <w:t>外墙保洁。</w:t>
            </w:r>
            <w:r>
              <w:rPr>
                <w:rFonts w:ascii="Calibri" w:hAnsi="Calibri" w:cs="Calibri" w:eastAsiaTheme="minorEastAsia"/>
                <w:b/>
                <w:bCs/>
                <w:color w:val="auto"/>
                <w:kern w:val="0"/>
                <w:szCs w:val="21"/>
              </w:rPr>
              <w:t>③</w:t>
            </w:r>
            <w:r>
              <w:rPr>
                <w:rFonts w:hint="eastAsia" w:asciiTheme="minorEastAsia" w:hAnsiTheme="minorEastAsia" w:eastAsiaTheme="minorEastAsia" w:cstheme="minorEastAsia"/>
                <w:b/>
                <w:bCs/>
                <w:color w:val="auto"/>
                <w:kern w:val="0"/>
                <w:szCs w:val="21"/>
              </w:rPr>
              <w:t>医院所有的玻璃雨棚每年清洁3次。</w:t>
            </w:r>
            <w:r>
              <w:rPr>
                <w:rFonts w:hint="eastAsia" w:ascii="等线" w:hAnsi="等线" w:eastAsia="等线" w:cs="等线"/>
                <w:b/>
                <w:bCs/>
                <w:color w:val="auto"/>
                <w:kern w:val="0"/>
                <w:szCs w:val="21"/>
              </w:rPr>
              <w:t>④未列入的且为正常普通保洁管理工作的项目。</w:t>
            </w:r>
          </w:p>
          <w:p w14:paraId="20660B10">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8.其他临时计时结算服务</w:t>
            </w:r>
          </w:p>
          <w:p w14:paraId="73DFDEBF">
            <w:pPr>
              <w:snapToGrid w:val="0"/>
              <w:spacing w:line="36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（1）临时保洁服务：完成医院临时布置的保洁服务内容。</w:t>
            </w:r>
          </w:p>
          <w:p w14:paraId="5794F87F">
            <w:pPr>
              <w:snapToGrid w:val="0"/>
              <w:spacing w:line="360" w:lineRule="exact"/>
              <w:ind w:firstLine="420"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（2）临时搬家服务</w:t>
            </w:r>
          </w:p>
          <w:p w14:paraId="7C2C3028">
            <w:pPr>
              <w:snapToGrid w:val="0"/>
              <w:spacing w:line="36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服务范围：</w:t>
            </w:r>
            <w:r>
              <w:rPr>
                <w:rFonts w:hint="eastAsia" w:asciiTheme="minorEastAsia" w:hAnsiTheme="minorEastAsia" w:eastAsiaTheme="minorEastAsia" w:cstheme="minorEastAsia"/>
                <w:color w:val="auto"/>
                <w:kern w:val="0"/>
                <w:szCs w:val="21"/>
              </w:rPr>
              <w:t>负责医院桌椅搬运、病床搬运、物品整理与归类及协助配合</w:t>
            </w:r>
            <w:r>
              <w:rPr>
                <w:rFonts w:hint="eastAsia" w:asciiTheme="minorEastAsia" w:hAnsiTheme="minorEastAsia" w:eastAsiaTheme="minorEastAsia" w:cstheme="minorEastAsia"/>
                <w:color w:val="auto"/>
                <w:kern w:val="0"/>
                <w:szCs w:val="21"/>
                <w:lang w:eastAsia="zh-CN"/>
              </w:rPr>
              <w:t>采购</w:t>
            </w:r>
            <w:r>
              <w:rPr>
                <w:rFonts w:hint="eastAsia" w:asciiTheme="minorEastAsia" w:hAnsiTheme="minorEastAsia" w:eastAsiaTheme="minorEastAsia" w:cstheme="minorEastAsia"/>
                <w:color w:val="auto"/>
                <w:kern w:val="0"/>
                <w:szCs w:val="21"/>
              </w:rPr>
              <w:t>人完成其他应急任务及其他相关事项。</w:t>
            </w:r>
          </w:p>
          <w:p w14:paraId="7F00E123">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①服务要求：</w:t>
            </w:r>
          </w:p>
          <w:p w14:paraId="7646DAAD">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需求确认：在与医院相关部门进行深入沟通的基础上，全面了解并明确搬运需求。这包括但不限于以下几点：</w:t>
            </w:r>
          </w:p>
          <w:p w14:paraId="0AF6E96C">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搬运物品的类型：区分不同类型的物品，如医疗器械、药品、病患生活用品等，以便采取不同的搬运方式和注意事项。</w:t>
            </w:r>
          </w:p>
          <w:p w14:paraId="25B59334">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搬运物品的数量：准确掌握搬运物品的数量，以便合理配置人力资源和设备。</w:t>
            </w:r>
          </w:p>
          <w:p w14:paraId="46608353">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起始和终止位置：了解物品的具体起始和终止位置，以便规划搬运路线和时间安排。</w:t>
            </w:r>
          </w:p>
          <w:p w14:paraId="65D13104">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②方案制定：在需求确认的基础上，制定详细的搬运方案，确保方案具有可行性和安全性。方案主要包括以下内容：</w:t>
            </w:r>
          </w:p>
          <w:p w14:paraId="18F7F497">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人员配置：根据搬运物品的类型和重量，合理配置搬运人员，确保人员具备相应的专业技能和体力。</w:t>
            </w:r>
          </w:p>
          <w:p w14:paraId="0C995874">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设备选用：选择合适的搬运设备，如手动搬运车、叉车、输送带等，以提高搬运效率和降低人力成本。</w:t>
            </w:r>
          </w:p>
          <w:p w14:paraId="6D98A5C6">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时间安排：合理规划搬运时间，避免高峰期和繁忙时段，以确保搬运过程顺利进行。</w:t>
            </w:r>
          </w:p>
          <w:p w14:paraId="1C8009CA">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③搬运执行：按照制定的方案，组织人员进行搬运工作。在执行过程中，要注重以下几个方面：</w:t>
            </w:r>
          </w:p>
          <w:p w14:paraId="16A0ACEE">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安全第一：确保物品在搬运过程中不受损坏，避免人员受伤，遵守医院的相关规定和安全标准。</w:t>
            </w:r>
          </w:p>
          <w:p w14:paraId="11188ECD">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完整性检查：在搬运过程中，对物品进行实时监控，确保物品数量和完整性。</w:t>
            </w:r>
          </w:p>
          <w:p w14:paraId="301D4338">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沟通协作：加强各部门之间的沟通与协作，确保搬运工作的高效进行。</w:t>
            </w:r>
          </w:p>
          <w:p w14:paraId="32879288">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④后期整理：在搬运完成后，对现场进行清理和整理，确保医院环境整洁有序。具体包括以下几个方面：</w:t>
            </w:r>
          </w:p>
          <w:p w14:paraId="40A5E8A8">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现场清理：清理废弃物、包装材料等，恢复搬运前的环境。</w:t>
            </w:r>
          </w:p>
          <w:p w14:paraId="3DF0D02A">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设备归位：将使用的设备归位，保持设备整齐有序。</w:t>
            </w:r>
          </w:p>
          <w:p w14:paraId="3C41FFC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（3）拆装隔帘、窗帘服务</w:t>
            </w:r>
          </w:p>
          <w:p w14:paraId="64B82FC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1）服务内容：</w:t>
            </w:r>
          </w:p>
          <w:p w14:paraId="7D08402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隔帘：各临床科室病房隔帘、诊室隔帘、治疗室隔帘、ICU隔帘、隔离病房隔帘。</w:t>
            </w:r>
          </w:p>
          <w:p w14:paraId="3E9A367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窗帘：门诊大厅、走廊、办公室、会议室、值班室、医技科室等区域窗帘。</w:t>
            </w:r>
          </w:p>
          <w:p w14:paraId="18B8200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配套服务：隔帘/窗帘拆卸、编号登记、密封转运、（送到专业机构清洗消毒、烘干熨烫）、回装到位、破损挂钩/挂环更换、现场清理。</w:t>
            </w:r>
          </w:p>
          <w:p w14:paraId="69E9515A">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2）服务标准与要求</w:t>
            </w:r>
          </w:p>
          <w:p w14:paraId="754817C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①院感标准</w:t>
            </w:r>
          </w:p>
          <w:p w14:paraId="51804BC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严格执行医疗机构医用织物洗涤消毒相关规范。</w:t>
            </w:r>
          </w:p>
          <w:p w14:paraId="3C0573D5">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实行污洁分区、分类拆装，感染高风险区域隔帘单独拆装。</w:t>
            </w:r>
          </w:p>
          <w:p w14:paraId="1273F6B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②拆装与维保要求</w:t>
            </w:r>
          </w:p>
          <w:p w14:paraId="2D5467B2">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拆装前按科室、区域、床位编号登记，做到数量准确、可追溯。</w:t>
            </w:r>
          </w:p>
          <w:p w14:paraId="2B093A0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拆装过程规范操作，不损坏墙面、轨道、吊顶等设施。</w:t>
            </w:r>
          </w:p>
          <w:p w14:paraId="48F5D37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对老化、损坏的挂钩、挂环免费帮助更换（医院采购挂钩、挂环），确保挂装平整、拉动顺畅。</w:t>
            </w:r>
          </w:p>
          <w:p w14:paraId="1832178A">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施工避开诊疗高峰，减少噪音与干扰，完工后清理现场。</w:t>
            </w:r>
          </w:p>
          <w:p w14:paraId="0606DBE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3）拆装频次：原则上半年拆装一次（具体以感控和科室要求为准）</w:t>
            </w:r>
          </w:p>
          <w:p w14:paraId="772FD6D5">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4）服务流程</w:t>
            </w:r>
          </w:p>
          <w:p w14:paraId="002FBCC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计划与预约：</w:t>
            </w:r>
            <w:r>
              <w:rPr>
                <w:rFonts w:hint="eastAsia" w:asciiTheme="minorEastAsia" w:hAnsiTheme="minorEastAsia" w:eastAsiaTheme="minorEastAsia" w:cstheme="minorEastAsia"/>
                <w:color w:val="auto"/>
                <w:kern w:val="0"/>
                <w:szCs w:val="21"/>
                <w:lang w:eastAsia="zh-CN"/>
              </w:rPr>
              <w:t>中标供应商</w:t>
            </w:r>
            <w:r>
              <w:rPr>
                <w:rFonts w:hint="eastAsia" w:asciiTheme="minorEastAsia" w:hAnsiTheme="minorEastAsia" w:eastAsiaTheme="minorEastAsia" w:cstheme="minorEastAsia"/>
                <w:color w:val="auto"/>
                <w:kern w:val="0"/>
                <w:szCs w:val="21"/>
              </w:rPr>
              <w:t>提前与医院后勤/科室沟通，确定拆装时间与范围。</w:t>
            </w:r>
          </w:p>
          <w:p w14:paraId="6914B45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现场拆卸与登记：逐区域拆卸、清点数量、检查破损，双方确认。</w:t>
            </w:r>
          </w:p>
          <w:p w14:paraId="01E176A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密封转运：专用密封袋/车辆转运至洗涤场所。</w:t>
            </w:r>
          </w:p>
          <w:p w14:paraId="4CF373FA">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回装与验收：按原位置规范回装，调试顺畅，更换易损配件。</w:t>
            </w:r>
          </w:p>
          <w:p w14:paraId="11AC0906">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交接确认：完成后由科室/后勤人员验收签字，建立服务台账。</w:t>
            </w:r>
          </w:p>
          <w:p w14:paraId="4B3AA32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5）质量保障与安全管理</w:t>
            </w:r>
          </w:p>
          <w:p w14:paraId="5539E482">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lang w:eastAsia="zh-CN"/>
              </w:rPr>
              <w:t>中标供应商</w:t>
            </w:r>
            <w:r>
              <w:rPr>
                <w:rFonts w:hint="eastAsia" w:asciiTheme="minorEastAsia" w:hAnsiTheme="minorEastAsia" w:eastAsiaTheme="minorEastAsia" w:cstheme="minorEastAsia"/>
                <w:color w:val="auto"/>
                <w:kern w:val="0"/>
                <w:szCs w:val="21"/>
              </w:rPr>
              <w:t>须具备相应资质、专业设备与成熟医院服务经验。</w:t>
            </w:r>
          </w:p>
          <w:p w14:paraId="6C68E15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工作人员经培训上岗，遵守医院规章制度及院感要求。</w:t>
            </w:r>
          </w:p>
          <w:p w14:paraId="3ECBD15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服务过程中造成医院设施、织物损坏的，由</w:t>
            </w:r>
            <w:r>
              <w:rPr>
                <w:rFonts w:hint="eastAsia" w:asciiTheme="minorEastAsia" w:hAnsiTheme="minorEastAsia" w:eastAsiaTheme="minorEastAsia" w:cstheme="minorEastAsia"/>
                <w:color w:val="auto"/>
                <w:kern w:val="0"/>
                <w:szCs w:val="21"/>
                <w:lang w:eastAsia="zh-CN"/>
              </w:rPr>
              <w:t>中标供应商</w:t>
            </w:r>
            <w:r>
              <w:rPr>
                <w:rFonts w:hint="eastAsia" w:asciiTheme="minorEastAsia" w:hAnsiTheme="minorEastAsia" w:eastAsiaTheme="minorEastAsia" w:cstheme="minorEastAsia"/>
                <w:color w:val="auto"/>
                <w:kern w:val="0"/>
                <w:szCs w:val="21"/>
              </w:rPr>
              <w:t>负责维修或赔偿。</w:t>
            </w:r>
          </w:p>
          <w:p w14:paraId="78E6876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建立完整台账：拆装时间、科室、数量、清洗情况、验收结果，全程可追溯。</w:t>
            </w:r>
          </w:p>
          <w:p w14:paraId="78727D4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6）服务承诺</w:t>
            </w:r>
          </w:p>
          <w:p w14:paraId="3307805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严格按约定时间完成拆装，不影响正常医疗秩序。</w:t>
            </w:r>
          </w:p>
          <w:p w14:paraId="24E5652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响应及时，出现突发污染、破损情况时快速上门处理。</w:t>
            </w:r>
          </w:p>
          <w:p w14:paraId="10077105">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文明施工、安全施工，爱护医院公共设施与财物。</w:t>
            </w:r>
          </w:p>
          <w:p w14:paraId="72A12EFE">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（二）服务质量要求：</w:t>
            </w:r>
          </w:p>
          <w:p w14:paraId="1EA765E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bCs/>
                <w:color w:val="auto"/>
                <w:kern w:val="0"/>
                <w:szCs w:val="21"/>
              </w:rPr>
              <w:t>一）公共区域、病房保洁</w:t>
            </w:r>
          </w:p>
          <w:p w14:paraId="174FFE6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地面：表面洁净、无尘土、污迹、烟头、纸屑、油迹、水迹及垃圾、间（边）隙角落无垃圾。</w:t>
            </w:r>
          </w:p>
          <w:p w14:paraId="14D38CA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墙面：无手印，无污渍、无张贴，乱画，天花板无蜘蛛网。</w:t>
            </w:r>
          </w:p>
          <w:p w14:paraId="058708DC">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电梯（污物梯、扶手电梯）：电梯门表面无划痕，无灰尘，无张贴，无乱画，光亮无手印；电梯内部沟槽无杂物，电梯壁内无张贴，无乱画，地面无纸屑，烟头，天花板光亮，内部灯亮，滑道通畅。电梯轨道无污渍、积尘、油渍。</w:t>
            </w:r>
          </w:p>
          <w:p w14:paraId="4CB895A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按键面板、开关面板：无尘土、无印迹。</w:t>
            </w:r>
          </w:p>
          <w:p w14:paraId="1EA16EC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照明灯具：无厚积尘土。</w:t>
            </w:r>
          </w:p>
          <w:p w14:paraId="2C121C9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各房间门、通道门：无尘土、污迹、印迹。</w:t>
            </w:r>
          </w:p>
          <w:p w14:paraId="5E5A634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电梯厅顶部：无厚积尘土、蜘蛛网。</w:t>
            </w:r>
          </w:p>
          <w:p w14:paraId="178ECFB0">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不锈钢面：无脏、污点。</w:t>
            </w:r>
          </w:p>
          <w:p w14:paraId="1B733C9C">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装饰物：盆、座表面干净无尘土；装饰物（如塑料花卉、油画）等表面无尘</w:t>
            </w:r>
          </w:p>
          <w:p w14:paraId="6EA9B8E0">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公共饮水机：外表无脏、污点、无积水。</w:t>
            </w:r>
          </w:p>
          <w:p w14:paraId="5D827A0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天花板、出风口：无蜘蛛网、无霉点、无积灰。</w:t>
            </w:r>
          </w:p>
          <w:p w14:paraId="5B10574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玻璃（玻璃门）：清洁明亮，无手印，无张贴，无乱画现象，无污渍，胶渍，水渍，无记号笔印记。</w:t>
            </w:r>
          </w:p>
          <w:p w14:paraId="160C20C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13</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垃圾桶：物表干净无污迹、灰尘、桶内无异味，无蚊蝇乱飞，周边无污水，无散落垃圾。</w:t>
            </w:r>
          </w:p>
          <w:p w14:paraId="38116D7A">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摆放物品、展示柜、架（物）、花盆、装饰品：表面无灰尘，污迹、明亮、物品完好</w:t>
            </w:r>
          </w:p>
          <w:p w14:paraId="4EDC3845">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15</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消防箱：干净无灰尘，无积尘，无张贴，无乱画现象，消防栓干净无积尘。</w:t>
            </w:r>
          </w:p>
          <w:p w14:paraId="71A854A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16</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踢脚线：干净无污渍，无积尘，无脱落现象。</w:t>
            </w:r>
          </w:p>
          <w:p w14:paraId="08D0006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17</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开关类：干净无灰，无污渍，无手印，禁止使用湿布擦拭。</w:t>
            </w:r>
          </w:p>
          <w:p w14:paraId="0D38AEE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18</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报箱、衣柜、文件柜、置物柜、置物架：干净，无积尘，上方无杂物无灰尘，柜边角落无垃圾灰尘、无张贴，无乱画现象。</w:t>
            </w:r>
          </w:p>
          <w:p w14:paraId="612562BA">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19</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监控探头：探头镜头干净无积灰、浮尘。</w:t>
            </w:r>
          </w:p>
          <w:p w14:paraId="455BE1F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安全出口指示灯类：干净无污渍，无积尘，无破损，灯亮。</w:t>
            </w:r>
          </w:p>
          <w:p w14:paraId="3E51EC0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不锈钢类：表面光亮，无灰尘，无划痕，无锈迹。</w:t>
            </w:r>
          </w:p>
          <w:p w14:paraId="0A2F98D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候诊椅：表面无灰尘，无张贴，无污渍，无杂物，无蜘蛛网。</w:t>
            </w:r>
          </w:p>
          <w:p w14:paraId="4282C9C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23</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指示牌、广告牌类：表面干净光亮，无灰尘，无张贴，无蜘蛛网。</w:t>
            </w:r>
          </w:p>
          <w:p w14:paraId="366309E2">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窗户（纱窗、百叶窗）：窗台无灰尘，无脚印，烟头，纸屑；窗框槽内干净，无杂物，无积尘、虫网。</w:t>
            </w:r>
          </w:p>
          <w:p w14:paraId="753A458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25</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床、床头柜、床架、沙发、氧气管：无尘土、无积灰、油迹、霉点。</w:t>
            </w:r>
          </w:p>
          <w:p w14:paraId="4913F3A0">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26</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紫外线灯管：保持清洁，无积尘；灯具、窗帘（隔帘）：无积尘土</w:t>
            </w:r>
          </w:p>
          <w:p w14:paraId="27A2A3E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27</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各类医疗器具：无尘土、霉点、污迹</w:t>
            </w:r>
          </w:p>
          <w:p w14:paraId="4C4441C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28</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污物间：物品分类摆放、整齐、干净、无异味、无杂物。</w:t>
            </w:r>
          </w:p>
          <w:p w14:paraId="632472DC">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PVC地面：无灰尘、无水迹、无污迹，保持明亮干净。</w:t>
            </w:r>
          </w:p>
          <w:p w14:paraId="34B9DB97">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二）公共、病房的卫生间保洁：</w:t>
            </w:r>
          </w:p>
          <w:p w14:paraId="36CF9D3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卫生间：清洁无异味、无积水、无污渍、不能影响患者的体验。</w:t>
            </w:r>
          </w:p>
          <w:p w14:paraId="2E1D8CA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地面：无尘土、碎纸、头发、垃圾、烟头、无积水，无尿迹、污迹、脚印。</w:t>
            </w:r>
          </w:p>
          <w:p w14:paraId="261D2DE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洗手池：池壁无污垢，无痰迹及头发等不洁物。</w:t>
            </w:r>
          </w:p>
          <w:p w14:paraId="4C1FD744">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水龙头：无印迹、污垢，光亮、洁净。</w:t>
            </w:r>
          </w:p>
          <w:p w14:paraId="2D064CA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洗手池台面：无尘土、无污物、台面无长时间水渍、洗手液器具无灰尘、无污垢，内装洗手液不少于容积1/3。</w:t>
            </w:r>
          </w:p>
          <w:p w14:paraId="14550924">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镜面：直视镜面无污迹、无污垢、无水迹</w:t>
            </w:r>
          </w:p>
          <w:p w14:paraId="40227320">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大便器、小便器、马桶等洁具：无尿硷水锈印迹（黄迹）、无污、喷水嘴应洁净。直视马桶、大小便池内部无污垢、边上无污迹、尿迹、无锈迹上下水通畅，水箱无尘、污迹。</w:t>
            </w:r>
          </w:p>
          <w:p w14:paraId="709D06B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手纸架：无手印、光亮、洁净。</w:t>
            </w:r>
          </w:p>
          <w:p w14:paraId="11D6603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纸篓：污物量不超过桶体2/3，厕纸无缺漏、内外表干净。</w:t>
            </w:r>
          </w:p>
          <w:p w14:paraId="77B5288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墙面：无尘土、污迹。</w:t>
            </w:r>
          </w:p>
          <w:p w14:paraId="4E9768B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顶板、排气口：无霉点、无污迹、无污渍。</w:t>
            </w:r>
          </w:p>
          <w:p w14:paraId="2302B98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隔板（门板）：无霉点、污迹、无手印。</w:t>
            </w:r>
          </w:p>
          <w:p w14:paraId="365DA92C">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三）楼梯保洁：</w:t>
            </w:r>
          </w:p>
          <w:p w14:paraId="20DC56B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地面：无尘土、痰迹、碎纸、烟头、脚印、口香糖及垃圾杂物。</w:t>
            </w:r>
          </w:p>
          <w:p w14:paraId="27531915">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墙面：无尘土、无污迹。</w:t>
            </w:r>
          </w:p>
          <w:p w14:paraId="7A8DE300">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消防设备：表面无尘土。</w:t>
            </w:r>
          </w:p>
          <w:p w14:paraId="03EAFCF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楼梯：扶手无灰，无积尘，无装修漆点，栏杆无积尘，无蜘蛛网，楼层阶梯无烟头屑，无泥土，通道内墙面无蜘蛛网，楼道内无堆积杂物。</w:t>
            </w:r>
          </w:p>
          <w:p w14:paraId="2CB4017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楼层内管道门：干净无积尘，无污渍，无张贴，无乱画。</w:t>
            </w:r>
          </w:p>
          <w:p w14:paraId="49D8E1D2">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四）办公室保洁</w:t>
            </w:r>
          </w:p>
          <w:p w14:paraId="2E7183E5">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桌面：干净无尘土。</w:t>
            </w:r>
          </w:p>
          <w:p w14:paraId="70E54BC4">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电脑、打印机等办公用品：无尘、霉点。</w:t>
            </w:r>
          </w:p>
          <w:p w14:paraId="42B0947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地面、墙角边沿：无污渍、纸屑、水迹、尘土、垃圾。</w:t>
            </w:r>
          </w:p>
          <w:p w14:paraId="1FB981A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值班室：地面干净无垃圾、床底无虫网、积灰、东西摆放整齐。</w:t>
            </w:r>
          </w:p>
          <w:p w14:paraId="0E7FA2F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各家具、椅子、电器：内外干净无污迹、灰尘。</w:t>
            </w:r>
          </w:p>
          <w:p w14:paraId="3840ADE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沙发：直视沙发表面色彩一致、无灰尘、无污迹、无霉斑，直视沙发无粘连物、无水迹，沙发腿表面无灰尘、无污迹、无污垢，手摸沙发表面柔软、光滑，沙发交接处内部无灰尘、无异物。真皮沙发明亮干净，保养必须使用沙发专用的清洁剂，保养好。</w:t>
            </w:r>
          </w:p>
          <w:p w14:paraId="4565AB3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倾倒干净垃圾桶、并保持外表干净。</w:t>
            </w:r>
          </w:p>
          <w:p w14:paraId="3005D8E9">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五）行政后勤楼（1-9层）宿舍区保洁</w:t>
            </w:r>
          </w:p>
          <w:p w14:paraId="566DF7F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1.公共区域保洁要求如上其它公共区域。</w:t>
            </w:r>
          </w:p>
          <w:p w14:paraId="488EB67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2.空宿舍保洁要求（空置/退房后）</w:t>
            </w:r>
          </w:p>
          <w:p w14:paraId="1615213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①室内整体</w:t>
            </w:r>
          </w:p>
          <w:p w14:paraId="255F1FB4">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彻底清扫，无垃圾、杂物、遗留物品，达到可直接入住标准。</w:t>
            </w:r>
          </w:p>
          <w:p w14:paraId="184C96B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空气流通，无异味，必要时开窗通风或空气净化。</w:t>
            </w:r>
          </w:p>
          <w:p w14:paraId="1E170CE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②地面</w:t>
            </w:r>
          </w:p>
          <w:p w14:paraId="3ECC6D2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全面清扫、拖拭，无灰尘、污渍、脚印、毛发。</w:t>
            </w:r>
          </w:p>
          <w:p w14:paraId="741C1002">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床下、柜底、墙角等死角彻底清理。</w:t>
            </w:r>
          </w:p>
          <w:p w14:paraId="3E7C0C0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③床铺及家具</w:t>
            </w:r>
          </w:p>
          <w:p w14:paraId="7D36FAE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床架、床板、床头柜：擦拭干净，无灰尘、污渍、杂物。</w:t>
            </w:r>
          </w:p>
          <w:p w14:paraId="27E6231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衣柜、书桌、椅子：内外擦拭，无灰尘、污渍、遗留物品。</w:t>
            </w:r>
          </w:p>
          <w:p w14:paraId="7EBEA30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门窗、窗台、窗帘轨道：无积灰、污渍。</w:t>
            </w:r>
          </w:p>
          <w:p w14:paraId="03F45C8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④墙面、天花板</w:t>
            </w:r>
          </w:p>
          <w:p w14:paraId="297D40F7">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无污渍、脚印、球印、蛛网，乱贴痕迹清理干净。</w:t>
            </w:r>
          </w:p>
          <w:p w14:paraId="2594E73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开关、插座面板干净无灰尘、污渍。</w:t>
            </w:r>
          </w:p>
          <w:p w14:paraId="53009E4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⑤阳台/卫生间</w:t>
            </w:r>
          </w:p>
          <w:p w14:paraId="1E68523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地面、墙面干净，无积水、污渍、垃圾。</w:t>
            </w:r>
          </w:p>
          <w:p w14:paraId="733A97A4">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洗手池、地漏畅通无堵塞，无异味。</w:t>
            </w:r>
          </w:p>
          <w:p w14:paraId="71ACF43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晾晒架、玻璃干净整洁。</w:t>
            </w:r>
          </w:p>
          <w:p w14:paraId="23D943B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bCs/>
                <w:color w:val="auto"/>
                <w:kern w:val="0"/>
                <w:szCs w:val="21"/>
              </w:rPr>
              <w:t>六）外围环境保洁</w:t>
            </w:r>
          </w:p>
          <w:p w14:paraId="4679D64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路面：目视干净，无纸屑、无塑料袋、无烟头，无落叶，无痰迹，无积水，无口香糖胶渍，无堆积杂物，无大块石头等杂物。</w:t>
            </w:r>
          </w:p>
          <w:p w14:paraId="7D8D917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果皮箱、垃圾桶：无异味，无蚊蝇乱飞，周边无污水，无散落垃圾。</w:t>
            </w:r>
          </w:p>
          <w:p w14:paraId="54DAB16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绿化地：无落叶、花丛内无瓜果皮壳、枯叶、饮料盒、纸屑、碎石，动物粪便等杂物。</w:t>
            </w:r>
          </w:p>
          <w:p w14:paraId="76FD0182">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灯杆：无张贴，无灰尘，无蜘蛛网，无锈迹。</w:t>
            </w:r>
          </w:p>
          <w:p w14:paraId="0E1D229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天台（花园）：无堆积杂物，无石块，无落叶，无纸屑，无烟头，等杂物。</w:t>
            </w:r>
          </w:p>
          <w:p w14:paraId="467EED0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地下停车场管道、设施：表面干净，无污迹，无蜘蛛网，烟感器，出风口无灰尘，无污迹，无蜘蛛网</w:t>
            </w:r>
          </w:p>
          <w:p w14:paraId="76F46E1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外墙玻璃：干净明亮，无污渍，无胶点，无漆点，无手印，无水渍。</w:t>
            </w:r>
          </w:p>
          <w:p w14:paraId="630A6EA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休闲椅：表面无灰尘，无张贴，无污渍，无杂物，无蜘蛛网。</w:t>
            </w:r>
          </w:p>
          <w:p w14:paraId="422135C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排水沟：无杂物，无杂草，无纸屑烟头，排水畅通无堵塞、积水、异味。</w:t>
            </w:r>
          </w:p>
          <w:p w14:paraId="10A32964">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公共走廊：无杂物，无烟头，无纸屑，无泥土，无胶渍。无手印，无张贴，无乱画现象，无污渍，胶渍，水渍。</w:t>
            </w:r>
          </w:p>
          <w:p w14:paraId="454A5260">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指示牌、广告牌类：表面干净光亮，无灰尘，无张贴，无蜘蛛网。</w:t>
            </w:r>
          </w:p>
          <w:p w14:paraId="2C04A398">
            <w:pPr>
              <w:pStyle w:val="50"/>
              <w:snapToGrid w:val="0"/>
              <w:spacing w:line="360" w:lineRule="exact"/>
              <w:rPr>
                <w:rFonts w:asciiTheme="minorEastAsia" w:hAnsiTheme="minorEastAsia" w:eastAsiaTheme="minorEastAsia" w:cstheme="minorEastAsia"/>
                <w:b w:val="0"/>
                <w:bCs/>
                <w:color w:val="auto"/>
                <w:kern w:val="0"/>
                <w:szCs w:val="21"/>
              </w:rPr>
            </w:pPr>
            <w:r>
              <w:rPr>
                <w:rFonts w:hint="eastAsia" w:asciiTheme="minorEastAsia" w:hAnsiTheme="minorEastAsia" w:eastAsiaTheme="minorEastAsia" w:cstheme="minorEastAsia"/>
                <w:b w:val="0"/>
                <w:bCs/>
                <w:color w:val="auto"/>
                <w:kern w:val="0"/>
                <w:szCs w:val="21"/>
              </w:rPr>
              <w:t>12.道路、绿化带、连廊、广场：做到巡回保洁，巡查发现情况随脏随扫。</w:t>
            </w:r>
          </w:p>
          <w:p w14:paraId="0E9C8353">
            <w:pPr>
              <w:snapToGrid w:val="0"/>
              <w:spacing w:line="360" w:lineRule="exact"/>
              <w:ind w:firstLine="420" w:firstLineChars="200"/>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13.生活垃圾暂存站：路边垃圾桶桶身保持清洁，摆放整齐，地面整洁无污渍。每日垃圾收集完冲洗一次。</w:t>
            </w:r>
          </w:p>
          <w:p w14:paraId="31B31750">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kern w:val="0"/>
                <w:szCs w:val="21"/>
              </w:rPr>
              <w:t>14</w:t>
            </w:r>
            <w:r>
              <w:rPr>
                <w:rFonts w:hint="eastAsia" w:asciiTheme="minorEastAsia" w:hAnsiTheme="minorEastAsia" w:eastAsiaTheme="minorEastAsia" w:cstheme="minorEastAsia"/>
                <w:b/>
                <w:color w:val="auto"/>
                <w:kern w:val="0"/>
                <w:szCs w:val="21"/>
              </w:rPr>
              <w:t>.医疗垃圾暂存站</w:t>
            </w:r>
            <w:r>
              <w:rPr>
                <w:rFonts w:hint="eastAsia" w:asciiTheme="minorEastAsia" w:hAnsiTheme="minorEastAsia" w:eastAsiaTheme="minorEastAsia" w:cstheme="minorEastAsia"/>
                <w:bCs/>
                <w:color w:val="auto"/>
                <w:kern w:val="0"/>
                <w:szCs w:val="21"/>
              </w:rPr>
              <w:t>：站内墙面地面整洁无污渍，暂存间垃圾桶摆放整齐，桶内垃圾密闭保存，每天医疗垃圾转交后按《医院感染管理办法》要求对暂存间及运输工具进行清洁消毒，每天按要求用紫外线灯消毒。</w:t>
            </w:r>
          </w:p>
          <w:p w14:paraId="0EE37781">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七）电梯司乘服务标准要求</w:t>
            </w:r>
          </w:p>
          <w:p w14:paraId="0F10927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电梯司乘人员工作时需站立，文明礼貌，要统一着装、发饰、配饰，服装亮丽、整洁、干练，佩戴工号牌，随梯人员佩戴白手套：站姿、引导动作要规范、端庄，使用礼貌语言，微笑服务，电梯司乘不与乘客争吵，服务时间不做私活，不与乘客闲聊。</w:t>
            </w:r>
          </w:p>
          <w:p w14:paraId="129FF5BA">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2.熟练掌握电梯的操作，每日操梯前进行验梯，发现故障及时报修。</w:t>
            </w:r>
          </w:p>
          <w:p w14:paraId="3E3E4155">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szCs w:val="21"/>
              </w:rPr>
              <w:t>电梯保洁干净无污渍90%以上，每天定时清扫每层楼轿厢、门框、电梯门缝，按医院感控要求做好电梯消毒清洁工作，保持电梯内清洁明亮</w:t>
            </w:r>
            <w:r>
              <w:rPr>
                <w:rFonts w:hint="eastAsia" w:asciiTheme="minorEastAsia" w:hAnsiTheme="minorEastAsia" w:eastAsiaTheme="minorEastAsia" w:cstheme="minorEastAsia"/>
                <w:color w:val="auto"/>
                <w:kern w:val="0"/>
                <w:szCs w:val="21"/>
              </w:rPr>
              <w:t>。遇到特殊情况随时处理区域保洁。</w:t>
            </w:r>
          </w:p>
          <w:p w14:paraId="6C85704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4.轿厢定期擦不锈钢油（包括电梯门）1次/每星期。</w:t>
            </w:r>
          </w:p>
          <w:p w14:paraId="74CF4225">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w:t>
            </w:r>
            <w:r>
              <w:rPr>
                <w:rFonts w:hint="eastAsia" w:asciiTheme="minorEastAsia" w:hAnsiTheme="minorEastAsia" w:eastAsiaTheme="minorEastAsia" w:cstheme="minorEastAsia"/>
                <w:color w:val="auto"/>
                <w:szCs w:val="21"/>
              </w:rPr>
              <w:t>严格执行电梯消毒制度，每天消毒2次，并做好消毒记录，登记表放置电梯内。</w:t>
            </w:r>
            <w:r>
              <w:rPr>
                <w:rFonts w:hint="eastAsia" w:asciiTheme="minorEastAsia" w:hAnsiTheme="minorEastAsia" w:eastAsiaTheme="minorEastAsia" w:cstheme="minorEastAsia"/>
                <w:color w:val="auto"/>
                <w:kern w:val="0"/>
                <w:szCs w:val="21"/>
              </w:rPr>
              <w:t>严格执行电梯消毒制度，每天下班前或夜班值班人员进行消毒。</w:t>
            </w:r>
          </w:p>
          <w:p w14:paraId="1F9F47AD">
            <w:pPr>
              <w:pStyle w:val="44"/>
              <w:snapToGrid w:val="0"/>
              <w:spacing w:line="360" w:lineRule="exact"/>
              <w:ind w:left="0" w:leftChars="0" w:firstLine="420" w:firstLineChars="200"/>
              <w:jc w:val="both"/>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6.配合做好会议、学术、参观等临时使用电梯工作任务。</w:t>
            </w:r>
          </w:p>
          <w:p w14:paraId="72459442">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7.保障乘客安全运行100%。熟悉电梯的操作及基本的处理方法，熟悉各病区所在的楼层位置，并指导病人所到科室就诊。</w:t>
            </w:r>
          </w:p>
          <w:p w14:paraId="784421D6">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8.及时处理突发状况，维持现场乘梯秩序，为需急救的病人提供电梯优先使用通道。</w:t>
            </w:r>
          </w:p>
          <w:p w14:paraId="05BC52B9">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9.在服务时间内要坚守工作岗位，不能擅自离开，如确要离开时，将电梯内所有开关转到正常，并锁好开关。</w:t>
            </w:r>
          </w:p>
          <w:p w14:paraId="0D824EEB">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10.应具备应急反应能力，能做到快速按下紧急报警按钮，通知外界被困情况。具备安抚乘客情绪能力，避免乘客因过度紧张导致身体出现问题。</w:t>
            </w:r>
          </w:p>
          <w:p w14:paraId="63045B35">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11.认真详细记录当值情况，要求电梯司乘提前10分钟接班。</w:t>
            </w:r>
          </w:p>
          <w:p w14:paraId="6053412E">
            <w:pPr>
              <w:pStyle w:val="7"/>
              <w:snapToGrid w:val="0"/>
              <w:spacing w:line="360" w:lineRule="exact"/>
              <w:ind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12.上岗前应进行水、火、电安全相关知识培训，具有应对发生火灾、泛水、突然断电的应急知识及能力；熟练掌握电梯困人的处理措施；严禁易燃、易爆及其他危险品登梯。</w:t>
            </w:r>
          </w:p>
          <w:p w14:paraId="658D3308">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w:t>
            </w:r>
            <w:r>
              <w:rPr>
                <w:rFonts w:hint="eastAsia" w:asciiTheme="minorEastAsia" w:hAnsiTheme="minorEastAsia" w:eastAsiaTheme="minorEastAsia" w:cstheme="minorEastAsia"/>
                <w:color w:val="auto"/>
                <w:kern w:val="0"/>
                <w:szCs w:val="21"/>
                <w:lang w:eastAsia="zh-CN"/>
              </w:rPr>
              <w:t>中标供应商</w:t>
            </w:r>
            <w:r>
              <w:rPr>
                <w:rFonts w:hint="eastAsia" w:asciiTheme="minorEastAsia" w:hAnsiTheme="minorEastAsia" w:eastAsiaTheme="minorEastAsia" w:cstheme="minorEastAsia"/>
                <w:color w:val="auto"/>
                <w:szCs w:val="21"/>
              </w:rPr>
              <w:t>应制定有电梯事故应急预案及安全责任人。</w:t>
            </w:r>
          </w:p>
          <w:p w14:paraId="70E15840">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八）绿化工作质量标准要求</w:t>
            </w:r>
          </w:p>
          <w:p w14:paraId="6180D89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1.绿化、绿地无明显纸屑、果皮、塑料袋等杂物，绿化辅助设施保持清洁，垃圾应及时清运，不过夜，不现场焚烧垃圾。</w:t>
            </w:r>
          </w:p>
          <w:p w14:paraId="55F5CBA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2.水池水质清澈，无异味，水面无垃圾。</w:t>
            </w:r>
          </w:p>
          <w:p w14:paraId="23E2099C">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3.树木主侧枝分布匀称、数量适宜，修剪科学合理、及时，内膛不乱，通风透光，无徒长枝、萌蘖枝、病虫枝、枯死枝、伤损枝等；</w:t>
            </w:r>
          </w:p>
          <w:p w14:paraId="74BBB5F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4.模纹、绿篱、造型植物保持优美形态，生长旺盛，修剪成几何图形的，轮廓清晰，平整，修剪面光滑、密实、无明显空洞或残缺，新梢高度不高于10CM。</w:t>
            </w:r>
          </w:p>
          <w:p w14:paraId="40AE61F2">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5.土壤无板结，植物根系不得裸露，绿地无坑进积水，及时清除绿地死株，补植缺株，保持植物景观的完整，无裸露地。</w:t>
            </w:r>
          </w:p>
          <w:p w14:paraId="7E0F092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6.根据植物的生产特性和季节变化适时适量、科学浇水，无漏浇、旱涝、积水、冲击坑，确保植物正常生长。</w:t>
            </w:r>
          </w:p>
          <w:p w14:paraId="06571AE0">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7.根据植物生长特性及时施肥，并提供施肥记录。每年不少于2次，以有机肥为主（所需肥料均由</w:t>
            </w:r>
            <w:r>
              <w:rPr>
                <w:rFonts w:hint="eastAsia" w:asciiTheme="minorEastAsia" w:hAnsiTheme="minorEastAsia" w:eastAsiaTheme="minorEastAsia" w:cstheme="minorEastAsia"/>
                <w:color w:val="auto"/>
                <w:kern w:val="0"/>
                <w:szCs w:val="21"/>
                <w:lang w:eastAsia="zh-CN"/>
              </w:rPr>
              <w:t>中标供应商</w:t>
            </w:r>
            <w:r>
              <w:rPr>
                <w:rFonts w:hint="eastAsia" w:asciiTheme="minorEastAsia" w:hAnsiTheme="minorEastAsia" w:eastAsiaTheme="minorEastAsia" w:cstheme="minorEastAsia"/>
                <w:color w:val="auto"/>
                <w:kern w:val="0"/>
                <w:szCs w:val="21"/>
              </w:rPr>
              <w:t>提供）。施肥均匀适量，无缺肥、漏肥及肥害现象。</w:t>
            </w:r>
          </w:p>
          <w:p w14:paraId="7E7F6F8B">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8.树木无蛀干害虫的活卵、活虫，无明显病虫及病虫危害症状。及时预防和治理病虫害，用药规范、安全，不影响人员正常活动，无药害、无环境污染（所需药物均由</w:t>
            </w:r>
            <w:r>
              <w:rPr>
                <w:rFonts w:hint="eastAsia" w:asciiTheme="minorEastAsia" w:hAnsiTheme="minorEastAsia" w:eastAsiaTheme="minorEastAsia" w:cstheme="minorEastAsia"/>
                <w:color w:val="auto"/>
                <w:kern w:val="0"/>
                <w:szCs w:val="21"/>
                <w:lang w:eastAsia="zh-CN"/>
              </w:rPr>
              <w:t>中标供应商</w:t>
            </w:r>
            <w:r>
              <w:rPr>
                <w:rFonts w:hint="eastAsia" w:asciiTheme="minorEastAsia" w:hAnsiTheme="minorEastAsia" w:eastAsiaTheme="minorEastAsia" w:cstheme="minorEastAsia"/>
                <w:color w:val="auto"/>
                <w:kern w:val="0"/>
                <w:szCs w:val="21"/>
              </w:rPr>
              <w:t>提供）。病虫害控制在不影响观赏效果的范围内。做好防治记录。</w:t>
            </w:r>
          </w:p>
          <w:p w14:paraId="5EADE19B">
            <w:pPr>
              <w:pStyle w:val="7"/>
              <w:snapToGrid w:val="0"/>
              <w:spacing w:line="360" w:lineRule="exact"/>
              <w:ind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9.花卉植株外观：无枯枝、无病虫、无异味、无粉尘、无积水、无杂草。花卉叶面每周至少擦拭1次，保持干净光亮。残花、黄叶当日清理。</w:t>
            </w:r>
          </w:p>
          <w:p w14:paraId="4D13F85C">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11.花卉水肥标准：见干见湿，盆内不积水、托盘无积水、地面无水渍。施用无味、缓释、环保肥料，严禁使用有异味肥料。不外溢、不污染地面、墙面、家具。</w:t>
            </w:r>
          </w:p>
          <w:p w14:paraId="3C8EA02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12.花卉修剪整形：株型饱满、疏密适度，不徒长、不凌乱。不超高、不超宽、不影响通行和采光。修剪垃圾随剪随清，不留杂物。</w:t>
            </w:r>
          </w:p>
          <w:p w14:paraId="2328FCC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13.花卉病虫害防治：无明显虫害、无蛛网、无蚧壳虫、无蚜虫、无粉虱。优先物理防治，不在诊疗区域喷洒有气味农药。发现病虫植株24小时内隔离或更换。</w:t>
            </w:r>
          </w:p>
          <w:p w14:paraId="0A3A51D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14.花卉卫生与环境：花盆、托盘、花架干净无污渍、无泥土、无青苔。养护后地面清洁，无落叶、无泥土、无垃圾。严禁在病区清洗花盆、工具。</w:t>
            </w:r>
          </w:p>
          <w:p w14:paraId="211F6BE9">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九）被污染环境、物品消毒标准要求</w:t>
            </w:r>
          </w:p>
          <w:p w14:paraId="7A24C2D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普通病房、被血液、体液污染或传染病人病房的地、床、桌、操作台、病人用物、室内外环境保洁的消毒标准及要求：达到国家及医疗卫生行业医院《医院消毒卫生标准》《医疗机构消毒技术规范》《医疗机构环境表面清洁与消毒管理规范》等标准要求。</w:t>
            </w:r>
          </w:p>
          <w:p w14:paraId="1E9ED583">
            <w:pPr>
              <w:snapToGrid w:val="0"/>
              <w:spacing w:line="360" w:lineRule="exact"/>
              <w:ind w:firstLine="420" w:firstLineChars="200"/>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十）卫生消毒内容及标准</w:t>
            </w:r>
          </w:p>
          <w:p w14:paraId="56C9E55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根据季节和保洁区域情况制定办公室、病房区域、公共卫生间、电梯及电梯厅、垃圾、医疗废物中转站或垃圾桶等日常消毒。</w:t>
            </w:r>
          </w:p>
          <w:p w14:paraId="2FE5F67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全院拖把实行集中消毒、清洗配送制，使用后的拖把在没有集中消毒、清洗前不得重复使用。</w:t>
            </w:r>
          </w:p>
          <w:p w14:paraId="2EDC7288">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编制《卫生消毒消杀标准》，对清洁人员进行培训考核，合格方允许上岗。</w:t>
            </w:r>
          </w:p>
          <w:p w14:paraId="2717CB0E">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bCs/>
                <w:color w:val="auto"/>
                <w:kern w:val="0"/>
                <w:szCs w:val="21"/>
              </w:rPr>
              <w:t>十一）建筑垃圾、生活垃圾、医疗废物垃圾管理标准要求</w:t>
            </w:r>
          </w:p>
          <w:p w14:paraId="108AAFDA">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国家及医疗卫生行业的规定，医疗废弃物的管理实行科主任、护士长负责制，监督检查本科室的垃圾分类放置情况，清洁员对各科室的医疗垃圾的回收情况进行登记，确保垃圾的分类收集并密闭运送至医疗垃圾停放处。严格实行建筑垃圾、生活垃圾、医疗废物分类收集、定点存放、专人管理、规范转运，做到分类清晰、容器密闭、标识规范、去向可追，确保全过程无混放、无泄漏、无遗撒、无异味、无乱堆乱放、无违规处置，有效防范环境污染、交叉感染、安全隐患、舆情风险等各类不良事件发生，保障环境安全与公共卫生安全。总务科、护理部、院感科共同检查监督垃圾的处理情况。</w:t>
            </w:r>
          </w:p>
          <w:p w14:paraId="135B8944">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1.生活垃圾、医疗废弃垃圾日产日清。</w:t>
            </w:r>
          </w:p>
          <w:p w14:paraId="6BE2F3A9">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根据废物的成分和特性统一进行无害化、规范化处置：并在转移过程中采取防散落、防流头、防渗漏、防残留、防残液滴漏等防止污染环境的措施，确保规范收集。推动垃圾车时，门要关好，安全运送，对需要初级消毒和销毁的医疗固体废物及时进行初级处理，分类包装放置周转箱内。在盛装医疗废物前，应当对医疗废物包装物或者容器进行认真检查，确保无破损、渗漏和其他缺陷。对包装破损、包装外表污染时应当重新包装。</w:t>
            </w:r>
          </w:p>
          <w:p w14:paraId="12189B2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医疗废物按要求做好医疗废物分类收集、包装、交接签名等工作；登记内容包括医疗废物的来源、种类、重量或者数量、交接时间、最终去向及经办人签名等，登记资料至少保持三年。交接有登记签名，统计无错误，表格材料无遗失，做好归档管理。医疗废物交接记录必须真实、具体，不得弄虚作假，做到产生地、暂存地与转运联单一致，确保医疗废物不向院外流失。</w:t>
            </w:r>
          </w:p>
          <w:p w14:paraId="7B7903D0">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4.可回收类医疗废弃物无私自截留、无流失。</w:t>
            </w:r>
          </w:p>
          <w:p w14:paraId="4899FA7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5.制定有收集清运车使用消毒作业管理方案及医疗废物发生流失/泄漏/扩散等意外事故的应急措施和处理方案。</w:t>
            </w:r>
          </w:p>
          <w:p w14:paraId="4A0CF6D3">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6.医疗废物运送人员每天将废物分类包装，与科室人员做好交接登记工作，并按照规定的时间和路线运送到医疗废物暂存处。建筑垃圾至少每月清运一次，如满则及时清运。</w:t>
            </w:r>
          </w:p>
          <w:p w14:paraId="306BC30D">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bCs/>
                <w:color w:val="auto"/>
                <w:kern w:val="0"/>
                <w:szCs w:val="21"/>
              </w:rPr>
              <w:t>十二）各科室保洁工作流程要求：</w:t>
            </w:r>
            <w:r>
              <w:rPr>
                <w:rFonts w:hint="eastAsia" w:asciiTheme="minorEastAsia" w:hAnsiTheme="minorEastAsia" w:eastAsiaTheme="minorEastAsia" w:cstheme="minorEastAsia"/>
                <w:color w:val="auto"/>
                <w:kern w:val="0"/>
                <w:szCs w:val="21"/>
              </w:rPr>
              <w:t>根据《医院隔离技术标准（2023版）》、《医疗机构环境表面清洁与消毒管理规范》及医院作息时间情况，由</w:t>
            </w:r>
            <w:r>
              <w:rPr>
                <w:rFonts w:hint="eastAsia" w:asciiTheme="minorEastAsia" w:hAnsiTheme="minorEastAsia" w:eastAsiaTheme="minorEastAsia" w:cstheme="minorEastAsia"/>
                <w:color w:val="auto"/>
                <w:kern w:val="0"/>
                <w:szCs w:val="21"/>
                <w:lang w:eastAsia="zh-CN"/>
              </w:rPr>
              <w:t>中标供应商</w:t>
            </w:r>
            <w:r>
              <w:rPr>
                <w:rFonts w:hint="eastAsia" w:asciiTheme="minorEastAsia" w:hAnsiTheme="minorEastAsia" w:eastAsiaTheme="minorEastAsia" w:cstheme="minorEastAsia"/>
                <w:color w:val="auto"/>
                <w:kern w:val="0"/>
                <w:szCs w:val="21"/>
              </w:rPr>
              <w:t>自行编制门诊保洁工作流程、急诊室保洁工作流程、新生儿科保洁工作流程、手术室保洁工作流程、重症监护室工作流程等工作流程（含工作时间、工作内容、工作要求）。</w:t>
            </w:r>
          </w:p>
          <w:p w14:paraId="5E688CB3">
            <w:pPr>
              <w:tabs>
                <w:tab w:val="left" w:pos="360"/>
              </w:tabs>
              <w:snapToGrid w:val="0"/>
              <w:spacing w:line="360" w:lineRule="exact"/>
              <w:ind w:firstLine="420" w:firstLineChars="200"/>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十三）管理与服务：</w:t>
            </w:r>
          </w:p>
          <w:p w14:paraId="4E1E49F4">
            <w:pPr>
              <w:tabs>
                <w:tab w:val="left" w:pos="360"/>
              </w:tabs>
              <w:snapToGrid w:val="0"/>
              <w:spacing w:line="36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1.严格按照颜色区分拖把、抹布、容器，做好感控工作，避免交叉感染。</w:t>
            </w:r>
          </w:p>
          <w:p w14:paraId="756288E5">
            <w:pPr>
              <w:tabs>
                <w:tab w:val="left" w:pos="360"/>
              </w:tabs>
              <w:snapToGrid w:val="0"/>
              <w:spacing w:line="36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2.使用可更换拖把、抹布，一柜一巾，保证质量。</w:t>
            </w:r>
          </w:p>
          <w:p w14:paraId="594EADF9">
            <w:pPr>
              <w:tabs>
                <w:tab w:val="left" w:pos="360"/>
              </w:tabs>
              <w:snapToGrid w:val="0"/>
              <w:spacing w:line="36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3.拖把、抹布用后的消毒、清洁</w:t>
            </w:r>
          </w:p>
          <w:p w14:paraId="088609D2">
            <w:pPr>
              <w:tabs>
                <w:tab w:val="left" w:pos="360"/>
              </w:tabs>
              <w:snapToGrid w:val="0"/>
              <w:spacing w:line="36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色标管理</w:t>
            </w:r>
          </w:p>
          <w:tbl>
            <w:tblPr>
              <w:tblStyle w:val="55"/>
              <w:tblW w:w="7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758"/>
              <w:gridCol w:w="2437"/>
              <w:gridCol w:w="3494"/>
            </w:tblGrid>
            <w:tr w14:paraId="63E6C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09" w:type="dxa"/>
                  <w:noWrap/>
                  <w:vAlign w:val="center"/>
                </w:tcPr>
                <w:p w14:paraId="229692C3">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保洁工具</w:t>
                  </w:r>
                </w:p>
              </w:tc>
              <w:tc>
                <w:tcPr>
                  <w:tcW w:w="758" w:type="dxa"/>
                  <w:noWrap/>
                  <w:vAlign w:val="center"/>
                </w:tcPr>
                <w:p w14:paraId="7D470791">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颜色</w:t>
                  </w:r>
                </w:p>
              </w:tc>
              <w:tc>
                <w:tcPr>
                  <w:tcW w:w="2437" w:type="dxa"/>
                  <w:noWrap/>
                  <w:vAlign w:val="center"/>
                </w:tcPr>
                <w:p w14:paraId="18E6770E">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使用区域</w:t>
                  </w:r>
                </w:p>
              </w:tc>
              <w:tc>
                <w:tcPr>
                  <w:tcW w:w="3494" w:type="dxa"/>
                  <w:noWrap/>
                  <w:vAlign w:val="center"/>
                </w:tcPr>
                <w:p w14:paraId="48271B56">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使用步骤</w:t>
                  </w:r>
                </w:p>
              </w:tc>
            </w:tr>
            <w:tr w14:paraId="1A333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809" w:type="dxa"/>
                  <w:vMerge w:val="restart"/>
                  <w:noWrap/>
                </w:tcPr>
                <w:p w14:paraId="0CD3BFB1">
                  <w:pPr>
                    <w:snapToGrid w:val="0"/>
                    <w:spacing w:line="360" w:lineRule="exact"/>
                    <w:rPr>
                      <w:rFonts w:asciiTheme="minorEastAsia" w:hAnsiTheme="minorEastAsia" w:eastAsiaTheme="minorEastAsia" w:cstheme="minorEastAsia"/>
                      <w:color w:val="auto"/>
                      <w:szCs w:val="21"/>
                    </w:rPr>
                  </w:pPr>
                </w:p>
                <w:p w14:paraId="169B6E41">
                  <w:pPr>
                    <w:snapToGrid w:val="0"/>
                    <w:spacing w:line="360" w:lineRule="exact"/>
                    <w:rPr>
                      <w:rFonts w:asciiTheme="minorEastAsia" w:hAnsiTheme="minorEastAsia" w:eastAsiaTheme="minorEastAsia" w:cstheme="minorEastAsia"/>
                      <w:color w:val="auto"/>
                      <w:szCs w:val="21"/>
                    </w:rPr>
                  </w:pPr>
                </w:p>
                <w:p w14:paraId="5E7E96FF">
                  <w:pPr>
                    <w:snapToGrid w:val="0"/>
                    <w:spacing w:line="360" w:lineRule="exact"/>
                    <w:rPr>
                      <w:rFonts w:asciiTheme="minorEastAsia" w:hAnsiTheme="minorEastAsia" w:eastAsiaTheme="minorEastAsia" w:cstheme="minorEastAsia"/>
                      <w:color w:val="auto"/>
                      <w:szCs w:val="21"/>
                    </w:rPr>
                  </w:pPr>
                </w:p>
                <w:p w14:paraId="35CA98F9">
                  <w:pPr>
                    <w:snapToGrid w:val="0"/>
                    <w:spacing w:line="360" w:lineRule="exact"/>
                    <w:rPr>
                      <w:rFonts w:asciiTheme="minorEastAsia" w:hAnsiTheme="minorEastAsia" w:eastAsiaTheme="minorEastAsia" w:cstheme="minorEastAsia"/>
                      <w:color w:val="auto"/>
                      <w:szCs w:val="21"/>
                    </w:rPr>
                  </w:pPr>
                </w:p>
                <w:p w14:paraId="6749C744">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毛巾</w:t>
                  </w:r>
                </w:p>
              </w:tc>
              <w:tc>
                <w:tcPr>
                  <w:tcW w:w="758" w:type="dxa"/>
                  <w:noWrap/>
                </w:tcPr>
                <w:p w14:paraId="4B53CD59">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红色</w:t>
                  </w:r>
                </w:p>
              </w:tc>
              <w:tc>
                <w:tcPr>
                  <w:tcW w:w="2437" w:type="dxa"/>
                  <w:noWrap/>
                </w:tcPr>
                <w:p w14:paraId="5C2E1540">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卫生间物体表面</w:t>
                  </w:r>
                </w:p>
              </w:tc>
              <w:tc>
                <w:tcPr>
                  <w:tcW w:w="3494" w:type="dxa"/>
                  <w:vMerge w:val="restart"/>
                  <w:noWrap/>
                </w:tcPr>
                <w:p w14:paraId="4E8E7862">
                  <w:pPr>
                    <w:snapToGrid w:val="0"/>
                    <w:spacing w:line="36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1.使用前先用500mg/l含氯消毒液浸湿后折叠备用；</w:t>
                  </w:r>
                </w:p>
                <w:p w14:paraId="65F282B2">
                  <w:pPr>
                    <w:snapToGrid w:val="0"/>
                    <w:spacing w:line="36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2.使用后毛巾放在保洁车下层黑色塑料袋内（血液、体液污染或隔离病人放在黄色塑料袋内）准备更换；</w:t>
                  </w:r>
                </w:p>
                <w:p w14:paraId="4764AF2F">
                  <w:pPr>
                    <w:snapToGrid w:val="0"/>
                    <w:spacing w:line="36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3.使用后的毛巾用500mg/l含氯消毒液浸湿30分钟后清洗，分类固定位置悬挂晾干。</w:t>
                  </w:r>
                </w:p>
              </w:tc>
            </w:tr>
            <w:tr w14:paraId="1DC0D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809" w:type="dxa"/>
                  <w:vMerge w:val="continue"/>
                  <w:noWrap/>
                </w:tcPr>
                <w:p w14:paraId="0CC9B4E8">
                  <w:pPr>
                    <w:snapToGrid w:val="0"/>
                    <w:spacing w:line="360" w:lineRule="exact"/>
                    <w:rPr>
                      <w:rFonts w:asciiTheme="minorEastAsia" w:hAnsiTheme="minorEastAsia" w:eastAsiaTheme="minorEastAsia" w:cstheme="minorEastAsia"/>
                      <w:color w:val="auto"/>
                      <w:szCs w:val="21"/>
                    </w:rPr>
                  </w:pPr>
                </w:p>
              </w:tc>
              <w:tc>
                <w:tcPr>
                  <w:tcW w:w="758" w:type="dxa"/>
                  <w:noWrap/>
                </w:tcPr>
                <w:p w14:paraId="402EA68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黄色</w:t>
                  </w:r>
                </w:p>
              </w:tc>
              <w:tc>
                <w:tcPr>
                  <w:tcW w:w="2437" w:type="dxa"/>
                  <w:noWrap/>
                </w:tcPr>
                <w:p w14:paraId="24FAC320">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病房、诊室、处置间、污物间、淋浴房等物体表面</w:t>
                  </w:r>
                </w:p>
              </w:tc>
              <w:tc>
                <w:tcPr>
                  <w:tcW w:w="3494" w:type="dxa"/>
                  <w:vMerge w:val="continue"/>
                  <w:noWrap/>
                </w:tcPr>
                <w:p w14:paraId="33BBCA39">
                  <w:pPr>
                    <w:snapToGrid w:val="0"/>
                    <w:spacing w:line="360" w:lineRule="exact"/>
                    <w:rPr>
                      <w:rFonts w:asciiTheme="minorEastAsia" w:hAnsiTheme="minorEastAsia" w:eastAsiaTheme="minorEastAsia" w:cstheme="minorEastAsia"/>
                      <w:color w:val="auto"/>
                      <w:szCs w:val="21"/>
                    </w:rPr>
                  </w:pPr>
                </w:p>
              </w:tc>
            </w:tr>
            <w:tr w14:paraId="26A20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809" w:type="dxa"/>
                  <w:vMerge w:val="continue"/>
                  <w:noWrap/>
                </w:tcPr>
                <w:p w14:paraId="30EED87E">
                  <w:pPr>
                    <w:snapToGrid w:val="0"/>
                    <w:spacing w:line="360" w:lineRule="exact"/>
                    <w:rPr>
                      <w:rFonts w:asciiTheme="minorEastAsia" w:hAnsiTheme="minorEastAsia" w:eastAsiaTheme="minorEastAsia" w:cstheme="minorEastAsia"/>
                      <w:color w:val="auto"/>
                      <w:szCs w:val="21"/>
                    </w:rPr>
                  </w:pPr>
                </w:p>
              </w:tc>
              <w:tc>
                <w:tcPr>
                  <w:tcW w:w="758" w:type="dxa"/>
                  <w:noWrap/>
                </w:tcPr>
                <w:p w14:paraId="64DD166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蓝色</w:t>
                  </w:r>
                </w:p>
              </w:tc>
              <w:tc>
                <w:tcPr>
                  <w:tcW w:w="2437" w:type="dxa"/>
                  <w:noWrap/>
                </w:tcPr>
                <w:p w14:paraId="7069F06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床头柜、诊室办公桌</w:t>
                  </w:r>
                </w:p>
              </w:tc>
              <w:tc>
                <w:tcPr>
                  <w:tcW w:w="3494" w:type="dxa"/>
                  <w:vMerge w:val="continue"/>
                  <w:noWrap/>
                </w:tcPr>
                <w:p w14:paraId="4DB1C1A8">
                  <w:pPr>
                    <w:snapToGrid w:val="0"/>
                    <w:spacing w:line="360" w:lineRule="exact"/>
                    <w:rPr>
                      <w:rFonts w:asciiTheme="minorEastAsia" w:hAnsiTheme="minorEastAsia" w:eastAsiaTheme="minorEastAsia" w:cstheme="minorEastAsia"/>
                      <w:color w:val="auto"/>
                      <w:szCs w:val="21"/>
                    </w:rPr>
                  </w:pPr>
                </w:p>
              </w:tc>
            </w:tr>
            <w:tr w14:paraId="4DCAC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2" w:hRule="atLeast"/>
                <w:jc w:val="center"/>
              </w:trPr>
              <w:tc>
                <w:tcPr>
                  <w:tcW w:w="809" w:type="dxa"/>
                  <w:vMerge w:val="continue"/>
                  <w:noWrap/>
                </w:tcPr>
                <w:p w14:paraId="3E5AEA6E">
                  <w:pPr>
                    <w:snapToGrid w:val="0"/>
                    <w:spacing w:line="360" w:lineRule="exact"/>
                    <w:rPr>
                      <w:rFonts w:asciiTheme="minorEastAsia" w:hAnsiTheme="minorEastAsia" w:eastAsiaTheme="minorEastAsia" w:cstheme="minorEastAsia"/>
                      <w:color w:val="auto"/>
                      <w:szCs w:val="21"/>
                    </w:rPr>
                  </w:pPr>
                </w:p>
              </w:tc>
              <w:tc>
                <w:tcPr>
                  <w:tcW w:w="758" w:type="dxa"/>
                  <w:noWrap/>
                </w:tcPr>
                <w:p w14:paraId="7180FB82">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绿色</w:t>
                  </w:r>
                </w:p>
              </w:tc>
              <w:tc>
                <w:tcPr>
                  <w:tcW w:w="2437" w:type="dxa"/>
                  <w:noWrap/>
                </w:tcPr>
                <w:p w14:paraId="750278F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办公室、值班室等物体表面</w:t>
                  </w:r>
                </w:p>
              </w:tc>
              <w:tc>
                <w:tcPr>
                  <w:tcW w:w="3494" w:type="dxa"/>
                  <w:vMerge w:val="continue"/>
                  <w:noWrap/>
                </w:tcPr>
                <w:p w14:paraId="5DB222E0">
                  <w:pPr>
                    <w:snapToGrid w:val="0"/>
                    <w:spacing w:line="360" w:lineRule="exact"/>
                    <w:rPr>
                      <w:rFonts w:asciiTheme="minorEastAsia" w:hAnsiTheme="minorEastAsia" w:eastAsiaTheme="minorEastAsia" w:cstheme="minorEastAsia"/>
                      <w:color w:val="auto"/>
                      <w:szCs w:val="21"/>
                    </w:rPr>
                  </w:pPr>
                </w:p>
              </w:tc>
            </w:tr>
            <w:tr w14:paraId="0273B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809" w:type="dxa"/>
                  <w:vMerge w:val="restart"/>
                  <w:noWrap/>
                </w:tcPr>
                <w:p w14:paraId="69F2EA6A">
                  <w:pPr>
                    <w:snapToGrid w:val="0"/>
                    <w:spacing w:line="360" w:lineRule="exact"/>
                    <w:rPr>
                      <w:rFonts w:asciiTheme="minorEastAsia" w:hAnsiTheme="minorEastAsia" w:eastAsiaTheme="minorEastAsia" w:cstheme="minorEastAsia"/>
                      <w:color w:val="auto"/>
                      <w:szCs w:val="21"/>
                    </w:rPr>
                  </w:pPr>
                </w:p>
                <w:p w14:paraId="777F18B6">
                  <w:pPr>
                    <w:snapToGrid w:val="0"/>
                    <w:spacing w:line="360" w:lineRule="exact"/>
                    <w:rPr>
                      <w:rFonts w:asciiTheme="minorEastAsia" w:hAnsiTheme="minorEastAsia" w:eastAsiaTheme="minorEastAsia" w:cstheme="minorEastAsia"/>
                      <w:color w:val="auto"/>
                      <w:szCs w:val="21"/>
                    </w:rPr>
                  </w:pPr>
                </w:p>
                <w:p w14:paraId="29266852">
                  <w:pPr>
                    <w:snapToGrid w:val="0"/>
                    <w:spacing w:line="360" w:lineRule="exact"/>
                    <w:rPr>
                      <w:rFonts w:asciiTheme="minorEastAsia" w:hAnsiTheme="minorEastAsia" w:eastAsiaTheme="minorEastAsia" w:cstheme="minorEastAsia"/>
                      <w:color w:val="auto"/>
                      <w:szCs w:val="21"/>
                    </w:rPr>
                  </w:pPr>
                </w:p>
                <w:p w14:paraId="19B9ECD7">
                  <w:pPr>
                    <w:snapToGrid w:val="0"/>
                    <w:spacing w:line="360" w:lineRule="exact"/>
                    <w:rPr>
                      <w:rFonts w:asciiTheme="minorEastAsia" w:hAnsiTheme="minorEastAsia" w:eastAsiaTheme="minorEastAsia" w:cstheme="minorEastAsia"/>
                      <w:color w:val="auto"/>
                      <w:szCs w:val="21"/>
                    </w:rPr>
                  </w:pPr>
                </w:p>
                <w:p w14:paraId="1A0BB165">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拖把</w:t>
                  </w:r>
                </w:p>
              </w:tc>
              <w:tc>
                <w:tcPr>
                  <w:tcW w:w="758" w:type="dxa"/>
                  <w:noWrap/>
                </w:tcPr>
                <w:p w14:paraId="28AF90D0">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红色</w:t>
                  </w:r>
                </w:p>
              </w:tc>
              <w:tc>
                <w:tcPr>
                  <w:tcW w:w="2437" w:type="dxa"/>
                  <w:noWrap/>
                </w:tcPr>
                <w:p w14:paraId="48D22854">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卫生间地面</w:t>
                  </w:r>
                </w:p>
              </w:tc>
              <w:tc>
                <w:tcPr>
                  <w:tcW w:w="3494" w:type="dxa"/>
                  <w:vMerge w:val="restart"/>
                  <w:noWrap/>
                </w:tcPr>
                <w:p w14:paraId="40CDD3D5">
                  <w:pPr>
                    <w:snapToGrid w:val="0"/>
                    <w:spacing w:line="360" w:lineRule="exact"/>
                    <w:rPr>
                      <w:rFonts w:asciiTheme="minorEastAsia" w:hAnsiTheme="minorEastAsia" w:eastAsiaTheme="minorEastAsia" w:cstheme="minorEastAsia"/>
                      <w:color w:val="auto"/>
                      <w:szCs w:val="21"/>
                    </w:rPr>
                  </w:pPr>
                </w:p>
                <w:p w14:paraId="4D88D60B">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使用后的拖把用500mg/l含氯消毒液浸湿30分钟后清洗，分类固定位置悬挂晾干。</w:t>
                  </w:r>
                </w:p>
              </w:tc>
            </w:tr>
            <w:tr w14:paraId="087C2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09" w:type="dxa"/>
                  <w:vMerge w:val="continue"/>
                  <w:noWrap/>
                </w:tcPr>
                <w:p w14:paraId="35E94D4B">
                  <w:pPr>
                    <w:snapToGrid w:val="0"/>
                    <w:spacing w:line="360" w:lineRule="exact"/>
                    <w:rPr>
                      <w:rFonts w:asciiTheme="minorEastAsia" w:hAnsiTheme="minorEastAsia" w:eastAsiaTheme="minorEastAsia" w:cstheme="minorEastAsia"/>
                      <w:color w:val="auto"/>
                      <w:szCs w:val="21"/>
                    </w:rPr>
                  </w:pPr>
                </w:p>
              </w:tc>
              <w:tc>
                <w:tcPr>
                  <w:tcW w:w="758" w:type="dxa"/>
                  <w:noWrap/>
                </w:tcPr>
                <w:p w14:paraId="44321380">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蓝色</w:t>
                  </w:r>
                </w:p>
              </w:tc>
              <w:tc>
                <w:tcPr>
                  <w:tcW w:w="2437" w:type="dxa"/>
                  <w:noWrap/>
                </w:tcPr>
                <w:p w14:paraId="0385BEC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病房、诊室、处置间、污物间、淋浴房等地面</w:t>
                  </w:r>
                </w:p>
              </w:tc>
              <w:tc>
                <w:tcPr>
                  <w:tcW w:w="3494" w:type="dxa"/>
                  <w:vMerge w:val="continue"/>
                  <w:noWrap/>
                </w:tcPr>
                <w:p w14:paraId="75CF713F">
                  <w:pPr>
                    <w:snapToGrid w:val="0"/>
                    <w:spacing w:line="360" w:lineRule="exact"/>
                    <w:rPr>
                      <w:rFonts w:asciiTheme="minorEastAsia" w:hAnsiTheme="minorEastAsia" w:eastAsiaTheme="minorEastAsia" w:cstheme="minorEastAsia"/>
                      <w:color w:val="auto"/>
                      <w:szCs w:val="21"/>
                    </w:rPr>
                  </w:pPr>
                </w:p>
              </w:tc>
            </w:tr>
            <w:tr w14:paraId="2E7BB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09" w:type="dxa"/>
                  <w:vMerge w:val="continue"/>
                  <w:noWrap/>
                </w:tcPr>
                <w:p w14:paraId="19367ED7">
                  <w:pPr>
                    <w:snapToGrid w:val="0"/>
                    <w:spacing w:line="360" w:lineRule="exact"/>
                    <w:rPr>
                      <w:rFonts w:asciiTheme="minorEastAsia" w:hAnsiTheme="minorEastAsia" w:eastAsiaTheme="minorEastAsia" w:cstheme="minorEastAsia"/>
                      <w:color w:val="auto"/>
                      <w:szCs w:val="21"/>
                    </w:rPr>
                  </w:pPr>
                </w:p>
              </w:tc>
              <w:tc>
                <w:tcPr>
                  <w:tcW w:w="758" w:type="dxa"/>
                  <w:noWrap/>
                </w:tcPr>
                <w:p w14:paraId="4B4B9A3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黄色</w:t>
                  </w:r>
                </w:p>
              </w:tc>
              <w:tc>
                <w:tcPr>
                  <w:tcW w:w="2437" w:type="dxa"/>
                  <w:noWrap/>
                </w:tcPr>
                <w:p w14:paraId="6479F4FD">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公共区域（楼梯、通道、家属等候区等）地面</w:t>
                  </w:r>
                </w:p>
              </w:tc>
              <w:tc>
                <w:tcPr>
                  <w:tcW w:w="3494" w:type="dxa"/>
                  <w:vMerge w:val="continue"/>
                  <w:noWrap/>
                </w:tcPr>
                <w:p w14:paraId="2C24E3E8">
                  <w:pPr>
                    <w:snapToGrid w:val="0"/>
                    <w:spacing w:line="360" w:lineRule="exact"/>
                    <w:rPr>
                      <w:rFonts w:asciiTheme="minorEastAsia" w:hAnsiTheme="minorEastAsia" w:eastAsiaTheme="minorEastAsia" w:cstheme="minorEastAsia"/>
                      <w:color w:val="auto"/>
                      <w:szCs w:val="21"/>
                    </w:rPr>
                  </w:pPr>
                </w:p>
              </w:tc>
            </w:tr>
            <w:tr w14:paraId="1938E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809" w:type="dxa"/>
                  <w:vMerge w:val="continue"/>
                  <w:noWrap/>
                </w:tcPr>
                <w:p w14:paraId="3A43314B">
                  <w:pPr>
                    <w:snapToGrid w:val="0"/>
                    <w:spacing w:line="360" w:lineRule="exact"/>
                    <w:rPr>
                      <w:rFonts w:asciiTheme="minorEastAsia" w:hAnsiTheme="minorEastAsia" w:eastAsiaTheme="minorEastAsia" w:cstheme="minorEastAsia"/>
                      <w:color w:val="auto"/>
                      <w:szCs w:val="21"/>
                    </w:rPr>
                  </w:pPr>
                </w:p>
              </w:tc>
              <w:tc>
                <w:tcPr>
                  <w:tcW w:w="758" w:type="dxa"/>
                  <w:noWrap/>
                </w:tcPr>
                <w:p w14:paraId="0E48963E">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绿色</w:t>
                  </w:r>
                </w:p>
              </w:tc>
              <w:tc>
                <w:tcPr>
                  <w:tcW w:w="2437" w:type="dxa"/>
                  <w:noWrap/>
                </w:tcPr>
                <w:p w14:paraId="6D40EC88">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治疗室、办公室、值班室、工友间、工具间等地面</w:t>
                  </w:r>
                </w:p>
              </w:tc>
              <w:tc>
                <w:tcPr>
                  <w:tcW w:w="3494" w:type="dxa"/>
                  <w:vMerge w:val="continue"/>
                  <w:noWrap/>
                </w:tcPr>
                <w:p w14:paraId="50A449CE">
                  <w:pPr>
                    <w:snapToGrid w:val="0"/>
                    <w:spacing w:line="360" w:lineRule="exact"/>
                    <w:rPr>
                      <w:rFonts w:asciiTheme="minorEastAsia" w:hAnsiTheme="minorEastAsia" w:eastAsiaTheme="minorEastAsia" w:cstheme="minorEastAsia"/>
                      <w:color w:val="auto"/>
                      <w:szCs w:val="21"/>
                    </w:rPr>
                  </w:pPr>
                </w:p>
              </w:tc>
            </w:tr>
          </w:tbl>
          <w:p w14:paraId="0B73E12E">
            <w:pPr>
              <w:tabs>
                <w:tab w:val="left" w:pos="360"/>
              </w:tabs>
              <w:snapToGrid w:val="0"/>
              <w:spacing w:line="360" w:lineRule="exact"/>
              <w:ind w:firstLine="420" w:firstLineChars="200"/>
              <w:jc w:val="left"/>
              <w:rPr>
                <w:rFonts w:asciiTheme="minorEastAsia" w:hAnsiTheme="minorEastAsia" w:eastAsiaTheme="minorEastAsia" w:cstheme="minorEastAsia"/>
                <w:b/>
                <w:bCs/>
                <w:color w:val="auto"/>
                <w:szCs w:val="21"/>
              </w:rPr>
            </w:pPr>
          </w:p>
          <w:p w14:paraId="16F7A567">
            <w:pPr>
              <w:tabs>
                <w:tab w:val="left" w:pos="360"/>
              </w:tabs>
              <w:snapToGrid w:val="0"/>
              <w:spacing w:line="360" w:lineRule="exact"/>
              <w:ind w:firstLine="420" w:firstLineChars="200"/>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十四）物业管理人员设置和岗位配备及设备配备最低标准：</w:t>
            </w:r>
          </w:p>
          <w:p w14:paraId="637A931D">
            <w:pPr>
              <w:pStyle w:val="44"/>
              <w:snapToGrid w:val="0"/>
              <w:spacing w:line="360" w:lineRule="exact"/>
              <w:ind w:left="0" w:leftChars="0" w:firstLine="0" w:firstLineChars="0"/>
              <w:rPr>
                <w:rFonts w:asciiTheme="minorEastAsia" w:hAnsiTheme="minorEastAsia" w:eastAsiaTheme="minorEastAsia" w:cstheme="minorEastAsia"/>
                <w:color w:val="auto"/>
                <w:szCs w:val="21"/>
              </w:rPr>
            </w:pPr>
          </w:p>
          <w:tbl>
            <w:tblPr>
              <w:tblStyle w:val="55"/>
              <w:tblW w:w="7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180"/>
              <w:gridCol w:w="780"/>
              <w:gridCol w:w="4698"/>
            </w:tblGrid>
            <w:tr w14:paraId="2C9FF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580" w:type="dxa"/>
                  <w:noWrap/>
                  <w:vAlign w:val="center"/>
                </w:tcPr>
                <w:p w14:paraId="4F6D3E20">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序号</w:t>
                  </w:r>
                </w:p>
              </w:tc>
              <w:tc>
                <w:tcPr>
                  <w:tcW w:w="1180" w:type="dxa"/>
                  <w:noWrap/>
                  <w:vAlign w:val="center"/>
                </w:tcPr>
                <w:p w14:paraId="23D0CED5">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岗位设置</w:t>
                  </w:r>
                </w:p>
              </w:tc>
              <w:tc>
                <w:tcPr>
                  <w:tcW w:w="780" w:type="dxa"/>
                  <w:tcBorders>
                    <w:right w:val="single" w:color="auto" w:sz="4" w:space="0"/>
                  </w:tcBorders>
                  <w:noWrap/>
                  <w:vAlign w:val="center"/>
                </w:tcPr>
                <w:p w14:paraId="1DA2ED1F">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人数</w:t>
                  </w:r>
                </w:p>
              </w:tc>
              <w:tc>
                <w:tcPr>
                  <w:tcW w:w="4698" w:type="dxa"/>
                  <w:tcBorders>
                    <w:left w:val="single" w:color="auto" w:sz="4" w:space="0"/>
                  </w:tcBorders>
                  <w:noWrap/>
                  <w:vAlign w:val="center"/>
                </w:tcPr>
                <w:p w14:paraId="11E12DEC">
                  <w:pPr>
                    <w:snapToGrid w:val="0"/>
                    <w:spacing w:line="360" w:lineRule="exact"/>
                    <w:ind w:firstLine="420" w:firstLineChars="200"/>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岗位说明</w:t>
                  </w:r>
                </w:p>
              </w:tc>
            </w:tr>
            <w:tr w14:paraId="383E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580" w:type="dxa"/>
                  <w:noWrap/>
                  <w:vAlign w:val="center"/>
                </w:tcPr>
                <w:p w14:paraId="4F102059">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c>
                <w:tcPr>
                  <w:tcW w:w="1180" w:type="dxa"/>
                  <w:noWrap/>
                  <w:vAlign w:val="center"/>
                </w:tcPr>
                <w:p w14:paraId="28BA47A2">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管理人员</w:t>
                  </w:r>
                </w:p>
              </w:tc>
              <w:tc>
                <w:tcPr>
                  <w:tcW w:w="780" w:type="dxa"/>
                  <w:tcBorders>
                    <w:right w:val="single" w:color="auto" w:sz="4" w:space="0"/>
                  </w:tcBorders>
                  <w:noWrap/>
                  <w:vAlign w:val="center"/>
                </w:tcPr>
                <w:p w14:paraId="102F6C66">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4人</w:t>
                  </w:r>
                </w:p>
              </w:tc>
              <w:tc>
                <w:tcPr>
                  <w:tcW w:w="4698" w:type="dxa"/>
                  <w:tcBorders>
                    <w:left w:val="single" w:color="auto" w:sz="4" w:space="0"/>
                  </w:tcBorders>
                  <w:noWrap/>
                  <w:vAlign w:val="center"/>
                </w:tcPr>
                <w:p w14:paraId="14936D7C">
                  <w:pPr>
                    <w:widowControl/>
                    <w:snapToGrid w:val="0"/>
                    <w:spacing w:line="360" w:lineRule="exact"/>
                    <w:jc w:val="left"/>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主任及领班4人。</w:t>
                  </w:r>
                </w:p>
              </w:tc>
            </w:tr>
            <w:tr w14:paraId="4BEB1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80" w:type="dxa"/>
                  <w:noWrap/>
                  <w:vAlign w:val="center"/>
                </w:tcPr>
                <w:p w14:paraId="0CD0AB0D">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p>
              </w:tc>
              <w:tc>
                <w:tcPr>
                  <w:tcW w:w="1180" w:type="dxa"/>
                  <w:noWrap/>
                  <w:vAlign w:val="center"/>
                </w:tcPr>
                <w:p w14:paraId="3C857EEE">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保洁员</w:t>
                  </w:r>
                </w:p>
              </w:tc>
              <w:tc>
                <w:tcPr>
                  <w:tcW w:w="780" w:type="dxa"/>
                  <w:tcBorders>
                    <w:right w:val="single" w:color="auto" w:sz="4" w:space="0"/>
                  </w:tcBorders>
                  <w:noWrap/>
                  <w:vAlign w:val="center"/>
                </w:tcPr>
                <w:p w14:paraId="1DC21F7A">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102人</w:t>
                  </w:r>
                </w:p>
              </w:tc>
              <w:tc>
                <w:tcPr>
                  <w:tcW w:w="4698" w:type="dxa"/>
                  <w:tcBorders>
                    <w:left w:val="single" w:color="auto" w:sz="4" w:space="0"/>
                  </w:tcBorders>
                  <w:noWrap/>
                  <w:vAlign w:val="center"/>
                </w:tcPr>
                <w:p w14:paraId="51876014">
                  <w:pPr>
                    <w:widowControl/>
                    <w:snapToGrid w:val="0"/>
                    <w:spacing w:line="360" w:lineRule="exact"/>
                    <w:jc w:val="left"/>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洗地机驾驶员2人、洗地巾4人和部门保洁人员96人。</w:t>
                  </w:r>
                </w:p>
              </w:tc>
            </w:tr>
            <w:tr w14:paraId="075C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80" w:type="dxa"/>
                  <w:noWrap/>
                  <w:vAlign w:val="center"/>
                </w:tcPr>
                <w:p w14:paraId="6C984FDB">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p>
              </w:tc>
              <w:tc>
                <w:tcPr>
                  <w:tcW w:w="1180" w:type="dxa"/>
                  <w:noWrap/>
                  <w:vAlign w:val="center"/>
                </w:tcPr>
                <w:p w14:paraId="19D65B45">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电梯服务人员</w:t>
                  </w:r>
                </w:p>
              </w:tc>
              <w:tc>
                <w:tcPr>
                  <w:tcW w:w="780" w:type="dxa"/>
                  <w:tcBorders>
                    <w:right w:val="single" w:color="auto" w:sz="4" w:space="0"/>
                  </w:tcBorders>
                  <w:noWrap/>
                  <w:vAlign w:val="center"/>
                </w:tcPr>
                <w:p w14:paraId="15A23853">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6人</w:t>
                  </w:r>
                </w:p>
              </w:tc>
              <w:tc>
                <w:tcPr>
                  <w:tcW w:w="4698" w:type="dxa"/>
                  <w:tcBorders>
                    <w:left w:val="single" w:color="auto" w:sz="4" w:space="0"/>
                  </w:tcBorders>
                  <w:noWrap/>
                  <w:vAlign w:val="center"/>
                </w:tcPr>
                <w:p w14:paraId="77B1B404">
                  <w:pPr>
                    <w:widowControl/>
                    <w:snapToGrid w:val="0"/>
                    <w:spacing w:line="360" w:lineRule="exact"/>
                    <w:jc w:val="left"/>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电梯服务人员6人。</w:t>
                  </w:r>
                </w:p>
              </w:tc>
            </w:tr>
            <w:tr w14:paraId="7FEB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580" w:type="dxa"/>
                  <w:noWrap/>
                  <w:vAlign w:val="center"/>
                </w:tcPr>
                <w:p w14:paraId="76DB039B">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p>
              </w:tc>
              <w:tc>
                <w:tcPr>
                  <w:tcW w:w="1180" w:type="dxa"/>
                  <w:noWrap/>
                  <w:vAlign w:val="center"/>
                </w:tcPr>
                <w:p w14:paraId="7C320AB0">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其他岗位人员</w:t>
                  </w:r>
                </w:p>
              </w:tc>
              <w:tc>
                <w:tcPr>
                  <w:tcW w:w="780" w:type="dxa"/>
                  <w:tcBorders>
                    <w:right w:val="single" w:color="auto" w:sz="4" w:space="0"/>
                  </w:tcBorders>
                  <w:noWrap/>
                  <w:vAlign w:val="center"/>
                </w:tcPr>
                <w:p w14:paraId="4D277163">
                  <w:pPr>
                    <w:snapToGrid w:val="0"/>
                    <w:spacing w:line="36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7人</w:t>
                  </w:r>
                </w:p>
              </w:tc>
              <w:tc>
                <w:tcPr>
                  <w:tcW w:w="4698" w:type="dxa"/>
                  <w:tcBorders>
                    <w:left w:val="single" w:color="auto" w:sz="4" w:space="0"/>
                  </w:tcBorders>
                  <w:noWrap/>
                  <w:vAlign w:val="center"/>
                </w:tcPr>
                <w:p w14:paraId="2E4D4C4E">
                  <w:pPr>
                    <w:snapToGrid w:val="0"/>
                    <w:spacing w:line="360" w:lineRule="exact"/>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大输液配送员2人、垃圾转运员2人、医疗废物暂存间管理员1人、绿化管理员2人。</w:t>
                  </w:r>
                </w:p>
              </w:tc>
            </w:tr>
            <w:tr w14:paraId="19E4B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7238" w:type="dxa"/>
                  <w:gridSpan w:val="4"/>
                  <w:noWrap/>
                  <w:vAlign w:val="center"/>
                </w:tcPr>
                <w:p w14:paraId="493E8A61">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1.以上人员要求政治上可靠，遵纪守法，敬业爱岗，身体素质好，无不良行为记录，知晓本岗位的服务礼仪，100%经过岗前培训合格才上岗。</w:t>
                  </w:r>
                </w:p>
                <w:p w14:paraId="30ABD56A">
                  <w:pPr>
                    <w:snapToGrid w:val="0"/>
                    <w:spacing w:line="360" w:lineRule="exact"/>
                    <w:ind w:firstLine="420" w:firstLineChars="200"/>
                    <w:rPr>
                      <w:rFonts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2.人员要求：年龄不得超过65周岁，身体健康，具备正常履职所需的身体条件，能够胜任本岗位常规作业工作。</w:t>
                  </w:r>
                </w:p>
                <w:p w14:paraId="733EA46E">
                  <w:pPr>
                    <w:snapToGrid w:val="0"/>
                    <w:spacing w:line="36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投标供应商必须出具承诺函：按采购文件规定投入人员及设备，否则投标无效。中标人违约的，终止合同，并按法律法规追究责任。本项目派驻的所有保洁人员须全部依法签订劳动合同、缴纳工伤保险（及意外险）；若现场发现1人超龄或不能胜任岗位工作，每人次罚款100元并限期30日内更换，逾期未换</w:t>
                  </w:r>
                  <w:r>
                    <w:rPr>
                      <w:rFonts w:hint="eastAsia" w:asciiTheme="minorEastAsia" w:hAnsiTheme="minorEastAsia" w:eastAsiaTheme="minorEastAsia" w:cstheme="minorEastAsia"/>
                      <w:color w:val="auto"/>
                      <w:kern w:val="0"/>
                      <w:szCs w:val="21"/>
                      <w:highlight w:val="none"/>
                      <w:lang w:eastAsia="zh-CN"/>
                    </w:rPr>
                    <w:t>采购人</w:t>
                  </w:r>
                  <w:r>
                    <w:rPr>
                      <w:rFonts w:hint="eastAsia" w:asciiTheme="minorEastAsia" w:hAnsiTheme="minorEastAsia" w:eastAsiaTheme="minorEastAsia" w:cstheme="minorEastAsia"/>
                      <w:color w:val="auto"/>
                      <w:kern w:val="0"/>
                      <w:szCs w:val="21"/>
                      <w:highlight w:val="none"/>
                    </w:rPr>
                    <w:t>有权单方终止合同并追究违约责任。医院特殊岗位除外。</w:t>
                  </w:r>
                </w:p>
                <w:p w14:paraId="4954617F">
                  <w:pPr>
                    <w:snapToGrid w:val="0"/>
                    <w:spacing w:line="360" w:lineRule="exact"/>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4.人员身体条件要求：相貌端庄、身体健康，能胜任岗位需求，入职前依法依规做相关健康体检；医疗垃圾岗位员工，要求每半年进行健康体检1次，相关费用包含在报价中。</w:t>
                  </w:r>
                </w:p>
                <w:p w14:paraId="1A50708B">
                  <w:pPr>
                    <w:snapToGrid w:val="0"/>
                    <w:spacing w:line="36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5.要求配备设备：洗地机至少1台，洗衣机至少2台（设备具备80℃高温洗涤功能，自带烘干系统，烘干后衣物含水率≤20%），卫生间吹干机4台。供应商可以自行在此基础上增加设备的投入以满足服务的实际要求。</w:t>
                  </w:r>
                </w:p>
              </w:tc>
            </w:tr>
            <w:bookmarkEnd w:id="5"/>
          </w:tbl>
          <w:p w14:paraId="553D1E47">
            <w:pPr>
              <w:pStyle w:val="53"/>
              <w:spacing w:after="0" w:line="360" w:lineRule="auto"/>
              <w:ind w:firstLine="0" w:firstLineChars="0"/>
              <w:rPr>
                <w:rFonts w:ascii="宋体" w:hAnsi="宋体" w:cs="宋体"/>
                <w:color w:val="auto"/>
                <w:szCs w:val="21"/>
              </w:rPr>
            </w:pPr>
          </w:p>
        </w:tc>
      </w:tr>
      <w:tr w14:paraId="5A627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5"/>
            <w:tcBorders>
              <w:top w:val="single" w:color="000000" w:sz="4" w:space="0"/>
              <w:left w:val="single" w:color="000000" w:sz="4" w:space="0"/>
              <w:bottom w:val="single" w:color="000000" w:sz="4" w:space="0"/>
              <w:right w:val="single" w:color="000000" w:sz="4" w:space="0"/>
            </w:tcBorders>
            <w:vAlign w:val="center"/>
          </w:tcPr>
          <w:p w14:paraId="23F9C76A">
            <w:pPr>
              <w:autoSpaceDE w:val="0"/>
              <w:autoSpaceDN w:val="0"/>
              <w:adjustRightInd w:val="0"/>
              <w:spacing w:line="400" w:lineRule="exact"/>
              <w:rPr>
                <w:rFonts w:ascii="宋体" w:hAnsi="宋体" w:cs="宋体"/>
                <w:b/>
                <w:bCs/>
                <w:color w:val="auto"/>
                <w:kern w:val="0"/>
                <w:szCs w:val="21"/>
              </w:rPr>
            </w:pPr>
            <w:r>
              <w:rPr>
                <w:rFonts w:hint="eastAsia" w:ascii="宋体" w:hAnsi="宋体" w:cs="宋体"/>
                <w:color w:val="auto"/>
                <w:szCs w:val="21"/>
              </w:rPr>
              <w:t>▲二、</w:t>
            </w:r>
            <w:r>
              <w:rPr>
                <w:rFonts w:hint="eastAsia" w:ascii="宋体" w:hAnsi="宋体" w:cs="宋体"/>
                <w:b/>
                <w:bCs/>
                <w:color w:val="auto"/>
                <w:szCs w:val="21"/>
              </w:rPr>
              <w:t>商务及其他要求</w:t>
            </w:r>
          </w:p>
        </w:tc>
      </w:tr>
      <w:tr w14:paraId="0D66D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24123635">
            <w:pPr>
              <w:pStyle w:val="53"/>
              <w:spacing w:after="0" w:line="360" w:lineRule="auto"/>
              <w:ind w:firstLine="0" w:firstLineChars="0"/>
              <w:jc w:val="center"/>
              <w:rPr>
                <w:rFonts w:ascii="宋体" w:hAnsi="宋体" w:cs="宋体"/>
                <w:color w:val="auto"/>
                <w:szCs w:val="21"/>
              </w:rPr>
            </w:pPr>
            <w:r>
              <w:rPr>
                <w:rFonts w:hint="eastAsia" w:ascii="宋体" w:hAnsi="宋体" w:cs="宋体"/>
                <w:b/>
                <w:bCs/>
                <w:color w:val="auto"/>
                <w:szCs w:val="21"/>
              </w:rPr>
              <w:t>合同签订时间</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490AC">
            <w:pPr>
              <w:pStyle w:val="53"/>
              <w:adjustRightInd w:val="0"/>
              <w:snapToGrid w:val="0"/>
              <w:spacing w:after="0" w:line="400" w:lineRule="exact"/>
              <w:ind w:firstLine="0" w:firstLineChars="0"/>
              <w:jc w:val="left"/>
              <w:rPr>
                <w:rFonts w:ascii="宋体" w:hAnsi="宋体" w:cs="宋体"/>
                <w:color w:val="auto"/>
                <w:szCs w:val="21"/>
              </w:rPr>
            </w:pPr>
            <w:r>
              <w:rPr>
                <w:rFonts w:hint="eastAsia" w:ascii="宋体" w:hAnsi="宋体" w:cs="宋体"/>
                <w:color w:val="auto"/>
                <w:szCs w:val="21"/>
              </w:rPr>
              <w:t>自中标通知书发出之日起15日内。</w:t>
            </w:r>
          </w:p>
        </w:tc>
      </w:tr>
      <w:tr w14:paraId="1A435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504EAEA2">
            <w:pPr>
              <w:pStyle w:val="53"/>
              <w:spacing w:after="0" w:line="360" w:lineRule="auto"/>
              <w:ind w:firstLine="0" w:firstLineChars="0"/>
              <w:jc w:val="center"/>
              <w:rPr>
                <w:rFonts w:ascii="宋体" w:hAnsi="宋体" w:cs="宋体"/>
                <w:b/>
                <w:bCs/>
                <w:color w:val="auto"/>
                <w:szCs w:val="21"/>
              </w:rPr>
            </w:pPr>
            <w:r>
              <w:rPr>
                <w:rFonts w:hint="eastAsia" w:ascii="宋体" w:hAnsi="宋体" w:cs="宋体"/>
                <w:b/>
                <w:bCs/>
                <w:color w:val="auto"/>
                <w:szCs w:val="21"/>
              </w:rPr>
              <w:t>服</w:t>
            </w:r>
            <w:r>
              <w:rPr>
                <w:rFonts w:hint="eastAsia" w:asciiTheme="minorEastAsia" w:hAnsiTheme="minorEastAsia" w:eastAsiaTheme="minorEastAsia" w:cstheme="minorEastAsia"/>
                <w:b/>
                <w:bCs/>
                <w:color w:val="auto"/>
                <w:szCs w:val="21"/>
              </w:rPr>
              <w:t>务期限</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6E16E">
            <w:pPr>
              <w:pStyle w:val="53"/>
              <w:adjustRightInd w:val="0"/>
              <w:snapToGrid w:val="0"/>
              <w:spacing w:after="0" w:line="400" w:lineRule="exact"/>
              <w:ind w:firstLine="0" w:firstLineChars="0"/>
              <w:jc w:val="left"/>
              <w:rPr>
                <w:rFonts w:ascii="宋体" w:hAnsi="宋体" w:cs="宋体"/>
                <w:color w:val="auto"/>
                <w:szCs w:val="21"/>
              </w:rPr>
            </w:pPr>
            <w:r>
              <w:rPr>
                <w:rFonts w:hint="eastAsia" w:ascii="宋体" w:hAnsi="宋体" w:cs="宋体"/>
                <w:color w:val="auto"/>
                <w:szCs w:val="21"/>
              </w:rPr>
              <w:t>项目服务期限2年，合同一年一签。年度考核合格后续签下一年度合同，不合格则终止服务。</w:t>
            </w:r>
          </w:p>
        </w:tc>
      </w:tr>
      <w:tr w14:paraId="6EA9E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231E5823">
            <w:pPr>
              <w:pStyle w:val="53"/>
              <w:spacing w:after="0" w:line="360" w:lineRule="auto"/>
              <w:ind w:firstLine="0" w:firstLineChars="0"/>
              <w:jc w:val="center"/>
              <w:rPr>
                <w:rFonts w:ascii="宋体" w:hAnsi="宋体" w:cs="宋体"/>
                <w:b/>
                <w:bCs/>
                <w:color w:val="auto"/>
                <w:szCs w:val="21"/>
              </w:rPr>
            </w:pPr>
            <w:r>
              <w:rPr>
                <w:rFonts w:hint="eastAsia" w:ascii="宋体" w:hAnsi="宋体" w:cs="宋体"/>
                <w:b/>
                <w:bCs/>
                <w:color w:val="auto"/>
                <w:szCs w:val="21"/>
              </w:rPr>
              <w:t>服务地点</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AAFAC">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服务地点：广西崇左市内，采购人指定地点。</w:t>
            </w:r>
          </w:p>
        </w:tc>
      </w:tr>
      <w:tr w14:paraId="06DCD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DC4D6">
            <w:pPr>
              <w:pStyle w:val="53"/>
              <w:spacing w:after="0" w:line="360" w:lineRule="auto"/>
              <w:ind w:firstLine="0" w:firstLineChars="0"/>
              <w:jc w:val="center"/>
              <w:rPr>
                <w:rFonts w:ascii="宋体" w:hAnsi="宋体" w:cs="宋体"/>
                <w:b/>
                <w:bCs/>
                <w:color w:val="auto"/>
                <w:szCs w:val="21"/>
              </w:rPr>
            </w:pPr>
            <w:r>
              <w:rPr>
                <w:rFonts w:hint="eastAsia" w:ascii="宋体" w:hAnsi="宋体" w:cs="宋体"/>
                <w:b/>
                <w:bCs/>
                <w:color w:val="auto"/>
                <w:szCs w:val="21"/>
              </w:rPr>
              <w:t>付款方式</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46CB7">
            <w:pPr>
              <w:pStyle w:val="53"/>
              <w:adjustRightInd w:val="0"/>
              <w:snapToGrid w:val="0"/>
              <w:spacing w:after="0" w:line="400" w:lineRule="exact"/>
              <w:ind w:firstLine="0" w:firstLineChars="0"/>
              <w:jc w:val="left"/>
              <w:rPr>
                <w:rFonts w:ascii="宋体" w:hAnsi="宋体" w:cs="宋体"/>
                <w:color w:val="auto"/>
                <w:szCs w:val="21"/>
              </w:rPr>
            </w:pPr>
            <w:r>
              <w:rPr>
                <w:rFonts w:hint="eastAsia" w:ascii="宋体" w:hAnsi="宋体" w:cs="宋体"/>
                <w:color w:val="auto"/>
                <w:szCs w:val="21"/>
              </w:rPr>
              <w:t>1.无预付款。</w:t>
            </w:r>
          </w:p>
          <w:p w14:paraId="425561E3">
            <w:pPr>
              <w:pStyle w:val="53"/>
              <w:adjustRightInd w:val="0"/>
              <w:snapToGrid w:val="0"/>
              <w:spacing w:after="0" w:line="400" w:lineRule="exact"/>
              <w:ind w:firstLine="0" w:firstLineChars="0"/>
              <w:jc w:val="left"/>
              <w:rPr>
                <w:rFonts w:ascii="宋体" w:hAnsi="宋体" w:cs="宋体"/>
                <w:color w:val="auto"/>
                <w:szCs w:val="21"/>
              </w:rPr>
            </w:pPr>
            <w:r>
              <w:rPr>
                <w:rFonts w:hint="eastAsia" w:ascii="宋体" w:hAnsi="宋体" w:cs="宋体"/>
                <w:color w:val="auto"/>
                <w:szCs w:val="21"/>
              </w:rPr>
              <w:t>2.结算=服务费±对应岗位人数*对应岗位工资*（1+除人员工资以外的费用总价/人员工资总价）+加班费</w:t>
            </w:r>
          </w:p>
          <w:p w14:paraId="6B02B6D6">
            <w:pPr>
              <w:pStyle w:val="53"/>
              <w:adjustRightInd w:val="0"/>
              <w:snapToGrid w:val="0"/>
              <w:spacing w:after="0" w:line="400" w:lineRule="exact"/>
              <w:ind w:firstLine="0" w:firstLineChars="0"/>
              <w:jc w:val="left"/>
              <w:rPr>
                <w:rFonts w:ascii="宋体" w:hAnsi="宋体" w:cs="宋体"/>
                <w:color w:val="auto"/>
                <w:szCs w:val="21"/>
              </w:rPr>
            </w:pPr>
            <w:r>
              <w:rPr>
                <w:rFonts w:hint="eastAsia" w:ascii="宋体" w:hAnsi="宋体" w:cs="宋体"/>
                <w:color w:val="auto"/>
                <w:szCs w:val="21"/>
              </w:rPr>
              <w:t>3.按月支付合同款。根据采购人考核结果扣除相应款额后向中标人转账支付服务费用。采购人于次月15日前由中标人提交发票至医院主管部门，主管部门根据上月考核情况签字上报后支付。</w:t>
            </w:r>
          </w:p>
        </w:tc>
      </w:tr>
      <w:tr w14:paraId="5C67A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258F9FCF">
            <w:pPr>
              <w:spacing w:line="360" w:lineRule="auto"/>
              <w:jc w:val="center"/>
              <w:rPr>
                <w:rFonts w:ascii="宋体" w:hAnsi="宋体" w:cs="宋体"/>
                <w:b/>
                <w:bCs/>
                <w:color w:val="auto"/>
                <w:szCs w:val="21"/>
              </w:rPr>
            </w:pPr>
            <w:r>
              <w:rPr>
                <w:rFonts w:hint="eastAsia" w:ascii="宋体" w:hAnsi="宋体" w:cs="宋体"/>
                <w:b/>
                <w:bCs/>
                <w:color w:val="auto"/>
                <w:szCs w:val="21"/>
              </w:rPr>
              <w:t>报价要求</w:t>
            </w:r>
          </w:p>
        </w:tc>
        <w:tc>
          <w:tcPr>
            <w:tcW w:w="7955" w:type="dxa"/>
            <w:gridSpan w:val="2"/>
            <w:tcBorders>
              <w:top w:val="single" w:color="000000" w:sz="4" w:space="0"/>
              <w:left w:val="single" w:color="000000" w:sz="4" w:space="0"/>
              <w:bottom w:val="single" w:color="000000" w:sz="4" w:space="0"/>
              <w:right w:val="single" w:color="000000" w:sz="4" w:space="0"/>
            </w:tcBorders>
            <w:vAlign w:val="center"/>
          </w:tcPr>
          <w:p w14:paraId="2BA6E49B">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供应商投标报价必须包含但不限于以下部分，包括：</w:t>
            </w:r>
          </w:p>
          <w:p w14:paraId="6102045C">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1.员工工资、福利、社会保险、加班费、工作服、劳保用品等费用；</w:t>
            </w:r>
          </w:p>
          <w:p w14:paraId="5B5B8711">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2.保洁用品费；</w:t>
            </w:r>
          </w:p>
          <w:p w14:paraId="5701E9A3">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3.办公费；</w:t>
            </w:r>
          </w:p>
          <w:p w14:paraId="75C73DE8">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4.培训费；</w:t>
            </w:r>
          </w:p>
          <w:p w14:paraId="02E2D236">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5.管理费；</w:t>
            </w:r>
          </w:p>
          <w:p w14:paraId="17E9C35E">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6.税费；</w:t>
            </w:r>
          </w:p>
          <w:p w14:paraId="6A2FB2CE">
            <w:pPr>
              <w:adjustRightInd w:val="0"/>
              <w:snapToGrid w:val="0"/>
              <w:spacing w:line="400" w:lineRule="exact"/>
              <w:jc w:val="left"/>
              <w:rPr>
                <w:rFonts w:ascii="宋体" w:hAnsi="宋体" w:cs="宋体"/>
                <w:b/>
                <w:color w:val="auto"/>
                <w:szCs w:val="21"/>
              </w:rPr>
            </w:pPr>
            <w:r>
              <w:rPr>
                <w:rFonts w:hint="eastAsia" w:ascii="宋体" w:hAnsi="宋体" w:cs="宋体"/>
                <w:color w:val="auto"/>
                <w:szCs w:val="21"/>
              </w:rPr>
              <w:t>7.供应商报价时自行考虑相关费用。</w:t>
            </w:r>
          </w:p>
        </w:tc>
      </w:tr>
      <w:tr w14:paraId="3D36C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1FD239DA">
            <w:pPr>
              <w:spacing w:line="340" w:lineRule="exact"/>
              <w:jc w:val="center"/>
              <w:rPr>
                <w:rFonts w:ascii="宋体" w:hAnsi="宋体" w:cs="宋体"/>
                <w:b/>
                <w:bCs/>
                <w:color w:val="auto"/>
                <w:szCs w:val="21"/>
              </w:rPr>
            </w:pPr>
            <w:r>
              <w:rPr>
                <w:rFonts w:hint="eastAsia" w:ascii="宋体" w:hAnsi="宋体" w:cs="宋体"/>
                <w:b/>
                <w:bCs/>
                <w:color w:val="auto"/>
                <w:szCs w:val="21"/>
              </w:rPr>
              <w:t>合同签订</w:t>
            </w:r>
          </w:p>
        </w:tc>
        <w:tc>
          <w:tcPr>
            <w:tcW w:w="7955" w:type="dxa"/>
            <w:gridSpan w:val="2"/>
            <w:tcBorders>
              <w:top w:val="single" w:color="000000" w:sz="4" w:space="0"/>
              <w:left w:val="single" w:color="000000" w:sz="4" w:space="0"/>
              <w:bottom w:val="single" w:color="000000" w:sz="4" w:space="0"/>
              <w:right w:val="single" w:color="000000" w:sz="4" w:space="0"/>
            </w:tcBorders>
            <w:vAlign w:val="center"/>
          </w:tcPr>
          <w:p w14:paraId="79937DC8">
            <w:pPr>
              <w:adjustRightInd w:val="0"/>
              <w:snapToGrid w:val="0"/>
              <w:spacing w:line="400" w:lineRule="exact"/>
              <w:jc w:val="left"/>
              <w:rPr>
                <w:rFonts w:ascii="宋体" w:hAnsi="宋体" w:cs="宋体"/>
                <w:b/>
                <w:bCs/>
                <w:color w:val="auto"/>
                <w:szCs w:val="21"/>
              </w:rPr>
            </w:pPr>
            <w:r>
              <w:rPr>
                <w:rFonts w:hint="eastAsia" w:ascii="宋体" w:hAnsi="宋体" w:cs="宋体"/>
                <w:color w:val="auto"/>
              </w:rPr>
              <w:t>合同签订时间：自成交通知书发出之日起15日内，因不可抗力原因延迟签订合同的，自不可抗力事由消除之日起5个工作日内完成合同签订事宜。</w:t>
            </w:r>
            <w:r>
              <w:rPr>
                <w:rFonts w:hint="eastAsia" w:ascii="宋体" w:hAnsi="宋体" w:cs="宋体"/>
                <w:color w:val="auto"/>
                <w:lang w:eastAsia="zh-CN"/>
              </w:rPr>
              <w:t>中标供应商</w:t>
            </w:r>
            <w:r>
              <w:rPr>
                <w:rFonts w:hint="eastAsia" w:ascii="宋体" w:hAnsi="宋体" w:cs="宋体"/>
                <w:color w:val="auto"/>
              </w:rPr>
              <w:t>领取成交通知书后，应按规定与采购人签订合同。</w:t>
            </w:r>
          </w:p>
        </w:tc>
      </w:tr>
      <w:tr w14:paraId="19771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656" w:type="dxa"/>
            <w:gridSpan w:val="3"/>
            <w:tcBorders>
              <w:top w:val="single" w:color="000000" w:sz="4" w:space="0"/>
              <w:left w:val="single" w:color="000000" w:sz="4" w:space="0"/>
              <w:bottom w:val="single" w:color="000000" w:sz="4" w:space="0"/>
              <w:right w:val="single" w:color="000000" w:sz="4" w:space="0"/>
            </w:tcBorders>
            <w:vAlign w:val="center"/>
          </w:tcPr>
          <w:p w14:paraId="153CEA46">
            <w:pPr>
              <w:spacing w:line="340" w:lineRule="exact"/>
              <w:jc w:val="center"/>
              <w:rPr>
                <w:rFonts w:ascii="宋体" w:hAnsi="宋体" w:cs="宋体"/>
                <w:b/>
                <w:bCs/>
                <w:color w:val="auto"/>
                <w:szCs w:val="21"/>
              </w:rPr>
            </w:pPr>
            <w:r>
              <w:rPr>
                <w:rFonts w:hint="eastAsia" w:ascii="宋体" w:hAnsi="宋体" w:cs="宋体"/>
                <w:b/>
                <w:bCs/>
                <w:color w:val="auto"/>
                <w:szCs w:val="21"/>
              </w:rPr>
              <w:t>其他要求及说明</w:t>
            </w:r>
          </w:p>
          <w:p w14:paraId="7E964139">
            <w:pPr>
              <w:spacing w:line="340" w:lineRule="exact"/>
              <w:jc w:val="center"/>
              <w:rPr>
                <w:rFonts w:ascii="宋体" w:hAnsi="宋体" w:cs="宋体"/>
                <w:b/>
                <w:bCs/>
                <w:color w:val="auto"/>
                <w:szCs w:val="21"/>
              </w:rPr>
            </w:pPr>
          </w:p>
        </w:tc>
        <w:tc>
          <w:tcPr>
            <w:tcW w:w="7955" w:type="dxa"/>
            <w:gridSpan w:val="2"/>
            <w:tcBorders>
              <w:top w:val="single" w:color="000000" w:sz="4" w:space="0"/>
              <w:left w:val="single" w:color="000000" w:sz="4" w:space="0"/>
              <w:bottom w:val="single" w:color="000000" w:sz="4" w:space="0"/>
              <w:right w:val="single" w:color="000000" w:sz="4" w:space="0"/>
            </w:tcBorders>
          </w:tcPr>
          <w:p w14:paraId="1A6D12E4">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（一）对中标人的其他说明</w:t>
            </w:r>
          </w:p>
          <w:p w14:paraId="7A66BD16">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szCs w:val="21"/>
              </w:rPr>
              <w:t>中标人配置项目相关人员的装备。</w:t>
            </w:r>
          </w:p>
          <w:p w14:paraId="5D69D9C8">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2.中标人的各岗位员工要统一服装。</w:t>
            </w:r>
          </w:p>
          <w:p w14:paraId="3DBC1922">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3.中标人有岗前培训机构，服务人员必须100%经过岗前培训合格才可上岗，遇疫情等特殊情况，保洁培训内容随防控要求动态更新，确保操作规范、防护到位、消杀有效。</w:t>
            </w:r>
          </w:p>
          <w:p w14:paraId="07551713">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szCs w:val="21"/>
              </w:rPr>
              <w:t>未经医院同意，中标人不得在合同期限内将本项目的管理权转包或发包。</w:t>
            </w:r>
          </w:p>
          <w:p w14:paraId="56B08B2F">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szCs w:val="21"/>
              </w:rPr>
              <w:t>中标人须严格按照标准化的操作程序、完善的培训体系和质量控制体系完成本项目服务，以保证整个服务系统安全、高效、有序和有计划地运转。</w:t>
            </w:r>
          </w:p>
          <w:p w14:paraId="5168F43C">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szCs w:val="21"/>
              </w:rPr>
              <w:t>中标人有责任配合医院接受上级领导部门的监督、检查，提供必需的资料。</w:t>
            </w:r>
          </w:p>
          <w:p w14:paraId="7D9C44E2">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中标人自行负责其招聘员工的一切工资、福利；如发生工伤、疾病乃至死亡的一切责任及费用由中标人全部负责；中标人应严格遵守国家有关的法律法规及行业标准。如因中标人原因造成第三方损失的，一切责任及费用由中标人全部负责。</w:t>
            </w:r>
          </w:p>
          <w:p w14:paraId="5266563F">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8.</w:t>
            </w:r>
            <w:r>
              <w:rPr>
                <w:rFonts w:hint="eastAsia" w:asciiTheme="minorEastAsia" w:hAnsiTheme="minorEastAsia" w:eastAsiaTheme="minorEastAsia" w:cstheme="minorEastAsia"/>
                <w:color w:val="auto"/>
                <w:szCs w:val="21"/>
              </w:rPr>
              <w:t>全部服务人员的工作时间应严格按国家有关法律法规要求的标准执行，因正常工作原因产生的加班（含节假日加班）应严格按国家有关法律法规要求的标准给付员工发放薪资。</w:t>
            </w:r>
          </w:p>
          <w:p w14:paraId="3C99FE9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szCs w:val="21"/>
              </w:rPr>
              <w:t>采购人不接受中标人任何因遗漏报价而发生的费用追加，因中标人违反《中华人民共和国劳动法》等法律法规而造成采购人的连带责任和损失全部由中标人承担。</w:t>
            </w:r>
          </w:p>
          <w:p w14:paraId="171A5820">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szCs w:val="21"/>
              </w:rPr>
              <w:t>中标人须认真履行职责，严格按服务协议中的质量保证体系做好院内的承包服务工作。确保在岗在位，各尽其职，保证符合各项服务基本频次要求和各项质量标准。</w:t>
            </w:r>
          </w:p>
          <w:p w14:paraId="7A189887">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11.中标人必须配置设置24小时服务电话，保持24小时有人接听。</w:t>
            </w:r>
          </w:p>
          <w:p w14:paraId="48F4AFE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12.中标人必须遵守甲方的规章制度。</w:t>
            </w:r>
          </w:p>
          <w:p w14:paraId="02A78132">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13.全部服务人员工作过程中使用的洁具不能损坏医院的物资财产，否则照价赔偿，同时个人物品在医院存放不能影响医院的院容院貌。</w:t>
            </w:r>
          </w:p>
          <w:p w14:paraId="6FF7042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14.临时搬运服务范围：负责医院桌椅搬运、病床搬运、物品整理与归类及协助配合</w:t>
            </w:r>
            <w:r>
              <w:rPr>
                <w:rFonts w:hint="eastAsia" w:asciiTheme="minorEastAsia" w:hAnsiTheme="minorEastAsia" w:eastAsiaTheme="minorEastAsia" w:cstheme="minorEastAsia"/>
                <w:color w:val="auto"/>
                <w:szCs w:val="21"/>
                <w:lang w:eastAsia="zh-CN"/>
              </w:rPr>
              <w:t>采购人</w:t>
            </w:r>
            <w:r>
              <w:rPr>
                <w:rFonts w:hint="eastAsia" w:asciiTheme="minorEastAsia" w:hAnsiTheme="minorEastAsia" w:eastAsiaTheme="minorEastAsia" w:cstheme="minorEastAsia"/>
                <w:color w:val="auto"/>
                <w:szCs w:val="21"/>
              </w:rPr>
              <w:t>完成其他应急任务及其他相关事项。</w:t>
            </w:r>
          </w:p>
          <w:p w14:paraId="4E14119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15.外围重点巡检点扫时间是17:00-22:30，巡检时间1个小时一次，其他时间参数公共区域服务要求。</w:t>
            </w:r>
          </w:p>
          <w:p w14:paraId="064FAB35">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（二）崇左市人民医院保洁绿化服务人员配置要求表：详见附件1。</w:t>
            </w:r>
          </w:p>
          <w:p w14:paraId="5052EA4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崇左市人民医院保洁、绿植养护及电梯司乘服务项目管理质量考核标准：详见附件2；医疗废物管理质量考核标准：详见附件3；保洁质量考核标准：详见附件4；绿化养护质量考核标准：详见附件5；电梯司乘服务质量考核标准：详见附件6；《违约处理与处罚规定》详见附件7。</w:t>
            </w:r>
          </w:p>
        </w:tc>
      </w:tr>
      <w:tr w14:paraId="1775B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3" w:hRule="atLeast"/>
          <w:jc w:val="center"/>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87078">
            <w:pPr>
              <w:spacing w:line="360" w:lineRule="auto"/>
              <w:jc w:val="center"/>
              <w:rPr>
                <w:rFonts w:ascii="宋体" w:hAnsi="宋体" w:cs="宋体"/>
                <w:b/>
                <w:bCs/>
                <w:color w:val="auto"/>
                <w:szCs w:val="21"/>
              </w:rPr>
            </w:pPr>
            <w:r>
              <w:rPr>
                <w:rFonts w:hint="eastAsia" w:ascii="宋体" w:hAnsi="宋体" w:cs="宋体"/>
                <w:b/>
                <w:bCs/>
                <w:color w:val="auto"/>
                <w:szCs w:val="21"/>
              </w:rPr>
              <w:t>验收标准</w:t>
            </w:r>
          </w:p>
        </w:tc>
        <w:tc>
          <w:tcPr>
            <w:tcW w:w="7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A49A">
            <w:pPr>
              <w:adjustRightInd w:val="0"/>
              <w:snapToGrid w:val="0"/>
              <w:spacing w:line="400" w:lineRule="exact"/>
              <w:jc w:val="left"/>
              <w:rPr>
                <w:rFonts w:ascii="宋体" w:hAnsi="宋体" w:cs="宋体"/>
                <w:bCs/>
                <w:color w:val="auto"/>
                <w:szCs w:val="21"/>
              </w:rPr>
            </w:pPr>
            <w:r>
              <w:rPr>
                <w:rFonts w:hint="eastAsia" w:ascii="宋体" w:hAnsi="宋体" w:cs="宋体"/>
                <w:bCs/>
                <w:color w:val="auto"/>
                <w:szCs w:val="21"/>
              </w:rPr>
              <w:t>1.验收过程中所产生的一切费用均由中标人承担。报价时应考虑相关费用。</w:t>
            </w:r>
          </w:p>
          <w:p w14:paraId="6746C031">
            <w:pPr>
              <w:adjustRightInd w:val="0"/>
              <w:snapToGrid w:val="0"/>
              <w:spacing w:line="400" w:lineRule="exact"/>
              <w:jc w:val="left"/>
              <w:rPr>
                <w:rFonts w:ascii="宋体" w:hAnsi="宋体" w:cs="宋体"/>
                <w:bCs/>
                <w:color w:val="auto"/>
                <w:szCs w:val="21"/>
              </w:rPr>
            </w:pPr>
            <w:r>
              <w:rPr>
                <w:rFonts w:hint="eastAsia" w:ascii="宋体" w:hAnsi="宋体" w:cs="宋体"/>
                <w:bCs/>
                <w:color w:val="auto"/>
                <w:szCs w:val="21"/>
              </w:rPr>
              <w:t>2.中标人在项目验收时由采购单位对照招标文件的功能目标及技术指标全面核对检验，如不符合招标文件的服务需求及要求以及提供虚假承诺的，按相关规定作退货处理及违约处理，中标人承担所有责任和费用，采购人保留进一步追究责任的权利。</w:t>
            </w:r>
          </w:p>
          <w:p w14:paraId="04906F89">
            <w:pPr>
              <w:adjustRightInd w:val="0"/>
              <w:snapToGrid w:val="0"/>
              <w:spacing w:line="400" w:lineRule="exact"/>
              <w:jc w:val="left"/>
              <w:rPr>
                <w:rFonts w:ascii="宋体" w:hAnsi="宋体" w:cs="宋体"/>
                <w:bCs/>
                <w:color w:val="auto"/>
                <w:szCs w:val="21"/>
              </w:rPr>
            </w:pPr>
            <w:r>
              <w:rPr>
                <w:rFonts w:hint="eastAsia" w:ascii="宋体" w:hAnsi="宋体" w:cs="宋体"/>
                <w:bCs/>
                <w:color w:val="auto"/>
                <w:szCs w:val="21"/>
              </w:rPr>
              <w:t>3.服务标准：符合国际、国家及行业有关技术规范和技术标准。</w:t>
            </w:r>
          </w:p>
          <w:p w14:paraId="429142B6">
            <w:pPr>
              <w:adjustRightInd w:val="0"/>
              <w:snapToGrid w:val="0"/>
              <w:spacing w:line="400" w:lineRule="exact"/>
              <w:jc w:val="left"/>
              <w:rPr>
                <w:color w:val="auto"/>
              </w:rPr>
            </w:pPr>
            <w:r>
              <w:rPr>
                <w:rFonts w:hint="eastAsia" w:ascii="宋体" w:hAnsi="宋体" w:cs="宋体"/>
                <w:bCs/>
                <w:color w:val="auto"/>
                <w:szCs w:val="21"/>
              </w:rPr>
              <w:t>4.招标项目有其他要求的按其要求。</w:t>
            </w:r>
          </w:p>
        </w:tc>
      </w:tr>
    </w:tbl>
    <w:p w14:paraId="63937834">
      <w:pPr>
        <w:pStyle w:val="415"/>
        <w:rPr>
          <w:rFonts w:hAnsi="宋体"/>
          <w:color w:val="auto"/>
        </w:rPr>
      </w:pPr>
    </w:p>
    <w:p w14:paraId="3CB36366">
      <w:pPr>
        <w:pStyle w:val="415"/>
        <w:rPr>
          <w:rFonts w:hAnsi="宋体"/>
          <w:color w:val="auto"/>
        </w:rPr>
      </w:pPr>
    </w:p>
    <w:p w14:paraId="374426AD">
      <w:pPr>
        <w:pStyle w:val="415"/>
        <w:rPr>
          <w:rFonts w:hAnsi="宋体"/>
          <w:color w:val="auto"/>
        </w:rPr>
      </w:pPr>
    </w:p>
    <w:p w14:paraId="55E9A586">
      <w:pPr>
        <w:pStyle w:val="415"/>
        <w:rPr>
          <w:rFonts w:hAnsi="宋体"/>
          <w:color w:val="auto"/>
        </w:rPr>
      </w:pPr>
    </w:p>
    <w:p w14:paraId="7CBE3174">
      <w:pPr>
        <w:rPr>
          <w:rFonts w:ascii="宋体" w:hAnsi="宋体" w:cs="宋体"/>
          <w:b/>
          <w:bCs/>
          <w:color w:val="auto"/>
        </w:rPr>
      </w:pPr>
    </w:p>
    <w:p w14:paraId="145604FA">
      <w:pPr>
        <w:rPr>
          <w:rFonts w:ascii="宋体" w:hAnsi="宋体" w:cs="宋体"/>
          <w:b/>
          <w:bCs/>
          <w:color w:val="auto"/>
        </w:rPr>
      </w:pPr>
      <w:r>
        <w:rPr>
          <w:rFonts w:hint="eastAsia" w:ascii="宋体" w:hAnsi="宋体" w:cs="宋体"/>
          <w:b/>
          <w:bCs/>
          <w:color w:val="auto"/>
        </w:rPr>
        <w:t>采购需求附件：</w:t>
      </w:r>
    </w:p>
    <w:p w14:paraId="2AF546F4">
      <w:pPr>
        <w:jc w:val="left"/>
        <w:rPr>
          <w:rFonts w:ascii="新宋体" w:hAnsi="新宋体" w:eastAsia="新宋体" w:cs="新宋体"/>
          <w:color w:val="auto"/>
          <w:szCs w:val="21"/>
        </w:rPr>
      </w:pPr>
      <w:r>
        <w:rPr>
          <w:rFonts w:hint="eastAsia" w:ascii="新宋体" w:hAnsi="新宋体" w:eastAsia="新宋体" w:cs="新宋体"/>
          <w:b/>
          <w:color w:val="auto"/>
          <w:szCs w:val="21"/>
        </w:rPr>
        <w:t>附件1：</w:t>
      </w:r>
    </w:p>
    <w:tbl>
      <w:tblPr>
        <w:tblStyle w:val="55"/>
        <w:tblW w:w="8941" w:type="dxa"/>
        <w:jc w:val="center"/>
        <w:tblLayout w:type="autofit"/>
        <w:tblCellMar>
          <w:top w:w="0" w:type="dxa"/>
          <w:left w:w="108" w:type="dxa"/>
          <w:bottom w:w="0" w:type="dxa"/>
          <w:right w:w="108" w:type="dxa"/>
        </w:tblCellMar>
      </w:tblPr>
      <w:tblGrid>
        <w:gridCol w:w="1194"/>
        <w:gridCol w:w="3187"/>
        <w:gridCol w:w="715"/>
        <w:gridCol w:w="3845"/>
      </w:tblGrid>
      <w:tr w14:paraId="5F75D2C7">
        <w:tblPrEx>
          <w:tblCellMar>
            <w:top w:w="0" w:type="dxa"/>
            <w:left w:w="108" w:type="dxa"/>
            <w:bottom w:w="0" w:type="dxa"/>
            <w:right w:w="108" w:type="dxa"/>
          </w:tblCellMar>
        </w:tblPrEx>
        <w:trPr>
          <w:tblHeader/>
          <w:jc w:val="center"/>
        </w:trPr>
        <w:tc>
          <w:tcPr>
            <w:tcW w:w="8941" w:type="dxa"/>
            <w:gridSpan w:val="4"/>
            <w:tcBorders>
              <w:top w:val="nil"/>
              <w:left w:val="nil"/>
              <w:bottom w:val="nil"/>
              <w:right w:val="nil"/>
            </w:tcBorders>
            <w:noWrap/>
            <w:vAlign w:val="center"/>
          </w:tcPr>
          <w:p w14:paraId="66976D04">
            <w:pPr>
              <w:widowControl/>
              <w:snapToGrid w:val="0"/>
              <w:jc w:val="center"/>
              <w:textAlignment w:val="center"/>
              <w:rPr>
                <w:rFonts w:ascii="新宋体" w:hAnsi="新宋体" w:eastAsia="新宋体" w:cs="新宋体"/>
                <w:b/>
                <w:bCs/>
                <w:color w:val="auto"/>
                <w:szCs w:val="21"/>
              </w:rPr>
            </w:pPr>
            <w:r>
              <w:rPr>
                <w:rFonts w:hint="eastAsia" w:ascii="新宋体" w:hAnsi="新宋体" w:eastAsia="新宋体" w:cs="新宋体"/>
                <w:b/>
                <w:bCs/>
                <w:color w:val="auto"/>
                <w:kern w:val="0"/>
                <w:szCs w:val="21"/>
              </w:rPr>
              <w:t>崇左市人民医院保洁绿化服务人员配置要求表</w:t>
            </w:r>
          </w:p>
        </w:tc>
      </w:tr>
      <w:tr w14:paraId="3C8C3A89">
        <w:tblPrEx>
          <w:tblCellMar>
            <w:top w:w="0" w:type="dxa"/>
            <w:left w:w="108" w:type="dxa"/>
            <w:bottom w:w="0" w:type="dxa"/>
            <w:right w:w="108" w:type="dxa"/>
          </w:tblCellMar>
        </w:tblPrEx>
        <w:trPr>
          <w:tblHeader/>
          <w:jc w:val="center"/>
        </w:trPr>
        <w:tc>
          <w:tcPr>
            <w:tcW w:w="1194" w:type="dxa"/>
            <w:tcBorders>
              <w:top w:val="single" w:color="000000" w:sz="4" w:space="0"/>
              <w:left w:val="single" w:color="000000" w:sz="4" w:space="0"/>
              <w:bottom w:val="single" w:color="000000" w:sz="4" w:space="0"/>
              <w:right w:val="single" w:color="000000" w:sz="4" w:space="0"/>
            </w:tcBorders>
            <w:noWrap/>
            <w:vAlign w:val="center"/>
          </w:tcPr>
          <w:p w14:paraId="1050731F">
            <w:pPr>
              <w:widowControl/>
              <w:snapToGrid w:val="0"/>
              <w:jc w:val="center"/>
              <w:textAlignment w:val="center"/>
              <w:rPr>
                <w:rFonts w:ascii="新宋体" w:hAnsi="新宋体" w:eastAsia="新宋体" w:cs="新宋体"/>
                <w:color w:val="auto"/>
                <w:szCs w:val="21"/>
              </w:rPr>
            </w:pPr>
            <w:r>
              <w:rPr>
                <w:rFonts w:hint="eastAsia" w:ascii="新宋体" w:hAnsi="新宋体" w:eastAsia="新宋体" w:cs="新宋体"/>
                <w:color w:val="auto"/>
                <w:kern w:val="0"/>
                <w:szCs w:val="21"/>
              </w:rPr>
              <w:t>服务区域</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A7B5710">
            <w:pPr>
              <w:widowControl/>
              <w:snapToGrid w:val="0"/>
              <w:jc w:val="center"/>
              <w:textAlignment w:val="center"/>
              <w:rPr>
                <w:rFonts w:ascii="新宋体" w:hAnsi="新宋体" w:eastAsia="新宋体" w:cs="新宋体"/>
                <w:color w:val="auto"/>
                <w:szCs w:val="21"/>
              </w:rPr>
            </w:pPr>
            <w:r>
              <w:rPr>
                <w:rFonts w:hint="eastAsia" w:ascii="新宋体" w:hAnsi="新宋体" w:eastAsia="新宋体" w:cs="新宋体"/>
                <w:color w:val="auto"/>
                <w:kern w:val="0"/>
                <w:szCs w:val="21"/>
              </w:rPr>
              <w:t>服务科室/区域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0E68C05">
            <w:pPr>
              <w:widowControl/>
              <w:snapToGrid w:val="0"/>
              <w:jc w:val="center"/>
              <w:textAlignment w:val="center"/>
              <w:rPr>
                <w:rFonts w:ascii="新宋体" w:hAnsi="新宋体" w:eastAsia="新宋体" w:cs="新宋体"/>
                <w:color w:val="auto"/>
                <w:szCs w:val="21"/>
              </w:rPr>
            </w:pPr>
            <w:r>
              <w:rPr>
                <w:rFonts w:hint="eastAsia" w:ascii="新宋体" w:hAnsi="新宋体" w:eastAsia="新宋体" w:cs="新宋体"/>
                <w:color w:val="auto"/>
                <w:kern w:val="0"/>
                <w:szCs w:val="21"/>
              </w:rPr>
              <w:t>岗位人数</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919A0EA">
            <w:pPr>
              <w:widowControl/>
              <w:snapToGrid w:val="0"/>
              <w:jc w:val="center"/>
              <w:textAlignment w:val="center"/>
              <w:rPr>
                <w:rFonts w:ascii="新宋体" w:hAnsi="新宋体" w:eastAsia="新宋体" w:cs="新宋体"/>
                <w:color w:val="auto"/>
                <w:szCs w:val="21"/>
              </w:rPr>
            </w:pPr>
            <w:r>
              <w:rPr>
                <w:rFonts w:hint="eastAsia" w:ascii="新宋体" w:hAnsi="新宋体" w:eastAsia="新宋体" w:cs="新宋体"/>
                <w:color w:val="auto"/>
                <w:kern w:val="0"/>
                <w:szCs w:val="21"/>
              </w:rPr>
              <w:t>备注</w:t>
            </w:r>
          </w:p>
        </w:tc>
      </w:tr>
      <w:tr w14:paraId="6313BF9E">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bottom w:val="single" w:color="000000" w:sz="4" w:space="0"/>
              <w:right w:val="single" w:color="000000" w:sz="4" w:space="0"/>
            </w:tcBorders>
            <w:noWrap/>
            <w:vAlign w:val="center"/>
          </w:tcPr>
          <w:p w14:paraId="09A6CA3F">
            <w:pPr>
              <w:adjustRightInd w:val="0"/>
              <w:snapToGrid w:val="0"/>
              <w:spacing w:line="400" w:lineRule="exact"/>
              <w:rPr>
                <w:rFonts w:asciiTheme="minorEastAsia" w:hAnsiTheme="minorEastAsia" w:eastAsiaTheme="minorEastAsia" w:cstheme="minorEastAsia"/>
                <w:color w:val="auto"/>
                <w:szCs w:val="21"/>
              </w:rPr>
            </w:pPr>
            <w:bookmarkStart w:id="6" w:name="OLE_LINK20" w:colFirst="2" w:colLast="2"/>
            <w:bookmarkStart w:id="7" w:name="_Hlk230361540"/>
            <w:bookmarkStart w:id="8" w:name="OLE_LINK19" w:colFirst="2" w:colLast="2"/>
            <w:r>
              <w:rPr>
                <w:rFonts w:hint="eastAsia" w:asciiTheme="minorEastAsia" w:hAnsiTheme="minorEastAsia" w:eastAsiaTheme="minorEastAsia" w:cstheme="minorEastAsia"/>
                <w:color w:val="auto"/>
                <w:szCs w:val="21"/>
              </w:rPr>
              <w:t>内科综</w:t>
            </w:r>
          </w:p>
          <w:p w14:paraId="1730C5A0">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合楼（27人）</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E159732">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一楼(血透室)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883478E">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4CA5F7A">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含夜班</w:t>
            </w:r>
          </w:p>
        </w:tc>
      </w:tr>
      <w:tr w14:paraId="40D2CF5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CAEBA00">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CCDD658">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一楼（大厅、内科楼B</w:t>
            </w:r>
            <w:r>
              <w:rPr>
                <w:rFonts w:asciiTheme="minorEastAsia" w:hAnsiTheme="minorEastAsia" w:eastAsiaTheme="minorEastAsia" w:cstheme="minorEastAsia"/>
                <w:color w:val="auto"/>
                <w:szCs w:val="21"/>
              </w:rPr>
              <w:t>超室、</w:t>
            </w:r>
            <w:r>
              <w:rPr>
                <w:rFonts w:hint="eastAsia" w:asciiTheme="minorEastAsia" w:hAnsiTheme="minorEastAsia" w:eastAsiaTheme="minorEastAsia" w:cstheme="minorEastAsia"/>
                <w:color w:val="auto"/>
                <w:szCs w:val="21"/>
              </w:rPr>
              <w:t>1个公卫、地下停车场）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673449E">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001366B">
            <w:pPr>
              <w:adjustRightInd w:val="0"/>
              <w:snapToGrid w:val="0"/>
              <w:spacing w:line="400" w:lineRule="exact"/>
              <w:rPr>
                <w:rFonts w:asciiTheme="minorEastAsia" w:hAnsiTheme="minorEastAsia" w:eastAsiaTheme="minorEastAsia" w:cstheme="minorEastAsia"/>
                <w:color w:val="auto"/>
                <w:szCs w:val="21"/>
              </w:rPr>
            </w:pPr>
          </w:p>
        </w:tc>
      </w:tr>
      <w:tr w14:paraId="6CA3EA6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1768619">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CC69B10">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二楼(信息科、设备科)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7061FD1">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7C61752">
            <w:pPr>
              <w:adjustRightInd w:val="0"/>
              <w:snapToGrid w:val="0"/>
              <w:spacing w:line="400" w:lineRule="exact"/>
              <w:rPr>
                <w:rFonts w:asciiTheme="minorEastAsia" w:hAnsiTheme="minorEastAsia" w:eastAsiaTheme="minorEastAsia" w:cstheme="minorEastAsia"/>
                <w:color w:val="auto"/>
                <w:szCs w:val="21"/>
              </w:rPr>
            </w:pPr>
          </w:p>
        </w:tc>
      </w:tr>
      <w:tr w14:paraId="5E159401">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3E69031">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602183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三楼(药学部)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1B8F889">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A8B0C84">
            <w:pPr>
              <w:adjustRightInd w:val="0"/>
              <w:snapToGrid w:val="0"/>
              <w:spacing w:line="400" w:lineRule="exact"/>
              <w:rPr>
                <w:rFonts w:asciiTheme="minorEastAsia" w:hAnsiTheme="minorEastAsia" w:eastAsiaTheme="minorEastAsia" w:cstheme="minorEastAsia"/>
                <w:color w:val="auto"/>
                <w:szCs w:val="21"/>
              </w:rPr>
            </w:pPr>
          </w:p>
        </w:tc>
      </w:tr>
      <w:tr w14:paraId="0DC6DF33">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CA4A774">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35C46C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四楼(临床技能培训中心创新诊疗中心重点实验室)+五楼(临床技能培训中心)、医美中心</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CF9FC8C">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38B0C4A">
            <w:pPr>
              <w:adjustRightInd w:val="0"/>
              <w:snapToGrid w:val="0"/>
              <w:spacing w:line="400" w:lineRule="exact"/>
              <w:rPr>
                <w:rFonts w:asciiTheme="minorEastAsia" w:hAnsiTheme="minorEastAsia" w:eastAsiaTheme="minorEastAsia" w:cstheme="minorEastAsia"/>
                <w:color w:val="auto"/>
                <w:szCs w:val="21"/>
              </w:rPr>
            </w:pPr>
          </w:p>
        </w:tc>
      </w:tr>
      <w:tr w14:paraId="4BF563D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4F62B82D">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FD1323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六楼(教学部、临床技能培训中心学术报告厅)</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B06A1C1">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A079A79">
            <w:pPr>
              <w:adjustRightInd w:val="0"/>
              <w:snapToGrid w:val="0"/>
              <w:spacing w:line="400" w:lineRule="exact"/>
              <w:rPr>
                <w:rFonts w:asciiTheme="minorEastAsia" w:hAnsiTheme="minorEastAsia" w:eastAsiaTheme="minorEastAsia" w:cstheme="minorEastAsia"/>
                <w:color w:val="auto"/>
                <w:szCs w:val="21"/>
              </w:rPr>
            </w:pPr>
          </w:p>
        </w:tc>
      </w:tr>
      <w:tr w14:paraId="07FC044E">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AFA5964">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515DAB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七楼(心血管内科一区)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3C2E969">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D7CB20D">
            <w:pPr>
              <w:adjustRightInd w:val="0"/>
              <w:snapToGrid w:val="0"/>
              <w:spacing w:line="400" w:lineRule="exact"/>
              <w:rPr>
                <w:rFonts w:asciiTheme="minorEastAsia" w:hAnsiTheme="minorEastAsia" w:eastAsiaTheme="minorEastAsia" w:cstheme="minorEastAsia"/>
                <w:color w:val="auto"/>
                <w:szCs w:val="21"/>
              </w:rPr>
            </w:pPr>
          </w:p>
        </w:tc>
      </w:tr>
      <w:tr w14:paraId="501A96F5">
        <w:tblPrEx>
          <w:tblCellMar>
            <w:top w:w="0" w:type="dxa"/>
            <w:left w:w="108" w:type="dxa"/>
            <w:bottom w:w="0" w:type="dxa"/>
            <w:right w:w="108" w:type="dxa"/>
          </w:tblCellMar>
        </w:tblPrEx>
        <w:trPr>
          <w:trHeight w:val="235"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0494001">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51A0A1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八楼(心血管内科二区)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9CF5370">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6E96272">
            <w:pPr>
              <w:adjustRightInd w:val="0"/>
              <w:snapToGrid w:val="0"/>
              <w:spacing w:line="400" w:lineRule="exact"/>
              <w:rPr>
                <w:rFonts w:asciiTheme="minorEastAsia" w:hAnsiTheme="minorEastAsia" w:eastAsiaTheme="minorEastAsia" w:cstheme="minorEastAsia"/>
                <w:color w:val="auto"/>
                <w:szCs w:val="21"/>
              </w:rPr>
            </w:pPr>
          </w:p>
        </w:tc>
      </w:tr>
      <w:tr w14:paraId="65CBB57A">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D4AF69E">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890BAE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九楼(神经内科一区）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3082F20">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3AD33D2">
            <w:pPr>
              <w:adjustRightInd w:val="0"/>
              <w:snapToGrid w:val="0"/>
              <w:spacing w:line="400" w:lineRule="exact"/>
              <w:rPr>
                <w:rFonts w:asciiTheme="minorEastAsia" w:hAnsiTheme="minorEastAsia" w:eastAsiaTheme="minorEastAsia" w:cstheme="minorEastAsia"/>
                <w:color w:val="auto"/>
                <w:szCs w:val="21"/>
              </w:rPr>
            </w:pPr>
          </w:p>
        </w:tc>
      </w:tr>
      <w:tr w14:paraId="11459F40">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6614357">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B9D6CF3">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十楼(神经内科二区)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05D07EC">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859B9E5">
            <w:pPr>
              <w:adjustRightInd w:val="0"/>
              <w:snapToGrid w:val="0"/>
              <w:spacing w:line="400" w:lineRule="exact"/>
              <w:rPr>
                <w:rFonts w:asciiTheme="minorEastAsia" w:hAnsiTheme="minorEastAsia" w:eastAsiaTheme="minorEastAsia" w:cstheme="minorEastAsia"/>
                <w:color w:val="auto"/>
                <w:szCs w:val="21"/>
              </w:rPr>
            </w:pPr>
          </w:p>
        </w:tc>
      </w:tr>
      <w:tr w14:paraId="1F21414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9A3BF48">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66D8239">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十一楼(眼科耳鼻咽喉头颈外科口腔科)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32F5E50">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7CF5AED">
            <w:pPr>
              <w:adjustRightInd w:val="0"/>
              <w:snapToGrid w:val="0"/>
              <w:spacing w:line="400" w:lineRule="exact"/>
              <w:rPr>
                <w:rFonts w:asciiTheme="minorEastAsia" w:hAnsiTheme="minorEastAsia" w:eastAsiaTheme="minorEastAsia" w:cstheme="minorEastAsia"/>
                <w:color w:val="auto"/>
                <w:szCs w:val="21"/>
              </w:rPr>
            </w:pPr>
          </w:p>
        </w:tc>
      </w:tr>
      <w:tr w14:paraId="6AEEE19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41365C6D">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4305BC3">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十二楼(消化内科)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1D101A3">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46D41C2">
            <w:pPr>
              <w:adjustRightInd w:val="0"/>
              <w:snapToGrid w:val="0"/>
              <w:spacing w:line="400" w:lineRule="exact"/>
              <w:rPr>
                <w:rFonts w:asciiTheme="minorEastAsia" w:hAnsiTheme="minorEastAsia" w:eastAsiaTheme="minorEastAsia" w:cstheme="minorEastAsia"/>
                <w:color w:val="auto"/>
                <w:szCs w:val="21"/>
              </w:rPr>
            </w:pPr>
          </w:p>
        </w:tc>
      </w:tr>
      <w:tr w14:paraId="08DF217C">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E244CE0">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CA84FE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十三楼(老年医学科（安宁疗护病区）)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30EDF38">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D773583">
            <w:pPr>
              <w:adjustRightInd w:val="0"/>
              <w:snapToGrid w:val="0"/>
              <w:spacing w:line="400" w:lineRule="exact"/>
              <w:rPr>
                <w:rFonts w:asciiTheme="minorEastAsia" w:hAnsiTheme="minorEastAsia" w:eastAsiaTheme="minorEastAsia" w:cstheme="minorEastAsia"/>
                <w:color w:val="auto"/>
                <w:szCs w:val="21"/>
              </w:rPr>
            </w:pPr>
          </w:p>
        </w:tc>
      </w:tr>
      <w:tr w14:paraId="2CCF35A6">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63AD1F6">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77550C8">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十四楼(血液内分泌内科)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90F79F9">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E52B5AB">
            <w:pPr>
              <w:adjustRightInd w:val="0"/>
              <w:snapToGrid w:val="0"/>
              <w:spacing w:line="400" w:lineRule="exact"/>
              <w:rPr>
                <w:rFonts w:asciiTheme="minorEastAsia" w:hAnsiTheme="minorEastAsia" w:eastAsiaTheme="minorEastAsia" w:cstheme="minorEastAsia"/>
                <w:color w:val="auto"/>
                <w:szCs w:val="21"/>
              </w:rPr>
            </w:pPr>
          </w:p>
        </w:tc>
      </w:tr>
      <w:tr w14:paraId="387C84FD">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570E9F1">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8DABE5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十五楼(儿科)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4DD226A">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1088C716">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含夜班</w:t>
            </w:r>
          </w:p>
        </w:tc>
      </w:tr>
      <w:tr w14:paraId="04FB2AC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E2AEED3">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B327B66">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十六楼(全科医学科)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AC18363">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EDDDA78">
            <w:pPr>
              <w:adjustRightInd w:val="0"/>
              <w:snapToGrid w:val="0"/>
              <w:spacing w:line="400" w:lineRule="exact"/>
              <w:rPr>
                <w:rFonts w:asciiTheme="minorEastAsia" w:hAnsiTheme="minorEastAsia" w:eastAsiaTheme="minorEastAsia" w:cstheme="minorEastAsia"/>
                <w:color w:val="auto"/>
                <w:szCs w:val="21"/>
              </w:rPr>
            </w:pPr>
          </w:p>
        </w:tc>
      </w:tr>
      <w:tr w14:paraId="7197624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46BE7136">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2C88DF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十七楼(中医科)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C981F6D">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78775DA">
            <w:pPr>
              <w:adjustRightInd w:val="0"/>
              <w:snapToGrid w:val="0"/>
              <w:spacing w:line="400" w:lineRule="exact"/>
              <w:rPr>
                <w:rFonts w:asciiTheme="minorEastAsia" w:hAnsiTheme="minorEastAsia" w:eastAsiaTheme="minorEastAsia" w:cstheme="minorEastAsia"/>
                <w:color w:val="auto"/>
                <w:szCs w:val="21"/>
              </w:rPr>
            </w:pPr>
          </w:p>
        </w:tc>
      </w:tr>
      <w:tr w14:paraId="5A459E85">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EA040D0">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C53F508">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十八楼(肿瘤二区)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1F107EB">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3031226">
            <w:pPr>
              <w:adjustRightInd w:val="0"/>
              <w:snapToGrid w:val="0"/>
              <w:spacing w:line="400" w:lineRule="exact"/>
              <w:rPr>
                <w:rFonts w:asciiTheme="minorEastAsia" w:hAnsiTheme="minorEastAsia" w:eastAsiaTheme="minorEastAsia" w:cstheme="minorEastAsia"/>
                <w:color w:val="auto"/>
                <w:szCs w:val="21"/>
              </w:rPr>
            </w:pPr>
          </w:p>
        </w:tc>
      </w:tr>
      <w:tr w14:paraId="4DD6CB1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503E884">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04F5303">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十九楼(肿瘤一区)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C6398BA">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64041A1">
            <w:pPr>
              <w:adjustRightInd w:val="0"/>
              <w:snapToGrid w:val="0"/>
              <w:spacing w:line="400" w:lineRule="exact"/>
              <w:rPr>
                <w:rFonts w:asciiTheme="minorEastAsia" w:hAnsiTheme="minorEastAsia" w:eastAsiaTheme="minorEastAsia" w:cstheme="minorEastAsia"/>
                <w:color w:val="auto"/>
                <w:szCs w:val="21"/>
              </w:rPr>
            </w:pPr>
          </w:p>
        </w:tc>
      </w:tr>
      <w:tr w14:paraId="7FA52A6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6EBAB54">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A1EEFE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二十楼(肾内、风湿免疫科)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7E07AD9">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028A3E0">
            <w:pPr>
              <w:adjustRightInd w:val="0"/>
              <w:snapToGrid w:val="0"/>
              <w:spacing w:line="400" w:lineRule="exact"/>
              <w:rPr>
                <w:rFonts w:asciiTheme="minorEastAsia" w:hAnsiTheme="minorEastAsia" w:eastAsiaTheme="minorEastAsia" w:cstheme="minorEastAsia"/>
                <w:color w:val="auto"/>
                <w:szCs w:val="21"/>
              </w:rPr>
            </w:pPr>
          </w:p>
        </w:tc>
      </w:tr>
      <w:tr w14:paraId="7FCDECB0">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B40E594">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FB8D86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二十一楼（RICU）</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3004DD1">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42ACC3B">
            <w:pPr>
              <w:adjustRightInd w:val="0"/>
              <w:snapToGrid w:val="0"/>
              <w:spacing w:line="400" w:lineRule="exact"/>
              <w:rPr>
                <w:rFonts w:asciiTheme="minorEastAsia" w:hAnsiTheme="minorEastAsia" w:eastAsiaTheme="minorEastAsia" w:cstheme="minorEastAsia"/>
                <w:color w:val="auto"/>
                <w:szCs w:val="21"/>
              </w:rPr>
            </w:pPr>
          </w:p>
        </w:tc>
      </w:tr>
      <w:tr w14:paraId="1205642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763ED95">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342FBEF">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二十二楼（呼吸与危重症医学科）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727A066">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73AB11F">
            <w:pPr>
              <w:adjustRightInd w:val="0"/>
              <w:snapToGrid w:val="0"/>
              <w:spacing w:line="400" w:lineRule="exact"/>
              <w:rPr>
                <w:rFonts w:asciiTheme="minorEastAsia" w:hAnsiTheme="minorEastAsia" w:eastAsiaTheme="minorEastAsia" w:cstheme="minorEastAsia"/>
                <w:color w:val="auto"/>
                <w:szCs w:val="21"/>
              </w:rPr>
            </w:pPr>
          </w:p>
        </w:tc>
      </w:tr>
      <w:bookmarkEnd w:id="6"/>
      <w:bookmarkEnd w:id="7"/>
      <w:bookmarkEnd w:id="8"/>
      <w:tr w14:paraId="3EA179D1">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right w:val="single" w:color="000000" w:sz="4" w:space="0"/>
            </w:tcBorders>
            <w:noWrap/>
            <w:vAlign w:val="center"/>
          </w:tcPr>
          <w:p w14:paraId="58843B0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外科楼（29人）</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58B6D5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负一楼(放疗科+保卫科办公室+监控室）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BB50258">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82864E1">
            <w:pPr>
              <w:adjustRightInd w:val="0"/>
              <w:snapToGrid w:val="0"/>
              <w:spacing w:line="400" w:lineRule="exact"/>
              <w:rPr>
                <w:rFonts w:asciiTheme="minorEastAsia" w:hAnsiTheme="minorEastAsia" w:eastAsiaTheme="minorEastAsia" w:cstheme="minorEastAsia"/>
                <w:color w:val="auto"/>
                <w:szCs w:val="21"/>
              </w:rPr>
            </w:pPr>
          </w:p>
        </w:tc>
      </w:tr>
      <w:tr w14:paraId="4A3C30FC">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39C29B7C">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2380F73">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一楼(住院收费处+中心药房+总务科）</w:t>
            </w:r>
          </w:p>
        </w:tc>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14:paraId="0EF77ED2">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DB1A1E6">
            <w:pPr>
              <w:adjustRightInd w:val="0"/>
              <w:snapToGrid w:val="0"/>
              <w:spacing w:line="400" w:lineRule="exact"/>
              <w:rPr>
                <w:rFonts w:asciiTheme="minorEastAsia" w:hAnsiTheme="minorEastAsia" w:eastAsiaTheme="minorEastAsia" w:cstheme="minorEastAsia"/>
                <w:color w:val="auto"/>
                <w:szCs w:val="21"/>
              </w:rPr>
            </w:pPr>
          </w:p>
        </w:tc>
      </w:tr>
      <w:tr w14:paraId="05EDEAD7">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649400FB">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2B2932A">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一楼(第二导管室）</w:t>
            </w:r>
          </w:p>
        </w:tc>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14:paraId="602E841A">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17A77298">
            <w:pPr>
              <w:adjustRightInd w:val="0"/>
              <w:snapToGrid w:val="0"/>
              <w:spacing w:line="400" w:lineRule="exact"/>
              <w:rPr>
                <w:rFonts w:asciiTheme="minorEastAsia" w:hAnsiTheme="minorEastAsia" w:eastAsiaTheme="minorEastAsia" w:cstheme="minorEastAsia"/>
                <w:color w:val="auto"/>
                <w:szCs w:val="21"/>
              </w:rPr>
            </w:pPr>
          </w:p>
        </w:tc>
      </w:tr>
      <w:tr w14:paraId="736842F5">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AA31663">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54C749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一楼(输血科+二楼室内球场+二楼公共区域)</w:t>
            </w:r>
          </w:p>
        </w:tc>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14:paraId="5B1A2502">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F4F8A2D">
            <w:pPr>
              <w:adjustRightInd w:val="0"/>
              <w:snapToGrid w:val="0"/>
              <w:spacing w:line="400" w:lineRule="exact"/>
              <w:rPr>
                <w:rFonts w:asciiTheme="minorEastAsia" w:hAnsiTheme="minorEastAsia" w:eastAsiaTheme="minorEastAsia" w:cstheme="minorEastAsia"/>
                <w:color w:val="auto"/>
                <w:szCs w:val="21"/>
              </w:rPr>
            </w:pPr>
          </w:p>
        </w:tc>
      </w:tr>
      <w:tr w14:paraId="48160B11">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1931B05">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52AEDB9">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一楼（创伤骨科手外科）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C69E39E">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B8A933E">
            <w:pPr>
              <w:adjustRightInd w:val="0"/>
              <w:snapToGrid w:val="0"/>
              <w:spacing w:line="400" w:lineRule="exact"/>
              <w:rPr>
                <w:rFonts w:asciiTheme="minorEastAsia" w:hAnsiTheme="minorEastAsia" w:eastAsiaTheme="minorEastAsia" w:cstheme="minorEastAsia"/>
                <w:color w:val="auto"/>
                <w:szCs w:val="21"/>
              </w:rPr>
            </w:pPr>
          </w:p>
        </w:tc>
      </w:tr>
      <w:tr w14:paraId="2B55F4F6">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7F460C48">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5F2710A">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二楼(手术室)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42F3A89">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D09DF67">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含夜班</w:t>
            </w:r>
          </w:p>
        </w:tc>
      </w:tr>
      <w:tr w14:paraId="5895289E">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2E05CA1">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69CE0C7">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二楼(供应室）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4087060">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0F5EDB2">
            <w:pPr>
              <w:adjustRightInd w:val="0"/>
              <w:snapToGrid w:val="0"/>
              <w:spacing w:line="400" w:lineRule="exact"/>
              <w:rPr>
                <w:rFonts w:asciiTheme="minorEastAsia" w:hAnsiTheme="minorEastAsia" w:eastAsiaTheme="minorEastAsia" w:cstheme="minorEastAsia"/>
                <w:color w:val="auto"/>
                <w:szCs w:val="21"/>
              </w:rPr>
            </w:pPr>
          </w:p>
        </w:tc>
      </w:tr>
      <w:tr w14:paraId="41F87025">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8DBD3A5">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3D1B024">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二楼(ICU)</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62BAE05">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7551FC2">
            <w:pPr>
              <w:adjustRightInd w:val="0"/>
              <w:snapToGrid w:val="0"/>
              <w:spacing w:line="400" w:lineRule="exact"/>
              <w:rPr>
                <w:rFonts w:asciiTheme="minorEastAsia" w:hAnsiTheme="minorEastAsia" w:eastAsiaTheme="minorEastAsia" w:cstheme="minorEastAsia"/>
                <w:color w:val="auto"/>
                <w:szCs w:val="21"/>
              </w:rPr>
            </w:pPr>
          </w:p>
        </w:tc>
      </w:tr>
      <w:tr w14:paraId="51ABB139">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582635B">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2349C45">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三楼(康复科+儿童康复中心)</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885AAFC">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0B92BA8">
            <w:pPr>
              <w:adjustRightInd w:val="0"/>
              <w:snapToGrid w:val="0"/>
              <w:spacing w:line="400" w:lineRule="exact"/>
              <w:rPr>
                <w:rFonts w:asciiTheme="minorEastAsia" w:hAnsiTheme="minorEastAsia" w:eastAsiaTheme="minorEastAsia" w:cstheme="minorEastAsia"/>
                <w:color w:val="auto"/>
                <w:szCs w:val="21"/>
              </w:rPr>
            </w:pPr>
          </w:p>
        </w:tc>
      </w:tr>
      <w:tr w14:paraId="3385333E">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5DA1A97">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3DAA670">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三楼(新生儿科)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D7E870A">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D1C0F85">
            <w:pPr>
              <w:adjustRightInd w:val="0"/>
              <w:snapToGrid w:val="0"/>
              <w:spacing w:line="400" w:lineRule="exact"/>
              <w:rPr>
                <w:rFonts w:asciiTheme="minorEastAsia" w:hAnsiTheme="minorEastAsia" w:eastAsiaTheme="minorEastAsia" w:cstheme="minorEastAsia"/>
                <w:color w:val="auto"/>
                <w:szCs w:val="21"/>
              </w:rPr>
            </w:pPr>
          </w:p>
        </w:tc>
      </w:tr>
      <w:tr w14:paraId="67AE802A">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7EF04702">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2592DC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四楼(产科)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17114C8">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7C15965">
            <w:pPr>
              <w:adjustRightInd w:val="0"/>
              <w:snapToGrid w:val="0"/>
              <w:spacing w:line="400" w:lineRule="exact"/>
              <w:rPr>
                <w:rFonts w:asciiTheme="minorEastAsia" w:hAnsiTheme="minorEastAsia" w:eastAsiaTheme="minorEastAsia" w:cstheme="minorEastAsia"/>
                <w:color w:val="auto"/>
                <w:szCs w:val="21"/>
              </w:rPr>
            </w:pPr>
          </w:p>
        </w:tc>
      </w:tr>
      <w:tr w14:paraId="5C340388">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28A011E7">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AEBA69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四楼(产房)</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4273408">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F520E85">
            <w:pPr>
              <w:adjustRightInd w:val="0"/>
              <w:snapToGrid w:val="0"/>
              <w:spacing w:line="400" w:lineRule="exact"/>
              <w:rPr>
                <w:rFonts w:asciiTheme="minorEastAsia" w:hAnsiTheme="minorEastAsia" w:eastAsiaTheme="minorEastAsia" w:cstheme="minorEastAsia"/>
                <w:color w:val="auto"/>
                <w:szCs w:val="21"/>
              </w:rPr>
            </w:pPr>
          </w:p>
        </w:tc>
      </w:tr>
      <w:tr w14:paraId="6637FCB8">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DB95C41">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F12E2F3">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五楼(中转病房东区正在装修)</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E2E00FD">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21A438A">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备员</w:t>
            </w:r>
          </w:p>
        </w:tc>
      </w:tr>
      <w:tr w14:paraId="1A2CA25D">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1670428E">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D29C804">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五楼(脊柱外科)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D5B5C15">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647589B">
            <w:pPr>
              <w:adjustRightInd w:val="0"/>
              <w:snapToGrid w:val="0"/>
              <w:spacing w:line="400" w:lineRule="exact"/>
              <w:rPr>
                <w:rFonts w:asciiTheme="minorEastAsia" w:hAnsiTheme="minorEastAsia" w:eastAsiaTheme="minorEastAsia" w:cstheme="minorEastAsia"/>
                <w:color w:val="auto"/>
                <w:szCs w:val="21"/>
              </w:rPr>
            </w:pPr>
          </w:p>
        </w:tc>
      </w:tr>
      <w:tr w14:paraId="15374DB7">
        <w:tblPrEx>
          <w:tblCellMar>
            <w:top w:w="0" w:type="dxa"/>
            <w:left w:w="108" w:type="dxa"/>
            <w:bottom w:w="0" w:type="dxa"/>
            <w:right w:w="108" w:type="dxa"/>
          </w:tblCellMar>
        </w:tblPrEx>
        <w:trPr>
          <w:trHeight w:val="440" w:hRule="atLeast"/>
          <w:jc w:val="center"/>
        </w:trPr>
        <w:tc>
          <w:tcPr>
            <w:tcW w:w="1194" w:type="dxa"/>
            <w:vMerge w:val="continue"/>
            <w:tcBorders>
              <w:left w:val="single" w:color="000000" w:sz="4" w:space="0"/>
              <w:right w:val="single" w:color="000000" w:sz="4" w:space="0"/>
            </w:tcBorders>
            <w:noWrap/>
            <w:vAlign w:val="center"/>
          </w:tcPr>
          <w:p w14:paraId="53740F69">
            <w:pPr>
              <w:adjustRightInd w:val="0"/>
              <w:snapToGrid w:val="0"/>
              <w:spacing w:line="400" w:lineRule="exact"/>
              <w:rPr>
                <w:rFonts w:asciiTheme="minorEastAsia" w:hAnsiTheme="minorEastAsia" w:eastAsiaTheme="minorEastAsia" w:cstheme="minorEastAsia"/>
                <w:color w:val="auto"/>
                <w:szCs w:val="21"/>
              </w:rPr>
            </w:pPr>
            <w:bookmarkStart w:id="9" w:name="OLE_LINK2" w:colFirst="2" w:colLast="2"/>
            <w:bookmarkStart w:id="10" w:name="_Hlk230361345"/>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66FCF8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六楼(胸心血管外科)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92260B8">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21072C4">
            <w:pPr>
              <w:adjustRightInd w:val="0"/>
              <w:snapToGrid w:val="0"/>
              <w:spacing w:line="400" w:lineRule="exact"/>
              <w:rPr>
                <w:rFonts w:asciiTheme="minorEastAsia" w:hAnsiTheme="minorEastAsia" w:eastAsiaTheme="minorEastAsia" w:cstheme="minorEastAsia"/>
                <w:color w:val="auto"/>
                <w:szCs w:val="21"/>
              </w:rPr>
            </w:pPr>
          </w:p>
        </w:tc>
      </w:tr>
      <w:tr w14:paraId="6867774F">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64FE530">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6CFC9A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六楼(关节外科)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D6BA5FA">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6CA7E53">
            <w:pPr>
              <w:adjustRightInd w:val="0"/>
              <w:snapToGrid w:val="0"/>
              <w:spacing w:line="400" w:lineRule="exact"/>
              <w:rPr>
                <w:rFonts w:asciiTheme="minorEastAsia" w:hAnsiTheme="minorEastAsia" w:eastAsiaTheme="minorEastAsia" w:cstheme="minorEastAsia"/>
                <w:color w:val="auto"/>
                <w:szCs w:val="21"/>
              </w:rPr>
            </w:pPr>
          </w:p>
        </w:tc>
      </w:tr>
      <w:tr w14:paraId="5FD87B6E">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34BF4BEB">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DEC323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七楼(甲状腺乳腺腺体外科)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012F2FD">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1117633">
            <w:pPr>
              <w:adjustRightInd w:val="0"/>
              <w:snapToGrid w:val="0"/>
              <w:spacing w:line="400" w:lineRule="exact"/>
              <w:rPr>
                <w:rFonts w:asciiTheme="minorEastAsia" w:hAnsiTheme="minorEastAsia" w:eastAsiaTheme="minorEastAsia" w:cstheme="minorEastAsia"/>
                <w:color w:val="auto"/>
                <w:szCs w:val="21"/>
              </w:rPr>
            </w:pPr>
          </w:p>
        </w:tc>
      </w:tr>
      <w:tr w14:paraId="7FA6ED8B">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6D571FE1">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43DF5A6">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七楼(妇科、计划生育科)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ECC3F4A">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EFF148A">
            <w:pPr>
              <w:adjustRightInd w:val="0"/>
              <w:snapToGrid w:val="0"/>
              <w:spacing w:line="400" w:lineRule="exact"/>
              <w:rPr>
                <w:rFonts w:asciiTheme="minorEastAsia" w:hAnsiTheme="minorEastAsia" w:eastAsiaTheme="minorEastAsia" w:cstheme="minorEastAsia"/>
                <w:color w:val="auto"/>
                <w:szCs w:val="21"/>
              </w:rPr>
            </w:pPr>
          </w:p>
        </w:tc>
      </w:tr>
      <w:tr w14:paraId="5E718915">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EAC20BF">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21DD970">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八楼(神经外科+NICU)</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1DF7F17">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321A53F">
            <w:pPr>
              <w:adjustRightInd w:val="0"/>
              <w:snapToGrid w:val="0"/>
              <w:spacing w:line="400" w:lineRule="exact"/>
              <w:rPr>
                <w:rFonts w:asciiTheme="minorEastAsia" w:hAnsiTheme="minorEastAsia" w:eastAsiaTheme="minorEastAsia" w:cstheme="minorEastAsia"/>
                <w:color w:val="auto"/>
                <w:szCs w:val="21"/>
              </w:rPr>
            </w:pPr>
          </w:p>
        </w:tc>
      </w:tr>
      <w:tr w14:paraId="5F3D96C0">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125834F4">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4AE4008">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八楼(泌尿外科、皮肤科)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97845DC">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7C9F3C8">
            <w:pPr>
              <w:adjustRightInd w:val="0"/>
              <w:snapToGrid w:val="0"/>
              <w:spacing w:line="400" w:lineRule="exact"/>
              <w:rPr>
                <w:rFonts w:asciiTheme="minorEastAsia" w:hAnsiTheme="minorEastAsia" w:eastAsiaTheme="minorEastAsia" w:cstheme="minorEastAsia"/>
                <w:color w:val="auto"/>
                <w:szCs w:val="21"/>
              </w:rPr>
            </w:pPr>
          </w:p>
        </w:tc>
      </w:tr>
      <w:tr w14:paraId="5CCD6F25">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755F9D33">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D5BE0BF">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九楼(胃肠肛门疝与腹壁外科)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B580892">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E1FCEE5">
            <w:pPr>
              <w:adjustRightInd w:val="0"/>
              <w:snapToGrid w:val="0"/>
              <w:spacing w:line="400" w:lineRule="exact"/>
              <w:rPr>
                <w:rFonts w:asciiTheme="minorEastAsia" w:hAnsiTheme="minorEastAsia" w:eastAsiaTheme="minorEastAsia" w:cstheme="minorEastAsia"/>
                <w:color w:val="auto"/>
                <w:szCs w:val="21"/>
              </w:rPr>
            </w:pPr>
          </w:p>
        </w:tc>
      </w:tr>
      <w:tr w14:paraId="515C6164">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1D85F7F">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nil"/>
              <w:right w:val="single" w:color="000000" w:sz="4" w:space="0"/>
            </w:tcBorders>
            <w:noWrap/>
            <w:vAlign w:val="center"/>
          </w:tcPr>
          <w:p w14:paraId="272E6695">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九楼(肝胆胰脾外科)</w:t>
            </w:r>
          </w:p>
        </w:tc>
        <w:tc>
          <w:tcPr>
            <w:tcW w:w="715" w:type="dxa"/>
            <w:vMerge w:val="restart"/>
            <w:tcBorders>
              <w:top w:val="single" w:color="000000" w:sz="4" w:space="0"/>
              <w:left w:val="single" w:color="000000" w:sz="4" w:space="0"/>
              <w:right w:val="single" w:color="000000" w:sz="4" w:space="0"/>
            </w:tcBorders>
            <w:noWrap/>
            <w:vAlign w:val="center"/>
          </w:tcPr>
          <w:p w14:paraId="2016E11A">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nil"/>
              <w:right w:val="single" w:color="000000" w:sz="4" w:space="0"/>
            </w:tcBorders>
            <w:noWrap/>
            <w:vAlign w:val="center"/>
          </w:tcPr>
          <w:p w14:paraId="253C394D">
            <w:pPr>
              <w:adjustRightInd w:val="0"/>
              <w:snapToGrid w:val="0"/>
              <w:spacing w:line="400" w:lineRule="exact"/>
              <w:rPr>
                <w:rFonts w:asciiTheme="minorEastAsia" w:hAnsiTheme="minorEastAsia" w:eastAsiaTheme="minorEastAsia" w:cstheme="minorEastAsia"/>
                <w:color w:val="auto"/>
                <w:szCs w:val="21"/>
              </w:rPr>
            </w:pPr>
          </w:p>
        </w:tc>
      </w:tr>
      <w:tr w14:paraId="15117CBF">
        <w:tblPrEx>
          <w:tblCellMar>
            <w:top w:w="0" w:type="dxa"/>
            <w:left w:w="108" w:type="dxa"/>
            <w:bottom w:w="0" w:type="dxa"/>
            <w:right w:w="108" w:type="dxa"/>
          </w:tblCellMar>
        </w:tblPrEx>
        <w:trPr>
          <w:jc w:val="center"/>
        </w:trPr>
        <w:tc>
          <w:tcPr>
            <w:tcW w:w="1194" w:type="dxa"/>
            <w:vMerge w:val="continue"/>
            <w:tcBorders>
              <w:left w:val="single" w:color="000000" w:sz="4" w:space="0"/>
              <w:bottom w:val="single" w:color="000000" w:sz="4" w:space="0"/>
              <w:right w:val="single" w:color="000000" w:sz="4" w:space="0"/>
            </w:tcBorders>
            <w:noWrap/>
            <w:vAlign w:val="center"/>
          </w:tcPr>
          <w:p w14:paraId="3738A2F0">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nil"/>
              <w:right w:val="single" w:color="000000" w:sz="4" w:space="0"/>
            </w:tcBorders>
            <w:noWrap/>
            <w:vAlign w:val="center"/>
          </w:tcPr>
          <w:p w14:paraId="255C2569">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九楼楼顶(动物实验室）</w:t>
            </w:r>
          </w:p>
        </w:tc>
        <w:tc>
          <w:tcPr>
            <w:tcW w:w="715" w:type="dxa"/>
            <w:vMerge w:val="continue"/>
            <w:tcBorders>
              <w:left w:val="single" w:color="000000" w:sz="4" w:space="0"/>
              <w:bottom w:val="nil"/>
              <w:right w:val="single" w:color="000000" w:sz="4" w:space="0"/>
            </w:tcBorders>
            <w:noWrap/>
            <w:vAlign w:val="center"/>
          </w:tcPr>
          <w:p w14:paraId="7643FD68">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tcBorders>
              <w:top w:val="single" w:color="000000" w:sz="4" w:space="0"/>
              <w:left w:val="single" w:color="000000" w:sz="4" w:space="0"/>
              <w:bottom w:val="nil"/>
              <w:right w:val="single" w:color="000000" w:sz="4" w:space="0"/>
            </w:tcBorders>
            <w:noWrap/>
            <w:vAlign w:val="center"/>
          </w:tcPr>
          <w:p w14:paraId="692EB239">
            <w:pPr>
              <w:adjustRightInd w:val="0"/>
              <w:snapToGrid w:val="0"/>
              <w:spacing w:line="400" w:lineRule="exact"/>
              <w:rPr>
                <w:rFonts w:asciiTheme="minorEastAsia" w:hAnsiTheme="minorEastAsia" w:eastAsiaTheme="minorEastAsia" w:cstheme="minorEastAsia"/>
                <w:color w:val="auto"/>
                <w:szCs w:val="21"/>
              </w:rPr>
            </w:pPr>
          </w:p>
        </w:tc>
      </w:tr>
      <w:tr w14:paraId="577FF9DA">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bottom w:val="single" w:color="000000" w:sz="4" w:space="0"/>
              <w:right w:val="single" w:color="000000" w:sz="4" w:space="0"/>
            </w:tcBorders>
            <w:noWrap/>
            <w:vAlign w:val="center"/>
          </w:tcPr>
          <w:p w14:paraId="156823FE">
            <w:pPr>
              <w:adjustRightInd w:val="0"/>
              <w:snapToGrid w:val="0"/>
              <w:spacing w:line="400" w:lineRule="exact"/>
              <w:rPr>
                <w:rFonts w:asciiTheme="minorEastAsia" w:hAnsiTheme="minorEastAsia" w:eastAsiaTheme="minorEastAsia" w:cstheme="minorEastAsia"/>
                <w:color w:val="auto"/>
                <w:szCs w:val="21"/>
              </w:rPr>
            </w:pPr>
            <w:bookmarkStart w:id="11" w:name="OLE_LINK15" w:colFirst="2" w:colLast="2"/>
            <w:bookmarkStart w:id="12" w:name="_Hlk230361386"/>
            <w:bookmarkStart w:id="13" w:name="OLE_LINK16" w:colFirst="2" w:colLast="2"/>
            <w:bookmarkStart w:id="14" w:name="OLE_LINK18" w:colFirst="2" w:colLast="2"/>
            <w:bookmarkStart w:id="15" w:name="_Hlk230361410"/>
            <w:r>
              <w:rPr>
                <w:rFonts w:hint="eastAsia" w:asciiTheme="minorEastAsia" w:hAnsiTheme="minorEastAsia" w:eastAsiaTheme="minorEastAsia" w:cstheme="minorEastAsia"/>
                <w:color w:val="auto"/>
                <w:szCs w:val="21"/>
              </w:rPr>
              <w:t>门诊楼（21）</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E5E5FA2">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一楼（急诊科+1个公卫）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E76CAC2">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CE52540">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有夜班（23点之前员工在现场，23点后如果有突发事件电话通知到现场</w:t>
            </w:r>
          </w:p>
        </w:tc>
      </w:tr>
      <w:tr w14:paraId="5FE310E4">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AA78C15">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BF43787">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一楼（放射科2层+第一导管室）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CAD8CF8">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2230DA6">
            <w:pPr>
              <w:adjustRightInd w:val="0"/>
              <w:snapToGrid w:val="0"/>
              <w:spacing w:line="400" w:lineRule="exact"/>
              <w:rPr>
                <w:rFonts w:asciiTheme="minorEastAsia" w:hAnsiTheme="minorEastAsia" w:eastAsiaTheme="minorEastAsia" w:cstheme="minorEastAsia"/>
                <w:color w:val="auto"/>
                <w:szCs w:val="21"/>
              </w:rPr>
            </w:pPr>
          </w:p>
        </w:tc>
      </w:tr>
      <w:tr w14:paraId="09C5507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A4B4C91">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F450968">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一楼（一楼大厅+医保中心+一站式窗口）</w:t>
            </w:r>
          </w:p>
        </w:tc>
        <w:tc>
          <w:tcPr>
            <w:tcW w:w="715" w:type="dxa"/>
            <w:vMerge w:val="restart"/>
            <w:tcBorders>
              <w:top w:val="single" w:color="000000" w:sz="4" w:space="0"/>
              <w:left w:val="single" w:color="000000" w:sz="4" w:space="0"/>
              <w:right w:val="single" w:color="000000" w:sz="4" w:space="0"/>
            </w:tcBorders>
            <w:noWrap/>
            <w:vAlign w:val="center"/>
          </w:tcPr>
          <w:p w14:paraId="1A601ABE">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4463655">
            <w:pPr>
              <w:adjustRightInd w:val="0"/>
              <w:snapToGrid w:val="0"/>
              <w:spacing w:line="400" w:lineRule="exact"/>
              <w:rPr>
                <w:rFonts w:asciiTheme="minorEastAsia" w:hAnsiTheme="minorEastAsia" w:eastAsiaTheme="minorEastAsia" w:cstheme="minorEastAsia"/>
                <w:color w:val="auto"/>
                <w:szCs w:val="21"/>
              </w:rPr>
            </w:pPr>
          </w:p>
        </w:tc>
      </w:tr>
      <w:tr w14:paraId="65255EBE">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7ECBC82A">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B4DF159">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一楼（儿童输液室+中医馆+1个公卫）</w:t>
            </w:r>
          </w:p>
        </w:tc>
        <w:tc>
          <w:tcPr>
            <w:tcW w:w="715" w:type="dxa"/>
            <w:vMerge w:val="continue"/>
            <w:tcBorders>
              <w:left w:val="single" w:color="000000" w:sz="4" w:space="0"/>
              <w:right w:val="single" w:color="000000" w:sz="4" w:space="0"/>
            </w:tcBorders>
            <w:noWrap/>
            <w:vAlign w:val="center"/>
          </w:tcPr>
          <w:p w14:paraId="666F666D">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6C29482">
            <w:pPr>
              <w:adjustRightInd w:val="0"/>
              <w:snapToGrid w:val="0"/>
              <w:spacing w:line="400" w:lineRule="exact"/>
              <w:rPr>
                <w:rFonts w:asciiTheme="minorEastAsia" w:hAnsiTheme="minorEastAsia" w:eastAsiaTheme="minorEastAsia" w:cstheme="minorEastAsia"/>
                <w:color w:val="auto"/>
                <w:szCs w:val="21"/>
              </w:rPr>
            </w:pPr>
          </w:p>
        </w:tc>
      </w:tr>
      <w:tr w14:paraId="4B4D6CA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A42D906">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A011D05">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一楼（中药房、西药房）</w:t>
            </w:r>
          </w:p>
        </w:tc>
        <w:tc>
          <w:tcPr>
            <w:tcW w:w="715" w:type="dxa"/>
            <w:vMerge w:val="continue"/>
            <w:tcBorders>
              <w:left w:val="single" w:color="000000" w:sz="4" w:space="0"/>
              <w:right w:val="single" w:color="000000" w:sz="4" w:space="0"/>
            </w:tcBorders>
            <w:noWrap/>
            <w:vAlign w:val="center"/>
          </w:tcPr>
          <w:p w14:paraId="6E5985FA">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9E8B4FA">
            <w:pPr>
              <w:adjustRightInd w:val="0"/>
              <w:snapToGrid w:val="0"/>
              <w:spacing w:line="400" w:lineRule="exact"/>
              <w:rPr>
                <w:rFonts w:asciiTheme="minorEastAsia" w:hAnsiTheme="minorEastAsia" w:eastAsiaTheme="minorEastAsia" w:cstheme="minorEastAsia"/>
                <w:color w:val="auto"/>
                <w:szCs w:val="21"/>
              </w:rPr>
            </w:pPr>
          </w:p>
        </w:tc>
      </w:tr>
      <w:tr w14:paraId="6BB8ABF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4388152">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DF94705">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一楼（挂号处+门诊收费处+视光门诊+感染性疾病门诊+发热门诊）</w:t>
            </w:r>
          </w:p>
        </w:tc>
        <w:tc>
          <w:tcPr>
            <w:tcW w:w="715" w:type="dxa"/>
            <w:vMerge w:val="continue"/>
            <w:tcBorders>
              <w:left w:val="single" w:color="000000" w:sz="4" w:space="0"/>
              <w:bottom w:val="single" w:color="000000" w:sz="4" w:space="0"/>
              <w:right w:val="single" w:color="000000" w:sz="4" w:space="0"/>
            </w:tcBorders>
            <w:noWrap/>
            <w:vAlign w:val="center"/>
          </w:tcPr>
          <w:p w14:paraId="2919E253">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ADCF918">
            <w:pPr>
              <w:adjustRightInd w:val="0"/>
              <w:snapToGrid w:val="0"/>
              <w:spacing w:line="400" w:lineRule="exact"/>
              <w:rPr>
                <w:rFonts w:asciiTheme="minorEastAsia" w:hAnsiTheme="minorEastAsia" w:eastAsiaTheme="minorEastAsia" w:cstheme="minorEastAsia"/>
                <w:color w:val="auto"/>
                <w:szCs w:val="21"/>
              </w:rPr>
            </w:pPr>
          </w:p>
        </w:tc>
      </w:tr>
      <w:tr w14:paraId="64F2A378">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2186645">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5F9AFF2">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一楼（儿科门诊含1个公卫）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54AF70D">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12E89F3">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有夜班（23点之前员工在现场，23点后如果有突发事件电话通知到现场，兼顾其他部门的夜间应急保洁）</w:t>
            </w:r>
          </w:p>
        </w:tc>
      </w:tr>
      <w:tr w14:paraId="3EB8CC96">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FE8F9B9">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492138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二楼（口腔科门诊+1个公卫+胃肠镜室）</w:t>
            </w:r>
          </w:p>
        </w:tc>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14:paraId="4C3151ED">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263F353">
            <w:pPr>
              <w:adjustRightInd w:val="0"/>
              <w:snapToGrid w:val="0"/>
              <w:spacing w:line="400" w:lineRule="exact"/>
              <w:rPr>
                <w:rFonts w:asciiTheme="minorEastAsia" w:hAnsiTheme="minorEastAsia" w:eastAsiaTheme="minorEastAsia" w:cstheme="minorEastAsia"/>
                <w:color w:val="auto"/>
                <w:szCs w:val="21"/>
              </w:rPr>
            </w:pPr>
          </w:p>
        </w:tc>
      </w:tr>
      <w:tr w14:paraId="1CFC8B83">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FA3C795">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241CE87">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二楼（外科门诊片）</w:t>
            </w:r>
          </w:p>
        </w:tc>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14:paraId="5D5DBCBE">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983F63D">
            <w:pPr>
              <w:adjustRightInd w:val="0"/>
              <w:snapToGrid w:val="0"/>
              <w:spacing w:line="400" w:lineRule="exact"/>
              <w:rPr>
                <w:rFonts w:asciiTheme="minorEastAsia" w:hAnsiTheme="minorEastAsia" w:eastAsiaTheme="minorEastAsia" w:cstheme="minorEastAsia"/>
                <w:color w:val="auto"/>
                <w:szCs w:val="21"/>
              </w:rPr>
            </w:pPr>
          </w:p>
        </w:tc>
      </w:tr>
      <w:tr w14:paraId="16120408">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FACCFCE">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1688665">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二楼（超声医学科、心电图室+1个公卫）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2F5D865">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156082B">
            <w:pPr>
              <w:adjustRightInd w:val="0"/>
              <w:snapToGrid w:val="0"/>
              <w:spacing w:line="400" w:lineRule="exact"/>
              <w:rPr>
                <w:rFonts w:asciiTheme="minorEastAsia" w:hAnsiTheme="minorEastAsia" w:eastAsiaTheme="minorEastAsia" w:cstheme="minorEastAsia"/>
                <w:color w:val="auto"/>
                <w:szCs w:val="21"/>
              </w:rPr>
            </w:pPr>
          </w:p>
        </w:tc>
      </w:tr>
      <w:tr w14:paraId="08F2A637">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EC01E0D">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3CC4EE0">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二楼（二楼大厅+病理科+1个公卫）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961F90A">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1CE1FFD">
            <w:pPr>
              <w:adjustRightInd w:val="0"/>
              <w:snapToGrid w:val="0"/>
              <w:spacing w:line="400" w:lineRule="exact"/>
              <w:rPr>
                <w:rFonts w:asciiTheme="minorEastAsia" w:hAnsiTheme="minorEastAsia" w:eastAsiaTheme="minorEastAsia" w:cstheme="minorEastAsia"/>
                <w:color w:val="auto"/>
                <w:szCs w:val="21"/>
              </w:rPr>
            </w:pPr>
          </w:p>
        </w:tc>
      </w:tr>
      <w:tr w14:paraId="4F65AB07">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B6FB3C7">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4175B9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三楼（妇产科门诊+1个公卫）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979C475">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vMerge w:val="restart"/>
            <w:tcBorders>
              <w:top w:val="single" w:color="000000" w:sz="4" w:space="0"/>
              <w:left w:val="single" w:color="000000" w:sz="4" w:space="0"/>
              <w:bottom w:val="single" w:color="000000" w:sz="4" w:space="0"/>
              <w:right w:val="single" w:color="000000" w:sz="4" w:space="0"/>
            </w:tcBorders>
            <w:noWrap/>
            <w:vAlign w:val="center"/>
          </w:tcPr>
          <w:p w14:paraId="3344ACB1">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平分中间大厅区域</w:t>
            </w:r>
          </w:p>
        </w:tc>
      </w:tr>
      <w:tr w14:paraId="0C6B256B">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56C51B4">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78593C6">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三楼（眼科、耳鼻喉门诊+儿科保健科+1个公卫+心理门诊）</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165DAE2">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vMerge w:val="continue"/>
            <w:tcBorders>
              <w:top w:val="single" w:color="000000" w:sz="4" w:space="0"/>
              <w:left w:val="single" w:color="000000" w:sz="4" w:space="0"/>
              <w:bottom w:val="single" w:color="000000" w:sz="4" w:space="0"/>
              <w:right w:val="single" w:color="000000" w:sz="4" w:space="0"/>
            </w:tcBorders>
            <w:noWrap/>
            <w:vAlign w:val="center"/>
          </w:tcPr>
          <w:p w14:paraId="45F520D4">
            <w:pPr>
              <w:adjustRightInd w:val="0"/>
              <w:snapToGrid w:val="0"/>
              <w:spacing w:line="400" w:lineRule="exact"/>
              <w:rPr>
                <w:rFonts w:asciiTheme="minorEastAsia" w:hAnsiTheme="minorEastAsia" w:eastAsiaTheme="minorEastAsia" w:cstheme="minorEastAsia"/>
                <w:color w:val="auto"/>
                <w:szCs w:val="21"/>
              </w:rPr>
            </w:pPr>
          </w:p>
        </w:tc>
      </w:tr>
      <w:tr w14:paraId="282D86E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59AB043">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DDA9A2E">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三楼（内科门诊、皮肤科门诊+1个公卫）</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2DDAEDF">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vMerge w:val="continue"/>
            <w:tcBorders>
              <w:top w:val="single" w:color="000000" w:sz="4" w:space="0"/>
              <w:left w:val="single" w:color="000000" w:sz="4" w:space="0"/>
              <w:bottom w:val="single" w:color="000000" w:sz="4" w:space="0"/>
              <w:right w:val="single" w:color="000000" w:sz="4" w:space="0"/>
            </w:tcBorders>
            <w:noWrap/>
            <w:vAlign w:val="center"/>
          </w:tcPr>
          <w:p w14:paraId="6CB60C46">
            <w:pPr>
              <w:adjustRightInd w:val="0"/>
              <w:snapToGrid w:val="0"/>
              <w:spacing w:line="400" w:lineRule="exact"/>
              <w:rPr>
                <w:rFonts w:asciiTheme="minorEastAsia" w:hAnsiTheme="minorEastAsia" w:eastAsiaTheme="minorEastAsia" w:cstheme="minorEastAsia"/>
                <w:color w:val="auto"/>
                <w:szCs w:val="21"/>
              </w:rPr>
            </w:pPr>
          </w:p>
        </w:tc>
      </w:tr>
      <w:tr w14:paraId="1D4AFC93">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C44E8F2">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E2305C9">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三楼（检验科）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317FC95">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057D19B">
            <w:pPr>
              <w:adjustRightInd w:val="0"/>
              <w:snapToGrid w:val="0"/>
              <w:spacing w:line="400" w:lineRule="exact"/>
              <w:rPr>
                <w:rFonts w:asciiTheme="minorEastAsia" w:hAnsiTheme="minorEastAsia" w:eastAsiaTheme="minorEastAsia" w:cstheme="minorEastAsia"/>
                <w:color w:val="auto"/>
                <w:szCs w:val="21"/>
              </w:rPr>
            </w:pPr>
          </w:p>
        </w:tc>
      </w:tr>
      <w:tr w14:paraId="2C760E10">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440C1F2">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2976C1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四楼（健康管理中心含1个公卫）</w:t>
            </w:r>
          </w:p>
        </w:tc>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14:paraId="17122CDE">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vMerge w:val="restart"/>
            <w:tcBorders>
              <w:top w:val="single" w:color="000000" w:sz="4" w:space="0"/>
              <w:left w:val="single" w:color="000000" w:sz="4" w:space="0"/>
              <w:bottom w:val="single" w:color="000000" w:sz="4" w:space="0"/>
              <w:right w:val="single" w:color="000000" w:sz="4" w:space="0"/>
            </w:tcBorders>
            <w:noWrap/>
            <w:vAlign w:val="center"/>
          </w:tcPr>
          <w:p w14:paraId="10642997">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平分中间大厅区域</w:t>
            </w:r>
          </w:p>
        </w:tc>
      </w:tr>
      <w:bookmarkEnd w:id="11"/>
      <w:bookmarkEnd w:id="12"/>
      <w:bookmarkEnd w:id="13"/>
      <w:tr w14:paraId="7D88EC32">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39D0B65">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6E814FC">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四楼（档案室+病案管理科+多功能厅+办公室+综合保健科+1个公卫）</w:t>
            </w:r>
          </w:p>
        </w:tc>
        <w:tc>
          <w:tcPr>
            <w:tcW w:w="715" w:type="dxa"/>
            <w:vMerge w:val="continue"/>
            <w:tcBorders>
              <w:top w:val="single" w:color="000000" w:sz="4" w:space="0"/>
              <w:left w:val="single" w:color="000000" w:sz="4" w:space="0"/>
              <w:bottom w:val="single" w:color="auto" w:sz="4" w:space="0"/>
              <w:right w:val="single" w:color="000000" w:sz="4" w:space="0"/>
            </w:tcBorders>
            <w:noWrap/>
            <w:vAlign w:val="center"/>
          </w:tcPr>
          <w:p w14:paraId="0C604723">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vMerge w:val="continue"/>
            <w:tcBorders>
              <w:top w:val="single" w:color="000000" w:sz="4" w:space="0"/>
              <w:left w:val="single" w:color="000000" w:sz="4" w:space="0"/>
              <w:bottom w:val="single" w:color="000000" w:sz="4" w:space="0"/>
              <w:right w:val="single" w:color="000000" w:sz="4" w:space="0"/>
            </w:tcBorders>
            <w:noWrap/>
            <w:vAlign w:val="center"/>
          </w:tcPr>
          <w:p w14:paraId="06EDAE65">
            <w:pPr>
              <w:adjustRightInd w:val="0"/>
              <w:snapToGrid w:val="0"/>
              <w:spacing w:line="400" w:lineRule="exact"/>
              <w:rPr>
                <w:rFonts w:asciiTheme="minorEastAsia" w:hAnsiTheme="minorEastAsia" w:eastAsiaTheme="minorEastAsia" w:cstheme="minorEastAsia"/>
                <w:color w:val="auto"/>
                <w:szCs w:val="21"/>
              </w:rPr>
            </w:pPr>
          </w:p>
        </w:tc>
      </w:tr>
      <w:tr w14:paraId="5D266DBF">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2D78087D">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nil"/>
              <w:right w:val="single" w:color="auto" w:sz="4" w:space="0"/>
            </w:tcBorders>
            <w:noWrap/>
            <w:vAlign w:val="center"/>
          </w:tcPr>
          <w:p w14:paraId="5075F826">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五楼（诊室+1个公卫+核医学科）</w:t>
            </w:r>
          </w:p>
        </w:tc>
        <w:tc>
          <w:tcPr>
            <w:tcW w:w="715" w:type="dxa"/>
            <w:tcBorders>
              <w:top w:val="single" w:color="auto" w:sz="4" w:space="0"/>
              <w:left w:val="single" w:color="auto" w:sz="4" w:space="0"/>
              <w:bottom w:val="single" w:color="auto" w:sz="4" w:space="0"/>
              <w:right w:val="single" w:color="auto" w:sz="4" w:space="0"/>
            </w:tcBorders>
            <w:noWrap/>
            <w:vAlign w:val="center"/>
          </w:tcPr>
          <w:p w14:paraId="559B9247">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auto" w:sz="4" w:space="0"/>
              <w:bottom w:val="nil"/>
              <w:right w:val="single" w:color="000000" w:sz="4" w:space="0"/>
            </w:tcBorders>
            <w:noWrap/>
            <w:vAlign w:val="center"/>
          </w:tcPr>
          <w:p w14:paraId="477AAF99">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备员</w:t>
            </w:r>
          </w:p>
        </w:tc>
      </w:tr>
      <w:bookmarkEnd w:id="14"/>
      <w:bookmarkEnd w:id="15"/>
      <w:tr w14:paraId="3A7BF52C">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bottom w:val="single" w:color="000000" w:sz="4" w:space="0"/>
              <w:right w:val="single" w:color="000000" w:sz="4" w:space="0"/>
            </w:tcBorders>
            <w:noWrap/>
            <w:vAlign w:val="center"/>
          </w:tcPr>
          <w:p w14:paraId="34D8A59E">
            <w:pPr>
              <w:adjustRightInd w:val="0"/>
              <w:snapToGrid w:val="0"/>
              <w:spacing w:line="400" w:lineRule="exact"/>
              <w:rPr>
                <w:rFonts w:asciiTheme="minorEastAsia" w:hAnsiTheme="minorEastAsia" w:eastAsiaTheme="minorEastAsia" w:cstheme="minorEastAsia"/>
                <w:color w:val="auto"/>
                <w:szCs w:val="21"/>
              </w:rPr>
            </w:pPr>
            <w:bookmarkStart w:id="16" w:name="OLE_LINK13" w:colFirst="2" w:colLast="2"/>
            <w:bookmarkStart w:id="17" w:name="_Hlk230361371"/>
            <w:r>
              <w:rPr>
                <w:rFonts w:hint="eastAsia" w:asciiTheme="minorEastAsia" w:hAnsiTheme="minorEastAsia" w:eastAsiaTheme="minorEastAsia" w:cstheme="minorEastAsia"/>
                <w:color w:val="auto"/>
                <w:szCs w:val="21"/>
              </w:rPr>
              <w:t>其他区域(11人）</w:t>
            </w:r>
          </w:p>
        </w:tc>
        <w:tc>
          <w:tcPr>
            <w:tcW w:w="3187" w:type="dxa"/>
            <w:tcBorders>
              <w:top w:val="single" w:color="000000" w:sz="4" w:space="0"/>
              <w:left w:val="single" w:color="000000" w:sz="4" w:space="0"/>
              <w:bottom w:val="single" w:color="000000" w:sz="4" w:space="0"/>
              <w:right w:val="single" w:color="auto" w:sz="4" w:space="0"/>
            </w:tcBorders>
            <w:noWrap/>
            <w:vAlign w:val="center"/>
          </w:tcPr>
          <w:p w14:paraId="555C37C2">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核酸检测基地</w:t>
            </w:r>
          </w:p>
        </w:tc>
        <w:tc>
          <w:tcPr>
            <w:tcW w:w="715" w:type="dxa"/>
            <w:vMerge w:val="restart"/>
            <w:tcBorders>
              <w:top w:val="single" w:color="auto" w:sz="4" w:space="0"/>
              <w:left w:val="single" w:color="auto" w:sz="4" w:space="0"/>
              <w:right w:val="single" w:color="auto" w:sz="4" w:space="0"/>
            </w:tcBorders>
            <w:noWrap/>
            <w:vAlign w:val="center"/>
          </w:tcPr>
          <w:p w14:paraId="68A405ED">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auto" w:sz="4" w:space="0"/>
              <w:bottom w:val="single" w:color="000000" w:sz="4" w:space="0"/>
              <w:right w:val="single" w:color="000000" w:sz="4" w:space="0"/>
            </w:tcBorders>
            <w:noWrap/>
            <w:vAlign w:val="center"/>
          </w:tcPr>
          <w:p w14:paraId="74060DC8">
            <w:pPr>
              <w:adjustRightInd w:val="0"/>
              <w:snapToGrid w:val="0"/>
              <w:spacing w:line="400" w:lineRule="exact"/>
              <w:rPr>
                <w:rFonts w:asciiTheme="minorEastAsia" w:hAnsiTheme="minorEastAsia" w:eastAsiaTheme="minorEastAsia" w:cstheme="minorEastAsia"/>
                <w:color w:val="auto"/>
                <w:szCs w:val="21"/>
              </w:rPr>
            </w:pPr>
          </w:p>
        </w:tc>
      </w:tr>
      <w:tr w14:paraId="0C682AF5">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38BECD10">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auto" w:sz="4" w:space="0"/>
            </w:tcBorders>
            <w:noWrap/>
            <w:vAlign w:val="center"/>
          </w:tcPr>
          <w:p w14:paraId="5D3A1475">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高压氧科</w:t>
            </w:r>
          </w:p>
        </w:tc>
        <w:tc>
          <w:tcPr>
            <w:tcW w:w="715" w:type="dxa"/>
            <w:vMerge w:val="continue"/>
            <w:tcBorders>
              <w:left w:val="single" w:color="auto" w:sz="4" w:space="0"/>
              <w:right w:val="single" w:color="auto" w:sz="4" w:space="0"/>
            </w:tcBorders>
            <w:noWrap/>
            <w:vAlign w:val="center"/>
          </w:tcPr>
          <w:p w14:paraId="6C40524D">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tcBorders>
              <w:top w:val="single" w:color="000000" w:sz="4" w:space="0"/>
              <w:left w:val="single" w:color="auto" w:sz="4" w:space="0"/>
              <w:bottom w:val="single" w:color="000000" w:sz="4" w:space="0"/>
              <w:right w:val="single" w:color="000000" w:sz="4" w:space="0"/>
            </w:tcBorders>
            <w:noWrap/>
            <w:vAlign w:val="center"/>
          </w:tcPr>
          <w:p w14:paraId="29972AE5">
            <w:pPr>
              <w:adjustRightInd w:val="0"/>
              <w:snapToGrid w:val="0"/>
              <w:spacing w:line="400" w:lineRule="exact"/>
              <w:rPr>
                <w:rFonts w:asciiTheme="minorEastAsia" w:hAnsiTheme="minorEastAsia" w:eastAsiaTheme="minorEastAsia" w:cstheme="minorEastAsia"/>
                <w:color w:val="auto"/>
                <w:szCs w:val="21"/>
              </w:rPr>
            </w:pPr>
          </w:p>
        </w:tc>
      </w:tr>
      <w:tr w14:paraId="4930247F">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4811C361">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auto" w:sz="4" w:space="0"/>
            </w:tcBorders>
            <w:noWrap/>
            <w:vAlign w:val="center"/>
          </w:tcPr>
          <w:p w14:paraId="325805D0">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发热门诊</w:t>
            </w:r>
          </w:p>
        </w:tc>
        <w:tc>
          <w:tcPr>
            <w:tcW w:w="715" w:type="dxa"/>
            <w:vMerge w:val="continue"/>
            <w:tcBorders>
              <w:left w:val="single" w:color="auto" w:sz="4" w:space="0"/>
              <w:bottom w:val="single" w:color="000000" w:sz="4" w:space="0"/>
              <w:right w:val="single" w:color="auto" w:sz="4" w:space="0"/>
            </w:tcBorders>
            <w:noWrap/>
            <w:vAlign w:val="center"/>
          </w:tcPr>
          <w:p w14:paraId="079CC7F7">
            <w:pPr>
              <w:adjustRightInd w:val="0"/>
              <w:snapToGrid w:val="0"/>
              <w:spacing w:line="400" w:lineRule="exact"/>
              <w:jc w:val="center"/>
              <w:rPr>
                <w:rFonts w:asciiTheme="minorEastAsia" w:hAnsiTheme="minorEastAsia" w:eastAsiaTheme="minorEastAsia" w:cstheme="minorEastAsia"/>
                <w:color w:val="auto"/>
                <w:szCs w:val="21"/>
              </w:rPr>
            </w:pPr>
          </w:p>
        </w:tc>
        <w:tc>
          <w:tcPr>
            <w:tcW w:w="3845" w:type="dxa"/>
            <w:tcBorders>
              <w:top w:val="single" w:color="000000" w:sz="4" w:space="0"/>
              <w:left w:val="single" w:color="auto" w:sz="4" w:space="0"/>
              <w:bottom w:val="single" w:color="000000" w:sz="4" w:space="0"/>
              <w:right w:val="single" w:color="000000" w:sz="4" w:space="0"/>
            </w:tcBorders>
            <w:noWrap/>
            <w:vAlign w:val="center"/>
          </w:tcPr>
          <w:p w14:paraId="2F7AE75A">
            <w:pPr>
              <w:adjustRightInd w:val="0"/>
              <w:snapToGrid w:val="0"/>
              <w:spacing w:line="400" w:lineRule="exact"/>
              <w:rPr>
                <w:rFonts w:asciiTheme="minorEastAsia" w:hAnsiTheme="minorEastAsia" w:eastAsiaTheme="minorEastAsia" w:cstheme="minorEastAsia"/>
                <w:color w:val="auto"/>
                <w:szCs w:val="21"/>
              </w:rPr>
            </w:pPr>
          </w:p>
        </w:tc>
      </w:tr>
      <w:tr w14:paraId="44A80B91">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572F5C25">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nil"/>
              <w:left w:val="single" w:color="000000" w:sz="4" w:space="0"/>
              <w:bottom w:val="single" w:color="000000" w:sz="4" w:space="0"/>
              <w:right w:val="single" w:color="000000" w:sz="4" w:space="0"/>
            </w:tcBorders>
            <w:noWrap/>
            <w:vAlign w:val="center"/>
          </w:tcPr>
          <w:p w14:paraId="16420BA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行政后勤楼1-9层</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8A11DD9">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29CB2F9E">
            <w:pPr>
              <w:adjustRightInd w:val="0"/>
              <w:snapToGrid w:val="0"/>
              <w:spacing w:line="400" w:lineRule="exact"/>
              <w:rPr>
                <w:rFonts w:asciiTheme="minorEastAsia" w:hAnsiTheme="minorEastAsia" w:eastAsiaTheme="minorEastAsia" w:cstheme="minorEastAsia"/>
                <w:color w:val="auto"/>
                <w:szCs w:val="21"/>
              </w:rPr>
            </w:pPr>
          </w:p>
        </w:tc>
      </w:tr>
      <w:tr w14:paraId="5291FAF1">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6DEEE4CC">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nil"/>
              <w:left w:val="single" w:color="000000" w:sz="4" w:space="0"/>
              <w:bottom w:val="single" w:color="000000" w:sz="4" w:space="0"/>
              <w:right w:val="single" w:color="000000" w:sz="4" w:space="0"/>
            </w:tcBorders>
            <w:noWrap/>
            <w:vAlign w:val="center"/>
          </w:tcPr>
          <w:p w14:paraId="1659E683">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行政后勤楼10-11层</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622B6F8">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4917F8B">
            <w:pPr>
              <w:adjustRightInd w:val="0"/>
              <w:snapToGrid w:val="0"/>
              <w:spacing w:line="400" w:lineRule="exact"/>
              <w:rPr>
                <w:rFonts w:asciiTheme="minorEastAsia" w:hAnsiTheme="minorEastAsia" w:eastAsiaTheme="minorEastAsia" w:cstheme="minorEastAsia"/>
                <w:color w:val="auto"/>
                <w:szCs w:val="21"/>
              </w:rPr>
            </w:pPr>
          </w:p>
        </w:tc>
      </w:tr>
      <w:tr w14:paraId="17E6DBDD">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8A5A890">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7577C5F">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旧医院</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85E5A1D">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17927940">
            <w:pPr>
              <w:adjustRightInd w:val="0"/>
              <w:snapToGrid w:val="0"/>
              <w:spacing w:line="400" w:lineRule="exact"/>
              <w:rPr>
                <w:rFonts w:asciiTheme="minorEastAsia" w:hAnsiTheme="minorEastAsia" w:eastAsiaTheme="minorEastAsia" w:cstheme="minorEastAsia"/>
                <w:color w:val="auto"/>
                <w:szCs w:val="21"/>
              </w:rPr>
            </w:pPr>
          </w:p>
        </w:tc>
      </w:tr>
      <w:tr w14:paraId="22F3C3D6">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07255B8F">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2265638">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连廊+外科楼大厅</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16D2F53">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1B59126A">
            <w:pPr>
              <w:adjustRightInd w:val="0"/>
              <w:snapToGrid w:val="0"/>
              <w:spacing w:line="400" w:lineRule="exact"/>
              <w:rPr>
                <w:rFonts w:asciiTheme="minorEastAsia" w:hAnsiTheme="minorEastAsia" w:eastAsiaTheme="minorEastAsia" w:cstheme="minorEastAsia"/>
                <w:color w:val="auto"/>
                <w:szCs w:val="21"/>
              </w:rPr>
            </w:pPr>
          </w:p>
        </w:tc>
      </w:tr>
      <w:tr w14:paraId="3A6228D9">
        <w:tblPrEx>
          <w:tblCellMar>
            <w:top w:w="0" w:type="dxa"/>
            <w:left w:w="108" w:type="dxa"/>
            <w:bottom w:w="0" w:type="dxa"/>
            <w:right w:w="108" w:type="dxa"/>
          </w:tblCellMar>
        </w:tblPrEx>
        <w:trPr>
          <w:jc w:val="center"/>
        </w:trPr>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14:paraId="17E7431A">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4B6FE7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外围（总务科办公室）</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74C388E">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014FCEEF">
            <w:pPr>
              <w:adjustRightInd w:val="0"/>
              <w:snapToGrid w:val="0"/>
              <w:spacing w:line="400" w:lineRule="exact"/>
              <w:rPr>
                <w:rFonts w:asciiTheme="minorEastAsia" w:hAnsiTheme="minorEastAsia" w:eastAsiaTheme="minorEastAsia" w:cstheme="minorEastAsia"/>
                <w:color w:val="auto"/>
                <w:szCs w:val="21"/>
              </w:rPr>
            </w:pPr>
          </w:p>
        </w:tc>
      </w:tr>
      <w:bookmarkEnd w:id="16"/>
      <w:bookmarkEnd w:id="17"/>
      <w:tr w14:paraId="4FD56F02">
        <w:tblPrEx>
          <w:tblCellMar>
            <w:top w:w="0" w:type="dxa"/>
            <w:left w:w="108" w:type="dxa"/>
            <w:bottom w:w="0" w:type="dxa"/>
            <w:right w:w="108" w:type="dxa"/>
          </w:tblCellMar>
        </w:tblPrEx>
        <w:trPr>
          <w:jc w:val="center"/>
        </w:trPr>
        <w:tc>
          <w:tcPr>
            <w:tcW w:w="1194" w:type="dxa"/>
            <w:vMerge w:val="restart"/>
            <w:tcBorders>
              <w:top w:val="single" w:color="000000" w:sz="4" w:space="0"/>
              <w:left w:val="single" w:color="000000" w:sz="4" w:space="0"/>
              <w:right w:val="single" w:color="000000" w:sz="4" w:space="0"/>
            </w:tcBorders>
            <w:noWrap/>
            <w:vAlign w:val="center"/>
          </w:tcPr>
          <w:p w14:paraId="0208C50C">
            <w:pPr>
              <w:adjustRightInd w:val="0"/>
              <w:snapToGrid w:val="0"/>
              <w:spacing w:line="400" w:lineRule="exact"/>
              <w:rPr>
                <w:rFonts w:asciiTheme="minorEastAsia" w:hAnsiTheme="minorEastAsia" w:eastAsiaTheme="minorEastAsia" w:cstheme="minorEastAsia"/>
                <w:color w:val="auto"/>
                <w:szCs w:val="21"/>
              </w:rPr>
            </w:pPr>
            <w:bookmarkStart w:id="18" w:name="_Hlk230361357"/>
            <w:bookmarkStart w:id="19" w:name="OLE_LINK6" w:colFirst="2" w:colLast="2"/>
            <w:bookmarkStart w:id="20" w:name="OLE_LINK5" w:colFirst="2" w:colLast="2"/>
            <w:r>
              <w:rPr>
                <w:rFonts w:hint="eastAsia" w:asciiTheme="minorEastAsia" w:hAnsiTheme="minorEastAsia" w:eastAsiaTheme="minorEastAsia" w:cstheme="minorEastAsia"/>
                <w:color w:val="auto"/>
                <w:szCs w:val="21"/>
              </w:rPr>
              <w:t>其他岗位</w:t>
            </w:r>
          </w:p>
          <w:p w14:paraId="46E30679">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（31人）</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D55DA13">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洗地巾</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11E8EF0">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33F87AE8">
            <w:pPr>
              <w:adjustRightInd w:val="0"/>
              <w:snapToGrid w:val="0"/>
              <w:spacing w:line="400" w:lineRule="exact"/>
              <w:rPr>
                <w:rFonts w:asciiTheme="minorEastAsia" w:hAnsiTheme="minorEastAsia" w:eastAsiaTheme="minorEastAsia" w:cstheme="minorEastAsia"/>
                <w:color w:val="auto"/>
                <w:szCs w:val="21"/>
              </w:rPr>
            </w:pPr>
          </w:p>
        </w:tc>
      </w:tr>
      <w:tr w14:paraId="1E121629">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5C4F1C72">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F2EB98B">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洗地机驾驶员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6CE570B">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F9C7E5D">
            <w:pPr>
              <w:adjustRightInd w:val="0"/>
              <w:snapToGrid w:val="0"/>
              <w:spacing w:line="400" w:lineRule="exact"/>
              <w:rPr>
                <w:rFonts w:asciiTheme="minorEastAsia" w:hAnsiTheme="minorEastAsia" w:eastAsiaTheme="minorEastAsia" w:cstheme="minorEastAsia"/>
                <w:color w:val="auto"/>
                <w:szCs w:val="21"/>
              </w:rPr>
            </w:pPr>
          </w:p>
        </w:tc>
      </w:tr>
      <w:tr w14:paraId="0674B263">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09C77E6C">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BB9D08F">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大输液配送员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9E2493A">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65085F1">
            <w:pPr>
              <w:adjustRightInd w:val="0"/>
              <w:snapToGrid w:val="0"/>
              <w:spacing w:line="400" w:lineRule="exact"/>
              <w:rPr>
                <w:rFonts w:asciiTheme="minorEastAsia" w:hAnsiTheme="minorEastAsia" w:eastAsiaTheme="minorEastAsia" w:cstheme="minorEastAsia"/>
                <w:color w:val="auto"/>
                <w:szCs w:val="21"/>
              </w:rPr>
            </w:pPr>
          </w:p>
        </w:tc>
      </w:tr>
      <w:tr w14:paraId="1C110F63">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3E2F4A15">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469740A">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垃圾转运员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CB87720">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78B3080D">
            <w:pPr>
              <w:adjustRightInd w:val="0"/>
              <w:snapToGrid w:val="0"/>
              <w:spacing w:line="400" w:lineRule="exact"/>
              <w:rPr>
                <w:rFonts w:asciiTheme="minorEastAsia" w:hAnsiTheme="minorEastAsia" w:eastAsiaTheme="minorEastAsia" w:cstheme="minorEastAsia"/>
                <w:color w:val="auto"/>
                <w:szCs w:val="21"/>
              </w:rPr>
            </w:pPr>
          </w:p>
        </w:tc>
      </w:tr>
      <w:tr w14:paraId="1522DEA7">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35991E2D">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454CE9D">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医疗废物暂存间管理员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FEFC1A2">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ED166EA">
            <w:pPr>
              <w:adjustRightInd w:val="0"/>
              <w:snapToGrid w:val="0"/>
              <w:spacing w:line="400" w:lineRule="exact"/>
              <w:rPr>
                <w:rFonts w:asciiTheme="minorEastAsia" w:hAnsiTheme="minorEastAsia" w:eastAsiaTheme="minorEastAsia" w:cstheme="minorEastAsia"/>
                <w:color w:val="auto"/>
                <w:szCs w:val="21"/>
              </w:rPr>
            </w:pPr>
          </w:p>
        </w:tc>
      </w:tr>
      <w:tr w14:paraId="16B0B6C6">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19F3BAD0">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0C599D1">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绿化管理员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1B28B53">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95769D9">
            <w:pPr>
              <w:adjustRightInd w:val="0"/>
              <w:snapToGrid w:val="0"/>
              <w:spacing w:line="400" w:lineRule="exact"/>
              <w:rPr>
                <w:rFonts w:asciiTheme="minorEastAsia" w:hAnsiTheme="minorEastAsia" w:eastAsiaTheme="minorEastAsia" w:cstheme="minorEastAsia"/>
                <w:color w:val="auto"/>
                <w:szCs w:val="21"/>
              </w:rPr>
            </w:pPr>
          </w:p>
        </w:tc>
      </w:tr>
      <w:tr w14:paraId="3119B9FB">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58DC6EB">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DB050F1">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主任、领班</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859094B">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C684935">
            <w:pPr>
              <w:adjustRightInd w:val="0"/>
              <w:snapToGrid w:val="0"/>
              <w:spacing w:line="400" w:lineRule="exact"/>
              <w:rPr>
                <w:rFonts w:asciiTheme="minorEastAsia" w:hAnsiTheme="minorEastAsia" w:eastAsiaTheme="minorEastAsia" w:cstheme="minorEastAsia"/>
                <w:color w:val="auto"/>
                <w:szCs w:val="21"/>
              </w:rPr>
            </w:pPr>
          </w:p>
        </w:tc>
      </w:tr>
      <w:tr w14:paraId="137437C0">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5F22D38B">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8D79389">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机动人员</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6C0A6C0">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515EA1E8">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含未明确区域的备用人员2人</w:t>
            </w:r>
          </w:p>
        </w:tc>
      </w:tr>
      <w:tr w14:paraId="76A0B1B2">
        <w:tblPrEx>
          <w:tblCellMar>
            <w:top w:w="0" w:type="dxa"/>
            <w:left w:w="108" w:type="dxa"/>
            <w:bottom w:w="0" w:type="dxa"/>
            <w:right w:w="108" w:type="dxa"/>
          </w:tblCellMar>
        </w:tblPrEx>
        <w:trPr>
          <w:jc w:val="center"/>
        </w:trPr>
        <w:tc>
          <w:tcPr>
            <w:tcW w:w="1194" w:type="dxa"/>
            <w:vMerge w:val="continue"/>
            <w:tcBorders>
              <w:left w:val="single" w:color="000000" w:sz="4" w:space="0"/>
              <w:right w:val="single" w:color="000000" w:sz="4" w:space="0"/>
            </w:tcBorders>
            <w:noWrap/>
            <w:vAlign w:val="center"/>
          </w:tcPr>
          <w:p w14:paraId="4EBB63D7">
            <w:pPr>
              <w:adjustRightInd w:val="0"/>
              <w:snapToGrid w:val="0"/>
              <w:spacing w:line="400" w:lineRule="exact"/>
              <w:rPr>
                <w:rFonts w:asciiTheme="minorEastAsia" w:hAnsiTheme="minorEastAsia" w:eastAsiaTheme="minorEastAsia" w:cstheme="minorEastAsia"/>
                <w:color w:val="auto"/>
                <w:szCs w:val="21"/>
              </w:rPr>
            </w:pP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17402DA">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电梯司机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6B443A2">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6DA585AB">
            <w:pPr>
              <w:adjustRightInd w:val="0"/>
              <w:snapToGrid w:val="0"/>
              <w:spacing w:line="400" w:lineRule="exact"/>
              <w:rPr>
                <w:rFonts w:asciiTheme="minorEastAsia" w:hAnsiTheme="minorEastAsia" w:eastAsiaTheme="minorEastAsia" w:cstheme="minorEastAsia"/>
                <w:color w:val="auto"/>
                <w:szCs w:val="21"/>
              </w:rPr>
            </w:pPr>
          </w:p>
        </w:tc>
      </w:tr>
      <w:bookmarkEnd w:id="9"/>
      <w:bookmarkEnd w:id="10"/>
      <w:bookmarkEnd w:id="18"/>
      <w:bookmarkEnd w:id="19"/>
      <w:bookmarkEnd w:id="20"/>
      <w:tr w14:paraId="7F392928">
        <w:tblPrEx>
          <w:tblCellMar>
            <w:top w:w="0" w:type="dxa"/>
            <w:left w:w="108" w:type="dxa"/>
            <w:bottom w:w="0" w:type="dxa"/>
            <w:right w:w="108" w:type="dxa"/>
          </w:tblCellMar>
        </w:tblPrEx>
        <w:trPr>
          <w:jc w:val="center"/>
        </w:trPr>
        <w:tc>
          <w:tcPr>
            <w:tcW w:w="1194" w:type="dxa"/>
            <w:tcBorders>
              <w:top w:val="single" w:color="000000" w:sz="4" w:space="0"/>
              <w:left w:val="single" w:color="000000" w:sz="4" w:space="0"/>
              <w:bottom w:val="single" w:color="000000" w:sz="4" w:space="0"/>
              <w:right w:val="single" w:color="000000" w:sz="4" w:space="0"/>
            </w:tcBorders>
            <w:noWrap/>
            <w:vAlign w:val="center"/>
          </w:tcPr>
          <w:p w14:paraId="237EA19F">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合计</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3FD9BD7">
            <w:pPr>
              <w:adjustRightInd w:val="0"/>
              <w:snapToGrid w:val="0"/>
              <w:spacing w:line="400" w:lineRule="exact"/>
              <w:rPr>
                <w:rFonts w:asciiTheme="minorEastAsia" w:hAnsiTheme="minorEastAsia" w:eastAsiaTheme="minorEastAsia" w:cstheme="minorEastAsia"/>
                <w:color w:val="auto"/>
                <w:szCs w:val="21"/>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0A097A7">
            <w:pPr>
              <w:adjustRightInd w:val="0"/>
              <w:snapToGrid w:val="0"/>
              <w:spacing w:line="4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119</w:t>
            </w:r>
          </w:p>
        </w:tc>
        <w:tc>
          <w:tcPr>
            <w:tcW w:w="3845" w:type="dxa"/>
            <w:tcBorders>
              <w:top w:val="single" w:color="000000" w:sz="4" w:space="0"/>
              <w:left w:val="single" w:color="000000" w:sz="4" w:space="0"/>
              <w:bottom w:val="single" w:color="000000" w:sz="4" w:space="0"/>
              <w:right w:val="single" w:color="000000" w:sz="4" w:space="0"/>
            </w:tcBorders>
            <w:noWrap/>
            <w:vAlign w:val="center"/>
          </w:tcPr>
          <w:p w14:paraId="450BE625">
            <w:pPr>
              <w:adjustRightInd w:val="0"/>
              <w:snapToGrid w:val="0"/>
              <w:spacing w:line="400" w:lineRule="exact"/>
              <w:rPr>
                <w:rFonts w:asciiTheme="minorEastAsia" w:hAnsiTheme="minorEastAsia" w:eastAsiaTheme="minorEastAsia" w:cstheme="minorEastAsia"/>
                <w:color w:val="auto"/>
                <w:szCs w:val="21"/>
              </w:rPr>
            </w:pPr>
          </w:p>
        </w:tc>
      </w:tr>
    </w:tbl>
    <w:p w14:paraId="3F11D1DB">
      <w:pPr>
        <w:adjustRightInd w:val="0"/>
        <w:snapToGrid w:val="0"/>
        <w:spacing w:line="400" w:lineRule="exact"/>
        <w:rPr>
          <w:rFonts w:asciiTheme="minorEastAsia" w:hAnsiTheme="minorEastAsia" w:eastAsiaTheme="minorEastAsia" w:cstheme="minorEastAsia"/>
          <w:color w:val="auto"/>
          <w:szCs w:val="21"/>
        </w:rPr>
      </w:pPr>
    </w:p>
    <w:p w14:paraId="5E6967DB">
      <w:pPr>
        <w:adjustRightInd w:val="0"/>
        <w:snapToGrid w:val="0"/>
        <w:spacing w:line="400" w:lineRule="exac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以上人员分配只是医院根据区域判断暂定岗人员，</w:t>
      </w:r>
      <w:r>
        <w:rPr>
          <w:rFonts w:hint="eastAsia" w:asciiTheme="minorEastAsia" w:hAnsiTheme="minorEastAsia" w:eastAsiaTheme="minorEastAsia" w:cstheme="minorEastAsia"/>
          <w:b/>
          <w:bCs/>
          <w:color w:val="auto"/>
          <w:szCs w:val="21"/>
          <w:lang w:eastAsia="zh-CN"/>
        </w:rPr>
        <w:t>中标供应商</w:t>
      </w:r>
      <w:r>
        <w:rPr>
          <w:rFonts w:hint="eastAsia" w:asciiTheme="minorEastAsia" w:hAnsiTheme="minorEastAsia" w:eastAsiaTheme="minorEastAsia" w:cstheme="minorEastAsia"/>
          <w:b/>
          <w:bCs/>
          <w:color w:val="auto"/>
          <w:szCs w:val="21"/>
        </w:rPr>
        <w:t>可实际整合资源确保满足医院服务需求，但必须投入人员不少于119人。</w:t>
      </w:r>
    </w:p>
    <w:p w14:paraId="54C10B71">
      <w:pPr>
        <w:adjustRightInd w:val="0"/>
        <w:snapToGrid w:val="0"/>
        <w:spacing w:line="400" w:lineRule="exact"/>
        <w:rPr>
          <w:rFonts w:asciiTheme="minorEastAsia" w:hAnsiTheme="minorEastAsia" w:eastAsiaTheme="minorEastAsia" w:cstheme="minorEastAsia"/>
          <w:color w:val="auto"/>
          <w:szCs w:val="21"/>
        </w:rPr>
      </w:pPr>
    </w:p>
    <w:p w14:paraId="746F768E">
      <w:pPr>
        <w:rPr>
          <w:rFonts w:ascii="新宋体" w:hAnsi="新宋体" w:eastAsia="新宋体" w:cs="新宋体"/>
          <w:b/>
          <w:color w:val="auto"/>
          <w:szCs w:val="21"/>
        </w:rPr>
      </w:pPr>
    </w:p>
    <w:p w14:paraId="5CCED4C1">
      <w:pPr>
        <w:pStyle w:val="34"/>
        <w:rPr>
          <w:rFonts w:ascii="新宋体" w:hAnsi="新宋体" w:eastAsia="新宋体" w:cs="新宋体"/>
          <w:b/>
          <w:color w:val="auto"/>
          <w:szCs w:val="21"/>
        </w:rPr>
      </w:pPr>
    </w:p>
    <w:p w14:paraId="49CE660A">
      <w:pPr>
        <w:rPr>
          <w:rFonts w:ascii="新宋体" w:hAnsi="新宋体" w:eastAsia="新宋体" w:cs="新宋体"/>
          <w:b/>
          <w:color w:val="auto"/>
          <w:szCs w:val="21"/>
        </w:rPr>
      </w:pPr>
    </w:p>
    <w:p w14:paraId="24690763">
      <w:pPr>
        <w:pStyle w:val="34"/>
        <w:rPr>
          <w:rFonts w:ascii="新宋体" w:hAnsi="新宋体" w:eastAsia="新宋体" w:cs="新宋体"/>
          <w:b/>
          <w:color w:val="auto"/>
          <w:szCs w:val="21"/>
        </w:rPr>
      </w:pPr>
    </w:p>
    <w:p w14:paraId="0A314E10">
      <w:pPr>
        <w:rPr>
          <w:rFonts w:ascii="新宋体" w:hAnsi="新宋体" w:eastAsia="新宋体" w:cs="新宋体"/>
          <w:b/>
          <w:color w:val="auto"/>
          <w:szCs w:val="21"/>
        </w:rPr>
      </w:pPr>
    </w:p>
    <w:p w14:paraId="23F0FDFD">
      <w:pPr>
        <w:pStyle w:val="34"/>
        <w:rPr>
          <w:rFonts w:ascii="新宋体" w:hAnsi="新宋体" w:eastAsia="新宋体" w:cs="新宋体"/>
          <w:b/>
          <w:color w:val="auto"/>
          <w:szCs w:val="21"/>
        </w:rPr>
      </w:pPr>
    </w:p>
    <w:p w14:paraId="56B4C6DF">
      <w:pPr>
        <w:rPr>
          <w:rFonts w:ascii="新宋体" w:hAnsi="新宋体" w:eastAsia="新宋体" w:cs="新宋体"/>
          <w:b/>
          <w:color w:val="auto"/>
          <w:szCs w:val="21"/>
        </w:rPr>
      </w:pPr>
    </w:p>
    <w:p w14:paraId="44F0CFE1">
      <w:pPr>
        <w:pStyle w:val="34"/>
        <w:rPr>
          <w:rFonts w:ascii="新宋体" w:hAnsi="新宋体" w:eastAsia="新宋体" w:cs="新宋体"/>
          <w:b/>
          <w:color w:val="auto"/>
          <w:szCs w:val="21"/>
        </w:rPr>
      </w:pPr>
    </w:p>
    <w:p w14:paraId="461FD956">
      <w:pPr>
        <w:rPr>
          <w:rFonts w:ascii="新宋体" w:hAnsi="新宋体" w:eastAsia="新宋体" w:cs="新宋体"/>
          <w:b/>
          <w:color w:val="auto"/>
          <w:szCs w:val="21"/>
        </w:rPr>
      </w:pPr>
    </w:p>
    <w:p w14:paraId="0697672A">
      <w:pPr>
        <w:pStyle w:val="34"/>
        <w:rPr>
          <w:rFonts w:ascii="新宋体" w:hAnsi="新宋体" w:eastAsia="新宋体" w:cs="新宋体"/>
          <w:b/>
          <w:color w:val="auto"/>
          <w:szCs w:val="21"/>
        </w:rPr>
      </w:pPr>
    </w:p>
    <w:p w14:paraId="64C82CBF">
      <w:pPr>
        <w:rPr>
          <w:rFonts w:ascii="新宋体" w:hAnsi="新宋体" w:eastAsia="新宋体" w:cs="新宋体"/>
          <w:b/>
          <w:color w:val="auto"/>
          <w:szCs w:val="21"/>
        </w:rPr>
      </w:pPr>
    </w:p>
    <w:p w14:paraId="3B61416C">
      <w:pPr>
        <w:pStyle w:val="44"/>
        <w:ind w:left="842" w:hanging="422"/>
        <w:rPr>
          <w:rFonts w:ascii="新宋体" w:hAnsi="新宋体" w:eastAsia="新宋体" w:cs="新宋体"/>
          <w:b/>
          <w:color w:val="auto"/>
          <w:szCs w:val="21"/>
        </w:rPr>
      </w:pPr>
    </w:p>
    <w:p w14:paraId="0FE1633D">
      <w:pPr>
        <w:rPr>
          <w:rFonts w:ascii="新宋体" w:hAnsi="新宋体" w:eastAsia="新宋体" w:cs="新宋体"/>
          <w:b/>
          <w:color w:val="auto"/>
          <w:szCs w:val="21"/>
        </w:rPr>
      </w:pPr>
    </w:p>
    <w:p w14:paraId="0DF527D8">
      <w:pPr>
        <w:pStyle w:val="44"/>
        <w:ind w:left="842" w:hanging="422"/>
        <w:rPr>
          <w:rFonts w:ascii="新宋体" w:hAnsi="新宋体" w:eastAsia="新宋体" w:cs="新宋体"/>
          <w:b/>
          <w:color w:val="auto"/>
          <w:szCs w:val="21"/>
        </w:rPr>
      </w:pPr>
    </w:p>
    <w:p w14:paraId="5D368920">
      <w:pPr>
        <w:rPr>
          <w:rFonts w:ascii="新宋体" w:hAnsi="新宋体" w:eastAsia="新宋体" w:cs="新宋体"/>
          <w:b/>
          <w:color w:val="auto"/>
          <w:szCs w:val="21"/>
        </w:rPr>
      </w:pPr>
    </w:p>
    <w:p w14:paraId="7C202FBA">
      <w:pPr>
        <w:pStyle w:val="34"/>
        <w:rPr>
          <w:rFonts w:ascii="新宋体" w:hAnsi="新宋体" w:eastAsia="新宋体" w:cs="新宋体"/>
          <w:b/>
          <w:color w:val="auto"/>
          <w:szCs w:val="21"/>
        </w:rPr>
      </w:pPr>
    </w:p>
    <w:p w14:paraId="637BDDAF">
      <w:pPr>
        <w:rPr>
          <w:rFonts w:ascii="新宋体" w:hAnsi="新宋体" w:eastAsia="新宋体" w:cs="新宋体"/>
          <w:b/>
          <w:color w:val="auto"/>
          <w:szCs w:val="21"/>
        </w:rPr>
      </w:pPr>
    </w:p>
    <w:p w14:paraId="41330D30">
      <w:pPr>
        <w:pStyle w:val="34"/>
        <w:rPr>
          <w:rFonts w:ascii="新宋体" w:hAnsi="新宋体" w:eastAsia="新宋体" w:cs="新宋体"/>
          <w:b/>
          <w:color w:val="auto"/>
          <w:szCs w:val="21"/>
        </w:rPr>
      </w:pPr>
    </w:p>
    <w:p w14:paraId="6B3FC362">
      <w:pPr>
        <w:rPr>
          <w:rFonts w:ascii="新宋体" w:hAnsi="新宋体" w:eastAsia="新宋体" w:cs="新宋体"/>
          <w:b/>
          <w:color w:val="auto"/>
          <w:szCs w:val="21"/>
        </w:rPr>
      </w:pPr>
    </w:p>
    <w:p w14:paraId="308AAC3A">
      <w:pPr>
        <w:pStyle w:val="34"/>
        <w:rPr>
          <w:rFonts w:ascii="新宋体" w:hAnsi="新宋体" w:eastAsia="新宋体" w:cs="新宋体"/>
          <w:b/>
          <w:color w:val="auto"/>
          <w:szCs w:val="21"/>
        </w:rPr>
      </w:pPr>
    </w:p>
    <w:p w14:paraId="00CE1368">
      <w:pPr>
        <w:rPr>
          <w:rFonts w:ascii="新宋体" w:hAnsi="新宋体" w:eastAsia="新宋体" w:cs="新宋体"/>
          <w:b/>
          <w:color w:val="auto"/>
          <w:szCs w:val="21"/>
        </w:rPr>
      </w:pPr>
    </w:p>
    <w:p w14:paraId="0F104440">
      <w:pPr>
        <w:pStyle w:val="34"/>
        <w:rPr>
          <w:rFonts w:ascii="新宋体" w:hAnsi="新宋体" w:eastAsia="新宋体" w:cs="新宋体"/>
          <w:b/>
          <w:color w:val="auto"/>
          <w:szCs w:val="21"/>
        </w:rPr>
      </w:pPr>
    </w:p>
    <w:p w14:paraId="42E28DD2">
      <w:pPr>
        <w:rPr>
          <w:rFonts w:ascii="新宋体" w:hAnsi="新宋体" w:eastAsia="新宋体" w:cs="新宋体"/>
          <w:b/>
          <w:color w:val="auto"/>
          <w:szCs w:val="21"/>
        </w:rPr>
      </w:pPr>
    </w:p>
    <w:p w14:paraId="51615B11">
      <w:pPr>
        <w:pStyle w:val="34"/>
        <w:rPr>
          <w:rFonts w:ascii="新宋体" w:hAnsi="新宋体" w:eastAsia="新宋体" w:cs="新宋体"/>
          <w:b/>
          <w:color w:val="auto"/>
          <w:szCs w:val="21"/>
        </w:rPr>
      </w:pPr>
    </w:p>
    <w:p w14:paraId="2F30E2DC">
      <w:pPr>
        <w:rPr>
          <w:rFonts w:ascii="新宋体" w:hAnsi="新宋体" w:eastAsia="新宋体" w:cs="新宋体"/>
          <w:color w:val="auto"/>
          <w:szCs w:val="21"/>
        </w:rPr>
      </w:pPr>
      <w:r>
        <w:rPr>
          <w:rFonts w:hint="eastAsia" w:ascii="新宋体" w:hAnsi="新宋体" w:eastAsia="新宋体" w:cs="新宋体"/>
          <w:b/>
          <w:color w:val="auto"/>
          <w:szCs w:val="21"/>
        </w:rPr>
        <w:t>附件2：</w:t>
      </w:r>
    </w:p>
    <w:tbl>
      <w:tblPr>
        <w:tblStyle w:val="55"/>
        <w:tblW w:w="9085" w:type="dxa"/>
        <w:jc w:val="center"/>
        <w:tblLayout w:type="autofit"/>
        <w:tblCellMar>
          <w:top w:w="0" w:type="dxa"/>
          <w:left w:w="108" w:type="dxa"/>
          <w:bottom w:w="0" w:type="dxa"/>
          <w:right w:w="108" w:type="dxa"/>
        </w:tblCellMar>
      </w:tblPr>
      <w:tblGrid>
        <w:gridCol w:w="655"/>
        <w:gridCol w:w="3256"/>
        <w:gridCol w:w="2830"/>
        <w:gridCol w:w="1314"/>
        <w:gridCol w:w="1030"/>
      </w:tblGrid>
      <w:tr w14:paraId="0F4213AD">
        <w:tblPrEx>
          <w:tblCellMar>
            <w:top w:w="0" w:type="dxa"/>
            <w:left w:w="108" w:type="dxa"/>
            <w:bottom w:w="0" w:type="dxa"/>
            <w:right w:w="108" w:type="dxa"/>
          </w:tblCellMar>
        </w:tblPrEx>
        <w:trPr>
          <w:trHeight w:val="443" w:hRule="atLeast"/>
          <w:jc w:val="center"/>
        </w:trPr>
        <w:tc>
          <w:tcPr>
            <w:tcW w:w="9085" w:type="dxa"/>
            <w:gridSpan w:val="5"/>
            <w:tcBorders>
              <w:top w:val="nil"/>
              <w:left w:val="nil"/>
              <w:bottom w:val="nil"/>
              <w:right w:val="nil"/>
            </w:tcBorders>
            <w:noWrap/>
            <w:vAlign w:val="center"/>
          </w:tcPr>
          <w:p w14:paraId="3A8E932A">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崇左市人民医院保洁、绿植养护及电梯司乘服务项目管理质量考核标准</w:t>
            </w:r>
          </w:p>
        </w:tc>
      </w:tr>
      <w:tr w14:paraId="7A549C51">
        <w:tblPrEx>
          <w:tblCellMar>
            <w:top w:w="0" w:type="dxa"/>
            <w:left w:w="108" w:type="dxa"/>
            <w:bottom w:w="0" w:type="dxa"/>
            <w:right w:w="108" w:type="dxa"/>
          </w:tblCellMar>
        </w:tblPrEx>
        <w:trPr>
          <w:trHeight w:val="443" w:hRule="atLeast"/>
          <w:jc w:val="center"/>
        </w:trPr>
        <w:tc>
          <w:tcPr>
            <w:tcW w:w="9085" w:type="dxa"/>
            <w:gridSpan w:val="5"/>
            <w:tcBorders>
              <w:top w:val="nil"/>
              <w:left w:val="nil"/>
              <w:bottom w:val="nil"/>
              <w:right w:val="nil"/>
            </w:tcBorders>
            <w:noWrap/>
            <w:vAlign w:val="center"/>
          </w:tcPr>
          <w:p w14:paraId="68B80C3A">
            <w:pPr>
              <w:widowControl/>
              <w:ind w:firstLine="210" w:firstLineChars="100"/>
              <w:jc w:val="left"/>
              <w:textAlignment w:val="center"/>
              <w:rPr>
                <w:rFonts w:ascii="新宋体" w:hAnsi="新宋体" w:eastAsia="新宋体" w:cs="新宋体"/>
                <w:b/>
                <w:bCs/>
                <w:color w:val="auto"/>
                <w:szCs w:val="21"/>
              </w:rPr>
            </w:pPr>
            <w:r>
              <w:rPr>
                <w:rFonts w:hint="eastAsia" w:ascii="宋体" w:hAnsi="宋体" w:cs="宋体"/>
                <w:b/>
                <w:bCs/>
                <w:color w:val="auto"/>
                <w:kern w:val="0"/>
                <w:szCs w:val="21"/>
              </w:rPr>
              <w:t>科室：</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rPr>
              <w:t>考核人员：</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rPr>
              <w:t>考核日期：</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年</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月</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日</w:t>
            </w:r>
          </w:p>
        </w:tc>
      </w:tr>
      <w:tr w14:paraId="0F8C34C4">
        <w:tblPrEx>
          <w:tblCellMar>
            <w:top w:w="0" w:type="dxa"/>
            <w:left w:w="108" w:type="dxa"/>
            <w:bottom w:w="0" w:type="dxa"/>
            <w:right w:w="108" w:type="dxa"/>
          </w:tblCellMar>
        </w:tblPrEx>
        <w:trPr>
          <w:trHeight w:val="511"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3AD0957E">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项目</w:t>
            </w: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15451777">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考核内容</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2D2CCD16">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扣分标准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6D695979">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存在问题</w:t>
            </w: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25FBC9DB">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扣分</w:t>
            </w:r>
          </w:p>
        </w:tc>
      </w:tr>
      <w:tr w14:paraId="0470EE49">
        <w:tblPrEx>
          <w:tblCellMar>
            <w:top w:w="0" w:type="dxa"/>
            <w:left w:w="108" w:type="dxa"/>
            <w:bottom w:w="0" w:type="dxa"/>
            <w:right w:w="108" w:type="dxa"/>
          </w:tblCellMar>
        </w:tblPrEx>
        <w:trPr>
          <w:trHeight w:val="1004"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ign w:val="center"/>
          </w:tcPr>
          <w:p w14:paraId="6A0D04A4">
            <w:pPr>
              <w:widowControl/>
              <w:jc w:val="center"/>
              <w:textAlignment w:val="center"/>
              <w:rPr>
                <w:rFonts w:ascii="新宋体" w:hAnsi="新宋体" w:eastAsia="新宋体" w:cs="新宋体"/>
                <w:color w:val="auto"/>
                <w:szCs w:val="21"/>
              </w:rPr>
            </w:pPr>
            <w:r>
              <w:rPr>
                <w:rFonts w:hint="eastAsia" w:ascii="宋体" w:hAnsi="宋体" w:cs="宋体"/>
                <w:color w:val="auto"/>
                <w:kern w:val="0"/>
                <w:szCs w:val="21"/>
              </w:rPr>
              <w:t>项目管理</w:t>
            </w: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379E679">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制定保洁绿化电梯司乘服务人员岗位职责、工作标准、操作流程，各岗位人员熟悉自己的岗位职责和工作标准。</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4A9AF18C">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未制定岗位职责和工作标准，扣3分；保洁绿化电梯司乘服务人员不熟悉自己的岗位职责和工作标准，酌情扣1-3分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63585ABC">
            <w:pPr>
              <w:jc w:val="left"/>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7132348B">
            <w:pPr>
              <w:jc w:val="center"/>
              <w:rPr>
                <w:rFonts w:ascii="新宋体" w:hAnsi="新宋体" w:eastAsia="新宋体" w:cs="新宋体"/>
                <w:color w:val="auto"/>
                <w:szCs w:val="21"/>
              </w:rPr>
            </w:pPr>
          </w:p>
        </w:tc>
      </w:tr>
      <w:tr w14:paraId="7B20E76E">
        <w:tblPrEx>
          <w:tblCellMar>
            <w:top w:w="0" w:type="dxa"/>
            <w:left w:w="108" w:type="dxa"/>
            <w:bottom w:w="0" w:type="dxa"/>
            <w:right w:w="108" w:type="dxa"/>
          </w:tblCellMar>
        </w:tblPrEx>
        <w:trPr>
          <w:trHeight w:val="105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6B56E48A">
            <w:pPr>
              <w:jc w:val="center"/>
              <w:rPr>
                <w:rFonts w:ascii="新宋体" w:hAnsi="新宋体" w:eastAsia="新宋体" w:cs="新宋体"/>
                <w:color w:val="auto"/>
                <w:szCs w:val="21"/>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3B96A94">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按合同配备足够的保洁绿化电梯司乘服务人员，人员请假时做好人员调配，有人力资源调配预案。</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0AECC145">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未按合同配备人数扣3分，无人力资源调配预案扣1分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1048F57B">
            <w:pPr>
              <w:jc w:val="left"/>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0D30DF4C">
            <w:pPr>
              <w:jc w:val="center"/>
              <w:rPr>
                <w:rFonts w:ascii="新宋体" w:hAnsi="新宋体" w:eastAsia="新宋体" w:cs="新宋体"/>
                <w:color w:val="auto"/>
                <w:szCs w:val="21"/>
              </w:rPr>
            </w:pPr>
          </w:p>
        </w:tc>
      </w:tr>
      <w:tr w14:paraId="38930602">
        <w:tblPrEx>
          <w:tblCellMar>
            <w:top w:w="0" w:type="dxa"/>
            <w:left w:w="108" w:type="dxa"/>
            <w:bottom w:w="0" w:type="dxa"/>
            <w:right w:w="108" w:type="dxa"/>
          </w:tblCellMar>
        </w:tblPrEx>
        <w:trPr>
          <w:trHeight w:val="1483"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3AD6C378">
            <w:pPr>
              <w:jc w:val="center"/>
              <w:rPr>
                <w:rFonts w:ascii="新宋体" w:hAnsi="新宋体" w:eastAsia="新宋体" w:cs="新宋体"/>
                <w:color w:val="auto"/>
                <w:szCs w:val="21"/>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762B71F6">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工作人员需经过必要的培训才能上岗。包括相关法律法规、专业技能、安全防护、院感防控知识以及紧急处理等知识的培训，考核合格后方能上岗等内容。保洁员培训时间不得少于3天，特殊岗位保洁员如ICU、手术室和新生儿病房等保洁人员培训时间不少于5天，并做好培训记录，培训内容及图片资料整理后每个月交总务科一份留存备查。</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62EBB888">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一项不符扣2分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12A34653">
            <w:pPr>
              <w:widowControl/>
              <w:jc w:val="left"/>
              <w:textAlignment w:val="center"/>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69B44534">
            <w:pPr>
              <w:jc w:val="center"/>
              <w:rPr>
                <w:rFonts w:ascii="新宋体" w:hAnsi="新宋体" w:eastAsia="新宋体" w:cs="新宋体"/>
                <w:color w:val="auto"/>
                <w:szCs w:val="21"/>
              </w:rPr>
            </w:pPr>
          </w:p>
        </w:tc>
      </w:tr>
      <w:tr w14:paraId="6E9957AB">
        <w:tblPrEx>
          <w:tblCellMar>
            <w:top w:w="0" w:type="dxa"/>
            <w:left w:w="108" w:type="dxa"/>
            <w:bottom w:w="0" w:type="dxa"/>
            <w:right w:w="108" w:type="dxa"/>
          </w:tblCellMar>
        </w:tblPrEx>
        <w:trPr>
          <w:trHeight w:val="111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78EA9C50">
            <w:pPr>
              <w:jc w:val="center"/>
              <w:rPr>
                <w:rFonts w:ascii="新宋体" w:hAnsi="新宋体" w:eastAsia="新宋体" w:cs="新宋体"/>
                <w:color w:val="auto"/>
                <w:szCs w:val="21"/>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738B89A5">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工作人员遵守劳动纪律，按规定要求着工作装，按院感要求做好个人防护，不迟到，不早退，不擅自离岗，严格执行病事假请假制度，上班期间不做与本职工作无关的事。</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2754DD9A">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一项不符扣1分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754D5170">
            <w:pPr>
              <w:jc w:val="left"/>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7E4D402E">
            <w:pPr>
              <w:jc w:val="center"/>
              <w:rPr>
                <w:rFonts w:ascii="新宋体" w:hAnsi="新宋体" w:eastAsia="新宋体" w:cs="新宋体"/>
                <w:color w:val="auto"/>
                <w:szCs w:val="21"/>
              </w:rPr>
            </w:pPr>
          </w:p>
        </w:tc>
      </w:tr>
      <w:tr w14:paraId="75B398F0">
        <w:tblPrEx>
          <w:tblCellMar>
            <w:top w:w="0" w:type="dxa"/>
            <w:left w:w="108" w:type="dxa"/>
            <w:bottom w:w="0" w:type="dxa"/>
            <w:right w:w="108" w:type="dxa"/>
          </w:tblCellMar>
        </w:tblPrEx>
        <w:trPr>
          <w:trHeight w:val="145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2776A7C1">
            <w:pPr>
              <w:jc w:val="center"/>
              <w:rPr>
                <w:rFonts w:ascii="新宋体" w:hAnsi="新宋体" w:eastAsia="新宋体" w:cs="新宋体"/>
                <w:color w:val="auto"/>
                <w:szCs w:val="21"/>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5D539E6E">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工作人员工作认真负责、热情周到，自觉维护医院的良好形象，不得发生与患者、家属及医院其他工作人员争执及被投诉的情况。</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23EB3322">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视情节严重一次扣1一10分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52026B13">
            <w:pPr>
              <w:jc w:val="left"/>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708E2774">
            <w:pPr>
              <w:jc w:val="center"/>
              <w:rPr>
                <w:rFonts w:ascii="新宋体" w:hAnsi="新宋体" w:eastAsia="新宋体" w:cs="新宋体"/>
                <w:color w:val="auto"/>
                <w:szCs w:val="21"/>
              </w:rPr>
            </w:pPr>
          </w:p>
        </w:tc>
      </w:tr>
      <w:tr w14:paraId="0897EDD5">
        <w:tblPrEx>
          <w:tblCellMar>
            <w:top w:w="0" w:type="dxa"/>
            <w:left w:w="108" w:type="dxa"/>
            <w:bottom w:w="0" w:type="dxa"/>
            <w:right w:w="108" w:type="dxa"/>
          </w:tblCellMar>
        </w:tblPrEx>
        <w:trPr>
          <w:trHeight w:val="909"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3307493B">
            <w:pPr>
              <w:jc w:val="center"/>
              <w:rPr>
                <w:rFonts w:ascii="新宋体" w:hAnsi="新宋体" w:eastAsia="新宋体" w:cs="新宋体"/>
                <w:color w:val="auto"/>
                <w:szCs w:val="21"/>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593F76D5">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积极配合院方的各种创卫、创城、迎检、大型活动、创甲等工作，协助医院完成突发性任务。</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22827B8B">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不配合一次扣5分。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18F23A7E">
            <w:pPr>
              <w:jc w:val="left"/>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14E46432">
            <w:pPr>
              <w:jc w:val="center"/>
              <w:rPr>
                <w:rFonts w:ascii="新宋体" w:hAnsi="新宋体" w:eastAsia="新宋体" w:cs="新宋体"/>
                <w:color w:val="auto"/>
                <w:szCs w:val="21"/>
              </w:rPr>
            </w:pPr>
          </w:p>
        </w:tc>
      </w:tr>
      <w:tr w14:paraId="288AFE7F">
        <w:tblPrEx>
          <w:tblCellMar>
            <w:top w:w="0" w:type="dxa"/>
            <w:left w:w="108" w:type="dxa"/>
            <w:bottom w:w="0" w:type="dxa"/>
            <w:right w:w="108" w:type="dxa"/>
          </w:tblCellMar>
        </w:tblPrEx>
        <w:trPr>
          <w:trHeight w:val="89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16E827C8">
            <w:pPr>
              <w:jc w:val="center"/>
              <w:rPr>
                <w:rFonts w:ascii="新宋体" w:hAnsi="新宋体" w:eastAsia="新宋体" w:cs="新宋体"/>
                <w:color w:val="auto"/>
                <w:szCs w:val="21"/>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8675030">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每季度进行一次患者满意度调查和医护人员满意度调查。</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388F09A6">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90%＞满意度≥89%，扣1分；89%＞满意度≥88%，扣2分；以此类推，最多扣10分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3312E86A">
            <w:pPr>
              <w:jc w:val="left"/>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2D82943B">
            <w:pPr>
              <w:jc w:val="center"/>
              <w:rPr>
                <w:rFonts w:ascii="新宋体" w:hAnsi="新宋体" w:eastAsia="新宋体" w:cs="新宋体"/>
                <w:color w:val="auto"/>
                <w:szCs w:val="21"/>
              </w:rPr>
            </w:pPr>
          </w:p>
        </w:tc>
      </w:tr>
      <w:tr w14:paraId="3B989292">
        <w:tblPrEx>
          <w:tblCellMar>
            <w:top w:w="0" w:type="dxa"/>
            <w:left w:w="108" w:type="dxa"/>
            <w:bottom w:w="0" w:type="dxa"/>
            <w:right w:w="108" w:type="dxa"/>
          </w:tblCellMar>
        </w:tblPrEx>
        <w:trPr>
          <w:trHeight w:val="111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59C8545A">
            <w:pPr>
              <w:jc w:val="center"/>
              <w:rPr>
                <w:rFonts w:ascii="新宋体" w:hAnsi="新宋体" w:eastAsia="新宋体" w:cs="新宋体"/>
                <w:color w:val="auto"/>
                <w:szCs w:val="21"/>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62FA802">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加强与院方相关人员进行沟通，征求意见，做好每度、年度工作计划和总结，以书面形式交院方，随时接受院方的督导和检查，不断改进服务手段，提高服务水平。</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3FEF7F77">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少一次计划或总结扣1分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5AF8E37C">
            <w:pPr>
              <w:jc w:val="left"/>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5C2D3FED">
            <w:pPr>
              <w:jc w:val="center"/>
              <w:rPr>
                <w:rFonts w:ascii="新宋体" w:hAnsi="新宋体" w:eastAsia="新宋体" w:cs="新宋体"/>
                <w:color w:val="auto"/>
                <w:szCs w:val="21"/>
              </w:rPr>
            </w:pPr>
          </w:p>
        </w:tc>
      </w:tr>
      <w:tr w14:paraId="035A7C92">
        <w:tblPrEx>
          <w:tblCellMar>
            <w:top w:w="0" w:type="dxa"/>
            <w:left w:w="108" w:type="dxa"/>
            <w:bottom w:w="0" w:type="dxa"/>
            <w:right w:w="108" w:type="dxa"/>
          </w:tblCellMar>
        </w:tblPrEx>
        <w:trPr>
          <w:trHeight w:val="111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7CA39E47">
            <w:pPr>
              <w:jc w:val="center"/>
              <w:rPr>
                <w:rFonts w:ascii="新宋体" w:hAnsi="新宋体" w:eastAsia="新宋体" w:cs="新宋体"/>
                <w:color w:val="auto"/>
                <w:szCs w:val="21"/>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0A07B735">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定期进行各种工作的巡视检查、技能和绩效考核，并有记录。</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0F535A5A">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无记录扣2分，记录不完善扣1分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4E776810">
            <w:pPr>
              <w:jc w:val="left"/>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0031084D">
            <w:pPr>
              <w:jc w:val="center"/>
              <w:rPr>
                <w:rFonts w:ascii="新宋体" w:hAnsi="新宋体" w:eastAsia="新宋体" w:cs="新宋体"/>
                <w:color w:val="auto"/>
                <w:szCs w:val="21"/>
              </w:rPr>
            </w:pPr>
          </w:p>
        </w:tc>
      </w:tr>
      <w:tr w14:paraId="177D4672">
        <w:tblPrEx>
          <w:tblCellMar>
            <w:top w:w="0" w:type="dxa"/>
            <w:left w:w="108" w:type="dxa"/>
            <w:bottom w:w="0" w:type="dxa"/>
            <w:right w:w="108" w:type="dxa"/>
          </w:tblCellMar>
        </w:tblPrEx>
        <w:trPr>
          <w:trHeight w:val="111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ign w:val="center"/>
          </w:tcPr>
          <w:p w14:paraId="3E7C8C12">
            <w:pPr>
              <w:jc w:val="center"/>
              <w:rPr>
                <w:rFonts w:ascii="新宋体" w:hAnsi="新宋体" w:eastAsia="新宋体" w:cs="新宋体"/>
                <w:color w:val="auto"/>
                <w:szCs w:val="21"/>
              </w:rPr>
            </w:pP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754492B7">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对于自主检查、医院管理部门检查、患者和医护人员满意度调查中发现的问题，应及时采取整改措施，并对整改结果进行追踪，评估整改效果，做到持续改进，并有记录。</w:t>
            </w: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1956023D">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未对问题进行整改每个问题扣2分，无记录扣2分</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2A2B9FB2">
            <w:pPr>
              <w:jc w:val="left"/>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44ADCBE5">
            <w:pPr>
              <w:jc w:val="center"/>
              <w:rPr>
                <w:rFonts w:ascii="新宋体" w:hAnsi="新宋体" w:eastAsia="新宋体" w:cs="新宋体"/>
                <w:color w:val="auto"/>
                <w:szCs w:val="21"/>
              </w:rPr>
            </w:pPr>
          </w:p>
        </w:tc>
      </w:tr>
      <w:tr w14:paraId="28ED5559">
        <w:tblPrEx>
          <w:tblCellMar>
            <w:top w:w="0" w:type="dxa"/>
            <w:left w:w="108" w:type="dxa"/>
            <w:bottom w:w="0" w:type="dxa"/>
            <w:right w:w="108" w:type="dxa"/>
          </w:tblCellMar>
        </w:tblPrEx>
        <w:trPr>
          <w:trHeight w:val="569"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42A6F8AD">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合计</w:t>
            </w:r>
          </w:p>
        </w:tc>
        <w:tc>
          <w:tcPr>
            <w:tcW w:w="3256" w:type="dxa"/>
            <w:tcBorders>
              <w:top w:val="single" w:color="000000" w:sz="4" w:space="0"/>
              <w:left w:val="single" w:color="000000" w:sz="4" w:space="0"/>
              <w:bottom w:val="single" w:color="000000" w:sz="4" w:space="0"/>
              <w:right w:val="single" w:color="000000" w:sz="4" w:space="0"/>
            </w:tcBorders>
            <w:noWrap/>
            <w:vAlign w:val="center"/>
          </w:tcPr>
          <w:p w14:paraId="24A6812D">
            <w:pPr>
              <w:rPr>
                <w:rFonts w:ascii="新宋体" w:hAnsi="新宋体" w:eastAsia="新宋体" w:cs="新宋体"/>
                <w:color w:val="auto"/>
                <w:szCs w:val="21"/>
              </w:rPr>
            </w:pPr>
          </w:p>
        </w:tc>
        <w:tc>
          <w:tcPr>
            <w:tcW w:w="2830" w:type="dxa"/>
            <w:tcBorders>
              <w:top w:val="single" w:color="000000" w:sz="4" w:space="0"/>
              <w:left w:val="single" w:color="000000" w:sz="4" w:space="0"/>
              <w:bottom w:val="single" w:color="000000" w:sz="4" w:space="0"/>
              <w:right w:val="single" w:color="000000" w:sz="4" w:space="0"/>
            </w:tcBorders>
            <w:noWrap/>
            <w:vAlign w:val="center"/>
          </w:tcPr>
          <w:p w14:paraId="1C955A08">
            <w:pPr>
              <w:rPr>
                <w:rFonts w:ascii="新宋体" w:hAnsi="新宋体" w:eastAsia="新宋体" w:cs="新宋体"/>
                <w:color w:val="auto"/>
                <w:szCs w:val="21"/>
              </w:rPr>
            </w:pP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3EEF5DF2">
            <w:pPr>
              <w:rPr>
                <w:rFonts w:ascii="新宋体" w:hAnsi="新宋体" w:eastAsia="新宋体" w:cs="新宋体"/>
                <w:color w:val="auto"/>
                <w:szCs w:val="21"/>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5A9B736F">
            <w:pPr>
              <w:rPr>
                <w:rFonts w:ascii="新宋体" w:hAnsi="新宋体" w:eastAsia="新宋体" w:cs="新宋体"/>
                <w:color w:val="auto"/>
                <w:szCs w:val="21"/>
              </w:rPr>
            </w:pPr>
          </w:p>
        </w:tc>
      </w:tr>
      <w:tr w14:paraId="0E753847">
        <w:tblPrEx>
          <w:tblCellMar>
            <w:top w:w="0" w:type="dxa"/>
            <w:left w:w="108" w:type="dxa"/>
            <w:bottom w:w="0" w:type="dxa"/>
            <w:right w:w="108" w:type="dxa"/>
          </w:tblCellMar>
        </w:tblPrEx>
        <w:trPr>
          <w:trHeight w:val="480" w:hRule="atLeast"/>
          <w:jc w:val="center"/>
        </w:trPr>
        <w:tc>
          <w:tcPr>
            <w:tcW w:w="9085" w:type="dxa"/>
            <w:gridSpan w:val="5"/>
            <w:tcBorders>
              <w:top w:val="single" w:color="000000" w:sz="4" w:space="0"/>
              <w:left w:val="single" w:color="000000" w:sz="4" w:space="0"/>
              <w:bottom w:val="single" w:color="000000" w:sz="4" w:space="0"/>
              <w:right w:val="single" w:color="000000" w:sz="4" w:space="0"/>
            </w:tcBorders>
            <w:noWrap/>
            <w:vAlign w:val="center"/>
          </w:tcPr>
          <w:p w14:paraId="113D3592">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说明：每月考核1次，结算物业服务费用时按照20元/分标准扣除。</w:t>
            </w:r>
          </w:p>
        </w:tc>
      </w:tr>
    </w:tbl>
    <w:p w14:paraId="1FE34E18">
      <w:pPr>
        <w:rPr>
          <w:rFonts w:ascii="新宋体" w:hAnsi="新宋体" w:eastAsia="新宋体" w:cs="新宋体"/>
          <w:color w:val="auto"/>
          <w:szCs w:val="21"/>
        </w:rPr>
      </w:pPr>
    </w:p>
    <w:p w14:paraId="28A8441F">
      <w:pPr>
        <w:pStyle w:val="44"/>
        <w:ind w:left="0" w:leftChars="0" w:firstLine="0" w:firstLineChars="0"/>
        <w:jc w:val="both"/>
        <w:rPr>
          <w:color w:val="auto"/>
        </w:rPr>
      </w:pPr>
    </w:p>
    <w:p w14:paraId="681E4E4A">
      <w:pPr>
        <w:rPr>
          <w:color w:val="auto"/>
        </w:rPr>
      </w:pPr>
    </w:p>
    <w:p w14:paraId="6D093ADF">
      <w:pPr>
        <w:pStyle w:val="34"/>
        <w:rPr>
          <w:color w:val="auto"/>
        </w:rPr>
      </w:pPr>
    </w:p>
    <w:p w14:paraId="343A0E0B">
      <w:pPr>
        <w:rPr>
          <w:color w:val="auto"/>
        </w:rPr>
      </w:pPr>
    </w:p>
    <w:p w14:paraId="0BEAD7A7">
      <w:pPr>
        <w:pStyle w:val="34"/>
        <w:rPr>
          <w:color w:val="auto"/>
        </w:rPr>
      </w:pPr>
    </w:p>
    <w:p w14:paraId="7D674DE7">
      <w:pPr>
        <w:rPr>
          <w:color w:val="auto"/>
        </w:rPr>
      </w:pPr>
    </w:p>
    <w:p w14:paraId="308BC278">
      <w:pPr>
        <w:pStyle w:val="34"/>
        <w:rPr>
          <w:color w:val="auto"/>
        </w:rPr>
      </w:pPr>
    </w:p>
    <w:p w14:paraId="7D3175FA">
      <w:pPr>
        <w:rPr>
          <w:color w:val="auto"/>
        </w:rPr>
      </w:pPr>
    </w:p>
    <w:p w14:paraId="0A76375D">
      <w:pPr>
        <w:pStyle w:val="34"/>
        <w:rPr>
          <w:color w:val="auto"/>
        </w:rPr>
      </w:pPr>
    </w:p>
    <w:p w14:paraId="623162EE">
      <w:pPr>
        <w:rPr>
          <w:color w:val="auto"/>
        </w:rPr>
      </w:pPr>
    </w:p>
    <w:p w14:paraId="7AF842A4">
      <w:pPr>
        <w:pStyle w:val="34"/>
        <w:rPr>
          <w:color w:val="auto"/>
        </w:rPr>
      </w:pPr>
    </w:p>
    <w:p w14:paraId="6CFE3C2B">
      <w:pPr>
        <w:rPr>
          <w:color w:val="auto"/>
        </w:rPr>
      </w:pPr>
    </w:p>
    <w:p w14:paraId="35BAEE88">
      <w:pPr>
        <w:pStyle w:val="34"/>
        <w:rPr>
          <w:color w:val="auto"/>
        </w:rPr>
      </w:pPr>
    </w:p>
    <w:p w14:paraId="3F4B9C01">
      <w:pPr>
        <w:rPr>
          <w:color w:val="auto"/>
        </w:rPr>
      </w:pPr>
    </w:p>
    <w:p w14:paraId="103BBDD5">
      <w:pPr>
        <w:pStyle w:val="34"/>
        <w:rPr>
          <w:color w:val="auto"/>
        </w:rPr>
      </w:pPr>
    </w:p>
    <w:p w14:paraId="7CB7B42A">
      <w:pPr>
        <w:rPr>
          <w:color w:val="auto"/>
        </w:rPr>
      </w:pPr>
    </w:p>
    <w:p w14:paraId="0B3FA79B">
      <w:pPr>
        <w:pStyle w:val="34"/>
        <w:rPr>
          <w:color w:val="auto"/>
        </w:rPr>
      </w:pPr>
    </w:p>
    <w:p w14:paraId="0D2F02E6">
      <w:pPr>
        <w:rPr>
          <w:color w:val="auto"/>
        </w:rPr>
      </w:pPr>
    </w:p>
    <w:p w14:paraId="61F50903">
      <w:pPr>
        <w:pStyle w:val="34"/>
        <w:rPr>
          <w:color w:val="auto"/>
        </w:rPr>
      </w:pPr>
    </w:p>
    <w:p w14:paraId="7F72D0DA">
      <w:pPr>
        <w:rPr>
          <w:color w:val="auto"/>
        </w:rPr>
      </w:pPr>
    </w:p>
    <w:p w14:paraId="7742C9B3">
      <w:pPr>
        <w:pStyle w:val="34"/>
        <w:rPr>
          <w:color w:val="auto"/>
        </w:rPr>
      </w:pPr>
    </w:p>
    <w:p w14:paraId="4C64BAFF">
      <w:pPr>
        <w:rPr>
          <w:color w:val="auto"/>
        </w:rPr>
      </w:pPr>
    </w:p>
    <w:p w14:paraId="35F68611">
      <w:pPr>
        <w:pStyle w:val="34"/>
        <w:rPr>
          <w:color w:val="auto"/>
        </w:rPr>
      </w:pPr>
    </w:p>
    <w:p w14:paraId="5E0806B0">
      <w:pPr>
        <w:rPr>
          <w:color w:val="auto"/>
        </w:rPr>
      </w:pPr>
    </w:p>
    <w:p w14:paraId="54C9D1A6">
      <w:pPr>
        <w:pStyle w:val="34"/>
        <w:rPr>
          <w:color w:val="auto"/>
        </w:rPr>
      </w:pPr>
    </w:p>
    <w:p w14:paraId="2E3A0B35">
      <w:pPr>
        <w:rPr>
          <w:color w:val="auto"/>
        </w:rPr>
      </w:pPr>
    </w:p>
    <w:p w14:paraId="242AE0CA">
      <w:pPr>
        <w:pStyle w:val="34"/>
        <w:rPr>
          <w:color w:val="auto"/>
        </w:rPr>
      </w:pPr>
    </w:p>
    <w:p w14:paraId="1333E912">
      <w:pPr>
        <w:rPr>
          <w:color w:val="auto"/>
        </w:rPr>
      </w:pPr>
    </w:p>
    <w:p w14:paraId="04769492">
      <w:pPr>
        <w:rPr>
          <w:color w:val="auto"/>
        </w:rPr>
      </w:pPr>
    </w:p>
    <w:p w14:paraId="1A71EEEE">
      <w:pPr>
        <w:rPr>
          <w:color w:val="auto"/>
        </w:rPr>
      </w:pPr>
    </w:p>
    <w:p w14:paraId="678F1E53">
      <w:pPr>
        <w:rPr>
          <w:color w:val="auto"/>
        </w:rPr>
      </w:pPr>
    </w:p>
    <w:p w14:paraId="762FAE3E">
      <w:pPr>
        <w:rPr>
          <w:color w:val="auto"/>
        </w:rPr>
      </w:pPr>
    </w:p>
    <w:p w14:paraId="53179BAD">
      <w:pPr>
        <w:rPr>
          <w:color w:val="auto"/>
        </w:rPr>
      </w:pPr>
    </w:p>
    <w:p w14:paraId="547EC1EC">
      <w:pPr>
        <w:rPr>
          <w:color w:val="auto"/>
        </w:rPr>
      </w:pPr>
    </w:p>
    <w:p w14:paraId="052B3F8B">
      <w:pPr>
        <w:rPr>
          <w:color w:val="auto"/>
        </w:rPr>
      </w:pPr>
    </w:p>
    <w:p w14:paraId="1134D491">
      <w:pPr>
        <w:pStyle w:val="34"/>
        <w:rPr>
          <w:color w:val="auto"/>
        </w:rPr>
      </w:pPr>
    </w:p>
    <w:p w14:paraId="06B46193">
      <w:pPr>
        <w:rPr>
          <w:color w:val="auto"/>
        </w:rPr>
      </w:pPr>
    </w:p>
    <w:p w14:paraId="074D800B">
      <w:pPr>
        <w:pStyle w:val="34"/>
        <w:rPr>
          <w:color w:val="auto"/>
        </w:rPr>
      </w:pPr>
    </w:p>
    <w:p w14:paraId="6436B666">
      <w:pPr>
        <w:rPr>
          <w:color w:val="auto"/>
        </w:rPr>
      </w:pPr>
    </w:p>
    <w:p w14:paraId="4A06FCB4">
      <w:pPr>
        <w:pStyle w:val="34"/>
        <w:rPr>
          <w:color w:val="auto"/>
        </w:rPr>
      </w:pPr>
    </w:p>
    <w:p w14:paraId="2741CEDB">
      <w:pPr>
        <w:rPr>
          <w:color w:val="auto"/>
        </w:rPr>
      </w:pPr>
    </w:p>
    <w:p w14:paraId="78462152">
      <w:pPr>
        <w:rPr>
          <w:rFonts w:ascii="新宋体" w:hAnsi="新宋体" w:eastAsia="新宋体" w:cs="新宋体"/>
          <w:color w:val="auto"/>
          <w:szCs w:val="21"/>
        </w:rPr>
      </w:pPr>
      <w:r>
        <w:rPr>
          <w:rFonts w:hint="eastAsia" w:ascii="新宋体" w:hAnsi="新宋体" w:eastAsia="新宋体" w:cs="新宋体"/>
          <w:b/>
          <w:color w:val="auto"/>
          <w:szCs w:val="21"/>
        </w:rPr>
        <w:t>附件3：</w:t>
      </w:r>
    </w:p>
    <w:tbl>
      <w:tblPr>
        <w:tblStyle w:val="55"/>
        <w:tblW w:w="9561" w:type="dxa"/>
        <w:jc w:val="center"/>
        <w:tblLayout w:type="fixed"/>
        <w:tblCellMar>
          <w:top w:w="0" w:type="dxa"/>
          <w:left w:w="108" w:type="dxa"/>
          <w:bottom w:w="0" w:type="dxa"/>
          <w:right w:w="108" w:type="dxa"/>
        </w:tblCellMar>
      </w:tblPr>
      <w:tblGrid>
        <w:gridCol w:w="743"/>
        <w:gridCol w:w="4391"/>
        <w:gridCol w:w="1395"/>
        <w:gridCol w:w="2340"/>
        <w:gridCol w:w="692"/>
      </w:tblGrid>
      <w:tr w14:paraId="0FCF4E43">
        <w:tblPrEx>
          <w:tblCellMar>
            <w:top w:w="0" w:type="dxa"/>
            <w:left w:w="108" w:type="dxa"/>
            <w:bottom w:w="0" w:type="dxa"/>
            <w:right w:w="108" w:type="dxa"/>
          </w:tblCellMar>
        </w:tblPrEx>
        <w:trPr>
          <w:trHeight w:val="541" w:hRule="atLeast"/>
          <w:jc w:val="center"/>
        </w:trPr>
        <w:tc>
          <w:tcPr>
            <w:tcW w:w="9561" w:type="dxa"/>
            <w:gridSpan w:val="5"/>
            <w:tcBorders>
              <w:top w:val="nil"/>
              <w:left w:val="nil"/>
              <w:bottom w:val="nil"/>
              <w:right w:val="nil"/>
            </w:tcBorders>
            <w:noWrap/>
            <w:vAlign w:val="center"/>
          </w:tcPr>
          <w:p w14:paraId="21AF3068">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医疗废物管理质量考核标准</w:t>
            </w:r>
          </w:p>
        </w:tc>
      </w:tr>
      <w:tr w14:paraId="642AF520">
        <w:tblPrEx>
          <w:tblCellMar>
            <w:top w:w="0" w:type="dxa"/>
            <w:left w:w="108" w:type="dxa"/>
            <w:bottom w:w="0" w:type="dxa"/>
            <w:right w:w="108" w:type="dxa"/>
          </w:tblCellMar>
        </w:tblPrEx>
        <w:trPr>
          <w:trHeight w:val="541" w:hRule="atLeast"/>
          <w:jc w:val="center"/>
        </w:trPr>
        <w:tc>
          <w:tcPr>
            <w:tcW w:w="9561" w:type="dxa"/>
            <w:gridSpan w:val="5"/>
            <w:tcBorders>
              <w:top w:val="nil"/>
              <w:left w:val="nil"/>
              <w:bottom w:val="nil"/>
              <w:right w:val="nil"/>
            </w:tcBorders>
            <w:noWrap/>
            <w:vAlign w:val="center"/>
          </w:tcPr>
          <w:p w14:paraId="21CEE1DE">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考核人员：</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rPr>
              <w:t>考核日期：</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年</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月</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日</w:t>
            </w:r>
          </w:p>
        </w:tc>
      </w:tr>
      <w:tr w14:paraId="7335058C">
        <w:tblPrEx>
          <w:tblCellMar>
            <w:top w:w="0" w:type="dxa"/>
            <w:left w:w="108" w:type="dxa"/>
            <w:bottom w:w="0" w:type="dxa"/>
            <w:right w:w="108" w:type="dxa"/>
          </w:tblCellMar>
        </w:tblPrEx>
        <w:trPr>
          <w:trHeight w:val="90"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DD85D73">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项目</w:t>
            </w: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5254898C">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考核内容</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2B35B0C">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扣分标准</w:t>
            </w: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762D7BFB">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存在问题</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265F8E3C">
            <w:pPr>
              <w:widowControl/>
              <w:jc w:val="center"/>
              <w:textAlignment w:val="center"/>
              <w:rPr>
                <w:rFonts w:ascii="新宋体" w:hAnsi="新宋体" w:eastAsia="新宋体" w:cs="新宋体"/>
                <w:b/>
                <w:bCs/>
                <w:color w:val="auto"/>
                <w:szCs w:val="21"/>
              </w:rPr>
            </w:pPr>
            <w:r>
              <w:rPr>
                <w:rFonts w:hint="eastAsia" w:ascii="宋体" w:hAnsi="宋体" w:cs="宋体"/>
                <w:b/>
                <w:bCs/>
                <w:color w:val="auto"/>
                <w:kern w:val="0"/>
                <w:szCs w:val="21"/>
              </w:rPr>
              <w:t>扣分</w:t>
            </w:r>
          </w:p>
        </w:tc>
      </w:tr>
      <w:tr w14:paraId="50E9CC02">
        <w:tblPrEx>
          <w:tblCellMar>
            <w:top w:w="0" w:type="dxa"/>
            <w:left w:w="108" w:type="dxa"/>
            <w:bottom w:w="0" w:type="dxa"/>
            <w:right w:w="108" w:type="dxa"/>
          </w:tblCellMar>
        </w:tblPrEx>
        <w:trPr>
          <w:trHeight w:val="1241" w:hRule="atLeast"/>
          <w:jc w:val="center"/>
        </w:trPr>
        <w:tc>
          <w:tcPr>
            <w:tcW w:w="743" w:type="dxa"/>
            <w:vMerge w:val="restart"/>
            <w:tcBorders>
              <w:top w:val="single" w:color="000000" w:sz="4" w:space="0"/>
              <w:left w:val="single" w:color="000000" w:sz="4" w:space="0"/>
              <w:bottom w:val="single" w:color="000000" w:sz="4" w:space="0"/>
              <w:right w:val="single" w:color="000000" w:sz="4" w:space="0"/>
            </w:tcBorders>
            <w:noWrap/>
            <w:vAlign w:val="center"/>
          </w:tcPr>
          <w:p w14:paraId="53C6263C">
            <w:pPr>
              <w:widowControl/>
              <w:jc w:val="center"/>
              <w:textAlignment w:val="center"/>
              <w:rPr>
                <w:rFonts w:ascii="新宋体" w:hAnsi="新宋体" w:eastAsia="新宋体" w:cs="新宋体"/>
                <w:color w:val="auto"/>
                <w:szCs w:val="21"/>
              </w:rPr>
            </w:pPr>
            <w:r>
              <w:rPr>
                <w:rFonts w:hint="eastAsia" w:ascii="宋体" w:hAnsi="宋体" w:cs="宋体"/>
                <w:color w:val="auto"/>
                <w:kern w:val="0"/>
                <w:szCs w:val="21"/>
              </w:rPr>
              <w:t>医疗废物管理</w:t>
            </w: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217293B0">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医疗废弃物管理符合《医疗垃圾和保洁消毒工作</w:t>
            </w:r>
            <w:r>
              <w:rPr>
                <w:rFonts w:hint="eastAsia" w:ascii="宋体" w:hAnsi="宋体" w:cs="宋体"/>
                <w:color w:val="auto"/>
                <w:kern w:val="0"/>
                <w:szCs w:val="21"/>
              </w:rPr>
              <w:br w:type="textWrapping"/>
            </w:r>
            <w:r>
              <w:rPr>
                <w:rFonts w:hint="eastAsia" w:ascii="宋体" w:hAnsi="宋体" w:cs="宋体"/>
                <w:color w:val="auto"/>
                <w:kern w:val="0"/>
                <w:szCs w:val="21"/>
              </w:rPr>
              <w:t>质量标准及要求》，医疗垃圾要分类使用专用包装物，如发现渗漏、刺破、倒置撒漏，要更换包装物，严禁装满，不得超过包装物的3/4。垃圾做到日产日清，分类收集，有效封口，禁止将医疗废物混入其他废物或生活垃圾。</w:t>
            </w:r>
          </w:p>
        </w:tc>
        <w:tc>
          <w:tcPr>
            <w:tcW w:w="1395" w:type="dxa"/>
            <w:vMerge w:val="restart"/>
            <w:tcBorders>
              <w:top w:val="single" w:color="000000" w:sz="4" w:space="0"/>
              <w:left w:val="single" w:color="000000" w:sz="4" w:space="0"/>
              <w:bottom w:val="nil"/>
              <w:right w:val="single" w:color="000000" w:sz="4" w:space="0"/>
            </w:tcBorders>
            <w:noWrap/>
            <w:vAlign w:val="center"/>
          </w:tcPr>
          <w:p w14:paraId="35A3FB11">
            <w:pPr>
              <w:widowControl/>
              <w:jc w:val="center"/>
              <w:textAlignment w:val="center"/>
              <w:rPr>
                <w:rFonts w:ascii="新宋体" w:hAnsi="新宋体" w:eastAsia="新宋体" w:cs="新宋体"/>
                <w:color w:val="auto"/>
                <w:szCs w:val="21"/>
              </w:rPr>
            </w:pPr>
            <w:r>
              <w:rPr>
                <w:rFonts w:hint="eastAsia" w:ascii="宋体" w:hAnsi="宋体" w:cs="宋体"/>
                <w:color w:val="auto"/>
                <w:kern w:val="0"/>
                <w:szCs w:val="21"/>
              </w:rPr>
              <w:t>一处不符合要求扣1分</w:t>
            </w: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250B7D7D">
            <w:pPr>
              <w:rPr>
                <w:rFonts w:ascii="新宋体" w:hAnsi="新宋体" w:eastAsia="新宋体" w:cs="新宋体"/>
                <w:color w:val="auto"/>
                <w:szCs w:val="21"/>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20F52AB">
            <w:pPr>
              <w:rPr>
                <w:rFonts w:ascii="新宋体" w:hAnsi="新宋体" w:eastAsia="新宋体" w:cs="新宋体"/>
                <w:color w:val="auto"/>
                <w:szCs w:val="21"/>
              </w:rPr>
            </w:pPr>
          </w:p>
        </w:tc>
      </w:tr>
      <w:tr w14:paraId="5F6D53D7">
        <w:tblPrEx>
          <w:tblCellMar>
            <w:top w:w="0" w:type="dxa"/>
            <w:left w:w="108" w:type="dxa"/>
            <w:bottom w:w="0" w:type="dxa"/>
            <w:right w:w="108" w:type="dxa"/>
          </w:tblCellMar>
        </w:tblPrEx>
        <w:trPr>
          <w:trHeight w:val="1150"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62A01083">
            <w:pPr>
              <w:jc w:val="center"/>
              <w:rPr>
                <w:rFonts w:ascii="新宋体" w:hAnsi="新宋体" w:eastAsia="新宋体" w:cs="新宋体"/>
                <w:color w:val="auto"/>
                <w:szCs w:val="21"/>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0BB0F87A">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医疗废物袋须使用塑料绳打“鹅颈结”进行封口，医疗废物袋外贴标签，标签内容包括垃圾类别、产生部门、产生日期、重量及需要的特别说明等。</w:t>
            </w:r>
          </w:p>
        </w:tc>
        <w:tc>
          <w:tcPr>
            <w:tcW w:w="1395" w:type="dxa"/>
            <w:vMerge w:val="continue"/>
            <w:tcBorders>
              <w:top w:val="single" w:color="000000" w:sz="4" w:space="0"/>
              <w:left w:val="single" w:color="000000" w:sz="4" w:space="0"/>
              <w:bottom w:val="nil"/>
              <w:right w:val="single" w:color="000000" w:sz="4" w:space="0"/>
            </w:tcBorders>
            <w:noWrap/>
            <w:vAlign w:val="center"/>
          </w:tcPr>
          <w:p w14:paraId="1EDD181E">
            <w:pPr>
              <w:jc w:val="center"/>
              <w:rPr>
                <w:rFonts w:ascii="新宋体" w:hAnsi="新宋体" w:eastAsia="新宋体" w:cs="新宋体"/>
                <w:color w:val="auto"/>
                <w:szCs w:val="21"/>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01DAF90D">
            <w:pPr>
              <w:rPr>
                <w:rFonts w:ascii="新宋体" w:hAnsi="新宋体" w:eastAsia="新宋体" w:cs="新宋体"/>
                <w:color w:val="auto"/>
                <w:szCs w:val="21"/>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E96D092">
            <w:pPr>
              <w:rPr>
                <w:rFonts w:ascii="新宋体" w:hAnsi="新宋体" w:eastAsia="新宋体" w:cs="新宋体"/>
                <w:color w:val="auto"/>
                <w:szCs w:val="21"/>
              </w:rPr>
            </w:pPr>
          </w:p>
        </w:tc>
      </w:tr>
      <w:tr w14:paraId="07225E15">
        <w:tblPrEx>
          <w:tblCellMar>
            <w:top w:w="0" w:type="dxa"/>
            <w:left w:w="108" w:type="dxa"/>
            <w:bottom w:w="0" w:type="dxa"/>
            <w:right w:w="108" w:type="dxa"/>
          </w:tblCellMar>
        </w:tblPrEx>
        <w:trPr>
          <w:trHeight w:val="535"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3CFDC986">
            <w:pPr>
              <w:jc w:val="center"/>
              <w:rPr>
                <w:rFonts w:ascii="新宋体" w:hAnsi="新宋体" w:eastAsia="新宋体" w:cs="新宋体"/>
                <w:color w:val="auto"/>
                <w:szCs w:val="21"/>
              </w:rPr>
            </w:pPr>
          </w:p>
        </w:tc>
        <w:tc>
          <w:tcPr>
            <w:tcW w:w="4391" w:type="dxa"/>
            <w:tcBorders>
              <w:top w:val="single" w:color="000000" w:sz="4" w:space="0"/>
              <w:left w:val="single" w:color="000000" w:sz="4" w:space="0"/>
              <w:bottom w:val="nil"/>
              <w:right w:val="single" w:color="000000" w:sz="4" w:space="0"/>
            </w:tcBorders>
            <w:noWrap/>
            <w:vAlign w:val="center"/>
          </w:tcPr>
          <w:p w14:paraId="1C951AAA">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科室医疗废物置于指定位置，不得随意放置；</w:t>
            </w:r>
          </w:p>
        </w:tc>
        <w:tc>
          <w:tcPr>
            <w:tcW w:w="1395" w:type="dxa"/>
            <w:vMerge w:val="continue"/>
            <w:tcBorders>
              <w:top w:val="single" w:color="000000" w:sz="4" w:space="0"/>
              <w:left w:val="single" w:color="000000" w:sz="4" w:space="0"/>
              <w:bottom w:val="nil"/>
              <w:right w:val="single" w:color="000000" w:sz="4" w:space="0"/>
            </w:tcBorders>
            <w:noWrap/>
            <w:vAlign w:val="center"/>
          </w:tcPr>
          <w:p w14:paraId="0A85693E">
            <w:pPr>
              <w:jc w:val="center"/>
              <w:rPr>
                <w:rFonts w:ascii="新宋体" w:hAnsi="新宋体" w:eastAsia="新宋体" w:cs="新宋体"/>
                <w:color w:val="auto"/>
                <w:szCs w:val="21"/>
              </w:rPr>
            </w:pPr>
          </w:p>
        </w:tc>
        <w:tc>
          <w:tcPr>
            <w:tcW w:w="2340" w:type="dxa"/>
            <w:tcBorders>
              <w:top w:val="single" w:color="000000" w:sz="4" w:space="0"/>
              <w:left w:val="single" w:color="000000" w:sz="4" w:space="0"/>
              <w:bottom w:val="nil"/>
              <w:right w:val="single" w:color="000000" w:sz="4" w:space="0"/>
            </w:tcBorders>
            <w:noWrap/>
            <w:vAlign w:val="center"/>
          </w:tcPr>
          <w:p w14:paraId="6E99B69B">
            <w:pPr>
              <w:rPr>
                <w:rFonts w:ascii="新宋体" w:hAnsi="新宋体" w:eastAsia="新宋体" w:cs="新宋体"/>
                <w:color w:val="auto"/>
                <w:szCs w:val="21"/>
              </w:rPr>
            </w:pPr>
          </w:p>
        </w:tc>
        <w:tc>
          <w:tcPr>
            <w:tcW w:w="692" w:type="dxa"/>
            <w:tcBorders>
              <w:top w:val="single" w:color="000000" w:sz="4" w:space="0"/>
              <w:left w:val="single" w:color="000000" w:sz="4" w:space="0"/>
              <w:bottom w:val="nil"/>
              <w:right w:val="single" w:color="000000" w:sz="4" w:space="0"/>
            </w:tcBorders>
            <w:noWrap/>
            <w:vAlign w:val="center"/>
          </w:tcPr>
          <w:p w14:paraId="5FD20828">
            <w:pPr>
              <w:rPr>
                <w:rFonts w:ascii="新宋体" w:hAnsi="新宋体" w:eastAsia="新宋体" w:cs="新宋体"/>
                <w:color w:val="auto"/>
                <w:szCs w:val="21"/>
              </w:rPr>
            </w:pPr>
          </w:p>
        </w:tc>
      </w:tr>
      <w:tr w14:paraId="67464EE6">
        <w:tblPrEx>
          <w:tblCellMar>
            <w:top w:w="0" w:type="dxa"/>
            <w:left w:w="108" w:type="dxa"/>
            <w:bottom w:w="0" w:type="dxa"/>
            <w:right w:w="108" w:type="dxa"/>
          </w:tblCellMar>
        </w:tblPrEx>
        <w:trPr>
          <w:trHeight w:val="595"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61C24E27">
            <w:pPr>
              <w:jc w:val="center"/>
              <w:rPr>
                <w:rFonts w:ascii="新宋体" w:hAnsi="新宋体" w:eastAsia="新宋体" w:cs="新宋体"/>
                <w:color w:val="auto"/>
                <w:szCs w:val="21"/>
              </w:rPr>
            </w:pPr>
          </w:p>
        </w:tc>
        <w:tc>
          <w:tcPr>
            <w:tcW w:w="4391" w:type="dxa"/>
            <w:tcBorders>
              <w:top w:val="single" w:color="000000" w:sz="4" w:space="0"/>
              <w:left w:val="single" w:color="000000" w:sz="4" w:space="0"/>
              <w:bottom w:val="nil"/>
              <w:right w:val="single" w:color="000000" w:sz="4" w:space="0"/>
            </w:tcBorders>
            <w:noWrap/>
            <w:vAlign w:val="center"/>
          </w:tcPr>
          <w:p w14:paraId="7D71697D">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医疗废物的运送：专人、专车、专梯、密封、定时，定路线。</w:t>
            </w:r>
          </w:p>
        </w:tc>
        <w:tc>
          <w:tcPr>
            <w:tcW w:w="1395" w:type="dxa"/>
            <w:vMerge w:val="continue"/>
            <w:tcBorders>
              <w:top w:val="single" w:color="000000" w:sz="4" w:space="0"/>
              <w:left w:val="single" w:color="000000" w:sz="4" w:space="0"/>
              <w:bottom w:val="nil"/>
              <w:right w:val="single" w:color="000000" w:sz="4" w:space="0"/>
            </w:tcBorders>
            <w:noWrap/>
            <w:vAlign w:val="center"/>
          </w:tcPr>
          <w:p w14:paraId="59ED44BE">
            <w:pPr>
              <w:jc w:val="center"/>
              <w:rPr>
                <w:rFonts w:ascii="新宋体" w:hAnsi="新宋体" w:eastAsia="新宋体" w:cs="新宋体"/>
                <w:color w:val="auto"/>
                <w:szCs w:val="21"/>
              </w:rPr>
            </w:pPr>
          </w:p>
        </w:tc>
        <w:tc>
          <w:tcPr>
            <w:tcW w:w="2340" w:type="dxa"/>
            <w:tcBorders>
              <w:top w:val="single" w:color="000000" w:sz="4" w:space="0"/>
              <w:left w:val="single" w:color="000000" w:sz="4" w:space="0"/>
              <w:bottom w:val="nil"/>
              <w:right w:val="single" w:color="000000" w:sz="4" w:space="0"/>
            </w:tcBorders>
            <w:noWrap/>
            <w:vAlign w:val="center"/>
          </w:tcPr>
          <w:p w14:paraId="2A97AE7F">
            <w:pPr>
              <w:rPr>
                <w:rFonts w:ascii="新宋体" w:hAnsi="新宋体" w:eastAsia="新宋体" w:cs="新宋体"/>
                <w:color w:val="auto"/>
                <w:szCs w:val="21"/>
              </w:rPr>
            </w:pPr>
          </w:p>
        </w:tc>
        <w:tc>
          <w:tcPr>
            <w:tcW w:w="692" w:type="dxa"/>
            <w:tcBorders>
              <w:top w:val="single" w:color="000000" w:sz="4" w:space="0"/>
              <w:left w:val="single" w:color="000000" w:sz="4" w:space="0"/>
              <w:bottom w:val="nil"/>
              <w:right w:val="single" w:color="000000" w:sz="4" w:space="0"/>
            </w:tcBorders>
            <w:noWrap/>
            <w:vAlign w:val="center"/>
          </w:tcPr>
          <w:p w14:paraId="4E203B75">
            <w:pPr>
              <w:rPr>
                <w:rFonts w:ascii="新宋体" w:hAnsi="新宋体" w:eastAsia="新宋体" w:cs="新宋体"/>
                <w:color w:val="auto"/>
                <w:szCs w:val="21"/>
              </w:rPr>
            </w:pPr>
          </w:p>
        </w:tc>
      </w:tr>
      <w:tr w14:paraId="5CFD8EFD">
        <w:tblPrEx>
          <w:tblCellMar>
            <w:top w:w="0" w:type="dxa"/>
            <w:left w:w="108" w:type="dxa"/>
            <w:bottom w:w="0" w:type="dxa"/>
            <w:right w:w="108" w:type="dxa"/>
          </w:tblCellMar>
        </w:tblPrEx>
        <w:trPr>
          <w:trHeight w:val="705"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43F6BAB4">
            <w:pPr>
              <w:jc w:val="center"/>
              <w:rPr>
                <w:rFonts w:ascii="新宋体" w:hAnsi="新宋体" w:eastAsia="新宋体" w:cs="新宋体"/>
                <w:color w:val="auto"/>
                <w:szCs w:val="21"/>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7BA5051F">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医疗废物暂存点应专人负责，加锁管理，严禁闲杂人员进入。</w:t>
            </w:r>
          </w:p>
        </w:tc>
        <w:tc>
          <w:tcPr>
            <w:tcW w:w="1395" w:type="dxa"/>
            <w:vMerge w:val="continue"/>
            <w:tcBorders>
              <w:top w:val="single" w:color="000000" w:sz="4" w:space="0"/>
              <w:left w:val="single" w:color="000000" w:sz="4" w:space="0"/>
              <w:bottom w:val="single" w:color="000000" w:sz="4" w:space="0"/>
              <w:right w:val="single" w:color="000000" w:sz="4" w:space="0"/>
            </w:tcBorders>
            <w:noWrap/>
            <w:vAlign w:val="center"/>
          </w:tcPr>
          <w:p w14:paraId="641FCA7D">
            <w:pPr>
              <w:jc w:val="center"/>
              <w:rPr>
                <w:rFonts w:ascii="新宋体" w:hAnsi="新宋体" w:eastAsia="新宋体" w:cs="新宋体"/>
                <w:color w:val="auto"/>
                <w:szCs w:val="21"/>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1BAA02C4">
            <w:pPr>
              <w:rPr>
                <w:rFonts w:ascii="新宋体" w:hAnsi="新宋体" w:eastAsia="新宋体" w:cs="新宋体"/>
                <w:color w:val="auto"/>
                <w:szCs w:val="21"/>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E396943">
            <w:pPr>
              <w:rPr>
                <w:rFonts w:ascii="新宋体" w:hAnsi="新宋体" w:eastAsia="新宋体" w:cs="新宋体"/>
                <w:color w:val="auto"/>
                <w:szCs w:val="21"/>
              </w:rPr>
            </w:pPr>
          </w:p>
        </w:tc>
      </w:tr>
      <w:tr w14:paraId="60C63E90">
        <w:tblPrEx>
          <w:tblCellMar>
            <w:top w:w="0" w:type="dxa"/>
            <w:left w:w="108" w:type="dxa"/>
            <w:bottom w:w="0" w:type="dxa"/>
            <w:right w:w="108" w:type="dxa"/>
          </w:tblCellMar>
        </w:tblPrEx>
        <w:trPr>
          <w:trHeight w:val="1043"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7E962C79">
            <w:pPr>
              <w:jc w:val="center"/>
              <w:rPr>
                <w:rFonts w:ascii="新宋体" w:hAnsi="新宋体" w:eastAsia="新宋体" w:cs="新宋体"/>
                <w:color w:val="auto"/>
                <w:szCs w:val="21"/>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385B8ECE">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垃圾转运车要直接送往指定处理区，不能把车留在走廊里或无人看管，防护用品及污物车每次运输结束后在指定地点按相关要求及时进行清洗和消毒，并放置在指定的存放区。</w:t>
            </w:r>
          </w:p>
        </w:tc>
        <w:tc>
          <w:tcPr>
            <w:tcW w:w="1395" w:type="dxa"/>
            <w:vMerge w:val="continue"/>
            <w:tcBorders>
              <w:top w:val="single" w:color="000000" w:sz="4" w:space="0"/>
              <w:left w:val="single" w:color="000000" w:sz="4" w:space="0"/>
              <w:bottom w:val="single" w:color="000000" w:sz="4" w:space="0"/>
              <w:right w:val="single" w:color="000000" w:sz="4" w:space="0"/>
            </w:tcBorders>
            <w:noWrap/>
            <w:vAlign w:val="center"/>
          </w:tcPr>
          <w:p w14:paraId="44E3AE8A">
            <w:pPr>
              <w:jc w:val="center"/>
              <w:rPr>
                <w:rFonts w:ascii="新宋体" w:hAnsi="新宋体" w:eastAsia="新宋体" w:cs="新宋体"/>
                <w:color w:val="auto"/>
                <w:szCs w:val="21"/>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770E35D4">
            <w:pPr>
              <w:rPr>
                <w:rFonts w:ascii="新宋体" w:hAnsi="新宋体" w:eastAsia="新宋体" w:cs="新宋体"/>
                <w:color w:val="auto"/>
                <w:szCs w:val="21"/>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7D27A6AC">
            <w:pPr>
              <w:rPr>
                <w:rFonts w:ascii="新宋体" w:hAnsi="新宋体" w:eastAsia="新宋体" w:cs="新宋体"/>
                <w:color w:val="auto"/>
                <w:szCs w:val="21"/>
              </w:rPr>
            </w:pPr>
          </w:p>
        </w:tc>
      </w:tr>
      <w:tr w14:paraId="28022A1F">
        <w:tblPrEx>
          <w:tblCellMar>
            <w:top w:w="0" w:type="dxa"/>
            <w:left w:w="108" w:type="dxa"/>
            <w:bottom w:w="0" w:type="dxa"/>
            <w:right w:w="108" w:type="dxa"/>
          </w:tblCellMar>
        </w:tblPrEx>
        <w:trPr>
          <w:trHeight w:val="1024"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ign w:val="center"/>
          </w:tcPr>
          <w:p w14:paraId="1C908967">
            <w:pPr>
              <w:jc w:val="center"/>
              <w:rPr>
                <w:rFonts w:ascii="新宋体" w:hAnsi="新宋体" w:eastAsia="新宋体" w:cs="新宋体"/>
                <w:color w:val="auto"/>
                <w:szCs w:val="21"/>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52649EFC">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医疗废物暂存点地面、瓷砖墙面等物品表面及空气消毒每天至少2次，并有登记。空气消毒每次2小时，记录消毒起止时间，有累计时间，使用时间记录正确。</w:t>
            </w:r>
          </w:p>
        </w:tc>
        <w:tc>
          <w:tcPr>
            <w:tcW w:w="1395" w:type="dxa"/>
            <w:vMerge w:val="continue"/>
            <w:tcBorders>
              <w:top w:val="single" w:color="000000" w:sz="4" w:space="0"/>
              <w:left w:val="single" w:color="000000" w:sz="4" w:space="0"/>
              <w:bottom w:val="single" w:color="000000" w:sz="4" w:space="0"/>
              <w:right w:val="single" w:color="000000" w:sz="4" w:space="0"/>
            </w:tcBorders>
            <w:noWrap/>
            <w:vAlign w:val="center"/>
          </w:tcPr>
          <w:p w14:paraId="7E0E8FDF">
            <w:pPr>
              <w:jc w:val="center"/>
              <w:rPr>
                <w:rFonts w:ascii="新宋体" w:hAnsi="新宋体" w:eastAsia="新宋体" w:cs="新宋体"/>
                <w:color w:val="auto"/>
                <w:szCs w:val="21"/>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62E69AEA">
            <w:pPr>
              <w:rPr>
                <w:rFonts w:ascii="新宋体" w:hAnsi="新宋体" w:eastAsia="新宋体" w:cs="新宋体"/>
                <w:color w:val="auto"/>
                <w:szCs w:val="21"/>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50E3FC2">
            <w:pPr>
              <w:rPr>
                <w:rFonts w:ascii="新宋体" w:hAnsi="新宋体" w:eastAsia="新宋体" w:cs="新宋体"/>
                <w:color w:val="auto"/>
                <w:szCs w:val="21"/>
              </w:rPr>
            </w:pPr>
          </w:p>
        </w:tc>
      </w:tr>
      <w:tr w14:paraId="027774B0">
        <w:tblPrEx>
          <w:tblCellMar>
            <w:top w:w="0" w:type="dxa"/>
            <w:left w:w="108" w:type="dxa"/>
            <w:bottom w:w="0" w:type="dxa"/>
            <w:right w:w="108" w:type="dxa"/>
          </w:tblCellMar>
        </w:tblPrEx>
        <w:trPr>
          <w:trHeight w:val="374" w:hRule="atLeast"/>
          <w:jc w:val="center"/>
        </w:trPr>
        <w:tc>
          <w:tcPr>
            <w:tcW w:w="743" w:type="dxa"/>
            <w:vMerge w:val="continue"/>
            <w:tcBorders>
              <w:top w:val="single" w:color="000000" w:sz="4" w:space="0"/>
              <w:left w:val="single" w:color="000000" w:sz="4" w:space="0"/>
              <w:bottom w:val="nil"/>
              <w:right w:val="single" w:color="000000" w:sz="4" w:space="0"/>
            </w:tcBorders>
            <w:noWrap/>
            <w:vAlign w:val="center"/>
          </w:tcPr>
          <w:p w14:paraId="6A32FC54">
            <w:pPr>
              <w:jc w:val="center"/>
              <w:rPr>
                <w:rFonts w:ascii="新宋体" w:hAnsi="新宋体" w:eastAsia="新宋体" w:cs="新宋体"/>
                <w:color w:val="auto"/>
                <w:szCs w:val="21"/>
              </w:rPr>
            </w:pPr>
          </w:p>
        </w:tc>
        <w:tc>
          <w:tcPr>
            <w:tcW w:w="4391" w:type="dxa"/>
            <w:tcBorders>
              <w:top w:val="single" w:color="000000" w:sz="4" w:space="0"/>
              <w:left w:val="single" w:color="000000" w:sz="4" w:space="0"/>
              <w:bottom w:val="single" w:color="000000" w:sz="4" w:space="0"/>
              <w:right w:val="single" w:color="000000" w:sz="4" w:space="0"/>
            </w:tcBorders>
            <w:noWrap/>
            <w:vAlign w:val="center"/>
          </w:tcPr>
          <w:p w14:paraId="1B416693">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每半年安排处置、转运医疗废物的专职人员进行健康检查，并将体检报告交由医院主管部门保存。</w:t>
            </w:r>
          </w:p>
        </w:tc>
        <w:tc>
          <w:tcPr>
            <w:tcW w:w="1395" w:type="dxa"/>
            <w:vMerge w:val="continue"/>
            <w:tcBorders>
              <w:top w:val="single" w:color="000000" w:sz="4" w:space="0"/>
              <w:left w:val="single" w:color="000000" w:sz="4" w:space="0"/>
              <w:bottom w:val="nil"/>
              <w:right w:val="single" w:color="000000" w:sz="4" w:space="0"/>
            </w:tcBorders>
            <w:noWrap/>
            <w:vAlign w:val="center"/>
          </w:tcPr>
          <w:p w14:paraId="75DF89B3">
            <w:pPr>
              <w:jc w:val="center"/>
              <w:rPr>
                <w:rFonts w:ascii="新宋体" w:hAnsi="新宋体" w:eastAsia="新宋体" w:cs="新宋体"/>
                <w:color w:val="auto"/>
                <w:szCs w:val="21"/>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1E30B8F8">
            <w:pPr>
              <w:rPr>
                <w:rFonts w:ascii="新宋体" w:hAnsi="新宋体" w:eastAsia="新宋体" w:cs="新宋体"/>
                <w:color w:val="auto"/>
                <w:szCs w:val="21"/>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9D4E6E5">
            <w:pPr>
              <w:rPr>
                <w:rFonts w:ascii="新宋体" w:hAnsi="新宋体" w:eastAsia="新宋体" w:cs="新宋体"/>
                <w:color w:val="auto"/>
                <w:szCs w:val="21"/>
              </w:rPr>
            </w:pPr>
          </w:p>
        </w:tc>
      </w:tr>
      <w:tr w14:paraId="450EB87A">
        <w:tblPrEx>
          <w:tblCellMar>
            <w:top w:w="0" w:type="dxa"/>
            <w:left w:w="108" w:type="dxa"/>
            <w:bottom w:w="0" w:type="dxa"/>
            <w:right w:w="108" w:type="dxa"/>
          </w:tblCellMar>
        </w:tblPrEx>
        <w:trPr>
          <w:trHeight w:val="1555" w:hRule="atLeast"/>
          <w:jc w:val="center"/>
        </w:trPr>
        <w:tc>
          <w:tcPr>
            <w:tcW w:w="743" w:type="dxa"/>
            <w:vMerge w:val="continue"/>
            <w:tcBorders>
              <w:top w:val="single" w:color="000000" w:sz="4" w:space="0"/>
              <w:left w:val="single" w:color="000000" w:sz="4" w:space="0"/>
              <w:bottom w:val="single" w:color="auto" w:sz="4" w:space="0"/>
              <w:right w:val="single" w:color="000000" w:sz="4" w:space="0"/>
            </w:tcBorders>
            <w:noWrap/>
            <w:vAlign w:val="center"/>
          </w:tcPr>
          <w:p w14:paraId="5BE004D9">
            <w:pPr>
              <w:jc w:val="center"/>
              <w:rPr>
                <w:rFonts w:ascii="新宋体" w:hAnsi="新宋体" w:eastAsia="新宋体" w:cs="新宋体"/>
                <w:color w:val="auto"/>
                <w:szCs w:val="21"/>
              </w:rPr>
            </w:pPr>
          </w:p>
        </w:tc>
        <w:tc>
          <w:tcPr>
            <w:tcW w:w="4391" w:type="dxa"/>
            <w:tcBorders>
              <w:top w:val="single" w:color="000000" w:sz="4" w:space="0"/>
              <w:left w:val="single" w:color="000000" w:sz="4" w:space="0"/>
              <w:bottom w:val="single" w:color="auto" w:sz="4" w:space="0"/>
              <w:right w:val="single" w:color="000000" w:sz="4" w:space="0"/>
            </w:tcBorders>
            <w:noWrap/>
            <w:vAlign w:val="center"/>
          </w:tcPr>
          <w:p w14:paraId="0C4749A3">
            <w:pPr>
              <w:widowControl/>
              <w:jc w:val="left"/>
              <w:textAlignment w:val="center"/>
              <w:rPr>
                <w:rFonts w:ascii="新宋体" w:hAnsi="新宋体" w:eastAsia="新宋体" w:cs="新宋体"/>
                <w:color w:val="auto"/>
                <w:szCs w:val="21"/>
              </w:rPr>
            </w:pPr>
            <w:r>
              <w:rPr>
                <w:rFonts w:hint="eastAsia" w:ascii="宋体" w:hAnsi="宋体" w:cs="宋体"/>
                <w:color w:val="auto"/>
                <w:kern w:val="0"/>
                <w:szCs w:val="21"/>
              </w:rPr>
              <w:t>交接登记：包括护士与医疗废物转运人员交接、医疗废物转运人员与暂存点管理员交接、暂存点管理员与第三方公司人员交接，登记内容包括医疗废物种类、重量与袋数、交接时间等，内容须真实有效，双方签名确认，资料至少保存3年。</w:t>
            </w:r>
          </w:p>
        </w:tc>
        <w:tc>
          <w:tcPr>
            <w:tcW w:w="1395" w:type="dxa"/>
            <w:vMerge w:val="continue"/>
            <w:tcBorders>
              <w:top w:val="single" w:color="000000" w:sz="4" w:space="0"/>
              <w:left w:val="single" w:color="000000" w:sz="4" w:space="0"/>
              <w:bottom w:val="single" w:color="auto" w:sz="4" w:space="0"/>
              <w:right w:val="single" w:color="000000" w:sz="4" w:space="0"/>
            </w:tcBorders>
            <w:noWrap/>
            <w:vAlign w:val="center"/>
          </w:tcPr>
          <w:p w14:paraId="626E1ECF">
            <w:pPr>
              <w:jc w:val="center"/>
              <w:rPr>
                <w:rFonts w:ascii="新宋体" w:hAnsi="新宋体" w:eastAsia="新宋体" w:cs="新宋体"/>
                <w:color w:val="auto"/>
                <w:szCs w:val="21"/>
              </w:rPr>
            </w:pPr>
          </w:p>
        </w:tc>
        <w:tc>
          <w:tcPr>
            <w:tcW w:w="2340" w:type="dxa"/>
            <w:tcBorders>
              <w:top w:val="single" w:color="000000" w:sz="4" w:space="0"/>
              <w:left w:val="single" w:color="000000" w:sz="4" w:space="0"/>
              <w:bottom w:val="single" w:color="auto" w:sz="4" w:space="0"/>
              <w:right w:val="single" w:color="000000" w:sz="4" w:space="0"/>
            </w:tcBorders>
            <w:noWrap/>
            <w:vAlign w:val="center"/>
          </w:tcPr>
          <w:p w14:paraId="0B36D629">
            <w:pPr>
              <w:rPr>
                <w:rFonts w:ascii="新宋体" w:hAnsi="新宋体" w:eastAsia="新宋体" w:cs="新宋体"/>
                <w:color w:val="auto"/>
                <w:szCs w:val="21"/>
              </w:rPr>
            </w:pPr>
          </w:p>
        </w:tc>
        <w:tc>
          <w:tcPr>
            <w:tcW w:w="692" w:type="dxa"/>
            <w:tcBorders>
              <w:top w:val="single" w:color="000000" w:sz="4" w:space="0"/>
              <w:left w:val="single" w:color="000000" w:sz="4" w:space="0"/>
              <w:bottom w:val="single" w:color="auto" w:sz="4" w:space="0"/>
              <w:right w:val="single" w:color="000000" w:sz="4" w:space="0"/>
            </w:tcBorders>
            <w:noWrap/>
            <w:vAlign w:val="center"/>
          </w:tcPr>
          <w:p w14:paraId="64A9369A">
            <w:pPr>
              <w:rPr>
                <w:rFonts w:ascii="新宋体" w:hAnsi="新宋体" w:eastAsia="新宋体" w:cs="新宋体"/>
                <w:color w:val="auto"/>
                <w:szCs w:val="21"/>
              </w:rPr>
            </w:pPr>
          </w:p>
        </w:tc>
      </w:tr>
      <w:tr w14:paraId="1ECF17A6">
        <w:tblPrEx>
          <w:tblCellMar>
            <w:top w:w="0" w:type="dxa"/>
            <w:left w:w="108" w:type="dxa"/>
            <w:bottom w:w="0" w:type="dxa"/>
            <w:right w:w="108" w:type="dxa"/>
          </w:tblCellMar>
        </w:tblPrEx>
        <w:trPr>
          <w:trHeight w:val="658" w:hRule="atLeast"/>
          <w:jc w:val="center"/>
        </w:trPr>
        <w:tc>
          <w:tcPr>
            <w:tcW w:w="743" w:type="dxa"/>
            <w:tcBorders>
              <w:top w:val="single" w:color="auto" w:sz="4" w:space="0"/>
              <w:left w:val="single" w:color="auto" w:sz="4" w:space="0"/>
              <w:bottom w:val="single" w:color="auto" w:sz="4" w:space="0"/>
              <w:right w:val="single" w:color="auto" w:sz="4" w:space="0"/>
            </w:tcBorders>
            <w:noWrap/>
            <w:vAlign w:val="center"/>
          </w:tcPr>
          <w:p w14:paraId="0E895501">
            <w:pPr>
              <w:widowControl/>
              <w:jc w:val="center"/>
              <w:textAlignment w:val="center"/>
              <w:rPr>
                <w:rFonts w:ascii="新宋体" w:hAnsi="新宋体" w:eastAsia="新宋体" w:cs="新宋体"/>
                <w:color w:val="auto"/>
                <w:szCs w:val="21"/>
                <w:u w:val="single"/>
              </w:rPr>
            </w:pPr>
            <w:r>
              <w:rPr>
                <w:rFonts w:hint="eastAsia" w:ascii="宋体" w:hAnsi="宋体" w:cs="宋体"/>
                <w:color w:val="auto"/>
                <w:kern w:val="0"/>
                <w:szCs w:val="21"/>
                <w:u w:val="single"/>
              </w:rPr>
              <w:t>合计</w:t>
            </w:r>
          </w:p>
        </w:tc>
        <w:tc>
          <w:tcPr>
            <w:tcW w:w="4391" w:type="dxa"/>
            <w:tcBorders>
              <w:top w:val="single" w:color="auto" w:sz="4" w:space="0"/>
              <w:left w:val="single" w:color="auto" w:sz="4" w:space="0"/>
              <w:bottom w:val="single" w:color="auto" w:sz="4" w:space="0"/>
              <w:right w:val="single" w:color="auto" w:sz="4" w:space="0"/>
            </w:tcBorders>
            <w:noWrap/>
            <w:vAlign w:val="center"/>
          </w:tcPr>
          <w:p w14:paraId="5B231C10">
            <w:pPr>
              <w:rPr>
                <w:rFonts w:ascii="新宋体" w:hAnsi="新宋体" w:eastAsia="新宋体" w:cs="新宋体"/>
                <w:color w:val="auto"/>
                <w:szCs w:val="21"/>
                <w:u w:val="single"/>
              </w:rPr>
            </w:pPr>
          </w:p>
        </w:tc>
        <w:tc>
          <w:tcPr>
            <w:tcW w:w="1395" w:type="dxa"/>
            <w:tcBorders>
              <w:top w:val="single" w:color="auto" w:sz="4" w:space="0"/>
              <w:left w:val="single" w:color="auto" w:sz="4" w:space="0"/>
              <w:bottom w:val="single" w:color="auto" w:sz="4" w:space="0"/>
              <w:right w:val="single" w:color="auto" w:sz="4" w:space="0"/>
            </w:tcBorders>
            <w:noWrap/>
            <w:vAlign w:val="center"/>
          </w:tcPr>
          <w:p w14:paraId="48D9BBC2">
            <w:pPr>
              <w:rPr>
                <w:rFonts w:ascii="新宋体" w:hAnsi="新宋体" w:eastAsia="新宋体" w:cs="新宋体"/>
                <w:color w:val="auto"/>
                <w:szCs w:val="21"/>
                <w:u w:val="single"/>
              </w:rPr>
            </w:pPr>
          </w:p>
        </w:tc>
        <w:tc>
          <w:tcPr>
            <w:tcW w:w="2340" w:type="dxa"/>
            <w:tcBorders>
              <w:top w:val="single" w:color="auto" w:sz="4" w:space="0"/>
              <w:left w:val="single" w:color="auto" w:sz="4" w:space="0"/>
              <w:bottom w:val="single" w:color="auto" w:sz="4" w:space="0"/>
              <w:right w:val="single" w:color="auto" w:sz="4" w:space="0"/>
            </w:tcBorders>
            <w:noWrap/>
            <w:vAlign w:val="center"/>
          </w:tcPr>
          <w:p w14:paraId="13ED5FC3">
            <w:pPr>
              <w:rPr>
                <w:rFonts w:ascii="新宋体" w:hAnsi="新宋体" w:eastAsia="新宋体" w:cs="新宋体"/>
                <w:color w:val="auto"/>
                <w:szCs w:val="21"/>
                <w:u w:val="single"/>
              </w:rPr>
            </w:pPr>
          </w:p>
        </w:tc>
        <w:tc>
          <w:tcPr>
            <w:tcW w:w="692" w:type="dxa"/>
            <w:tcBorders>
              <w:top w:val="single" w:color="auto" w:sz="4" w:space="0"/>
              <w:left w:val="single" w:color="auto" w:sz="4" w:space="0"/>
              <w:bottom w:val="single" w:color="auto" w:sz="4" w:space="0"/>
              <w:right w:val="single" w:color="auto" w:sz="4" w:space="0"/>
            </w:tcBorders>
            <w:noWrap/>
            <w:vAlign w:val="center"/>
          </w:tcPr>
          <w:p w14:paraId="2DFB2F22">
            <w:pPr>
              <w:rPr>
                <w:rFonts w:ascii="新宋体" w:hAnsi="新宋体" w:eastAsia="新宋体" w:cs="新宋体"/>
                <w:color w:val="auto"/>
                <w:szCs w:val="21"/>
              </w:rPr>
            </w:pPr>
          </w:p>
        </w:tc>
      </w:tr>
      <w:tr w14:paraId="202FDB3A">
        <w:tblPrEx>
          <w:tblCellMar>
            <w:top w:w="0" w:type="dxa"/>
            <w:left w:w="108" w:type="dxa"/>
            <w:bottom w:w="0" w:type="dxa"/>
            <w:right w:w="108" w:type="dxa"/>
          </w:tblCellMar>
        </w:tblPrEx>
        <w:trPr>
          <w:trHeight w:val="90" w:hRule="atLeast"/>
          <w:jc w:val="center"/>
        </w:trPr>
        <w:tc>
          <w:tcPr>
            <w:tcW w:w="9561" w:type="dxa"/>
            <w:gridSpan w:val="5"/>
            <w:tcBorders>
              <w:top w:val="single" w:color="auto" w:sz="4" w:space="0"/>
              <w:left w:val="nil"/>
              <w:bottom w:val="nil"/>
              <w:right w:val="nil"/>
            </w:tcBorders>
            <w:noWrap/>
            <w:vAlign w:val="center"/>
          </w:tcPr>
          <w:p w14:paraId="17B3F9B7">
            <w:pPr>
              <w:widowControl/>
              <w:jc w:val="left"/>
              <w:textAlignment w:val="center"/>
              <w:rPr>
                <w:rFonts w:ascii="宋体" w:hAnsi="宋体" w:cs="宋体"/>
                <w:color w:val="auto"/>
                <w:kern w:val="0"/>
                <w:szCs w:val="21"/>
              </w:rPr>
            </w:pPr>
            <w:r>
              <w:rPr>
                <w:rFonts w:hint="eastAsia" w:ascii="宋体" w:hAnsi="宋体" w:cs="宋体"/>
                <w:color w:val="auto"/>
                <w:kern w:val="0"/>
                <w:szCs w:val="21"/>
              </w:rPr>
              <w:t>说明：每月考核1次，结算物业服务费用时按照20元/分标准扣除。</w:t>
            </w:r>
          </w:p>
          <w:p w14:paraId="5B1E236F">
            <w:pPr>
              <w:pStyle w:val="34"/>
              <w:tabs>
                <w:tab w:val="center" w:pos="4153"/>
                <w:tab w:val="right" w:pos="8306"/>
                <w:tab w:val="clear" w:pos="4140"/>
                <w:tab w:val="clear" w:pos="8300"/>
              </w:tabs>
              <w:rPr>
                <w:rFonts w:ascii="宋体" w:hAnsi="宋体" w:cs="宋体"/>
                <w:color w:val="auto"/>
                <w:kern w:val="0"/>
                <w:szCs w:val="21"/>
              </w:rPr>
            </w:pPr>
          </w:p>
          <w:p w14:paraId="340B454D">
            <w:pPr>
              <w:rPr>
                <w:color w:val="auto"/>
              </w:rPr>
            </w:pPr>
          </w:p>
          <w:p w14:paraId="05170DC9">
            <w:pPr>
              <w:rPr>
                <w:color w:val="auto"/>
              </w:rPr>
            </w:pPr>
          </w:p>
        </w:tc>
      </w:tr>
    </w:tbl>
    <w:p w14:paraId="33AE2506">
      <w:pPr>
        <w:pStyle w:val="44"/>
        <w:ind w:left="0" w:leftChars="0" w:firstLine="0" w:firstLineChars="0"/>
        <w:jc w:val="left"/>
        <w:rPr>
          <w:b/>
          <w:bCs/>
          <w:color w:val="auto"/>
        </w:rPr>
      </w:pPr>
    </w:p>
    <w:p w14:paraId="39303556">
      <w:pPr>
        <w:pStyle w:val="44"/>
        <w:ind w:left="0" w:leftChars="0" w:firstLine="0" w:firstLineChars="0"/>
        <w:jc w:val="left"/>
        <w:rPr>
          <w:color w:val="auto"/>
        </w:rPr>
      </w:pPr>
      <w:r>
        <w:rPr>
          <w:rFonts w:hint="eastAsia"/>
          <w:b/>
          <w:bCs/>
          <w:color w:val="auto"/>
        </w:rPr>
        <w:t>附件4</w:t>
      </w:r>
    </w:p>
    <w:tbl>
      <w:tblPr>
        <w:tblStyle w:val="55"/>
        <w:tblpPr w:leftFromText="180" w:rightFromText="180" w:vertAnchor="text" w:horzAnchor="page" w:tblpX="1150" w:tblpY="13"/>
        <w:tblOverlap w:val="never"/>
        <w:tblW w:w="9720" w:type="dxa"/>
        <w:tblInd w:w="0" w:type="dxa"/>
        <w:tblLayout w:type="autofit"/>
        <w:tblCellMar>
          <w:top w:w="0" w:type="dxa"/>
          <w:left w:w="108" w:type="dxa"/>
          <w:bottom w:w="0" w:type="dxa"/>
          <w:right w:w="108" w:type="dxa"/>
        </w:tblCellMar>
      </w:tblPr>
      <w:tblGrid>
        <w:gridCol w:w="664"/>
        <w:gridCol w:w="4754"/>
        <w:gridCol w:w="1526"/>
        <w:gridCol w:w="2020"/>
        <w:gridCol w:w="756"/>
      </w:tblGrid>
      <w:tr w14:paraId="7EFEBC12">
        <w:tblPrEx>
          <w:tblCellMar>
            <w:top w:w="0" w:type="dxa"/>
            <w:left w:w="108" w:type="dxa"/>
            <w:bottom w:w="0" w:type="dxa"/>
            <w:right w:w="108" w:type="dxa"/>
          </w:tblCellMar>
        </w:tblPrEx>
        <w:trPr>
          <w:trHeight w:val="564" w:hRule="atLeast"/>
        </w:trPr>
        <w:tc>
          <w:tcPr>
            <w:tcW w:w="9720" w:type="dxa"/>
            <w:gridSpan w:val="5"/>
            <w:tcBorders>
              <w:top w:val="nil"/>
              <w:left w:val="nil"/>
              <w:bottom w:val="nil"/>
              <w:right w:val="nil"/>
            </w:tcBorders>
            <w:noWrap/>
            <w:vAlign w:val="center"/>
          </w:tcPr>
          <w:p w14:paraId="440FEBF7">
            <w:pPr>
              <w:widowControl/>
              <w:jc w:val="center"/>
              <w:textAlignment w:val="center"/>
              <w:rPr>
                <w:rFonts w:ascii="宋体" w:hAnsi="宋体" w:cs="宋体"/>
                <w:b/>
                <w:bCs/>
                <w:color w:val="auto"/>
                <w:szCs w:val="21"/>
              </w:rPr>
            </w:pPr>
            <w:r>
              <w:rPr>
                <w:rFonts w:hint="eastAsia" w:ascii="宋体" w:hAnsi="宋体" w:cs="宋体"/>
                <w:b/>
                <w:bCs/>
                <w:color w:val="auto"/>
                <w:kern w:val="0"/>
                <w:szCs w:val="21"/>
              </w:rPr>
              <w:t>保洁质量考核标准</w:t>
            </w:r>
          </w:p>
        </w:tc>
      </w:tr>
      <w:tr w14:paraId="09E7FEB7">
        <w:tblPrEx>
          <w:tblCellMar>
            <w:top w:w="0" w:type="dxa"/>
            <w:left w:w="108" w:type="dxa"/>
            <w:bottom w:w="0" w:type="dxa"/>
            <w:right w:w="108" w:type="dxa"/>
          </w:tblCellMar>
        </w:tblPrEx>
        <w:trPr>
          <w:trHeight w:val="283" w:hRule="atLeast"/>
        </w:trPr>
        <w:tc>
          <w:tcPr>
            <w:tcW w:w="9720" w:type="dxa"/>
            <w:gridSpan w:val="5"/>
            <w:tcBorders>
              <w:top w:val="nil"/>
              <w:left w:val="nil"/>
              <w:bottom w:val="nil"/>
              <w:right w:val="nil"/>
            </w:tcBorders>
            <w:noWrap/>
            <w:vAlign w:val="center"/>
          </w:tcPr>
          <w:p w14:paraId="135E76D3">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考核人员：</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rPr>
              <w:t>考核日期：</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年</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月</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日</w:t>
            </w:r>
          </w:p>
        </w:tc>
      </w:tr>
      <w:tr w14:paraId="76A62853">
        <w:tblPrEx>
          <w:tblCellMar>
            <w:top w:w="0" w:type="dxa"/>
            <w:left w:w="108" w:type="dxa"/>
            <w:bottom w:w="0" w:type="dxa"/>
            <w:right w:w="108" w:type="dxa"/>
          </w:tblCellMar>
        </w:tblPrEx>
        <w:trPr>
          <w:trHeight w:val="578"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14:paraId="32A9AE02">
            <w:pPr>
              <w:widowControl/>
              <w:jc w:val="center"/>
              <w:textAlignment w:val="center"/>
              <w:rPr>
                <w:rFonts w:ascii="宋体" w:hAnsi="宋体" w:cs="宋体"/>
                <w:b/>
                <w:bCs/>
                <w:color w:val="auto"/>
                <w:szCs w:val="21"/>
              </w:rPr>
            </w:pPr>
            <w:r>
              <w:rPr>
                <w:rFonts w:hint="eastAsia" w:ascii="宋体" w:hAnsi="宋体" w:cs="宋体"/>
                <w:b/>
                <w:bCs/>
                <w:color w:val="auto"/>
                <w:kern w:val="0"/>
                <w:szCs w:val="21"/>
              </w:rPr>
              <w:t>项目</w:t>
            </w:r>
          </w:p>
        </w:tc>
        <w:tc>
          <w:tcPr>
            <w:tcW w:w="4754" w:type="dxa"/>
            <w:tcBorders>
              <w:top w:val="single" w:color="000000" w:sz="4" w:space="0"/>
              <w:left w:val="single" w:color="000000" w:sz="4" w:space="0"/>
              <w:bottom w:val="single" w:color="000000" w:sz="4" w:space="0"/>
              <w:right w:val="single" w:color="000000" w:sz="4" w:space="0"/>
            </w:tcBorders>
            <w:noWrap/>
            <w:vAlign w:val="center"/>
          </w:tcPr>
          <w:p w14:paraId="3D91617D">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考核内容</w:t>
            </w:r>
          </w:p>
        </w:tc>
        <w:tc>
          <w:tcPr>
            <w:tcW w:w="1526" w:type="dxa"/>
            <w:tcBorders>
              <w:top w:val="single" w:color="000000" w:sz="4" w:space="0"/>
              <w:left w:val="single" w:color="000000" w:sz="4" w:space="0"/>
              <w:bottom w:val="single" w:color="000000" w:sz="4" w:space="0"/>
              <w:right w:val="single" w:color="000000" w:sz="4" w:space="0"/>
            </w:tcBorders>
            <w:noWrap/>
            <w:vAlign w:val="center"/>
          </w:tcPr>
          <w:p w14:paraId="205A2D67">
            <w:pPr>
              <w:widowControl/>
              <w:jc w:val="center"/>
              <w:textAlignment w:val="center"/>
              <w:rPr>
                <w:rFonts w:ascii="宋体" w:hAnsi="宋体" w:cs="宋体"/>
                <w:b/>
                <w:bCs/>
                <w:color w:val="auto"/>
                <w:szCs w:val="21"/>
              </w:rPr>
            </w:pPr>
            <w:r>
              <w:rPr>
                <w:rFonts w:hint="eastAsia" w:ascii="宋体" w:hAnsi="宋体" w:cs="宋体"/>
                <w:b/>
                <w:bCs/>
                <w:color w:val="auto"/>
                <w:kern w:val="0"/>
                <w:szCs w:val="21"/>
              </w:rPr>
              <w:t>扣分标准</w:t>
            </w: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2E42E76E">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存在问题</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AE3B44C">
            <w:pPr>
              <w:widowControl/>
              <w:jc w:val="center"/>
              <w:textAlignment w:val="center"/>
              <w:rPr>
                <w:rFonts w:ascii="宋体" w:hAnsi="宋体" w:cs="宋体"/>
                <w:b/>
                <w:bCs/>
                <w:color w:val="auto"/>
                <w:szCs w:val="21"/>
              </w:rPr>
            </w:pPr>
            <w:r>
              <w:rPr>
                <w:rFonts w:hint="eastAsia" w:ascii="宋体" w:hAnsi="宋体" w:cs="宋体"/>
                <w:b/>
                <w:bCs/>
                <w:color w:val="auto"/>
                <w:kern w:val="0"/>
                <w:szCs w:val="21"/>
              </w:rPr>
              <w:t>扣分</w:t>
            </w:r>
          </w:p>
        </w:tc>
      </w:tr>
      <w:tr w14:paraId="7881AD1C">
        <w:tblPrEx>
          <w:tblCellMar>
            <w:top w:w="0" w:type="dxa"/>
            <w:left w:w="108" w:type="dxa"/>
            <w:bottom w:w="0" w:type="dxa"/>
            <w:right w:w="108" w:type="dxa"/>
          </w:tblCellMar>
        </w:tblPrEx>
        <w:trPr>
          <w:trHeight w:val="1509" w:hRule="atLeast"/>
        </w:trPr>
        <w:tc>
          <w:tcPr>
            <w:tcW w:w="664" w:type="dxa"/>
            <w:vMerge w:val="restart"/>
            <w:tcBorders>
              <w:top w:val="single" w:color="000000" w:sz="4" w:space="0"/>
              <w:left w:val="single" w:color="000000" w:sz="4" w:space="0"/>
              <w:bottom w:val="nil"/>
              <w:right w:val="single" w:color="000000" w:sz="4" w:space="0"/>
            </w:tcBorders>
            <w:noWrap/>
            <w:vAlign w:val="center"/>
          </w:tcPr>
          <w:p w14:paraId="0AA4C11A">
            <w:pPr>
              <w:widowControl/>
              <w:jc w:val="center"/>
              <w:textAlignment w:val="center"/>
              <w:rPr>
                <w:rFonts w:ascii="宋体" w:hAnsi="宋体" w:cs="宋体"/>
                <w:color w:val="auto"/>
                <w:szCs w:val="21"/>
              </w:rPr>
            </w:pPr>
            <w:r>
              <w:rPr>
                <w:rFonts w:hint="eastAsia" w:ascii="宋体" w:hAnsi="宋体" w:cs="宋体"/>
                <w:color w:val="auto"/>
                <w:kern w:val="0"/>
                <w:szCs w:val="21"/>
              </w:rPr>
              <w:t>保</w:t>
            </w:r>
            <w:r>
              <w:rPr>
                <w:rFonts w:hint="eastAsia" w:ascii="宋体" w:hAnsi="宋体" w:cs="宋体"/>
                <w:color w:val="auto"/>
                <w:kern w:val="0"/>
                <w:szCs w:val="21"/>
              </w:rPr>
              <w:br w:type="textWrapping"/>
            </w:r>
            <w:r>
              <w:rPr>
                <w:rFonts w:hint="eastAsia" w:ascii="宋体" w:hAnsi="宋体" w:cs="宋体"/>
                <w:color w:val="auto"/>
                <w:kern w:val="0"/>
                <w:szCs w:val="21"/>
              </w:rPr>
              <w:t>洁</w:t>
            </w:r>
          </w:p>
        </w:tc>
        <w:tc>
          <w:tcPr>
            <w:tcW w:w="4754" w:type="dxa"/>
            <w:tcBorders>
              <w:top w:val="single" w:color="000000" w:sz="4" w:space="0"/>
              <w:left w:val="nil"/>
              <w:bottom w:val="single" w:color="000000" w:sz="4" w:space="0"/>
              <w:right w:val="nil"/>
            </w:tcBorders>
            <w:noWrap/>
            <w:vAlign w:val="center"/>
          </w:tcPr>
          <w:p w14:paraId="177BE50A">
            <w:pPr>
              <w:widowControl/>
              <w:jc w:val="left"/>
              <w:textAlignment w:val="center"/>
              <w:rPr>
                <w:rFonts w:ascii="宋体" w:hAnsi="宋体" w:cs="宋体"/>
                <w:color w:val="auto"/>
                <w:szCs w:val="21"/>
              </w:rPr>
            </w:pPr>
            <w:r>
              <w:rPr>
                <w:rFonts w:hint="eastAsia" w:ascii="宋体" w:hAnsi="宋体" w:cs="宋体"/>
                <w:color w:val="auto"/>
                <w:kern w:val="0"/>
                <w:szCs w:val="21"/>
              </w:rPr>
              <w:t>区域内地面（含走廊、楼梯）：随时保持清洁，做到：无垃圾、无痰迹，无烟头，无血迹及呕吐物痕迹，无口香糖等，回南天及雨天，要加强干燥、防滑处理，做到地面无积水，地漏通畅无堵塞，楼道内无堆积杂物。踢脚线干净无污渍，无积尘。</w:t>
            </w:r>
          </w:p>
        </w:tc>
        <w:tc>
          <w:tcPr>
            <w:tcW w:w="1526" w:type="dxa"/>
            <w:vMerge w:val="restart"/>
            <w:tcBorders>
              <w:top w:val="single" w:color="000000" w:sz="4" w:space="0"/>
              <w:left w:val="single" w:color="000000" w:sz="4" w:space="0"/>
              <w:bottom w:val="single" w:color="000000" w:sz="4" w:space="0"/>
              <w:right w:val="single" w:color="000000" w:sz="4" w:space="0"/>
            </w:tcBorders>
            <w:noWrap/>
            <w:vAlign w:val="center"/>
          </w:tcPr>
          <w:p w14:paraId="552745CB">
            <w:pPr>
              <w:widowControl/>
              <w:jc w:val="center"/>
              <w:textAlignment w:val="center"/>
              <w:rPr>
                <w:rFonts w:ascii="宋体" w:hAnsi="宋体" w:cs="宋体"/>
                <w:color w:val="auto"/>
                <w:szCs w:val="21"/>
              </w:rPr>
            </w:pPr>
            <w:r>
              <w:rPr>
                <w:rFonts w:hint="eastAsia" w:ascii="宋体" w:hAnsi="宋体" w:cs="宋体"/>
                <w:color w:val="auto"/>
                <w:kern w:val="0"/>
                <w:szCs w:val="21"/>
              </w:rPr>
              <w:t>一处不符合要求扣1分</w:t>
            </w:r>
          </w:p>
        </w:tc>
        <w:tc>
          <w:tcPr>
            <w:tcW w:w="2020" w:type="dxa"/>
            <w:tcBorders>
              <w:top w:val="single" w:color="000000" w:sz="4" w:space="0"/>
              <w:left w:val="nil"/>
              <w:bottom w:val="single" w:color="000000" w:sz="4" w:space="0"/>
              <w:right w:val="single" w:color="000000" w:sz="4" w:space="0"/>
            </w:tcBorders>
            <w:noWrap/>
            <w:vAlign w:val="center"/>
          </w:tcPr>
          <w:p w14:paraId="32D534D9">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9D14B8A">
            <w:pPr>
              <w:rPr>
                <w:rFonts w:ascii="宋体" w:hAnsi="宋体" w:cs="宋体"/>
                <w:color w:val="auto"/>
                <w:szCs w:val="21"/>
              </w:rPr>
            </w:pPr>
          </w:p>
        </w:tc>
      </w:tr>
      <w:tr w14:paraId="2D26F034">
        <w:tblPrEx>
          <w:tblCellMar>
            <w:top w:w="0" w:type="dxa"/>
            <w:left w:w="108" w:type="dxa"/>
            <w:bottom w:w="0" w:type="dxa"/>
            <w:right w:w="108" w:type="dxa"/>
          </w:tblCellMar>
        </w:tblPrEx>
        <w:trPr>
          <w:trHeight w:val="1229"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66094DFC">
            <w:pPr>
              <w:jc w:val="center"/>
              <w:rPr>
                <w:rFonts w:ascii="宋体" w:hAnsi="宋体" w:cs="宋体"/>
                <w:color w:val="auto"/>
                <w:szCs w:val="21"/>
              </w:rPr>
            </w:pPr>
          </w:p>
        </w:tc>
        <w:tc>
          <w:tcPr>
            <w:tcW w:w="4754" w:type="dxa"/>
            <w:tcBorders>
              <w:top w:val="single" w:color="000000" w:sz="4" w:space="0"/>
              <w:left w:val="nil"/>
              <w:bottom w:val="single" w:color="000000" w:sz="4" w:space="0"/>
              <w:right w:val="nil"/>
            </w:tcBorders>
            <w:noWrap/>
            <w:vAlign w:val="center"/>
          </w:tcPr>
          <w:p w14:paraId="7A0581F7">
            <w:pPr>
              <w:widowControl/>
              <w:jc w:val="left"/>
              <w:textAlignment w:val="center"/>
              <w:rPr>
                <w:rFonts w:ascii="宋体" w:hAnsi="宋体" w:cs="宋体"/>
                <w:color w:val="auto"/>
                <w:szCs w:val="21"/>
              </w:rPr>
            </w:pPr>
            <w:r>
              <w:rPr>
                <w:rFonts w:hint="eastAsia" w:ascii="宋体" w:hAnsi="宋体" w:cs="宋体"/>
                <w:color w:val="auto"/>
                <w:kern w:val="0"/>
                <w:szCs w:val="21"/>
              </w:rPr>
              <w:t>立面、门窗、窗槽、扶手等无积尘（手摸10CM长度无黑灰尘）、无可去除污渍、无杂乱张贴物，无蜘蛛网、虫网；玻璃、镜面干净明亮，无污渍，无胶点，无漆点，无手印，水渍。</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7C7B536A">
            <w:pPr>
              <w:jc w:val="center"/>
              <w:rPr>
                <w:rFonts w:ascii="宋体" w:hAnsi="宋体" w:cs="宋体"/>
                <w:color w:val="auto"/>
                <w:szCs w:val="21"/>
              </w:rPr>
            </w:pPr>
          </w:p>
        </w:tc>
        <w:tc>
          <w:tcPr>
            <w:tcW w:w="2020" w:type="dxa"/>
            <w:tcBorders>
              <w:top w:val="single" w:color="000000" w:sz="4" w:space="0"/>
              <w:left w:val="nil"/>
              <w:bottom w:val="single" w:color="000000" w:sz="4" w:space="0"/>
              <w:right w:val="single" w:color="000000" w:sz="4" w:space="0"/>
            </w:tcBorders>
            <w:noWrap/>
            <w:vAlign w:val="center"/>
          </w:tcPr>
          <w:p w14:paraId="28C2395E">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B381271">
            <w:pPr>
              <w:rPr>
                <w:rFonts w:ascii="宋体" w:hAnsi="宋体" w:cs="宋体"/>
                <w:color w:val="auto"/>
                <w:szCs w:val="21"/>
              </w:rPr>
            </w:pPr>
          </w:p>
        </w:tc>
      </w:tr>
      <w:tr w14:paraId="714410D1">
        <w:tblPrEx>
          <w:tblCellMar>
            <w:top w:w="0" w:type="dxa"/>
            <w:left w:w="108" w:type="dxa"/>
            <w:bottom w:w="0" w:type="dxa"/>
            <w:right w:w="108" w:type="dxa"/>
          </w:tblCellMar>
        </w:tblPrEx>
        <w:trPr>
          <w:trHeight w:val="1260"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4C14E8B8">
            <w:pPr>
              <w:jc w:val="center"/>
              <w:rPr>
                <w:rFonts w:ascii="宋体" w:hAnsi="宋体" w:cs="宋体"/>
                <w:color w:val="auto"/>
                <w:szCs w:val="21"/>
              </w:rPr>
            </w:pPr>
          </w:p>
        </w:tc>
        <w:tc>
          <w:tcPr>
            <w:tcW w:w="4754" w:type="dxa"/>
            <w:tcBorders>
              <w:top w:val="single" w:color="000000" w:sz="4" w:space="0"/>
              <w:left w:val="nil"/>
              <w:bottom w:val="single" w:color="000000" w:sz="4" w:space="0"/>
              <w:right w:val="nil"/>
            </w:tcBorders>
            <w:noWrap/>
            <w:vAlign w:val="center"/>
          </w:tcPr>
          <w:p w14:paraId="7E34F653">
            <w:pPr>
              <w:widowControl/>
              <w:jc w:val="left"/>
              <w:textAlignment w:val="center"/>
              <w:rPr>
                <w:rFonts w:ascii="宋体" w:hAnsi="宋体" w:cs="宋体"/>
                <w:color w:val="auto"/>
                <w:szCs w:val="21"/>
              </w:rPr>
            </w:pPr>
            <w:r>
              <w:rPr>
                <w:rFonts w:hint="eastAsia" w:ascii="宋体" w:hAnsi="宋体" w:cs="宋体"/>
                <w:color w:val="auto"/>
                <w:kern w:val="0"/>
                <w:szCs w:val="21"/>
              </w:rPr>
              <w:t>各物体（桌椅柜，电器，装饰物、指示牌、广告牌及消防设施等）表面干净、整洁，无积尘、无张贴，无污渍，无杂物，无蜘蛛网。不锈钢物品做好保养，表面光亮，无灰尘，无划痕，无锈迹。</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35AAEDC3">
            <w:pPr>
              <w:jc w:val="center"/>
              <w:rPr>
                <w:rFonts w:ascii="宋体" w:hAnsi="宋体" w:cs="宋体"/>
                <w:color w:val="auto"/>
                <w:szCs w:val="21"/>
              </w:rPr>
            </w:pPr>
          </w:p>
        </w:tc>
        <w:tc>
          <w:tcPr>
            <w:tcW w:w="2020" w:type="dxa"/>
            <w:tcBorders>
              <w:top w:val="single" w:color="000000" w:sz="4" w:space="0"/>
              <w:left w:val="nil"/>
              <w:bottom w:val="single" w:color="000000" w:sz="4" w:space="0"/>
              <w:right w:val="single" w:color="000000" w:sz="4" w:space="0"/>
            </w:tcBorders>
            <w:noWrap/>
            <w:vAlign w:val="center"/>
          </w:tcPr>
          <w:p w14:paraId="07EA93DF">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742AE44">
            <w:pPr>
              <w:rPr>
                <w:rFonts w:ascii="宋体" w:hAnsi="宋体" w:cs="宋体"/>
                <w:color w:val="auto"/>
                <w:szCs w:val="21"/>
              </w:rPr>
            </w:pPr>
          </w:p>
        </w:tc>
      </w:tr>
      <w:tr w14:paraId="0397BEF0">
        <w:tblPrEx>
          <w:tblCellMar>
            <w:top w:w="0" w:type="dxa"/>
            <w:left w:w="108" w:type="dxa"/>
            <w:bottom w:w="0" w:type="dxa"/>
            <w:right w:w="108" w:type="dxa"/>
          </w:tblCellMar>
        </w:tblPrEx>
        <w:trPr>
          <w:trHeight w:val="1143"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48C1FF50">
            <w:pPr>
              <w:jc w:val="center"/>
              <w:rPr>
                <w:rFonts w:ascii="宋体" w:hAnsi="宋体" w:cs="宋体"/>
                <w:color w:val="auto"/>
                <w:szCs w:val="21"/>
              </w:rPr>
            </w:pPr>
          </w:p>
        </w:tc>
        <w:tc>
          <w:tcPr>
            <w:tcW w:w="4754" w:type="dxa"/>
            <w:tcBorders>
              <w:top w:val="single" w:color="000000" w:sz="4" w:space="0"/>
              <w:left w:val="nil"/>
              <w:bottom w:val="single" w:color="000000" w:sz="4" w:space="0"/>
              <w:right w:val="nil"/>
            </w:tcBorders>
            <w:noWrap/>
            <w:vAlign w:val="center"/>
          </w:tcPr>
          <w:p w14:paraId="33612045">
            <w:pPr>
              <w:widowControl/>
              <w:jc w:val="left"/>
              <w:textAlignment w:val="center"/>
              <w:rPr>
                <w:rFonts w:ascii="宋体" w:hAnsi="宋体" w:cs="宋体"/>
                <w:color w:val="auto"/>
                <w:szCs w:val="21"/>
              </w:rPr>
            </w:pPr>
            <w:r>
              <w:rPr>
                <w:rFonts w:hint="eastAsia" w:ascii="宋体" w:hAnsi="宋体" w:cs="宋体"/>
                <w:color w:val="auto"/>
                <w:kern w:val="0"/>
                <w:szCs w:val="21"/>
              </w:rPr>
              <w:t>阳台、卫生间（含洗手盆，便器、花洒、置物架等）：空气清新，无异味、积尘、污渍、水迹、杂物、洁具无水锈，便器无残留粪污，排水口无堆积物、毛发。</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347D71E2">
            <w:pPr>
              <w:jc w:val="center"/>
              <w:rPr>
                <w:rFonts w:ascii="宋体" w:hAnsi="宋体" w:cs="宋体"/>
                <w:color w:val="auto"/>
                <w:szCs w:val="21"/>
              </w:rPr>
            </w:pPr>
          </w:p>
        </w:tc>
        <w:tc>
          <w:tcPr>
            <w:tcW w:w="2020" w:type="dxa"/>
            <w:tcBorders>
              <w:top w:val="single" w:color="000000" w:sz="4" w:space="0"/>
              <w:left w:val="nil"/>
              <w:bottom w:val="single" w:color="000000" w:sz="4" w:space="0"/>
              <w:right w:val="single" w:color="000000" w:sz="4" w:space="0"/>
            </w:tcBorders>
            <w:noWrap/>
            <w:vAlign w:val="center"/>
          </w:tcPr>
          <w:p w14:paraId="0FA4E609">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C6EEC6F">
            <w:pPr>
              <w:rPr>
                <w:rFonts w:ascii="宋体" w:hAnsi="宋体" w:cs="宋体"/>
                <w:color w:val="auto"/>
                <w:szCs w:val="21"/>
              </w:rPr>
            </w:pPr>
          </w:p>
        </w:tc>
      </w:tr>
      <w:tr w14:paraId="777A77E7">
        <w:tblPrEx>
          <w:tblCellMar>
            <w:top w:w="0" w:type="dxa"/>
            <w:left w:w="108" w:type="dxa"/>
            <w:bottom w:w="0" w:type="dxa"/>
            <w:right w:w="108" w:type="dxa"/>
          </w:tblCellMar>
        </w:tblPrEx>
        <w:trPr>
          <w:trHeight w:val="1260"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4252F0BD">
            <w:pPr>
              <w:jc w:val="center"/>
              <w:rPr>
                <w:rFonts w:ascii="宋体" w:hAnsi="宋体" w:cs="宋体"/>
                <w:color w:val="auto"/>
                <w:szCs w:val="21"/>
              </w:rPr>
            </w:pPr>
          </w:p>
        </w:tc>
        <w:tc>
          <w:tcPr>
            <w:tcW w:w="4754" w:type="dxa"/>
            <w:tcBorders>
              <w:top w:val="single" w:color="000000" w:sz="4" w:space="0"/>
              <w:left w:val="nil"/>
              <w:bottom w:val="single" w:color="000000" w:sz="4" w:space="0"/>
              <w:right w:val="nil"/>
            </w:tcBorders>
            <w:noWrap/>
            <w:vAlign w:val="center"/>
          </w:tcPr>
          <w:p w14:paraId="21D5220F">
            <w:pPr>
              <w:widowControl/>
              <w:jc w:val="left"/>
              <w:textAlignment w:val="center"/>
              <w:rPr>
                <w:rFonts w:ascii="宋体" w:hAnsi="宋体" w:cs="宋体"/>
                <w:color w:val="auto"/>
                <w:szCs w:val="21"/>
              </w:rPr>
            </w:pPr>
            <w:r>
              <w:rPr>
                <w:rFonts w:hint="eastAsia" w:ascii="宋体" w:hAnsi="宋体" w:cs="宋体"/>
                <w:color w:val="auto"/>
                <w:kern w:val="0"/>
                <w:szCs w:val="21"/>
              </w:rPr>
              <w:t>病区根据要求上下午上班及下班前各收一次垃圾，垃圾箱/桶内垃圾超过容器的3/4时随时清理，垃圾箱表面干净无污迹、灰尘、桶内无异味，无蚊蝇乱飞，周边无污水，无散落垃圾。</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2F64E4B5">
            <w:pPr>
              <w:jc w:val="center"/>
              <w:rPr>
                <w:rFonts w:ascii="宋体" w:hAnsi="宋体" w:cs="宋体"/>
                <w:color w:val="auto"/>
                <w:szCs w:val="21"/>
              </w:rPr>
            </w:pPr>
          </w:p>
        </w:tc>
        <w:tc>
          <w:tcPr>
            <w:tcW w:w="2020" w:type="dxa"/>
            <w:tcBorders>
              <w:top w:val="single" w:color="000000" w:sz="4" w:space="0"/>
              <w:left w:val="nil"/>
              <w:bottom w:val="single" w:color="000000" w:sz="4" w:space="0"/>
              <w:right w:val="single" w:color="000000" w:sz="4" w:space="0"/>
            </w:tcBorders>
            <w:noWrap/>
            <w:vAlign w:val="center"/>
          </w:tcPr>
          <w:p w14:paraId="7A68361A">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5772833">
            <w:pPr>
              <w:rPr>
                <w:rFonts w:ascii="宋体" w:hAnsi="宋体" w:cs="宋体"/>
                <w:color w:val="auto"/>
                <w:szCs w:val="21"/>
              </w:rPr>
            </w:pPr>
          </w:p>
        </w:tc>
      </w:tr>
      <w:tr w14:paraId="5C28C202">
        <w:tblPrEx>
          <w:tblCellMar>
            <w:top w:w="0" w:type="dxa"/>
            <w:left w:w="108" w:type="dxa"/>
            <w:bottom w:w="0" w:type="dxa"/>
            <w:right w:w="108" w:type="dxa"/>
          </w:tblCellMar>
        </w:tblPrEx>
        <w:trPr>
          <w:trHeight w:val="1975"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31098D23">
            <w:pPr>
              <w:jc w:val="center"/>
              <w:rPr>
                <w:rFonts w:ascii="宋体" w:hAnsi="宋体" w:cs="宋体"/>
                <w:color w:val="auto"/>
                <w:szCs w:val="21"/>
              </w:rPr>
            </w:pPr>
          </w:p>
        </w:tc>
        <w:tc>
          <w:tcPr>
            <w:tcW w:w="4754" w:type="dxa"/>
            <w:tcBorders>
              <w:top w:val="single" w:color="000000" w:sz="4" w:space="0"/>
              <w:left w:val="nil"/>
              <w:bottom w:val="single" w:color="000000" w:sz="4" w:space="0"/>
              <w:right w:val="nil"/>
            </w:tcBorders>
            <w:noWrap/>
            <w:vAlign w:val="center"/>
          </w:tcPr>
          <w:p w14:paraId="1E843B1F">
            <w:pPr>
              <w:widowControl/>
              <w:jc w:val="left"/>
              <w:textAlignment w:val="center"/>
              <w:rPr>
                <w:rFonts w:ascii="宋体" w:hAnsi="宋体" w:cs="宋体"/>
                <w:color w:val="auto"/>
                <w:szCs w:val="21"/>
              </w:rPr>
            </w:pPr>
            <w:r>
              <w:rPr>
                <w:rFonts w:hint="eastAsia" w:ascii="宋体" w:hAnsi="宋体" w:cs="宋体"/>
                <w:color w:val="auto"/>
                <w:kern w:val="0"/>
                <w:szCs w:val="21"/>
              </w:rPr>
              <w:t>被血液、体液污染或传染病人病房的地、床、桌、操作台、病人用物、室内外环境保洁以及病人出院后的终末消毒要达到国家及医疗卫生行业医院《医院消毒卫生标准》《医疗机构消毒技术规范》《医疗机构环境表面清洁与消毒管理规范》等标准要求。</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0A5B2647">
            <w:pPr>
              <w:jc w:val="center"/>
              <w:rPr>
                <w:rFonts w:ascii="宋体" w:hAnsi="宋体" w:cs="宋体"/>
                <w:color w:val="auto"/>
                <w:szCs w:val="21"/>
              </w:rPr>
            </w:pPr>
          </w:p>
        </w:tc>
        <w:tc>
          <w:tcPr>
            <w:tcW w:w="2020" w:type="dxa"/>
            <w:tcBorders>
              <w:top w:val="single" w:color="000000" w:sz="4" w:space="0"/>
              <w:left w:val="nil"/>
              <w:bottom w:val="single" w:color="000000" w:sz="4" w:space="0"/>
              <w:right w:val="single" w:color="000000" w:sz="4" w:space="0"/>
            </w:tcBorders>
            <w:noWrap/>
            <w:vAlign w:val="center"/>
          </w:tcPr>
          <w:p w14:paraId="55B9F323">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DA80338">
            <w:pPr>
              <w:rPr>
                <w:rFonts w:ascii="宋体" w:hAnsi="宋体" w:cs="宋体"/>
                <w:color w:val="auto"/>
                <w:szCs w:val="21"/>
              </w:rPr>
            </w:pPr>
          </w:p>
        </w:tc>
      </w:tr>
      <w:tr w14:paraId="1146AD2A">
        <w:tblPrEx>
          <w:tblCellMar>
            <w:top w:w="0" w:type="dxa"/>
            <w:left w:w="108" w:type="dxa"/>
            <w:bottom w:w="0" w:type="dxa"/>
            <w:right w:w="108" w:type="dxa"/>
          </w:tblCellMar>
        </w:tblPrEx>
        <w:trPr>
          <w:trHeight w:val="578"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63DF5650">
            <w:pPr>
              <w:jc w:val="center"/>
              <w:rPr>
                <w:rFonts w:ascii="宋体" w:hAnsi="宋体" w:cs="宋体"/>
                <w:color w:val="auto"/>
                <w:szCs w:val="21"/>
              </w:rPr>
            </w:pPr>
          </w:p>
        </w:tc>
        <w:tc>
          <w:tcPr>
            <w:tcW w:w="4754" w:type="dxa"/>
            <w:tcBorders>
              <w:top w:val="single" w:color="000000" w:sz="4" w:space="0"/>
              <w:left w:val="nil"/>
              <w:bottom w:val="single" w:color="000000" w:sz="4" w:space="0"/>
              <w:right w:val="nil"/>
            </w:tcBorders>
            <w:noWrap/>
            <w:vAlign w:val="center"/>
          </w:tcPr>
          <w:p w14:paraId="689EE521">
            <w:pPr>
              <w:widowControl/>
              <w:jc w:val="left"/>
              <w:textAlignment w:val="center"/>
              <w:rPr>
                <w:rFonts w:ascii="宋体" w:hAnsi="宋体" w:cs="宋体"/>
                <w:color w:val="auto"/>
                <w:szCs w:val="21"/>
              </w:rPr>
            </w:pPr>
            <w:r>
              <w:rPr>
                <w:rFonts w:hint="eastAsia" w:ascii="宋体" w:hAnsi="宋体" w:cs="宋体"/>
                <w:color w:val="auto"/>
                <w:kern w:val="0"/>
                <w:szCs w:val="21"/>
              </w:rPr>
              <w:t>根据需要摆放警示标识，及时巡视保洁区域卫生情况，及时进行点扫。</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5076A578">
            <w:pPr>
              <w:jc w:val="center"/>
              <w:rPr>
                <w:rFonts w:ascii="宋体" w:hAnsi="宋体" w:cs="宋体"/>
                <w:color w:val="auto"/>
                <w:szCs w:val="21"/>
              </w:rPr>
            </w:pPr>
          </w:p>
        </w:tc>
        <w:tc>
          <w:tcPr>
            <w:tcW w:w="2020" w:type="dxa"/>
            <w:tcBorders>
              <w:top w:val="single" w:color="000000" w:sz="4" w:space="0"/>
              <w:left w:val="nil"/>
              <w:bottom w:val="single" w:color="000000" w:sz="4" w:space="0"/>
              <w:right w:val="single" w:color="000000" w:sz="4" w:space="0"/>
            </w:tcBorders>
            <w:noWrap/>
            <w:vAlign w:val="center"/>
          </w:tcPr>
          <w:p w14:paraId="3B07BFDA">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A5E75D5">
            <w:pPr>
              <w:rPr>
                <w:rFonts w:ascii="宋体" w:hAnsi="宋体" w:cs="宋体"/>
                <w:color w:val="auto"/>
                <w:szCs w:val="21"/>
              </w:rPr>
            </w:pPr>
          </w:p>
        </w:tc>
      </w:tr>
      <w:tr w14:paraId="76955CE7">
        <w:tblPrEx>
          <w:tblCellMar>
            <w:top w:w="0" w:type="dxa"/>
            <w:left w:w="108" w:type="dxa"/>
            <w:bottom w:w="0" w:type="dxa"/>
            <w:right w:w="108" w:type="dxa"/>
          </w:tblCellMar>
        </w:tblPrEx>
        <w:trPr>
          <w:trHeight w:val="578"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34F42666">
            <w:pPr>
              <w:jc w:val="center"/>
              <w:rPr>
                <w:rFonts w:ascii="宋体" w:hAnsi="宋体" w:cs="宋体"/>
                <w:color w:val="auto"/>
                <w:szCs w:val="21"/>
              </w:rPr>
            </w:pPr>
          </w:p>
        </w:tc>
        <w:tc>
          <w:tcPr>
            <w:tcW w:w="4754" w:type="dxa"/>
            <w:tcBorders>
              <w:top w:val="single" w:color="000000" w:sz="4" w:space="0"/>
              <w:left w:val="nil"/>
              <w:bottom w:val="single" w:color="000000" w:sz="4" w:space="0"/>
              <w:right w:val="nil"/>
            </w:tcBorders>
            <w:noWrap/>
            <w:vAlign w:val="center"/>
          </w:tcPr>
          <w:p w14:paraId="5186732D">
            <w:pPr>
              <w:widowControl/>
              <w:jc w:val="left"/>
              <w:textAlignment w:val="center"/>
              <w:rPr>
                <w:rFonts w:ascii="宋体" w:hAnsi="宋体" w:cs="宋体"/>
                <w:color w:val="auto"/>
                <w:szCs w:val="21"/>
              </w:rPr>
            </w:pPr>
            <w:r>
              <w:rPr>
                <w:rFonts w:hint="eastAsia" w:ascii="宋体" w:hAnsi="宋体" w:cs="宋体"/>
                <w:color w:val="auto"/>
                <w:kern w:val="0"/>
                <w:szCs w:val="21"/>
              </w:rPr>
              <w:t>污物间整洁，无异味，各类物品按要求分区分类放置，标志清楚。</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659035CD">
            <w:pPr>
              <w:jc w:val="center"/>
              <w:rPr>
                <w:rFonts w:ascii="宋体" w:hAnsi="宋体" w:cs="宋体"/>
                <w:color w:val="auto"/>
                <w:szCs w:val="21"/>
              </w:rPr>
            </w:pPr>
          </w:p>
        </w:tc>
        <w:tc>
          <w:tcPr>
            <w:tcW w:w="2020" w:type="dxa"/>
            <w:tcBorders>
              <w:top w:val="single" w:color="000000" w:sz="4" w:space="0"/>
              <w:left w:val="nil"/>
              <w:bottom w:val="single" w:color="000000" w:sz="4" w:space="0"/>
              <w:right w:val="single" w:color="000000" w:sz="4" w:space="0"/>
            </w:tcBorders>
            <w:noWrap/>
            <w:vAlign w:val="center"/>
          </w:tcPr>
          <w:p w14:paraId="169E36BA">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1858053">
            <w:pPr>
              <w:rPr>
                <w:rFonts w:ascii="宋体" w:hAnsi="宋体" w:cs="宋体"/>
                <w:color w:val="auto"/>
                <w:szCs w:val="21"/>
              </w:rPr>
            </w:pPr>
          </w:p>
        </w:tc>
      </w:tr>
      <w:tr w14:paraId="31794CF1">
        <w:tblPrEx>
          <w:tblCellMar>
            <w:top w:w="0" w:type="dxa"/>
            <w:left w:w="108" w:type="dxa"/>
            <w:bottom w:w="0" w:type="dxa"/>
            <w:right w:w="108" w:type="dxa"/>
          </w:tblCellMar>
        </w:tblPrEx>
        <w:trPr>
          <w:trHeight w:val="1137" w:hRule="atLeast"/>
        </w:trPr>
        <w:tc>
          <w:tcPr>
            <w:tcW w:w="664" w:type="dxa"/>
            <w:vMerge w:val="continue"/>
            <w:tcBorders>
              <w:top w:val="single" w:color="000000" w:sz="4" w:space="0"/>
              <w:left w:val="single" w:color="000000" w:sz="4" w:space="0"/>
              <w:bottom w:val="nil"/>
              <w:right w:val="single" w:color="000000" w:sz="4" w:space="0"/>
            </w:tcBorders>
            <w:noWrap/>
            <w:vAlign w:val="center"/>
          </w:tcPr>
          <w:p w14:paraId="760D4780">
            <w:pPr>
              <w:jc w:val="center"/>
              <w:rPr>
                <w:rFonts w:ascii="宋体" w:hAnsi="宋体" w:cs="宋体"/>
                <w:color w:val="auto"/>
                <w:szCs w:val="21"/>
              </w:rPr>
            </w:pPr>
          </w:p>
        </w:tc>
        <w:tc>
          <w:tcPr>
            <w:tcW w:w="4754" w:type="dxa"/>
            <w:tcBorders>
              <w:top w:val="single" w:color="000000" w:sz="4" w:space="0"/>
              <w:left w:val="nil"/>
              <w:bottom w:val="single" w:color="000000" w:sz="4" w:space="0"/>
              <w:right w:val="nil"/>
            </w:tcBorders>
            <w:noWrap/>
            <w:vAlign w:val="center"/>
          </w:tcPr>
          <w:p w14:paraId="315D0BA8">
            <w:pPr>
              <w:widowControl/>
              <w:jc w:val="left"/>
              <w:textAlignment w:val="center"/>
              <w:rPr>
                <w:rFonts w:ascii="宋体" w:hAnsi="宋体" w:cs="宋体"/>
                <w:color w:val="auto"/>
                <w:szCs w:val="21"/>
              </w:rPr>
            </w:pPr>
            <w:r>
              <w:rPr>
                <w:rFonts w:hint="eastAsia" w:ascii="宋体" w:hAnsi="宋体" w:cs="宋体"/>
                <w:color w:val="auto"/>
                <w:kern w:val="0"/>
                <w:szCs w:val="21"/>
              </w:rPr>
              <w:t>保洁车整洁，车上物品分类分区摆放，不得将使用后或污染的擦拭布中或地中重复浸泡至清洁用水、使用中清洁剂和消毒剂内。</w:t>
            </w:r>
          </w:p>
        </w:tc>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14:paraId="411433D6">
            <w:pPr>
              <w:jc w:val="center"/>
              <w:rPr>
                <w:rFonts w:ascii="宋体" w:hAnsi="宋体" w:cs="宋体"/>
                <w:color w:val="auto"/>
                <w:szCs w:val="21"/>
              </w:rPr>
            </w:pPr>
          </w:p>
        </w:tc>
        <w:tc>
          <w:tcPr>
            <w:tcW w:w="2020" w:type="dxa"/>
            <w:tcBorders>
              <w:top w:val="single" w:color="000000" w:sz="4" w:space="0"/>
              <w:left w:val="nil"/>
              <w:bottom w:val="single" w:color="000000" w:sz="4" w:space="0"/>
              <w:right w:val="single" w:color="000000" w:sz="4" w:space="0"/>
            </w:tcBorders>
            <w:noWrap/>
            <w:vAlign w:val="center"/>
          </w:tcPr>
          <w:p w14:paraId="42FB8BE2">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80EC177">
            <w:pPr>
              <w:rPr>
                <w:rFonts w:ascii="宋体" w:hAnsi="宋体" w:cs="宋体"/>
                <w:color w:val="auto"/>
                <w:szCs w:val="21"/>
              </w:rPr>
            </w:pPr>
          </w:p>
        </w:tc>
      </w:tr>
      <w:tr w14:paraId="4249232D">
        <w:tblPrEx>
          <w:tblCellMar>
            <w:top w:w="0" w:type="dxa"/>
            <w:left w:w="108" w:type="dxa"/>
            <w:bottom w:w="0" w:type="dxa"/>
            <w:right w:w="108" w:type="dxa"/>
          </w:tblCellMar>
        </w:tblPrEx>
        <w:trPr>
          <w:trHeight w:val="578"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14:paraId="25CF5906">
            <w:pPr>
              <w:widowControl/>
              <w:jc w:val="center"/>
              <w:textAlignment w:val="center"/>
              <w:rPr>
                <w:rFonts w:ascii="宋体" w:hAnsi="宋体" w:cs="宋体"/>
                <w:color w:val="auto"/>
                <w:szCs w:val="21"/>
              </w:rPr>
            </w:pPr>
            <w:r>
              <w:rPr>
                <w:rFonts w:hint="eastAsia" w:ascii="宋体" w:hAnsi="宋体" w:cs="宋体"/>
                <w:color w:val="auto"/>
                <w:kern w:val="0"/>
                <w:szCs w:val="21"/>
              </w:rPr>
              <w:t>合计</w:t>
            </w:r>
          </w:p>
        </w:tc>
        <w:tc>
          <w:tcPr>
            <w:tcW w:w="4754" w:type="dxa"/>
            <w:tcBorders>
              <w:top w:val="single" w:color="000000" w:sz="4" w:space="0"/>
              <w:left w:val="single" w:color="000000" w:sz="4" w:space="0"/>
              <w:bottom w:val="single" w:color="000000" w:sz="4" w:space="0"/>
              <w:right w:val="single" w:color="000000" w:sz="4" w:space="0"/>
            </w:tcBorders>
            <w:noWrap/>
            <w:vAlign w:val="center"/>
          </w:tcPr>
          <w:p w14:paraId="123E0941">
            <w:pPr>
              <w:rPr>
                <w:rFonts w:ascii="宋体" w:hAnsi="宋体" w:cs="宋体"/>
                <w:color w:val="auto"/>
                <w:szCs w:val="21"/>
              </w:rPr>
            </w:pPr>
          </w:p>
        </w:tc>
        <w:tc>
          <w:tcPr>
            <w:tcW w:w="1526" w:type="dxa"/>
            <w:tcBorders>
              <w:top w:val="single" w:color="000000" w:sz="4" w:space="0"/>
              <w:left w:val="single" w:color="000000" w:sz="4" w:space="0"/>
              <w:bottom w:val="single" w:color="000000" w:sz="4" w:space="0"/>
              <w:right w:val="single" w:color="000000" w:sz="4" w:space="0"/>
            </w:tcBorders>
            <w:noWrap/>
            <w:vAlign w:val="center"/>
          </w:tcPr>
          <w:p w14:paraId="7716BC21">
            <w:pPr>
              <w:rPr>
                <w:rFonts w:ascii="宋体" w:hAnsi="宋体" w:cs="宋体"/>
                <w:color w:val="auto"/>
                <w:szCs w:val="21"/>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47AE9F16">
            <w:pPr>
              <w:rPr>
                <w:rFonts w:ascii="宋体" w:hAnsi="宋体" w:cs="宋体"/>
                <w:color w:val="auto"/>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D17A22B">
            <w:pPr>
              <w:rPr>
                <w:rFonts w:ascii="宋体" w:hAnsi="宋体" w:cs="宋体"/>
                <w:color w:val="auto"/>
                <w:szCs w:val="21"/>
              </w:rPr>
            </w:pPr>
          </w:p>
        </w:tc>
      </w:tr>
      <w:tr w14:paraId="7DA514EF">
        <w:tblPrEx>
          <w:tblCellMar>
            <w:top w:w="0" w:type="dxa"/>
            <w:left w:w="108" w:type="dxa"/>
            <w:bottom w:w="0" w:type="dxa"/>
            <w:right w:w="108" w:type="dxa"/>
          </w:tblCellMar>
        </w:tblPrEx>
        <w:trPr>
          <w:trHeight w:val="694" w:hRule="atLeast"/>
        </w:trPr>
        <w:tc>
          <w:tcPr>
            <w:tcW w:w="9720" w:type="dxa"/>
            <w:gridSpan w:val="5"/>
            <w:tcBorders>
              <w:top w:val="nil"/>
              <w:left w:val="nil"/>
              <w:bottom w:val="nil"/>
              <w:right w:val="nil"/>
            </w:tcBorders>
            <w:noWrap/>
            <w:vAlign w:val="center"/>
          </w:tcPr>
          <w:p w14:paraId="2C9149C9">
            <w:pPr>
              <w:widowControl/>
              <w:jc w:val="left"/>
              <w:textAlignment w:val="center"/>
              <w:rPr>
                <w:rFonts w:ascii="宋体" w:hAnsi="宋体" w:cs="宋体"/>
                <w:color w:val="auto"/>
                <w:szCs w:val="21"/>
              </w:rPr>
            </w:pPr>
            <w:r>
              <w:rPr>
                <w:rFonts w:hint="eastAsia" w:ascii="宋体" w:hAnsi="宋体" w:cs="宋体"/>
                <w:color w:val="auto"/>
                <w:kern w:val="0"/>
                <w:szCs w:val="21"/>
              </w:rPr>
              <w:t>说明：每月不限于抽10个区域进行考核，结算物业服务费用时按照20元/分标准扣除。</w:t>
            </w:r>
          </w:p>
        </w:tc>
      </w:tr>
    </w:tbl>
    <w:p w14:paraId="72F8F9EA">
      <w:pPr>
        <w:rPr>
          <w:b/>
          <w:bCs/>
          <w:color w:val="auto"/>
        </w:rPr>
      </w:pPr>
      <w:r>
        <w:rPr>
          <w:rFonts w:hint="eastAsia"/>
          <w:b/>
          <w:bCs/>
          <w:color w:val="auto"/>
        </w:rPr>
        <w:t>附件5</w:t>
      </w:r>
    </w:p>
    <w:tbl>
      <w:tblPr>
        <w:tblStyle w:val="55"/>
        <w:tblpPr w:leftFromText="180" w:rightFromText="180" w:vertAnchor="text" w:horzAnchor="page" w:tblpX="1210" w:tblpY="685"/>
        <w:tblOverlap w:val="never"/>
        <w:tblW w:w="9940" w:type="dxa"/>
        <w:tblInd w:w="0" w:type="dxa"/>
        <w:tblLayout w:type="fixed"/>
        <w:tblCellMar>
          <w:top w:w="0" w:type="dxa"/>
          <w:left w:w="108" w:type="dxa"/>
          <w:bottom w:w="0" w:type="dxa"/>
          <w:right w:w="108" w:type="dxa"/>
        </w:tblCellMar>
      </w:tblPr>
      <w:tblGrid>
        <w:gridCol w:w="645"/>
        <w:gridCol w:w="3630"/>
        <w:gridCol w:w="3705"/>
        <w:gridCol w:w="1264"/>
        <w:gridCol w:w="696"/>
      </w:tblGrid>
      <w:tr w14:paraId="5FFC9EEE">
        <w:tblPrEx>
          <w:tblCellMar>
            <w:top w:w="0" w:type="dxa"/>
            <w:left w:w="108" w:type="dxa"/>
            <w:bottom w:w="0" w:type="dxa"/>
            <w:right w:w="108" w:type="dxa"/>
          </w:tblCellMar>
        </w:tblPrEx>
        <w:trPr>
          <w:trHeight w:val="471" w:hRule="atLeast"/>
        </w:trPr>
        <w:tc>
          <w:tcPr>
            <w:tcW w:w="9940" w:type="dxa"/>
            <w:gridSpan w:val="5"/>
            <w:tcBorders>
              <w:top w:val="nil"/>
              <w:left w:val="nil"/>
              <w:bottom w:val="nil"/>
              <w:right w:val="nil"/>
            </w:tcBorders>
            <w:noWrap/>
            <w:vAlign w:val="center"/>
          </w:tcPr>
          <w:p w14:paraId="46C8A7DE">
            <w:pPr>
              <w:widowControl/>
              <w:jc w:val="center"/>
              <w:textAlignment w:val="center"/>
              <w:rPr>
                <w:rFonts w:ascii="宋体" w:hAnsi="宋体" w:cs="宋体"/>
                <w:b/>
                <w:bCs/>
                <w:color w:val="auto"/>
                <w:szCs w:val="21"/>
              </w:rPr>
            </w:pPr>
            <w:r>
              <w:rPr>
                <w:rFonts w:hint="eastAsia" w:ascii="宋体" w:hAnsi="宋体" w:cs="宋体"/>
                <w:b/>
                <w:bCs/>
                <w:color w:val="auto"/>
                <w:kern w:val="0"/>
                <w:szCs w:val="21"/>
              </w:rPr>
              <w:t>绿化养护质量考核标准</w:t>
            </w:r>
          </w:p>
        </w:tc>
      </w:tr>
      <w:tr w14:paraId="65CBA321">
        <w:tblPrEx>
          <w:tblCellMar>
            <w:top w:w="0" w:type="dxa"/>
            <w:left w:w="108" w:type="dxa"/>
            <w:bottom w:w="0" w:type="dxa"/>
            <w:right w:w="108" w:type="dxa"/>
          </w:tblCellMar>
        </w:tblPrEx>
        <w:trPr>
          <w:trHeight w:val="486" w:hRule="atLeast"/>
        </w:trPr>
        <w:tc>
          <w:tcPr>
            <w:tcW w:w="9940" w:type="dxa"/>
            <w:gridSpan w:val="5"/>
            <w:tcBorders>
              <w:top w:val="nil"/>
              <w:left w:val="nil"/>
              <w:bottom w:val="nil"/>
              <w:right w:val="nil"/>
            </w:tcBorders>
            <w:noWrap/>
            <w:vAlign w:val="center"/>
          </w:tcPr>
          <w:p w14:paraId="6B34C2FE">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考核人员：</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rPr>
              <w:t>考核日期：</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年</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月</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日</w:t>
            </w:r>
          </w:p>
        </w:tc>
      </w:tr>
      <w:tr w14:paraId="4DC0422A">
        <w:tblPrEx>
          <w:tblCellMar>
            <w:top w:w="0" w:type="dxa"/>
            <w:left w:w="108" w:type="dxa"/>
            <w:bottom w:w="0" w:type="dxa"/>
            <w:right w:w="108" w:type="dxa"/>
          </w:tblCellMar>
        </w:tblPrEx>
        <w:trPr>
          <w:trHeight w:val="54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2CC418C">
            <w:pPr>
              <w:widowControl/>
              <w:jc w:val="center"/>
              <w:textAlignment w:val="center"/>
              <w:rPr>
                <w:rFonts w:ascii="宋体" w:hAnsi="宋体" w:cs="宋体"/>
                <w:b/>
                <w:bCs/>
                <w:color w:val="auto"/>
                <w:szCs w:val="21"/>
              </w:rPr>
            </w:pPr>
            <w:r>
              <w:rPr>
                <w:rFonts w:hint="eastAsia" w:ascii="宋体" w:hAnsi="宋体" w:cs="宋体"/>
                <w:b/>
                <w:bCs/>
                <w:color w:val="auto"/>
                <w:kern w:val="0"/>
                <w:szCs w:val="21"/>
              </w:rPr>
              <w:t>项目</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5EA6BD4B">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考核内容</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6611D176">
            <w:pPr>
              <w:widowControl/>
              <w:jc w:val="center"/>
              <w:textAlignment w:val="center"/>
              <w:rPr>
                <w:rFonts w:ascii="宋体" w:hAnsi="宋体" w:cs="宋体"/>
                <w:b/>
                <w:bCs/>
                <w:color w:val="auto"/>
                <w:szCs w:val="21"/>
              </w:rPr>
            </w:pPr>
            <w:r>
              <w:rPr>
                <w:rFonts w:hint="eastAsia" w:ascii="宋体" w:hAnsi="宋体" w:cs="宋体"/>
                <w:b/>
                <w:bCs/>
                <w:color w:val="auto"/>
                <w:kern w:val="0"/>
                <w:szCs w:val="21"/>
              </w:rPr>
              <w:t>扣分标准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FBB409B">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存在问题</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608AD6">
            <w:pPr>
              <w:widowControl/>
              <w:jc w:val="center"/>
              <w:textAlignment w:val="center"/>
              <w:rPr>
                <w:rFonts w:ascii="宋体" w:hAnsi="宋体" w:cs="宋体"/>
                <w:b/>
                <w:bCs/>
                <w:color w:val="auto"/>
                <w:szCs w:val="21"/>
              </w:rPr>
            </w:pPr>
            <w:r>
              <w:rPr>
                <w:rFonts w:hint="eastAsia" w:ascii="宋体" w:hAnsi="宋体" w:cs="宋体"/>
                <w:b/>
                <w:bCs/>
                <w:color w:val="auto"/>
                <w:kern w:val="0"/>
                <w:szCs w:val="21"/>
              </w:rPr>
              <w:t>扣分</w:t>
            </w:r>
          </w:p>
        </w:tc>
      </w:tr>
      <w:tr w14:paraId="766C7E04">
        <w:tblPrEx>
          <w:tblCellMar>
            <w:top w:w="0" w:type="dxa"/>
            <w:left w:w="108" w:type="dxa"/>
            <w:bottom w:w="0" w:type="dxa"/>
            <w:right w:w="108" w:type="dxa"/>
          </w:tblCellMar>
        </w:tblPrEx>
        <w:trPr>
          <w:trHeight w:val="10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A627500">
            <w:pPr>
              <w:widowControl/>
              <w:jc w:val="center"/>
              <w:textAlignment w:val="center"/>
              <w:rPr>
                <w:rFonts w:ascii="宋体" w:hAnsi="宋体" w:cs="宋体"/>
                <w:color w:val="auto"/>
                <w:szCs w:val="21"/>
              </w:rPr>
            </w:pPr>
            <w:r>
              <w:rPr>
                <w:rFonts w:hint="eastAsia" w:ascii="宋体" w:hAnsi="宋体" w:cs="宋体"/>
                <w:color w:val="auto"/>
                <w:kern w:val="0"/>
                <w:szCs w:val="21"/>
              </w:rPr>
              <w:t>管理</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25A706D">
            <w:pPr>
              <w:widowControl/>
              <w:jc w:val="left"/>
              <w:textAlignment w:val="center"/>
              <w:rPr>
                <w:rFonts w:ascii="宋体" w:hAnsi="宋体" w:cs="宋体"/>
                <w:color w:val="auto"/>
                <w:szCs w:val="21"/>
              </w:rPr>
            </w:pPr>
            <w:r>
              <w:rPr>
                <w:rFonts w:hint="eastAsia" w:ascii="宋体" w:hAnsi="宋体" w:cs="宋体"/>
                <w:color w:val="auto"/>
                <w:kern w:val="0"/>
                <w:szCs w:val="21"/>
              </w:rPr>
              <w:t>按照养护管理标准和管理要求每月制定工作计划表（含计划和落实情况），月底向医院主管部门报送本月计划落实情况和下月养护计划。</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24B3BCA7">
            <w:pPr>
              <w:widowControl/>
              <w:jc w:val="left"/>
              <w:textAlignment w:val="center"/>
              <w:rPr>
                <w:rFonts w:ascii="宋体" w:hAnsi="宋体" w:cs="宋体"/>
                <w:color w:val="auto"/>
                <w:szCs w:val="21"/>
              </w:rPr>
            </w:pPr>
            <w:r>
              <w:rPr>
                <w:rFonts w:hint="eastAsia" w:ascii="宋体" w:hAnsi="宋体" w:cs="宋体"/>
                <w:color w:val="auto"/>
                <w:kern w:val="0"/>
                <w:szCs w:val="21"/>
              </w:rPr>
              <w:t>无月养护计划，扣3分，未按月养护计划实施酌情扣1—3分。</w:t>
            </w:r>
          </w:p>
        </w:tc>
        <w:tc>
          <w:tcPr>
            <w:tcW w:w="1264" w:type="dxa"/>
            <w:tcBorders>
              <w:top w:val="single" w:color="000000" w:sz="4" w:space="0"/>
              <w:left w:val="single" w:color="000000" w:sz="4" w:space="0"/>
              <w:bottom w:val="single" w:color="000000" w:sz="4" w:space="0"/>
              <w:right w:val="nil"/>
            </w:tcBorders>
            <w:noWrap/>
            <w:vAlign w:val="center"/>
          </w:tcPr>
          <w:p w14:paraId="659E95C7">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755A817">
            <w:pPr>
              <w:rPr>
                <w:rFonts w:ascii="宋体" w:hAnsi="宋体" w:cs="宋体"/>
                <w:color w:val="auto"/>
                <w:szCs w:val="21"/>
              </w:rPr>
            </w:pPr>
          </w:p>
        </w:tc>
      </w:tr>
      <w:tr w14:paraId="6BB3F47F">
        <w:tblPrEx>
          <w:tblCellMar>
            <w:top w:w="0" w:type="dxa"/>
            <w:left w:w="108" w:type="dxa"/>
            <w:bottom w:w="0" w:type="dxa"/>
            <w:right w:w="108" w:type="dxa"/>
          </w:tblCellMar>
        </w:tblPrEx>
        <w:trPr>
          <w:trHeight w:val="1368"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14:paraId="6568F90A">
            <w:pPr>
              <w:widowControl/>
              <w:jc w:val="center"/>
              <w:textAlignment w:val="center"/>
              <w:rPr>
                <w:rFonts w:ascii="宋体" w:hAnsi="宋体" w:cs="宋体"/>
                <w:color w:val="auto"/>
                <w:szCs w:val="21"/>
              </w:rPr>
            </w:pPr>
            <w:r>
              <w:rPr>
                <w:rFonts w:hint="eastAsia" w:ascii="宋体" w:hAnsi="宋体" w:cs="宋体"/>
                <w:color w:val="auto"/>
                <w:kern w:val="0"/>
                <w:szCs w:val="21"/>
              </w:rPr>
              <w:t>卫生保洁</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161D1E4E">
            <w:pPr>
              <w:widowControl/>
              <w:jc w:val="left"/>
              <w:textAlignment w:val="center"/>
              <w:rPr>
                <w:rFonts w:ascii="宋体" w:hAnsi="宋体" w:cs="宋体"/>
                <w:color w:val="auto"/>
                <w:szCs w:val="21"/>
              </w:rPr>
            </w:pPr>
            <w:r>
              <w:rPr>
                <w:rFonts w:hint="eastAsia" w:ascii="宋体" w:hAnsi="宋体" w:cs="宋体"/>
                <w:color w:val="auto"/>
                <w:kern w:val="0"/>
                <w:szCs w:val="21"/>
              </w:rPr>
              <w:t>每天上、下午全覆盖巡扫各1次，及时清理绿地垃圾，绿地无明显纸屑、果皮、塑料袋等杂物，垃圾应及时清运，不过夜，不现场焚烧垃圾。绿地上无晾衣服、杂物。</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35A7CDDD">
            <w:pPr>
              <w:widowControl/>
              <w:jc w:val="left"/>
              <w:textAlignment w:val="center"/>
              <w:rPr>
                <w:rFonts w:ascii="宋体" w:hAnsi="宋体" w:cs="宋体"/>
                <w:color w:val="auto"/>
                <w:szCs w:val="21"/>
              </w:rPr>
            </w:pPr>
            <w:r>
              <w:rPr>
                <w:rFonts w:hint="eastAsia" w:ascii="宋体" w:hAnsi="宋体" w:cs="宋体"/>
                <w:color w:val="auto"/>
                <w:kern w:val="0"/>
                <w:szCs w:val="21"/>
              </w:rPr>
              <w:t>有明显纸屑、果皮、杂物，每处扣1分，垃圾未及时清理、过夜、现场焚烧垃圾扣1—3分。绿地上有晾衣服杂物每处扣1分。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29D4CDA">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21B3504">
            <w:pPr>
              <w:rPr>
                <w:rFonts w:ascii="宋体" w:hAnsi="宋体" w:cs="宋体"/>
                <w:color w:val="auto"/>
                <w:szCs w:val="21"/>
              </w:rPr>
            </w:pPr>
          </w:p>
        </w:tc>
      </w:tr>
      <w:tr w14:paraId="23A3B8BA">
        <w:tblPrEx>
          <w:tblCellMar>
            <w:top w:w="0" w:type="dxa"/>
            <w:left w:w="108" w:type="dxa"/>
            <w:bottom w:w="0" w:type="dxa"/>
            <w:right w:w="108" w:type="dxa"/>
          </w:tblCellMar>
        </w:tblPrEx>
        <w:trPr>
          <w:trHeight w:val="94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73EBF887">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4F85D03">
            <w:pPr>
              <w:widowControl/>
              <w:jc w:val="left"/>
              <w:textAlignment w:val="center"/>
              <w:rPr>
                <w:rFonts w:ascii="宋体" w:hAnsi="宋体" w:cs="宋体"/>
                <w:color w:val="auto"/>
                <w:szCs w:val="21"/>
              </w:rPr>
            </w:pPr>
            <w:r>
              <w:rPr>
                <w:rFonts w:hint="eastAsia" w:ascii="宋体" w:hAnsi="宋体" w:cs="宋体"/>
                <w:color w:val="auto"/>
                <w:kern w:val="0"/>
                <w:szCs w:val="21"/>
              </w:rPr>
              <w:t>绿化辅助设施，包括围栏、座椅、垃圾箱、指示牌、亭、廊要保持清洁，无小广告，出现破损及时处理或报修。</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61050EE4">
            <w:pPr>
              <w:widowControl/>
              <w:jc w:val="left"/>
              <w:textAlignment w:val="center"/>
              <w:rPr>
                <w:rFonts w:ascii="宋体" w:hAnsi="宋体" w:cs="宋体"/>
                <w:color w:val="auto"/>
                <w:szCs w:val="21"/>
              </w:rPr>
            </w:pPr>
            <w:r>
              <w:rPr>
                <w:rFonts w:hint="eastAsia" w:ascii="宋体" w:hAnsi="宋体" w:cs="宋体"/>
                <w:color w:val="auto"/>
                <w:kern w:val="0"/>
                <w:szCs w:val="21"/>
              </w:rPr>
              <w:t>辅助设施出现脏污、杂乱，有小广告，一处扣1分。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BF948C8">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44E1EB7">
            <w:pPr>
              <w:rPr>
                <w:rFonts w:ascii="宋体" w:hAnsi="宋体" w:cs="宋体"/>
                <w:color w:val="auto"/>
                <w:szCs w:val="21"/>
              </w:rPr>
            </w:pPr>
          </w:p>
        </w:tc>
      </w:tr>
      <w:tr w14:paraId="32CD225A">
        <w:tblPrEx>
          <w:tblCellMar>
            <w:top w:w="0" w:type="dxa"/>
            <w:left w:w="108" w:type="dxa"/>
            <w:bottom w:w="0" w:type="dxa"/>
            <w:right w:w="108" w:type="dxa"/>
          </w:tblCellMar>
        </w:tblPrEx>
        <w:trPr>
          <w:trHeight w:val="6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3F6ADCF6">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979E02A">
            <w:pPr>
              <w:widowControl/>
              <w:jc w:val="left"/>
              <w:textAlignment w:val="center"/>
              <w:rPr>
                <w:rFonts w:ascii="宋体" w:hAnsi="宋体" w:cs="宋体"/>
                <w:color w:val="auto"/>
                <w:szCs w:val="21"/>
              </w:rPr>
            </w:pPr>
            <w:r>
              <w:rPr>
                <w:rFonts w:hint="eastAsia" w:ascii="宋体" w:hAnsi="宋体" w:cs="宋体"/>
                <w:color w:val="auto"/>
                <w:kern w:val="0"/>
                <w:szCs w:val="21"/>
              </w:rPr>
              <w:t>水池水质清澈，无异味，水面无垃圾。</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55C1D3E8">
            <w:pPr>
              <w:widowControl/>
              <w:jc w:val="left"/>
              <w:textAlignment w:val="center"/>
              <w:rPr>
                <w:rFonts w:ascii="宋体" w:hAnsi="宋体" w:cs="宋体"/>
                <w:color w:val="auto"/>
                <w:szCs w:val="21"/>
              </w:rPr>
            </w:pPr>
            <w:r>
              <w:rPr>
                <w:rFonts w:hint="eastAsia" w:ascii="宋体" w:hAnsi="宋体" w:cs="宋体"/>
                <w:color w:val="auto"/>
                <w:kern w:val="0"/>
                <w:szCs w:val="21"/>
              </w:rPr>
              <w:t>水面有垃圾的，每处扣1分；有水生杂草，每处扣1分；有异味，扣1分。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D272810">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DF10DCE">
            <w:pPr>
              <w:rPr>
                <w:rFonts w:ascii="宋体" w:hAnsi="宋体" w:cs="宋体"/>
                <w:color w:val="auto"/>
                <w:szCs w:val="21"/>
              </w:rPr>
            </w:pPr>
          </w:p>
        </w:tc>
      </w:tr>
      <w:tr w14:paraId="48A35B65">
        <w:tblPrEx>
          <w:tblCellMar>
            <w:top w:w="0" w:type="dxa"/>
            <w:left w:w="108" w:type="dxa"/>
            <w:bottom w:w="0" w:type="dxa"/>
            <w:right w:w="108" w:type="dxa"/>
          </w:tblCellMar>
        </w:tblPrEx>
        <w:trPr>
          <w:trHeight w:val="1475" w:hRule="atLeast"/>
        </w:trPr>
        <w:tc>
          <w:tcPr>
            <w:tcW w:w="645" w:type="dxa"/>
            <w:vMerge w:val="restart"/>
            <w:tcBorders>
              <w:top w:val="single" w:color="000000" w:sz="4" w:space="0"/>
              <w:left w:val="single" w:color="000000" w:sz="4" w:space="0"/>
              <w:bottom w:val="nil"/>
              <w:right w:val="single" w:color="000000" w:sz="4" w:space="0"/>
            </w:tcBorders>
            <w:noWrap/>
            <w:vAlign w:val="center"/>
          </w:tcPr>
          <w:p w14:paraId="198A7D2F">
            <w:pPr>
              <w:widowControl/>
              <w:jc w:val="center"/>
              <w:textAlignment w:val="center"/>
              <w:rPr>
                <w:rFonts w:ascii="宋体" w:hAnsi="宋体" w:cs="宋体"/>
                <w:color w:val="auto"/>
                <w:szCs w:val="21"/>
              </w:rPr>
            </w:pPr>
            <w:r>
              <w:rPr>
                <w:rFonts w:hint="eastAsia" w:ascii="宋体" w:hAnsi="宋体" w:cs="宋体"/>
                <w:color w:val="auto"/>
                <w:kern w:val="0"/>
                <w:szCs w:val="21"/>
              </w:rPr>
              <w:t>整形修剪</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47EAF4F2">
            <w:pPr>
              <w:widowControl/>
              <w:jc w:val="left"/>
              <w:textAlignment w:val="center"/>
              <w:rPr>
                <w:rFonts w:ascii="宋体" w:hAnsi="宋体" w:cs="宋体"/>
                <w:color w:val="auto"/>
                <w:szCs w:val="21"/>
              </w:rPr>
            </w:pPr>
            <w:r>
              <w:rPr>
                <w:rFonts w:hint="eastAsia" w:ascii="宋体" w:hAnsi="宋体" w:cs="宋体"/>
                <w:color w:val="auto"/>
                <w:kern w:val="0"/>
                <w:szCs w:val="21"/>
              </w:rPr>
              <w:t>树木主侧枝分布匀称、数量适宜，修剪科学合理、及时，内膛不乱，通风透光，无徒长枝、萌蘖枝、病虫枝、枯死枝、伤损枝等；</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2DCCD4F8">
            <w:pPr>
              <w:widowControl/>
              <w:jc w:val="left"/>
              <w:textAlignment w:val="center"/>
              <w:rPr>
                <w:rFonts w:ascii="宋体" w:hAnsi="宋体" w:cs="宋体"/>
                <w:color w:val="auto"/>
                <w:szCs w:val="21"/>
              </w:rPr>
            </w:pPr>
            <w:r>
              <w:rPr>
                <w:rFonts w:hint="eastAsia" w:ascii="宋体" w:hAnsi="宋体" w:cs="宋体"/>
                <w:color w:val="auto"/>
                <w:kern w:val="0"/>
                <w:szCs w:val="21"/>
              </w:rPr>
              <w:t>树木修剪不及时，每处扣1分；修剪不当，每处扣1分；有徒长枝、萌蘖枝、病虫枝、枯死枝、伤损枝等，每处扣1分；树木有倒伏、倾斜等现象未及时处理的，每处扣1分。</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43C7322">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881E602">
            <w:pPr>
              <w:rPr>
                <w:rFonts w:ascii="宋体" w:hAnsi="宋体" w:cs="宋体"/>
                <w:color w:val="auto"/>
                <w:szCs w:val="21"/>
              </w:rPr>
            </w:pPr>
          </w:p>
        </w:tc>
      </w:tr>
      <w:tr w14:paraId="2A14CA33">
        <w:tblPrEx>
          <w:tblCellMar>
            <w:top w:w="0" w:type="dxa"/>
            <w:left w:w="108" w:type="dxa"/>
            <w:bottom w:w="0" w:type="dxa"/>
            <w:right w:w="108" w:type="dxa"/>
          </w:tblCellMar>
        </w:tblPrEx>
        <w:trPr>
          <w:trHeight w:val="1505" w:hRule="atLeast"/>
        </w:trPr>
        <w:tc>
          <w:tcPr>
            <w:tcW w:w="64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F1269CC">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91C7">
            <w:pPr>
              <w:widowControl/>
              <w:jc w:val="left"/>
              <w:textAlignment w:val="center"/>
              <w:rPr>
                <w:rFonts w:ascii="宋体" w:hAnsi="宋体" w:cs="宋体"/>
                <w:color w:val="auto"/>
                <w:szCs w:val="21"/>
              </w:rPr>
            </w:pPr>
            <w:r>
              <w:rPr>
                <w:rFonts w:hint="eastAsia" w:ascii="宋体" w:hAnsi="宋体" w:cs="宋体"/>
                <w:color w:val="auto"/>
                <w:kern w:val="0"/>
                <w:szCs w:val="21"/>
              </w:rPr>
              <w:t>模纹、绿篱、造型植物保持优美形态，生长旺盛，修剪成几何图形的，轮廓清晰，平整，修剪面光滑、密实、无明显空洞或残缺，新梢高度不高于10CM。</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AE64">
            <w:pPr>
              <w:widowControl/>
              <w:jc w:val="left"/>
              <w:textAlignment w:val="center"/>
              <w:rPr>
                <w:rFonts w:ascii="宋体" w:hAnsi="宋体" w:cs="宋体"/>
                <w:color w:val="auto"/>
                <w:szCs w:val="21"/>
              </w:rPr>
            </w:pPr>
            <w:r>
              <w:rPr>
                <w:rFonts w:hint="eastAsia" w:ascii="宋体" w:hAnsi="宋体" w:cs="宋体"/>
                <w:color w:val="auto"/>
                <w:kern w:val="0"/>
                <w:szCs w:val="21"/>
              </w:rPr>
              <w:t>模纹、绿篱、造型树木未修剪成几何图形每处扣1分，新梢高度超过10CM每处扣1分，修剪不及时、有窜枝每处扣1分；造型植物不美观、轮廓不清晰、有明显空洞或残缺的每处扣1分。</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0196A">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AC3A715">
            <w:pPr>
              <w:rPr>
                <w:rFonts w:ascii="宋体" w:hAnsi="宋体" w:cs="宋体"/>
                <w:color w:val="auto"/>
                <w:szCs w:val="21"/>
              </w:rPr>
            </w:pPr>
          </w:p>
        </w:tc>
      </w:tr>
      <w:tr w14:paraId="7D3E124F">
        <w:tblPrEx>
          <w:tblCellMar>
            <w:top w:w="0" w:type="dxa"/>
            <w:left w:w="108" w:type="dxa"/>
            <w:bottom w:w="0" w:type="dxa"/>
            <w:right w:w="108" w:type="dxa"/>
          </w:tblCellMar>
        </w:tblPrEx>
        <w:trPr>
          <w:trHeight w:val="825" w:hRule="atLeast"/>
        </w:trPr>
        <w:tc>
          <w:tcPr>
            <w:tcW w:w="64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AB5EEF1">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09A0">
            <w:pPr>
              <w:widowControl/>
              <w:jc w:val="left"/>
              <w:textAlignment w:val="center"/>
              <w:rPr>
                <w:rFonts w:ascii="宋体" w:hAnsi="宋体" w:cs="宋体"/>
                <w:color w:val="auto"/>
                <w:szCs w:val="21"/>
              </w:rPr>
            </w:pPr>
            <w:r>
              <w:rPr>
                <w:rFonts w:hint="eastAsia" w:ascii="宋体" w:hAnsi="宋体" w:cs="宋体"/>
                <w:color w:val="auto"/>
                <w:kern w:val="0"/>
                <w:szCs w:val="21"/>
              </w:rPr>
              <w:t>草坪及地被植物修剪及时，科学、合理。草坪高度保持在3—6cm，无结籽串箭现象。</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01D9">
            <w:pPr>
              <w:widowControl/>
              <w:jc w:val="left"/>
              <w:textAlignment w:val="center"/>
              <w:rPr>
                <w:rFonts w:ascii="宋体" w:hAnsi="宋体" w:cs="宋体"/>
                <w:color w:val="auto"/>
                <w:szCs w:val="21"/>
              </w:rPr>
            </w:pPr>
            <w:r>
              <w:rPr>
                <w:rFonts w:hint="eastAsia" w:ascii="宋体" w:hAnsi="宋体" w:cs="宋体"/>
                <w:color w:val="auto"/>
                <w:kern w:val="0"/>
                <w:szCs w:val="21"/>
              </w:rPr>
              <w:t>草坪及地被植物修剪不及时，草坪高度≥7cm，每处扣1分；有结籽串箭现象，每处扣1分；</w:t>
            </w:r>
          </w:p>
        </w:tc>
        <w:tc>
          <w:tcPr>
            <w:tcW w:w="1264" w:type="dxa"/>
            <w:tcBorders>
              <w:top w:val="single" w:color="000000" w:sz="4" w:space="0"/>
              <w:left w:val="nil"/>
              <w:bottom w:val="single" w:color="000000" w:sz="4" w:space="0"/>
              <w:right w:val="single" w:color="000000" w:sz="4" w:space="0"/>
            </w:tcBorders>
            <w:shd w:val="clear" w:color="auto" w:fill="FFFFFF"/>
            <w:noWrap/>
            <w:vAlign w:val="center"/>
          </w:tcPr>
          <w:p w14:paraId="4F9613D4">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55C4B08">
            <w:pPr>
              <w:rPr>
                <w:rFonts w:ascii="宋体" w:hAnsi="宋体" w:cs="宋体"/>
                <w:color w:val="auto"/>
                <w:szCs w:val="21"/>
              </w:rPr>
            </w:pPr>
          </w:p>
        </w:tc>
      </w:tr>
      <w:tr w14:paraId="74839FFE">
        <w:tblPrEx>
          <w:tblCellMar>
            <w:top w:w="0" w:type="dxa"/>
            <w:left w:w="108" w:type="dxa"/>
            <w:bottom w:w="0" w:type="dxa"/>
            <w:right w:w="108" w:type="dxa"/>
          </w:tblCellMar>
        </w:tblPrEx>
        <w:trPr>
          <w:trHeight w:val="825" w:hRule="atLeast"/>
        </w:trPr>
        <w:tc>
          <w:tcPr>
            <w:tcW w:w="64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428C850">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BD64">
            <w:pPr>
              <w:widowControl/>
              <w:jc w:val="left"/>
              <w:textAlignment w:val="center"/>
              <w:rPr>
                <w:rFonts w:ascii="宋体" w:hAnsi="宋体" w:cs="宋体"/>
                <w:color w:val="auto"/>
                <w:szCs w:val="21"/>
              </w:rPr>
            </w:pPr>
            <w:r>
              <w:rPr>
                <w:rFonts w:hint="eastAsia" w:ascii="宋体" w:hAnsi="宋体" w:cs="宋体"/>
                <w:color w:val="auto"/>
                <w:kern w:val="0"/>
                <w:szCs w:val="21"/>
              </w:rPr>
              <w:t>树盘整修，草坪内树盘与绿篱及时切边，草坪与树木、绿篱、草花应有分离沟。</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0FEE">
            <w:pPr>
              <w:widowControl/>
              <w:jc w:val="left"/>
              <w:textAlignment w:val="center"/>
              <w:rPr>
                <w:rFonts w:ascii="宋体" w:hAnsi="宋体" w:cs="宋体"/>
                <w:color w:val="auto"/>
                <w:szCs w:val="21"/>
              </w:rPr>
            </w:pPr>
            <w:r>
              <w:rPr>
                <w:rFonts w:hint="eastAsia" w:ascii="宋体" w:hAnsi="宋体" w:cs="宋体"/>
                <w:color w:val="auto"/>
                <w:kern w:val="0"/>
                <w:szCs w:val="21"/>
              </w:rPr>
              <w:t>树穴、绿篱等不及时切边，草坪与树木、绿篱、草花等无合理分离沟每处扣1分。</w:t>
            </w:r>
          </w:p>
        </w:tc>
        <w:tc>
          <w:tcPr>
            <w:tcW w:w="1264" w:type="dxa"/>
            <w:tcBorders>
              <w:top w:val="single" w:color="000000" w:sz="4" w:space="0"/>
              <w:left w:val="nil"/>
              <w:bottom w:val="single" w:color="000000" w:sz="4" w:space="0"/>
              <w:right w:val="single" w:color="000000" w:sz="4" w:space="0"/>
            </w:tcBorders>
            <w:shd w:val="clear" w:color="auto" w:fill="FFFFFF"/>
            <w:noWrap/>
            <w:vAlign w:val="center"/>
          </w:tcPr>
          <w:p w14:paraId="1A1811D3">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19BBA2">
            <w:pPr>
              <w:rPr>
                <w:rFonts w:ascii="宋体" w:hAnsi="宋体" w:cs="宋体"/>
                <w:color w:val="auto"/>
                <w:szCs w:val="21"/>
              </w:rPr>
            </w:pPr>
          </w:p>
        </w:tc>
      </w:tr>
      <w:tr w14:paraId="3A9EADD3">
        <w:tblPrEx>
          <w:tblCellMar>
            <w:top w:w="0" w:type="dxa"/>
            <w:left w:w="108" w:type="dxa"/>
            <w:bottom w:w="0" w:type="dxa"/>
            <w:right w:w="108" w:type="dxa"/>
          </w:tblCellMar>
        </w:tblPrEx>
        <w:trPr>
          <w:trHeight w:val="1097"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229A">
            <w:pPr>
              <w:widowControl/>
              <w:jc w:val="center"/>
              <w:textAlignment w:val="center"/>
              <w:rPr>
                <w:rFonts w:ascii="宋体" w:hAnsi="宋体" w:cs="宋体"/>
                <w:color w:val="auto"/>
                <w:szCs w:val="21"/>
              </w:rPr>
            </w:pPr>
            <w:r>
              <w:rPr>
                <w:rFonts w:hint="eastAsia" w:ascii="宋体" w:hAnsi="宋体" w:cs="宋体"/>
                <w:color w:val="auto"/>
                <w:kern w:val="0"/>
                <w:szCs w:val="21"/>
              </w:rPr>
              <w:t>绿植养护</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C2E4">
            <w:pPr>
              <w:widowControl/>
              <w:jc w:val="left"/>
              <w:textAlignment w:val="center"/>
              <w:rPr>
                <w:rFonts w:ascii="宋体" w:hAnsi="宋体" w:cs="宋体"/>
                <w:color w:val="auto"/>
                <w:szCs w:val="21"/>
              </w:rPr>
            </w:pPr>
            <w:r>
              <w:rPr>
                <w:rFonts w:hint="eastAsia" w:ascii="宋体" w:hAnsi="宋体" w:cs="宋体"/>
                <w:color w:val="auto"/>
                <w:kern w:val="0"/>
                <w:szCs w:val="21"/>
              </w:rPr>
              <w:t>绿地及时除草，要求乔木、灌木无杂草伴生，草坪杂草率≤2%，</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7386">
            <w:pPr>
              <w:widowControl/>
              <w:jc w:val="left"/>
              <w:textAlignment w:val="center"/>
              <w:rPr>
                <w:rFonts w:ascii="宋体" w:hAnsi="宋体" w:cs="宋体"/>
                <w:color w:val="auto"/>
                <w:szCs w:val="21"/>
              </w:rPr>
            </w:pPr>
            <w:r>
              <w:rPr>
                <w:rFonts w:hint="eastAsia" w:ascii="宋体" w:hAnsi="宋体" w:cs="宋体"/>
                <w:color w:val="auto"/>
                <w:kern w:val="0"/>
                <w:szCs w:val="21"/>
              </w:rPr>
              <w:t>草坪杂草率＞2%，每100m²扣0.5—1分；灌木（乔木）内杂草伴生，扣1-3分。杂草明显高于绿地乔灌木5cm以上每处扣1分。</w:t>
            </w:r>
          </w:p>
        </w:tc>
        <w:tc>
          <w:tcPr>
            <w:tcW w:w="1264" w:type="dxa"/>
            <w:tcBorders>
              <w:top w:val="nil"/>
              <w:left w:val="nil"/>
              <w:bottom w:val="nil"/>
              <w:right w:val="nil"/>
            </w:tcBorders>
            <w:shd w:val="clear" w:color="auto" w:fill="FFFFFF"/>
            <w:noWrap/>
            <w:vAlign w:val="center"/>
          </w:tcPr>
          <w:p w14:paraId="6E920AD2">
            <w:pPr>
              <w:rPr>
                <w:rFonts w:ascii="宋体" w:hAnsi="宋体" w:cs="宋体"/>
                <w:color w:val="auto"/>
                <w:szCs w:val="21"/>
              </w:rPr>
            </w:pPr>
          </w:p>
        </w:tc>
        <w:tc>
          <w:tcPr>
            <w:tcW w:w="696" w:type="dxa"/>
            <w:tcBorders>
              <w:top w:val="nil"/>
              <w:left w:val="single" w:color="000000" w:sz="4" w:space="0"/>
              <w:bottom w:val="single" w:color="000000" w:sz="4" w:space="0"/>
              <w:right w:val="single" w:color="000000" w:sz="4" w:space="0"/>
            </w:tcBorders>
            <w:noWrap/>
            <w:vAlign w:val="center"/>
          </w:tcPr>
          <w:p w14:paraId="7391B714">
            <w:pPr>
              <w:rPr>
                <w:rFonts w:ascii="宋体" w:hAnsi="宋体" w:cs="宋体"/>
                <w:color w:val="auto"/>
                <w:szCs w:val="21"/>
              </w:rPr>
            </w:pPr>
          </w:p>
        </w:tc>
      </w:tr>
      <w:tr w14:paraId="45A68F95">
        <w:tblPrEx>
          <w:tblCellMar>
            <w:top w:w="0" w:type="dxa"/>
            <w:left w:w="108" w:type="dxa"/>
            <w:bottom w:w="0" w:type="dxa"/>
            <w:right w:w="108" w:type="dxa"/>
          </w:tblCellMar>
        </w:tblPrEx>
        <w:trPr>
          <w:trHeight w:val="1097"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2302A3A1">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23358266">
            <w:pPr>
              <w:widowControl/>
              <w:jc w:val="left"/>
              <w:textAlignment w:val="center"/>
              <w:rPr>
                <w:rFonts w:ascii="宋体" w:hAnsi="宋体" w:cs="宋体"/>
                <w:color w:val="auto"/>
                <w:szCs w:val="21"/>
              </w:rPr>
            </w:pPr>
            <w:r>
              <w:rPr>
                <w:rFonts w:hint="eastAsia" w:ascii="宋体" w:hAnsi="宋体" w:cs="宋体"/>
                <w:color w:val="auto"/>
                <w:kern w:val="0"/>
                <w:szCs w:val="21"/>
              </w:rPr>
              <w:t>土壤无板结，植物根系不得裸露，绿地无坑洼积水。</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7AD994A6">
            <w:pPr>
              <w:widowControl/>
              <w:jc w:val="left"/>
              <w:textAlignment w:val="center"/>
              <w:rPr>
                <w:rFonts w:ascii="宋体" w:hAnsi="宋体" w:cs="宋体"/>
                <w:color w:val="auto"/>
                <w:szCs w:val="21"/>
              </w:rPr>
            </w:pPr>
            <w:r>
              <w:rPr>
                <w:rFonts w:hint="eastAsia" w:ascii="宋体" w:hAnsi="宋体" w:cs="宋体"/>
                <w:color w:val="auto"/>
                <w:kern w:val="0"/>
                <w:szCs w:val="21"/>
              </w:rPr>
              <w:t>出现植物根系裸露，绿地坑洼积水，灌木每100m²扣1-4分：树盘地被土壤板结，长期不疏松，每株或每10m²扣1分。</w:t>
            </w:r>
          </w:p>
        </w:tc>
        <w:tc>
          <w:tcPr>
            <w:tcW w:w="1264" w:type="dxa"/>
            <w:tcBorders>
              <w:top w:val="single" w:color="000000" w:sz="4" w:space="0"/>
              <w:left w:val="nil"/>
              <w:bottom w:val="single" w:color="000000" w:sz="4" w:space="0"/>
              <w:right w:val="nil"/>
            </w:tcBorders>
            <w:noWrap/>
            <w:vAlign w:val="center"/>
          </w:tcPr>
          <w:p w14:paraId="3628229F">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6B6A1FB">
            <w:pPr>
              <w:rPr>
                <w:rFonts w:ascii="宋体" w:hAnsi="宋体" w:cs="宋体"/>
                <w:color w:val="auto"/>
                <w:szCs w:val="21"/>
              </w:rPr>
            </w:pPr>
          </w:p>
        </w:tc>
      </w:tr>
      <w:tr w14:paraId="73CE14B0">
        <w:tblPrEx>
          <w:tblCellMar>
            <w:top w:w="0" w:type="dxa"/>
            <w:left w:w="108" w:type="dxa"/>
            <w:bottom w:w="0" w:type="dxa"/>
            <w:right w:w="108" w:type="dxa"/>
          </w:tblCellMar>
        </w:tblPrEx>
        <w:trPr>
          <w:trHeight w:val="825"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6F8E3CC6">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30392BDA">
            <w:pPr>
              <w:widowControl/>
              <w:jc w:val="left"/>
              <w:textAlignment w:val="center"/>
              <w:rPr>
                <w:rFonts w:ascii="宋体" w:hAnsi="宋体" w:cs="宋体"/>
                <w:color w:val="auto"/>
                <w:szCs w:val="21"/>
              </w:rPr>
            </w:pPr>
            <w:r>
              <w:rPr>
                <w:rFonts w:hint="eastAsia" w:ascii="宋体" w:hAnsi="宋体" w:cs="宋体"/>
                <w:color w:val="auto"/>
                <w:kern w:val="0"/>
                <w:szCs w:val="21"/>
              </w:rPr>
              <w:t>补植：及时清除绿地死株，补植缺株，保持植物景观的完整，无裸露地。</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7FFDCF05">
            <w:pPr>
              <w:widowControl/>
              <w:jc w:val="left"/>
              <w:textAlignment w:val="center"/>
              <w:rPr>
                <w:rFonts w:ascii="宋体" w:hAnsi="宋体" w:cs="宋体"/>
                <w:color w:val="auto"/>
                <w:szCs w:val="21"/>
              </w:rPr>
            </w:pPr>
            <w:r>
              <w:rPr>
                <w:rFonts w:hint="eastAsia" w:ascii="宋体" w:hAnsi="宋体" w:cs="宋体"/>
                <w:color w:val="auto"/>
                <w:kern w:val="0"/>
                <w:szCs w:val="21"/>
              </w:rPr>
              <w:t>发现死株、缺株，乔木每株扣1分；灌木每10m²扣1分，草地每10m²扣1分。</w:t>
            </w:r>
          </w:p>
        </w:tc>
        <w:tc>
          <w:tcPr>
            <w:tcW w:w="1264" w:type="dxa"/>
            <w:tcBorders>
              <w:top w:val="single" w:color="000000" w:sz="4" w:space="0"/>
              <w:left w:val="nil"/>
              <w:bottom w:val="single" w:color="000000" w:sz="4" w:space="0"/>
              <w:right w:val="nil"/>
            </w:tcBorders>
            <w:noWrap/>
            <w:vAlign w:val="center"/>
          </w:tcPr>
          <w:p w14:paraId="16A28EE2">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B9A8044">
            <w:pPr>
              <w:rPr>
                <w:rFonts w:ascii="宋体" w:hAnsi="宋体" w:cs="宋体"/>
                <w:color w:val="auto"/>
                <w:szCs w:val="21"/>
              </w:rPr>
            </w:pPr>
          </w:p>
        </w:tc>
      </w:tr>
      <w:tr w14:paraId="503DC122">
        <w:tblPrEx>
          <w:tblCellMar>
            <w:top w:w="0" w:type="dxa"/>
            <w:left w:w="108" w:type="dxa"/>
            <w:bottom w:w="0" w:type="dxa"/>
            <w:right w:w="108" w:type="dxa"/>
          </w:tblCellMar>
        </w:tblPrEx>
        <w:trPr>
          <w:trHeight w:val="1097"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058D12FD">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7775E3F">
            <w:pPr>
              <w:widowControl/>
              <w:jc w:val="left"/>
              <w:textAlignment w:val="center"/>
              <w:rPr>
                <w:rFonts w:ascii="宋体" w:hAnsi="宋体" w:cs="宋体"/>
                <w:color w:val="auto"/>
                <w:szCs w:val="21"/>
              </w:rPr>
            </w:pPr>
            <w:r>
              <w:rPr>
                <w:rFonts w:hint="eastAsia" w:ascii="宋体" w:hAnsi="宋体" w:cs="宋体"/>
                <w:color w:val="auto"/>
                <w:kern w:val="0"/>
                <w:szCs w:val="21"/>
              </w:rPr>
              <w:t>浇水：根据植物的生产特性和季节变化适时适量、科学浇水，无漏浇、旱涝、积水、冲击坑，确保植物正常生长。</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2723036D">
            <w:pPr>
              <w:widowControl/>
              <w:jc w:val="left"/>
              <w:textAlignment w:val="center"/>
              <w:rPr>
                <w:rFonts w:ascii="宋体" w:hAnsi="宋体" w:cs="宋体"/>
                <w:color w:val="auto"/>
                <w:szCs w:val="21"/>
              </w:rPr>
            </w:pPr>
            <w:r>
              <w:rPr>
                <w:rFonts w:hint="eastAsia" w:ascii="宋体" w:hAnsi="宋体" w:cs="宋体"/>
                <w:color w:val="auto"/>
                <w:kern w:val="0"/>
                <w:szCs w:val="21"/>
              </w:rPr>
              <w:t>未及时浇水致使植物生长不良每处扣3分；浇水过量致使植物生长不良每处扣3分；有漏浇、积水、冲击坑现象，每处扣0.3分。</w:t>
            </w:r>
          </w:p>
        </w:tc>
        <w:tc>
          <w:tcPr>
            <w:tcW w:w="1264" w:type="dxa"/>
            <w:tcBorders>
              <w:top w:val="single" w:color="000000" w:sz="4" w:space="0"/>
              <w:left w:val="nil"/>
              <w:bottom w:val="single" w:color="000000" w:sz="4" w:space="0"/>
              <w:right w:val="nil"/>
            </w:tcBorders>
            <w:noWrap/>
            <w:vAlign w:val="center"/>
          </w:tcPr>
          <w:p w14:paraId="4AB339F1">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3D4922">
            <w:pPr>
              <w:rPr>
                <w:rFonts w:ascii="宋体" w:hAnsi="宋体" w:cs="宋体"/>
                <w:color w:val="auto"/>
                <w:szCs w:val="21"/>
              </w:rPr>
            </w:pPr>
          </w:p>
        </w:tc>
      </w:tr>
      <w:tr w14:paraId="6DE3E8FB">
        <w:tblPrEx>
          <w:tblCellMar>
            <w:top w:w="0" w:type="dxa"/>
            <w:left w:w="108" w:type="dxa"/>
            <w:bottom w:w="0" w:type="dxa"/>
            <w:right w:w="108" w:type="dxa"/>
          </w:tblCellMar>
        </w:tblPrEx>
        <w:trPr>
          <w:trHeight w:val="1368"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480E5222">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0CAA382B">
            <w:pPr>
              <w:widowControl/>
              <w:jc w:val="left"/>
              <w:textAlignment w:val="center"/>
              <w:rPr>
                <w:rFonts w:ascii="宋体" w:hAnsi="宋体" w:cs="宋体"/>
                <w:color w:val="auto"/>
                <w:szCs w:val="21"/>
              </w:rPr>
            </w:pPr>
            <w:r>
              <w:rPr>
                <w:rFonts w:hint="eastAsia" w:ascii="宋体" w:hAnsi="宋体" w:cs="宋体"/>
                <w:color w:val="auto"/>
                <w:kern w:val="0"/>
                <w:szCs w:val="21"/>
              </w:rPr>
              <w:t>施肥：根据植物生长特性及时施肥，并提供施肥记录。每年不少于2次，以有机肥为主。施肥均匀适量，无缺肥、漏肥及肥害现象。</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418DD4A3">
            <w:pPr>
              <w:widowControl/>
              <w:jc w:val="left"/>
              <w:textAlignment w:val="center"/>
              <w:rPr>
                <w:rFonts w:ascii="宋体" w:hAnsi="宋体" w:cs="宋体"/>
                <w:color w:val="auto"/>
                <w:szCs w:val="21"/>
              </w:rPr>
            </w:pPr>
            <w:r>
              <w:rPr>
                <w:rFonts w:hint="eastAsia" w:ascii="宋体" w:hAnsi="宋体" w:cs="宋体"/>
                <w:color w:val="auto"/>
                <w:kern w:val="0"/>
                <w:szCs w:val="21"/>
              </w:rPr>
              <w:t>不按规定及时施肥，每少施1次肥扣5分；由于缺肥，导致植物叶片黄叶、长势不良的，每处扣1-2分；因施肥不当出现肥害每处扣1-2分；不提供施肥记录扣2分。</w:t>
            </w:r>
          </w:p>
        </w:tc>
        <w:tc>
          <w:tcPr>
            <w:tcW w:w="1264" w:type="dxa"/>
            <w:tcBorders>
              <w:top w:val="single" w:color="000000" w:sz="4" w:space="0"/>
              <w:left w:val="nil"/>
              <w:bottom w:val="single" w:color="000000" w:sz="4" w:space="0"/>
              <w:right w:val="nil"/>
            </w:tcBorders>
            <w:noWrap/>
            <w:vAlign w:val="center"/>
          </w:tcPr>
          <w:p w14:paraId="1991021A">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E0912E3">
            <w:pPr>
              <w:rPr>
                <w:rFonts w:ascii="宋体" w:hAnsi="宋体" w:cs="宋体"/>
                <w:color w:val="auto"/>
                <w:szCs w:val="21"/>
              </w:rPr>
            </w:pPr>
          </w:p>
        </w:tc>
      </w:tr>
      <w:tr w14:paraId="73A473F4">
        <w:tblPrEx>
          <w:tblCellMar>
            <w:top w:w="0" w:type="dxa"/>
            <w:left w:w="108" w:type="dxa"/>
            <w:bottom w:w="0" w:type="dxa"/>
            <w:right w:w="108" w:type="dxa"/>
          </w:tblCellMar>
        </w:tblPrEx>
        <w:trPr>
          <w:trHeight w:val="158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13436B3B">
            <w:pPr>
              <w:jc w:val="center"/>
              <w:rPr>
                <w:rFonts w:ascii="宋体" w:hAnsi="宋体" w:cs="宋体"/>
                <w:color w:val="auto"/>
                <w:szCs w:val="21"/>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2A5DBDBD">
            <w:pPr>
              <w:widowControl/>
              <w:jc w:val="left"/>
              <w:textAlignment w:val="center"/>
              <w:rPr>
                <w:rFonts w:ascii="宋体" w:hAnsi="宋体" w:cs="宋体"/>
                <w:color w:val="auto"/>
                <w:szCs w:val="21"/>
              </w:rPr>
            </w:pPr>
            <w:r>
              <w:rPr>
                <w:rFonts w:hint="eastAsia" w:ascii="宋体" w:hAnsi="宋体" w:cs="宋体"/>
                <w:color w:val="auto"/>
                <w:kern w:val="0"/>
                <w:szCs w:val="21"/>
              </w:rPr>
              <w:t>病虫害：治理科学、及时，树木、花卉无蛀干害虫的活卵、活虫，无明显病虫及病虫危害症状。病虫害控制在不影响观赏效果的范围内。做好防治记录。</w:t>
            </w: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6034A1AD">
            <w:pPr>
              <w:widowControl/>
              <w:jc w:val="left"/>
              <w:textAlignment w:val="center"/>
              <w:rPr>
                <w:rFonts w:ascii="宋体" w:hAnsi="宋体" w:cs="宋体"/>
                <w:color w:val="auto"/>
                <w:szCs w:val="21"/>
              </w:rPr>
            </w:pPr>
            <w:r>
              <w:rPr>
                <w:rFonts w:hint="eastAsia" w:ascii="宋体" w:hAnsi="宋体" w:cs="宋体"/>
                <w:color w:val="auto"/>
                <w:kern w:val="0"/>
                <w:szCs w:val="21"/>
              </w:rPr>
              <w:t>治理不及时，园林植物发生病虫害，影响景观的，每处扣2分；因农药使用不当，造成药害并影响景观，每处扣1分。不进行防治扣5分，无防治记录扣2分。</w:t>
            </w:r>
          </w:p>
        </w:tc>
        <w:tc>
          <w:tcPr>
            <w:tcW w:w="1264" w:type="dxa"/>
            <w:tcBorders>
              <w:top w:val="single" w:color="000000" w:sz="4" w:space="0"/>
              <w:left w:val="nil"/>
              <w:bottom w:val="single" w:color="000000" w:sz="4" w:space="0"/>
              <w:right w:val="nil"/>
            </w:tcBorders>
            <w:noWrap/>
            <w:vAlign w:val="center"/>
          </w:tcPr>
          <w:p w14:paraId="76505452">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7A4888B">
            <w:pPr>
              <w:rPr>
                <w:rFonts w:ascii="宋体" w:hAnsi="宋体" w:cs="宋体"/>
                <w:color w:val="auto"/>
                <w:szCs w:val="21"/>
              </w:rPr>
            </w:pPr>
          </w:p>
        </w:tc>
      </w:tr>
      <w:tr w14:paraId="28831E60">
        <w:tblPrEx>
          <w:tblCellMar>
            <w:top w:w="0" w:type="dxa"/>
            <w:left w:w="108" w:type="dxa"/>
            <w:bottom w:w="0" w:type="dxa"/>
            <w:right w:w="108" w:type="dxa"/>
          </w:tblCellMar>
        </w:tblPrEx>
        <w:trPr>
          <w:trHeight w:val="88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8277CF">
            <w:pPr>
              <w:widowControl/>
              <w:jc w:val="center"/>
              <w:textAlignment w:val="center"/>
              <w:rPr>
                <w:rFonts w:ascii="宋体" w:hAnsi="宋体" w:cs="宋体"/>
                <w:color w:val="auto"/>
                <w:szCs w:val="21"/>
              </w:rPr>
            </w:pPr>
            <w:r>
              <w:rPr>
                <w:rFonts w:hint="eastAsia" w:ascii="宋体" w:hAnsi="宋体" w:cs="宋体"/>
                <w:color w:val="auto"/>
                <w:kern w:val="0"/>
                <w:szCs w:val="21"/>
              </w:rPr>
              <w:t>合计</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7F960C55">
            <w:pPr>
              <w:rPr>
                <w:rFonts w:ascii="宋体" w:hAnsi="宋体" w:cs="宋体"/>
                <w:color w:val="auto"/>
                <w:szCs w:val="21"/>
              </w:rPr>
            </w:pPr>
          </w:p>
        </w:tc>
        <w:tc>
          <w:tcPr>
            <w:tcW w:w="3705" w:type="dxa"/>
            <w:tcBorders>
              <w:top w:val="single" w:color="000000" w:sz="4" w:space="0"/>
              <w:left w:val="single" w:color="000000" w:sz="4" w:space="0"/>
              <w:bottom w:val="single" w:color="000000" w:sz="4" w:space="0"/>
              <w:right w:val="single" w:color="000000" w:sz="4" w:space="0"/>
            </w:tcBorders>
            <w:noWrap/>
            <w:vAlign w:val="center"/>
          </w:tcPr>
          <w:p w14:paraId="040D8574">
            <w:pPr>
              <w:rPr>
                <w:rFonts w:ascii="宋体" w:hAnsi="宋体" w:cs="宋体"/>
                <w:color w:val="auto"/>
                <w:szCs w:val="21"/>
              </w:rPr>
            </w:pPr>
          </w:p>
        </w:tc>
        <w:tc>
          <w:tcPr>
            <w:tcW w:w="1264" w:type="dxa"/>
            <w:tcBorders>
              <w:top w:val="single" w:color="000000" w:sz="4" w:space="0"/>
              <w:left w:val="nil"/>
              <w:bottom w:val="single" w:color="000000" w:sz="4" w:space="0"/>
              <w:right w:val="nil"/>
            </w:tcBorders>
            <w:noWrap/>
            <w:vAlign w:val="center"/>
          </w:tcPr>
          <w:p w14:paraId="2366817F">
            <w:pPr>
              <w:rPr>
                <w:rFonts w:ascii="宋体" w:hAnsi="宋体" w:cs="宋体"/>
                <w:color w:val="auto"/>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79483EA">
            <w:pPr>
              <w:rPr>
                <w:rFonts w:ascii="宋体" w:hAnsi="宋体" w:cs="宋体"/>
                <w:color w:val="auto"/>
                <w:szCs w:val="21"/>
              </w:rPr>
            </w:pPr>
          </w:p>
        </w:tc>
      </w:tr>
      <w:tr w14:paraId="7C18E336">
        <w:tblPrEx>
          <w:tblCellMar>
            <w:top w:w="0" w:type="dxa"/>
            <w:left w:w="108" w:type="dxa"/>
            <w:bottom w:w="0" w:type="dxa"/>
            <w:right w:w="108" w:type="dxa"/>
          </w:tblCellMar>
        </w:tblPrEx>
        <w:trPr>
          <w:trHeight w:val="779" w:hRule="atLeast"/>
        </w:trPr>
        <w:tc>
          <w:tcPr>
            <w:tcW w:w="9940" w:type="dxa"/>
            <w:gridSpan w:val="5"/>
            <w:tcBorders>
              <w:top w:val="nil"/>
              <w:left w:val="nil"/>
              <w:bottom w:val="nil"/>
              <w:right w:val="nil"/>
            </w:tcBorders>
            <w:noWrap/>
            <w:vAlign w:val="center"/>
          </w:tcPr>
          <w:p w14:paraId="5822D2AD">
            <w:pPr>
              <w:widowControl/>
              <w:jc w:val="left"/>
              <w:textAlignment w:val="center"/>
              <w:rPr>
                <w:rFonts w:ascii="宋体" w:hAnsi="宋体" w:cs="宋体"/>
                <w:color w:val="auto"/>
                <w:szCs w:val="21"/>
              </w:rPr>
            </w:pPr>
            <w:r>
              <w:rPr>
                <w:rFonts w:hint="eastAsia" w:ascii="宋体" w:hAnsi="宋体" w:cs="宋体"/>
                <w:color w:val="auto"/>
                <w:kern w:val="0"/>
                <w:szCs w:val="21"/>
              </w:rPr>
              <w:t>说明：每月考核1次，结算物业服务费用时按照20元/分标准扣除。</w:t>
            </w:r>
          </w:p>
        </w:tc>
      </w:tr>
    </w:tbl>
    <w:p w14:paraId="65BC5E9B">
      <w:pPr>
        <w:rPr>
          <w:color w:val="auto"/>
        </w:rPr>
      </w:pPr>
    </w:p>
    <w:p w14:paraId="46566A49">
      <w:pPr>
        <w:ind w:firstLine="210" w:firstLineChars="100"/>
        <w:rPr>
          <w:rFonts w:hint="eastAsia"/>
          <w:b/>
          <w:bCs/>
          <w:color w:val="auto"/>
        </w:rPr>
      </w:pPr>
    </w:p>
    <w:p w14:paraId="36B085A2">
      <w:pPr>
        <w:ind w:firstLine="210" w:firstLineChars="100"/>
        <w:rPr>
          <w:rFonts w:hint="eastAsia"/>
          <w:b/>
          <w:bCs/>
          <w:color w:val="auto"/>
        </w:rPr>
      </w:pPr>
    </w:p>
    <w:p w14:paraId="16EA86AD">
      <w:pPr>
        <w:ind w:firstLine="210" w:firstLineChars="100"/>
        <w:rPr>
          <w:rFonts w:hint="eastAsia"/>
          <w:b/>
          <w:bCs/>
          <w:color w:val="auto"/>
        </w:rPr>
      </w:pPr>
    </w:p>
    <w:p w14:paraId="177C8811">
      <w:pPr>
        <w:ind w:firstLine="210" w:firstLineChars="100"/>
        <w:rPr>
          <w:rFonts w:hint="eastAsia"/>
          <w:b/>
          <w:bCs/>
          <w:color w:val="auto"/>
        </w:rPr>
      </w:pPr>
    </w:p>
    <w:p w14:paraId="592F28A3">
      <w:pPr>
        <w:ind w:firstLine="210" w:firstLineChars="100"/>
        <w:rPr>
          <w:rFonts w:hint="eastAsia"/>
          <w:b/>
          <w:bCs/>
          <w:color w:val="auto"/>
        </w:rPr>
      </w:pPr>
    </w:p>
    <w:p w14:paraId="71C6EF59">
      <w:pPr>
        <w:ind w:firstLine="210" w:firstLineChars="100"/>
        <w:rPr>
          <w:rFonts w:hint="eastAsia"/>
          <w:b/>
          <w:bCs/>
          <w:color w:val="auto"/>
        </w:rPr>
      </w:pPr>
    </w:p>
    <w:p w14:paraId="5D3547A1">
      <w:pPr>
        <w:ind w:firstLine="210" w:firstLineChars="100"/>
        <w:rPr>
          <w:rFonts w:hint="eastAsia"/>
          <w:b/>
          <w:bCs/>
          <w:color w:val="auto"/>
        </w:rPr>
      </w:pPr>
    </w:p>
    <w:p w14:paraId="726FEECB">
      <w:pPr>
        <w:ind w:firstLine="210" w:firstLineChars="100"/>
        <w:rPr>
          <w:rFonts w:hint="eastAsia"/>
          <w:b/>
          <w:bCs/>
          <w:color w:val="auto"/>
        </w:rPr>
      </w:pPr>
    </w:p>
    <w:p w14:paraId="57E8E711">
      <w:pPr>
        <w:ind w:firstLine="210" w:firstLineChars="100"/>
        <w:rPr>
          <w:rFonts w:hint="eastAsia"/>
          <w:b/>
          <w:bCs/>
          <w:color w:val="auto"/>
        </w:rPr>
      </w:pPr>
    </w:p>
    <w:p w14:paraId="709E69A2">
      <w:pPr>
        <w:ind w:firstLine="210" w:firstLineChars="100"/>
        <w:rPr>
          <w:rFonts w:hint="eastAsia"/>
          <w:b/>
          <w:bCs/>
          <w:color w:val="auto"/>
        </w:rPr>
      </w:pPr>
    </w:p>
    <w:p w14:paraId="6056D449">
      <w:pPr>
        <w:ind w:firstLine="210" w:firstLineChars="100"/>
        <w:rPr>
          <w:rFonts w:hint="eastAsia"/>
          <w:b/>
          <w:bCs/>
          <w:color w:val="auto"/>
        </w:rPr>
      </w:pPr>
    </w:p>
    <w:p w14:paraId="596F5B7B">
      <w:pPr>
        <w:ind w:firstLine="210" w:firstLineChars="100"/>
        <w:rPr>
          <w:rFonts w:hint="eastAsia"/>
          <w:b/>
          <w:bCs/>
          <w:color w:val="auto"/>
        </w:rPr>
      </w:pPr>
    </w:p>
    <w:p w14:paraId="649668C0">
      <w:pPr>
        <w:ind w:firstLine="210" w:firstLineChars="100"/>
        <w:rPr>
          <w:rFonts w:hint="eastAsia"/>
          <w:b/>
          <w:bCs/>
          <w:color w:val="auto"/>
        </w:rPr>
      </w:pPr>
    </w:p>
    <w:p w14:paraId="6C6F584F">
      <w:pPr>
        <w:ind w:firstLine="210" w:firstLineChars="100"/>
        <w:rPr>
          <w:rFonts w:hint="eastAsia"/>
          <w:b/>
          <w:bCs/>
          <w:color w:val="auto"/>
        </w:rPr>
      </w:pPr>
    </w:p>
    <w:p w14:paraId="45DDA918">
      <w:pPr>
        <w:ind w:firstLine="210" w:firstLineChars="100"/>
        <w:rPr>
          <w:rFonts w:hint="eastAsia"/>
          <w:b/>
          <w:bCs/>
          <w:color w:val="auto"/>
        </w:rPr>
      </w:pPr>
    </w:p>
    <w:p w14:paraId="51073736">
      <w:pPr>
        <w:ind w:firstLine="210" w:firstLineChars="100"/>
        <w:rPr>
          <w:rFonts w:hint="eastAsia"/>
          <w:b/>
          <w:bCs/>
          <w:color w:val="auto"/>
        </w:rPr>
      </w:pPr>
    </w:p>
    <w:p w14:paraId="5CB1F05B">
      <w:pPr>
        <w:ind w:firstLine="210" w:firstLineChars="100"/>
        <w:rPr>
          <w:rFonts w:hint="eastAsia"/>
          <w:b/>
          <w:bCs/>
          <w:color w:val="auto"/>
        </w:rPr>
      </w:pPr>
    </w:p>
    <w:p w14:paraId="155ACB13">
      <w:pPr>
        <w:ind w:firstLine="210" w:firstLineChars="100"/>
        <w:rPr>
          <w:rFonts w:hint="eastAsia"/>
          <w:b/>
          <w:bCs/>
          <w:color w:val="auto"/>
        </w:rPr>
      </w:pPr>
    </w:p>
    <w:p w14:paraId="3BC1969B">
      <w:pPr>
        <w:ind w:firstLine="210" w:firstLineChars="100"/>
        <w:rPr>
          <w:rFonts w:hint="eastAsia"/>
          <w:b/>
          <w:bCs/>
          <w:color w:val="auto"/>
        </w:rPr>
      </w:pPr>
    </w:p>
    <w:p w14:paraId="13006C6F">
      <w:pPr>
        <w:ind w:firstLine="210" w:firstLineChars="100"/>
        <w:rPr>
          <w:rFonts w:hint="eastAsia"/>
          <w:b/>
          <w:bCs/>
          <w:color w:val="auto"/>
        </w:rPr>
      </w:pPr>
    </w:p>
    <w:p w14:paraId="76553DF9">
      <w:pPr>
        <w:ind w:firstLine="210" w:firstLineChars="100"/>
        <w:rPr>
          <w:rFonts w:hint="eastAsia"/>
          <w:b/>
          <w:bCs/>
          <w:color w:val="auto"/>
        </w:rPr>
      </w:pPr>
    </w:p>
    <w:p w14:paraId="69323D69">
      <w:pPr>
        <w:ind w:firstLine="210" w:firstLineChars="100"/>
        <w:rPr>
          <w:rFonts w:hint="eastAsia"/>
          <w:b/>
          <w:bCs/>
          <w:color w:val="auto"/>
        </w:rPr>
      </w:pPr>
    </w:p>
    <w:p w14:paraId="4ADCD76C">
      <w:pPr>
        <w:ind w:firstLine="210" w:firstLineChars="100"/>
        <w:rPr>
          <w:rFonts w:hint="eastAsia"/>
          <w:b/>
          <w:bCs/>
          <w:color w:val="auto"/>
        </w:rPr>
      </w:pPr>
    </w:p>
    <w:p w14:paraId="445D23EC">
      <w:pPr>
        <w:ind w:firstLine="210" w:firstLineChars="100"/>
        <w:rPr>
          <w:b/>
          <w:bCs/>
          <w:color w:val="auto"/>
        </w:rPr>
      </w:pPr>
      <w:r>
        <w:rPr>
          <w:rFonts w:hint="eastAsia"/>
          <w:b/>
          <w:bCs/>
          <w:color w:val="auto"/>
        </w:rPr>
        <w:t>附件6</w:t>
      </w:r>
    </w:p>
    <w:p w14:paraId="2C4C6D09">
      <w:pPr>
        <w:pStyle w:val="44"/>
        <w:ind w:left="0" w:leftChars="0" w:firstLine="0" w:firstLineChars="0"/>
        <w:jc w:val="both"/>
        <w:rPr>
          <w:color w:val="auto"/>
        </w:rPr>
      </w:pPr>
    </w:p>
    <w:tbl>
      <w:tblPr>
        <w:tblStyle w:val="55"/>
        <w:tblpPr w:leftFromText="180" w:rightFromText="180" w:vertAnchor="text" w:horzAnchor="page" w:tblpX="1458" w:tblpY="199"/>
        <w:tblOverlap w:val="never"/>
        <w:tblW w:w="9960" w:type="dxa"/>
        <w:tblInd w:w="0" w:type="dxa"/>
        <w:tblLayout w:type="autofit"/>
        <w:tblCellMar>
          <w:top w:w="0" w:type="dxa"/>
          <w:left w:w="108" w:type="dxa"/>
          <w:bottom w:w="0" w:type="dxa"/>
          <w:right w:w="108" w:type="dxa"/>
        </w:tblCellMar>
      </w:tblPr>
      <w:tblGrid>
        <w:gridCol w:w="660"/>
        <w:gridCol w:w="4545"/>
        <w:gridCol w:w="2102"/>
        <w:gridCol w:w="1753"/>
        <w:gridCol w:w="900"/>
      </w:tblGrid>
      <w:tr w14:paraId="7A45895A">
        <w:tblPrEx>
          <w:tblCellMar>
            <w:top w:w="0" w:type="dxa"/>
            <w:left w:w="108" w:type="dxa"/>
            <w:bottom w:w="0" w:type="dxa"/>
            <w:right w:w="108" w:type="dxa"/>
          </w:tblCellMar>
        </w:tblPrEx>
        <w:trPr>
          <w:trHeight w:val="501" w:hRule="atLeast"/>
        </w:trPr>
        <w:tc>
          <w:tcPr>
            <w:tcW w:w="9960" w:type="dxa"/>
            <w:gridSpan w:val="5"/>
            <w:tcBorders>
              <w:top w:val="nil"/>
              <w:left w:val="nil"/>
              <w:bottom w:val="nil"/>
              <w:right w:val="nil"/>
            </w:tcBorders>
            <w:noWrap/>
            <w:vAlign w:val="center"/>
          </w:tcPr>
          <w:p w14:paraId="05E4EDCC">
            <w:pPr>
              <w:widowControl/>
              <w:jc w:val="center"/>
              <w:textAlignment w:val="center"/>
              <w:rPr>
                <w:rFonts w:ascii="宋体" w:hAnsi="宋体" w:cs="宋体"/>
                <w:b/>
                <w:bCs/>
                <w:color w:val="auto"/>
                <w:szCs w:val="21"/>
              </w:rPr>
            </w:pPr>
            <w:r>
              <w:rPr>
                <w:rFonts w:hint="eastAsia" w:ascii="宋体" w:hAnsi="宋体" w:cs="宋体"/>
                <w:b/>
                <w:bCs/>
                <w:color w:val="auto"/>
                <w:kern w:val="0"/>
                <w:szCs w:val="21"/>
              </w:rPr>
              <w:t>电梯司乘服务质量考核标准</w:t>
            </w:r>
          </w:p>
        </w:tc>
      </w:tr>
      <w:tr w14:paraId="79AD0538">
        <w:tblPrEx>
          <w:tblCellMar>
            <w:top w:w="0" w:type="dxa"/>
            <w:left w:w="108" w:type="dxa"/>
            <w:bottom w:w="0" w:type="dxa"/>
            <w:right w:w="108" w:type="dxa"/>
          </w:tblCellMar>
        </w:tblPrEx>
        <w:trPr>
          <w:trHeight w:val="486" w:hRule="atLeast"/>
        </w:trPr>
        <w:tc>
          <w:tcPr>
            <w:tcW w:w="9960" w:type="dxa"/>
            <w:gridSpan w:val="5"/>
            <w:tcBorders>
              <w:top w:val="nil"/>
              <w:left w:val="nil"/>
              <w:bottom w:val="nil"/>
              <w:right w:val="nil"/>
            </w:tcBorders>
            <w:noWrap/>
            <w:vAlign w:val="center"/>
          </w:tcPr>
          <w:p w14:paraId="4C851831">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考核人员：</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rPr>
              <w:t>考核日期：</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年</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月</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日</w:t>
            </w:r>
          </w:p>
        </w:tc>
      </w:tr>
      <w:tr w14:paraId="6CA8431B">
        <w:tblPrEx>
          <w:tblCellMar>
            <w:top w:w="0" w:type="dxa"/>
            <w:left w:w="108" w:type="dxa"/>
            <w:bottom w:w="0" w:type="dxa"/>
            <w:right w:w="108" w:type="dxa"/>
          </w:tblCellMar>
        </w:tblPrEx>
        <w:trPr>
          <w:trHeight w:val="556"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2B9F15B6">
            <w:pPr>
              <w:widowControl/>
              <w:jc w:val="center"/>
              <w:textAlignment w:val="center"/>
              <w:rPr>
                <w:rFonts w:ascii="宋体" w:hAnsi="宋体" w:cs="宋体"/>
                <w:b/>
                <w:bCs/>
                <w:color w:val="auto"/>
                <w:szCs w:val="21"/>
              </w:rPr>
            </w:pPr>
            <w:r>
              <w:rPr>
                <w:rFonts w:hint="eastAsia" w:ascii="宋体" w:hAnsi="宋体" w:cs="宋体"/>
                <w:b/>
                <w:bCs/>
                <w:color w:val="auto"/>
                <w:kern w:val="0"/>
                <w:szCs w:val="21"/>
              </w:rPr>
              <w:t>项目</w:t>
            </w:r>
          </w:p>
        </w:tc>
        <w:tc>
          <w:tcPr>
            <w:tcW w:w="4545" w:type="dxa"/>
            <w:tcBorders>
              <w:top w:val="single" w:color="000000" w:sz="4" w:space="0"/>
              <w:left w:val="single" w:color="000000" w:sz="4" w:space="0"/>
              <w:bottom w:val="single" w:color="000000" w:sz="4" w:space="0"/>
              <w:right w:val="single" w:color="000000" w:sz="4" w:space="0"/>
            </w:tcBorders>
            <w:noWrap/>
            <w:vAlign w:val="center"/>
          </w:tcPr>
          <w:p w14:paraId="03DE7604">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考核内容</w:t>
            </w:r>
          </w:p>
        </w:tc>
        <w:tc>
          <w:tcPr>
            <w:tcW w:w="2102" w:type="dxa"/>
            <w:tcBorders>
              <w:top w:val="single" w:color="000000" w:sz="4" w:space="0"/>
              <w:left w:val="single" w:color="000000" w:sz="4" w:space="0"/>
              <w:bottom w:val="single" w:color="000000" w:sz="4" w:space="0"/>
              <w:right w:val="single" w:color="000000" w:sz="4" w:space="0"/>
            </w:tcBorders>
            <w:noWrap/>
            <w:vAlign w:val="center"/>
          </w:tcPr>
          <w:p w14:paraId="5A3B07E8">
            <w:pPr>
              <w:widowControl/>
              <w:jc w:val="center"/>
              <w:textAlignment w:val="center"/>
              <w:rPr>
                <w:rFonts w:ascii="宋体" w:hAnsi="宋体" w:cs="宋体"/>
                <w:b/>
                <w:bCs/>
                <w:color w:val="auto"/>
                <w:szCs w:val="21"/>
              </w:rPr>
            </w:pPr>
            <w:r>
              <w:rPr>
                <w:rFonts w:hint="eastAsia" w:ascii="宋体" w:hAnsi="宋体" w:cs="宋体"/>
                <w:b/>
                <w:bCs/>
                <w:color w:val="auto"/>
                <w:kern w:val="0"/>
                <w:szCs w:val="21"/>
              </w:rPr>
              <w:t>扣分标准</w:t>
            </w:r>
          </w:p>
        </w:tc>
        <w:tc>
          <w:tcPr>
            <w:tcW w:w="1753" w:type="dxa"/>
            <w:tcBorders>
              <w:top w:val="single" w:color="000000" w:sz="4" w:space="0"/>
              <w:left w:val="single" w:color="000000" w:sz="4" w:space="0"/>
              <w:bottom w:val="single" w:color="000000" w:sz="4" w:space="0"/>
              <w:right w:val="single" w:color="000000" w:sz="4" w:space="0"/>
            </w:tcBorders>
            <w:noWrap/>
            <w:vAlign w:val="center"/>
          </w:tcPr>
          <w:p w14:paraId="597DA317">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存在问题</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FD87D4B">
            <w:pPr>
              <w:widowControl/>
              <w:jc w:val="center"/>
              <w:textAlignment w:val="center"/>
              <w:rPr>
                <w:rFonts w:ascii="宋体" w:hAnsi="宋体" w:cs="宋体"/>
                <w:b/>
                <w:bCs/>
                <w:color w:val="auto"/>
                <w:szCs w:val="21"/>
              </w:rPr>
            </w:pPr>
            <w:r>
              <w:rPr>
                <w:rFonts w:hint="eastAsia" w:ascii="宋体" w:hAnsi="宋体" w:cs="宋体"/>
                <w:b/>
                <w:bCs/>
                <w:color w:val="auto"/>
                <w:kern w:val="0"/>
                <w:szCs w:val="21"/>
              </w:rPr>
              <w:t>扣分</w:t>
            </w:r>
          </w:p>
        </w:tc>
      </w:tr>
      <w:tr w14:paraId="5C0BE4E8">
        <w:tblPrEx>
          <w:tblCellMar>
            <w:top w:w="0" w:type="dxa"/>
            <w:left w:w="108" w:type="dxa"/>
            <w:bottom w:w="0" w:type="dxa"/>
            <w:right w:w="108" w:type="dxa"/>
          </w:tblCellMar>
        </w:tblPrEx>
        <w:trPr>
          <w:trHeight w:val="1377" w:hRule="atLeast"/>
        </w:trPr>
        <w:tc>
          <w:tcPr>
            <w:tcW w:w="660" w:type="dxa"/>
            <w:vMerge w:val="restart"/>
            <w:tcBorders>
              <w:top w:val="single" w:color="000000" w:sz="4" w:space="0"/>
              <w:left w:val="single" w:color="000000" w:sz="4" w:space="0"/>
              <w:bottom w:val="nil"/>
              <w:right w:val="single" w:color="000000" w:sz="4" w:space="0"/>
            </w:tcBorders>
            <w:noWrap/>
            <w:vAlign w:val="center"/>
          </w:tcPr>
          <w:p w14:paraId="6EB1FD8E">
            <w:pPr>
              <w:widowControl/>
              <w:jc w:val="center"/>
              <w:textAlignment w:val="center"/>
              <w:rPr>
                <w:rFonts w:ascii="宋体" w:hAnsi="宋体" w:cs="宋体"/>
                <w:color w:val="auto"/>
                <w:szCs w:val="21"/>
              </w:rPr>
            </w:pPr>
            <w:r>
              <w:rPr>
                <w:rFonts w:hint="eastAsia" w:ascii="宋体" w:hAnsi="宋体" w:cs="宋体"/>
                <w:color w:val="auto"/>
                <w:kern w:val="0"/>
                <w:szCs w:val="21"/>
              </w:rPr>
              <w:t>电梯司乘服务管理</w:t>
            </w:r>
          </w:p>
        </w:tc>
        <w:tc>
          <w:tcPr>
            <w:tcW w:w="4545" w:type="dxa"/>
            <w:tcBorders>
              <w:top w:val="single" w:color="000000" w:sz="4" w:space="0"/>
              <w:left w:val="nil"/>
              <w:bottom w:val="nil"/>
              <w:right w:val="nil"/>
            </w:tcBorders>
            <w:noWrap/>
            <w:vAlign w:val="center"/>
          </w:tcPr>
          <w:p w14:paraId="09DF25B6">
            <w:pPr>
              <w:widowControl/>
              <w:jc w:val="left"/>
              <w:textAlignment w:val="center"/>
              <w:rPr>
                <w:rFonts w:ascii="宋体" w:hAnsi="宋体" w:cs="宋体"/>
                <w:color w:val="auto"/>
                <w:szCs w:val="21"/>
              </w:rPr>
            </w:pPr>
            <w:r>
              <w:rPr>
                <w:rFonts w:hint="eastAsia" w:ascii="宋体" w:hAnsi="宋体" w:cs="宋体"/>
                <w:color w:val="auto"/>
                <w:kern w:val="0"/>
                <w:szCs w:val="21"/>
              </w:rPr>
              <w:t>司乘人员工作时需站立，文明礼貌，要统一着装、发饰、配饰，服装亮丽、整洁、干练，佩戴工号牌，随梯人员佩戴白手套：站姿、引导动作要规范、端庄，使用礼貌语言，微笑服务。随时做好协助工作：如不仅限于力所能及的扶患者进电梯，帮推轮椅进电梯等协助。</w:t>
            </w:r>
          </w:p>
        </w:tc>
        <w:tc>
          <w:tcPr>
            <w:tcW w:w="2102" w:type="dxa"/>
            <w:vMerge w:val="restart"/>
            <w:tcBorders>
              <w:top w:val="single" w:color="000000" w:sz="4" w:space="0"/>
              <w:left w:val="single" w:color="000000" w:sz="4" w:space="0"/>
              <w:bottom w:val="single" w:color="000000" w:sz="4" w:space="0"/>
              <w:right w:val="single" w:color="000000" w:sz="4" w:space="0"/>
            </w:tcBorders>
            <w:noWrap/>
            <w:vAlign w:val="center"/>
          </w:tcPr>
          <w:p w14:paraId="323A0874">
            <w:pPr>
              <w:widowControl/>
              <w:jc w:val="center"/>
              <w:textAlignment w:val="center"/>
              <w:rPr>
                <w:rFonts w:ascii="宋体" w:hAnsi="宋体" w:cs="宋体"/>
                <w:color w:val="auto"/>
                <w:szCs w:val="21"/>
              </w:rPr>
            </w:pPr>
            <w:r>
              <w:rPr>
                <w:rFonts w:hint="eastAsia" w:ascii="宋体" w:hAnsi="宋体" w:cs="宋体"/>
                <w:color w:val="auto"/>
                <w:kern w:val="0"/>
                <w:szCs w:val="21"/>
              </w:rPr>
              <w:t>一处不符合要求扣1分</w:t>
            </w:r>
          </w:p>
        </w:tc>
        <w:tc>
          <w:tcPr>
            <w:tcW w:w="1753" w:type="dxa"/>
            <w:tcBorders>
              <w:top w:val="single" w:color="000000" w:sz="4" w:space="0"/>
              <w:left w:val="nil"/>
              <w:bottom w:val="nil"/>
              <w:right w:val="nil"/>
            </w:tcBorders>
            <w:noWrap/>
            <w:vAlign w:val="center"/>
          </w:tcPr>
          <w:p w14:paraId="464B32A7">
            <w:pPr>
              <w:rPr>
                <w:rFonts w:ascii="宋体" w:hAnsi="宋体" w:cs="宋体"/>
                <w:color w:val="auto"/>
                <w:szCs w:val="21"/>
              </w:rPr>
            </w:pPr>
          </w:p>
        </w:tc>
        <w:tc>
          <w:tcPr>
            <w:tcW w:w="900" w:type="dxa"/>
            <w:tcBorders>
              <w:top w:val="single" w:color="000000" w:sz="4" w:space="0"/>
              <w:left w:val="single" w:color="000000" w:sz="4" w:space="0"/>
              <w:bottom w:val="nil"/>
              <w:right w:val="single" w:color="000000" w:sz="4" w:space="0"/>
            </w:tcBorders>
            <w:noWrap/>
            <w:vAlign w:val="center"/>
          </w:tcPr>
          <w:p w14:paraId="3197EE30">
            <w:pPr>
              <w:rPr>
                <w:rFonts w:ascii="宋体" w:hAnsi="宋体" w:cs="宋体"/>
                <w:color w:val="auto"/>
                <w:szCs w:val="21"/>
              </w:rPr>
            </w:pPr>
          </w:p>
        </w:tc>
      </w:tr>
      <w:tr w14:paraId="7DBFE504">
        <w:tblPrEx>
          <w:tblCellMar>
            <w:top w:w="0" w:type="dxa"/>
            <w:left w:w="108" w:type="dxa"/>
            <w:bottom w:w="0" w:type="dxa"/>
            <w:right w:w="108" w:type="dxa"/>
          </w:tblCellMar>
        </w:tblPrEx>
        <w:trPr>
          <w:trHeight w:val="1227"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19C6B54E">
            <w:pPr>
              <w:jc w:val="center"/>
              <w:rPr>
                <w:rFonts w:ascii="宋体" w:hAnsi="宋体" w:cs="宋体"/>
                <w:color w:val="auto"/>
                <w:szCs w:val="21"/>
              </w:rPr>
            </w:pPr>
          </w:p>
        </w:tc>
        <w:tc>
          <w:tcPr>
            <w:tcW w:w="4545" w:type="dxa"/>
            <w:tcBorders>
              <w:top w:val="single" w:color="000000" w:sz="4" w:space="0"/>
              <w:left w:val="nil"/>
              <w:bottom w:val="single" w:color="000000" w:sz="4" w:space="0"/>
              <w:right w:val="nil"/>
            </w:tcBorders>
            <w:noWrap/>
            <w:vAlign w:val="center"/>
          </w:tcPr>
          <w:p w14:paraId="72604CC5">
            <w:pPr>
              <w:widowControl/>
              <w:jc w:val="left"/>
              <w:textAlignment w:val="center"/>
              <w:rPr>
                <w:rFonts w:ascii="宋体" w:hAnsi="宋体" w:cs="宋体"/>
                <w:color w:val="auto"/>
                <w:szCs w:val="21"/>
              </w:rPr>
            </w:pPr>
            <w:r>
              <w:rPr>
                <w:rFonts w:hint="eastAsia" w:ascii="宋体" w:hAnsi="宋体" w:cs="宋体"/>
                <w:color w:val="auto"/>
                <w:kern w:val="0"/>
                <w:szCs w:val="21"/>
              </w:rPr>
              <w:t>电梯门、内壁表面无划痕，无灰尘，无小广告，无乱画，光亮无手印；电梯内部沟槽无杂物，地面无纸屑，烟头，天花板光亮，内部灯亮，滑道通畅。电梯轨道无污渍、积尘、油渍。</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15603053">
            <w:pPr>
              <w:jc w:val="center"/>
              <w:rPr>
                <w:rFonts w:ascii="宋体" w:hAnsi="宋体" w:cs="宋体"/>
                <w:color w:val="auto"/>
                <w:szCs w:val="21"/>
              </w:rPr>
            </w:pPr>
          </w:p>
        </w:tc>
        <w:tc>
          <w:tcPr>
            <w:tcW w:w="1753" w:type="dxa"/>
            <w:tcBorders>
              <w:top w:val="single" w:color="000000" w:sz="4" w:space="0"/>
              <w:left w:val="nil"/>
              <w:bottom w:val="single" w:color="000000" w:sz="4" w:space="0"/>
              <w:right w:val="single" w:color="000000" w:sz="4" w:space="0"/>
            </w:tcBorders>
            <w:noWrap/>
            <w:vAlign w:val="center"/>
          </w:tcPr>
          <w:p w14:paraId="72B0EC38">
            <w:pPr>
              <w:rPr>
                <w:rFonts w:ascii="宋体" w:hAnsi="宋体" w:cs="宋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B548436">
            <w:pPr>
              <w:rPr>
                <w:rFonts w:ascii="宋体" w:hAnsi="宋体" w:cs="宋体"/>
                <w:color w:val="auto"/>
                <w:szCs w:val="21"/>
              </w:rPr>
            </w:pPr>
          </w:p>
        </w:tc>
      </w:tr>
      <w:tr w14:paraId="569C2DA1">
        <w:tblPrEx>
          <w:tblCellMar>
            <w:top w:w="0" w:type="dxa"/>
            <w:left w:w="108" w:type="dxa"/>
            <w:bottom w:w="0" w:type="dxa"/>
            <w:right w:w="108" w:type="dxa"/>
          </w:tblCellMar>
        </w:tblPrEx>
        <w:trPr>
          <w:trHeight w:val="1189"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58DACCAB">
            <w:pPr>
              <w:jc w:val="center"/>
              <w:rPr>
                <w:rFonts w:ascii="宋体" w:hAnsi="宋体" w:cs="宋体"/>
                <w:color w:val="auto"/>
                <w:szCs w:val="21"/>
              </w:rPr>
            </w:pPr>
          </w:p>
        </w:tc>
        <w:tc>
          <w:tcPr>
            <w:tcW w:w="4545" w:type="dxa"/>
            <w:tcBorders>
              <w:top w:val="single" w:color="000000" w:sz="4" w:space="0"/>
              <w:left w:val="nil"/>
              <w:bottom w:val="single" w:color="000000" w:sz="4" w:space="0"/>
              <w:right w:val="nil"/>
            </w:tcBorders>
            <w:noWrap/>
            <w:vAlign w:val="center"/>
          </w:tcPr>
          <w:p w14:paraId="06FE1AF1">
            <w:pPr>
              <w:widowControl/>
              <w:jc w:val="left"/>
              <w:textAlignment w:val="center"/>
              <w:rPr>
                <w:rFonts w:ascii="宋体" w:hAnsi="宋体" w:cs="宋体"/>
                <w:color w:val="auto"/>
                <w:szCs w:val="21"/>
              </w:rPr>
            </w:pPr>
            <w:r>
              <w:rPr>
                <w:rFonts w:hint="eastAsia" w:ascii="宋体" w:hAnsi="宋体" w:cs="宋体"/>
                <w:color w:val="auto"/>
                <w:kern w:val="0"/>
                <w:szCs w:val="21"/>
              </w:rPr>
              <w:t>做到电梯内清扫、拖地、抹扶手、门槽每班一小扫，每周一大扫。遇到特殊情况随时处理区域保洁。轿厢定期擦不锈钢油（包括电梯门）1次/每星期。根据感控要求对电梯做好消毒。</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1937F080">
            <w:pPr>
              <w:jc w:val="center"/>
              <w:rPr>
                <w:rFonts w:ascii="宋体" w:hAnsi="宋体" w:cs="宋体"/>
                <w:color w:val="auto"/>
                <w:szCs w:val="21"/>
              </w:rPr>
            </w:pPr>
          </w:p>
        </w:tc>
        <w:tc>
          <w:tcPr>
            <w:tcW w:w="1753" w:type="dxa"/>
            <w:tcBorders>
              <w:top w:val="single" w:color="000000" w:sz="4" w:space="0"/>
              <w:left w:val="nil"/>
              <w:bottom w:val="single" w:color="000000" w:sz="4" w:space="0"/>
              <w:right w:val="single" w:color="000000" w:sz="4" w:space="0"/>
            </w:tcBorders>
            <w:noWrap/>
            <w:vAlign w:val="center"/>
          </w:tcPr>
          <w:p w14:paraId="29E51EBC">
            <w:pPr>
              <w:rPr>
                <w:rFonts w:ascii="宋体" w:hAnsi="宋体" w:cs="宋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874211F">
            <w:pPr>
              <w:rPr>
                <w:rFonts w:ascii="宋体" w:hAnsi="宋体" w:cs="宋体"/>
                <w:color w:val="auto"/>
                <w:szCs w:val="21"/>
              </w:rPr>
            </w:pPr>
          </w:p>
        </w:tc>
      </w:tr>
      <w:tr w14:paraId="2880D1ED">
        <w:tblPrEx>
          <w:tblCellMar>
            <w:top w:w="0" w:type="dxa"/>
            <w:left w:w="108" w:type="dxa"/>
            <w:bottom w:w="0" w:type="dxa"/>
            <w:right w:w="108" w:type="dxa"/>
          </w:tblCellMar>
        </w:tblPrEx>
        <w:trPr>
          <w:trHeight w:val="977"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101C837B">
            <w:pPr>
              <w:jc w:val="center"/>
              <w:rPr>
                <w:rFonts w:ascii="宋体" w:hAnsi="宋体" w:cs="宋体"/>
                <w:color w:val="auto"/>
                <w:szCs w:val="21"/>
              </w:rPr>
            </w:pPr>
          </w:p>
        </w:tc>
        <w:tc>
          <w:tcPr>
            <w:tcW w:w="4545" w:type="dxa"/>
            <w:tcBorders>
              <w:top w:val="single" w:color="000000" w:sz="4" w:space="0"/>
              <w:left w:val="nil"/>
              <w:bottom w:val="single" w:color="000000" w:sz="4" w:space="0"/>
              <w:right w:val="nil"/>
            </w:tcBorders>
            <w:noWrap/>
            <w:vAlign w:val="center"/>
          </w:tcPr>
          <w:p w14:paraId="1339C896">
            <w:pPr>
              <w:widowControl/>
              <w:jc w:val="left"/>
              <w:textAlignment w:val="center"/>
              <w:rPr>
                <w:rFonts w:ascii="宋体" w:hAnsi="宋体" w:cs="宋体"/>
                <w:color w:val="auto"/>
                <w:szCs w:val="21"/>
              </w:rPr>
            </w:pPr>
            <w:r>
              <w:rPr>
                <w:rFonts w:hint="eastAsia" w:ascii="宋体" w:hAnsi="宋体" w:cs="宋体"/>
                <w:color w:val="auto"/>
                <w:kern w:val="0"/>
                <w:szCs w:val="21"/>
              </w:rPr>
              <w:t>每天早上及电梯运行前对电梯进行运行状态的检查，测试五方通话是否通畅，出现问题设置好故障牌，及时报修。</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665F1F2D">
            <w:pPr>
              <w:jc w:val="center"/>
              <w:rPr>
                <w:rFonts w:ascii="宋体" w:hAnsi="宋体" w:cs="宋体"/>
                <w:color w:val="auto"/>
                <w:szCs w:val="21"/>
              </w:rPr>
            </w:pPr>
          </w:p>
        </w:tc>
        <w:tc>
          <w:tcPr>
            <w:tcW w:w="1753" w:type="dxa"/>
            <w:tcBorders>
              <w:top w:val="single" w:color="000000" w:sz="4" w:space="0"/>
              <w:left w:val="nil"/>
              <w:bottom w:val="single" w:color="000000" w:sz="4" w:space="0"/>
              <w:right w:val="single" w:color="000000" w:sz="4" w:space="0"/>
            </w:tcBorders>
            <w:noWrap/>
            <w:vAlign w:val="center"/>
          </w:tcPr>
          <w:p w14:paraId="1067AE25">
            <w:pPr>
              <w:rPr>
                <w:rFonts w:ascii="宋体" w:hAnsi="宋体" w:cs="宋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AABCE7">
            <w:pPr>
              <w:rPr>
                <w:rFonts w:ascii="宋体" w:hAnsi="宋体" w:cs="宋体"/>
                <w:color w:val="auto"/>
                <w:szCs w:val="21"/>
              </w:rPr>
            </w:pPr>
          </w:p>
        </w:tc>
      </w:tr>
      <w:tr w14:paraId="1D85F843">
        <w:tblPrEx>
          <w:tblCellMar>
            <w:top w:w="0" w:type="dxa"/>
            <w:left w:w="108" w:type="dxa"/>
            <w:bottom w:w="0" w:type="dxa"/>
            <w:right w:w="108" w:type="dxa"/>
          </w:tblCellMar>
        </w:tblPrEx>
        <w:trPr>
          <w:trHeight w:val="790"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204A3C55">
            <w:pPr>
              <w:jc w:val="center"/>
              <w:rPr>
                <w:rFonts w:ascii="宋体" w:hAnsi="宋体" w:cs="宋体"/>
                <w:color w:val="auto"/>
                <w:szCs w:val="21"/>
              </w:rPr>
            </w:pPr>
          </w:p>
        </w:tc>
        <w:tc>
          <w:tcPr>
            <w:tcW w:w="4545" w:type="dxa"/>
            <w:tcBorders>
              <w:top w:val="single" w:color="000000" w:sz="4" w:space="0"/>
              <w:left w:val="nil"/>
              <w:bottom w:val="single" w:color="000000" w:sz="4" w:space="0"/>
              <w:right w:val="nil"/>
            </w:tcBorders>
            <w:noWrap/>
            <w:vAlign w:val="center"/>
          </w:tcPr>
          <w:p w14:paraId="1B5559D5">
            <w:pPr>
              <w:widowControl/>
              <w:jc w:val="left"/>
              <w:textAlignment w:val="center"/>
              <w:rPr>
                <w:rFonts w:ascii="宋体" w:hAnsi="宋体" w:cs="宋体"/>
                <w:color w:val="auto"/>
                <w:szCs w:val="21"/>
              </w:rPr>
            </w:pPr>
            <w:r>
              <w:rPr>
                <w:rFonts w:hint="eastAsia" w:ascii="宋体" w:hAnsi="宋体" w:cs="宋体"/>
                <w:color w:val="auto"/>
                <w:kern w:val="0"/>
                <w:szCs w:val="21"/>
              </w:rPr>
              <w:t>医用电梯运行应遵循急救、重症、残疾人、孕妇、老人、儿童等特殊人群优先原则。同时司乘人员应提醒上述人群需有人陪同乘梯。</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510C0C7C">
            <w:pPr>
              <w:jc w:val="center"/>
              <w:rPr>
                <w:rFonts w:ascii="宋体" w:hAnsi="宋体" w:cs="宋体"/>
                <w:color w:val="auto"/>
                <w:szCs w:val="21"/>
              </w:rPr>
            </w:pPr>
          </w:p>
        </w:tc>
        <w:tc>
          <w:tcPr>
            <w:tcW w:w="1753" w:type="dxa"/>
            <w:tcBorders>
              <w:top w:val="single" w:color="000000" w:sz="4" w:space="0"/>
              <w:left w:val="nil"/>
              <w:bottom w:val="single" w:color="000000" w:sz="4" w:space="0"/>
              <w:right w:val="nil"/>
            </w:tcBorders>
            <w:noWrap/>
            <w:vAlign w:val="center"/>
          </w:tcPr>
          <w:p w14:paraId="4FD2E244">
            <w:pPr>
              <w:rPr>
                <w:rFonts w:ascii="宋体" w:hAnsi="宋体" w:cs="宋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223C846">
            <w:pPr>
              <w:rPr>
                <w:rFonts w:ascii="宋体" w:hAnsi="宋体" w:cs="宋体"/>
                <w:color w:val="auto"/>
                <w:szCs w:val="21"/>
              </w:rPr>
            </w:pPr>
          </w:p>
        </w:tc>
      </w:tr>
      <w:tr w14:paraId="30595649">
        <w:tblPrEx>
          <w:tblCellMar>
            <w:top w:w="0" w:type="dxa"/>
            <w:left w:w="108" w:type="dxa"/>
            <w:bottom w:w="0" w:type="dxa"/>
            <w:right w:w="108" w:type="dxa"/>
          </w:tblCellMar>
        </w:tblPrEx>
        <w:trPr>
          <w:trHeight w:val="769" w:hRule="atLeast"/>
        </w:trPr>
        <w:tc>
          <w:tcPr>
            <w:tcW w:w="660" w:type="dxa"/>
            <w:vMerge w:val="continue"/>
            <w:tcBorders>
              <w:top w:val="single" w:color="000000" w:sz="4" w:space="0"/>
              <w:left w:val="single" w:color="000000" w:sz="4" w:space="0"/>
              <w:bottom w:val="nil"/>
              <w:right w:val="single" w:color="000000" w:sz="4" w:space="0"/>
            </w:tcBorders>
            <w:noWrap/>
            <w:vAlign w:val="center"/>
          </w:tcPr>
          <w:p w14:paraId="352541F2">
            <w:pPr>
              <w:jc w:val="center"/>
              <w:rPr>
                <w:rFonts w:ascii="宋体" w:hAnsi="宋体" w:cs="宋体"/>
                <w:color w:val="auto"/>
                <w:szCs w:val="21"/>
              </w:rPr>
            </w:pPr>
          </w:p>
        </w:tc>
        <w:tc>
          <w:tcPr>
            <w:tcW w:w="4545" w:type="dxa"/>
            <w:tcBorders>
              <w:top w:val="single" w:color="000000" w:sz="4" w:space="0"/>
              <w:left w:val="nil"/>
              <w:bottom w:val="single" w:color="000000" w:sz="4" w:space="0"/>
              <w:right w:val="nil"/>
            </w:tcBorders>
            <w:noWrap/>
            <w:vAlign w:val="center"/>
          </w:tcPr>
          <w:p w14:paraId="6EB15F0B">
            <w:pPr>
              <w:widowControl/>
              <w:jc w:val="left"/>
              <w:textAlignment w:val="center"/>
              <w:rPr>
                <w:rFonts w:ascii="宋体" w:hAnsi="宋体" w:cs="宋体"/>
                <w:color w:val="auto"/>
                <w:szCs w:val="21"/>
              </w:rPr>
            </w:pPr>
            <w:r>
              <w:rPr>
                <w:rFonts w:hint="eastAsia" w:ascii="宋体" w:hAnsi="宋体" w:cs="宋体"/>
                <w:color w:val="auto"/>
                <w:kern w:val="0"/>
                <w:szCs w:val="21"/>
              </w:rPr>
              <w:t>电梯运行中出现故障，司乘人员应立即安抚乘客耐心等待救援，及时报修，通报现场情况及停运楼层。</w:t>
            </w: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14:paraId="55BFCED5">
            <w:pPr>
              <w:jc w:val="center"/>
              <w:rPr>
                <w:rFonts w:ascii="宋体" w:hAnsi="宋体" w:cs="宋体"/>
                <w:color w:val="auto"/>
                <w:szCs w:val="21"/>
              </w:rPr>
            </w:pPr>
          </w:p>
        </w:tc>
        <w:tc>
          <w:tcPr>
            <w:tcW w:w="1753" w:type="dxa"/>
            <w:tcBorders>
              <w:top w:val="single" w:color="000000" w:sz="4" w:space="0"/>
              <w:left w:val="nil"/>
              <w:bottom w:val="single" w:color="000000" w:sz="4" w:space="0"/>
              <w:right w:val="nil"/>
            </w:tcBorders>
            <w:noWrap/>
            <w:vAlign w:val="center"/>
          </w:tcPr>
          <w:p w14:paraId="4E30DEB2">
            <w:pPr>
              <w:rPr>
                <w:rFonts w:ascii="宋体" w:hAnsi="宋体" w:cs="宋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8752DB5">
            <w:pPr>
              <w:rPr>
                <w:rFonts w:ascii="宋体" w:hAnsi="宋体" w:cs="宋体"/>
                <w:color w:val="auto"/>
                <w:szCs w:val="21"/>
              </w:rPr>
            </w:pPr>
          </w:p>
        </w:tc>
      </w:tr>
      <w:tr w14:paraId="2D82F26D">
        <w:tblPrEx>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5628009B">
            <w:pPr>
              <w:widowControl/>
              <w:jc w:val="center"/>
              <w:textAlignment w:val="center"/>
              <w:rPr>
                <w:rFonts w:ascii="宋体" w:hAnsi="宋体" w:cs="宋体"/>
                <w:color w:val="auto"/>
                <w:szCs w:val="21"/>
              </w:rPr>
            </w:pPr>
            <w:r>
              <w:rPr>
                <w:rFonts w:hint="eastAsia" w:ascii="宋体" w:hAnsi="宋体" w:cs="宋体"/>
                <w:color w:val="auto"/>
                <w:kern w:val="0"/>
                <w:szCs w:val="21"/>
              </w:rPr>
              <w:t>合计</w:t>
            </w:r>
          </w:p>
        </w:tc>
        <w:tc>
          <w:tcPr>
            <w:tcW w:w="4545" w:type="dxa"/>
            <w:tcBorders>
              <w:top w:val="single" w:color="000000" w:sz="4" w:space="0"/>
              <w:left w:val="single" w:color="000000" w:sz="4" w:space="0"/>
              <w:bottom w:val="single" w:color="000000" w:sz="4" w:space="0"/>
              <w:right w:val="single" w:color="000000" w:sz="4" w:space="0"/>
            </w:tcBorders>
            <w:noWrap/>
            <w:vAlign w:val="center"/>
          </w:tcPr>
          <w:p w14:paraId="1FEAB813">
            <w:pPr>
              <w:rPr>
                <w:rFonts w:ascii="宋体" w:hAnsi="宋体" w:cs="宋体"/>
                <w:color w:val="auto"/>
                <w:szCs w:val="21"/>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14:paraId="36EEDB22">
            <w:pPr>
              <w:rPr>
                <w:rFonts w:ascii="宋体" w:hAnsi="宋体" w:cs="宋体"/>
                <w:color w:val="auto"/>
                <w:szCs w:val="21"/>
              </w:rPr>
            </w:pPr>
          </w:p>
        </w:tc>
        <w:tc>
          <w:tcPr>
            <w:tcW w:w="1753" w:type="dxa"/>
            <w:tcBorders>
              <w:top w:val="single" w:color="000000" w:sz="4" w:space="0"/>
              <w:left w:val="nil"/>
              <w:bottom w:val="single" w:color="000000" w:sz="4" w:space="0"/>
              <w:right w:val="nil"/>
            </w:tcBorders>
            <w:noWrap/>
            <w:vAlign w:val="center"/>
          </w:tcPr>
          <w:p w14:paraId="16B62C1D">
            <w:pPr>
              <w:rPr>
                <w:rFonts w:ascii="宋体" w:hAnsi="宋体" w:cs="宋体"/>
                <w:color w:val="auto"/>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DB555F9">
            <w:pPr>
              <w:rPr>
                <w:rFonts w:ascii="宋体" w:hAnsi="宋体" w:cs="宋体"/>
                <w:color w:val="auto"/>
                <w:szCs w:val="21"/>
              </w:rPr>
            </w:pPr>
          </w:p>
        </w:tc>
      </w:tr>
      <w:tr w14:paraId="197D05DB">
        <w:tblPrEx>
          <w:tblCellMar>
            <w:top w:w="0" w:type="dxa"/>
            <w:left w:w="108" w:type="dxa"/>
            <w:bottom w:w="0" w:type="dxa"/>
            <w:right w:w="108" w:type="dxa"/>
          </w:tblCellMar>
        </w:tblPrEx>
        <w:trPr>
          <w:trHeight w:val="709" w:hRule="atLeast"/>
        </w:trPr>
        <w:tc>
          <w:tcPr>
            <w:tcW w:w="9960" w:type="dxa"/>
            <w:gridSpan w:val="5"/>
            <w:tcBorders>
              <w:top w:val="nil"/>
              <w:left w:val="nil"/>
              <w:bottom w:val="nil"/>
              <w:right w:val="nil"/>
            </w:tcBorders>
            <w:noWrap/>
            <w:vAlign w:val="center"/>
          </w:tcPr>
          <w:p w14:paraId="27D8F9D8">
            <w:pPr>
              <w:widowControl/>
              <w:jc w:val="left"/>
              <w:textAlignment w:val="center"/>
              <w:rPr>
                <w:rFonts w:ascii="宋体" w:hAnsi="宋体" w:cs="宋体"/>
                <w:color w:val="auto"/>
                <w:szCs w:val="21"/>
              </w:rPr>
            </w:pPr>
            <w:r>
              <w:rPr>
                <w:rFonts w:hint="eastAsia" w:ascii="宋体" w:hAnsi="宋体" w:cs="宋体"/>
                <w:color w:val="auto"/>
                <w:kern w:val="0"/>
                <w:szCs w:val="21"/>
              </w:rPr>
              <w:t>说明：每月考核1次，结算物业服务费用时按照20元/分标准扣除。</w:t>
            </w:r>
          </w:p>
        </w:tc>
      </w:tr>
    </w:tbl>
    <w:p w14:paraId="6A14A2D8">
      <w:pPr>
        <w:rPr>
          <w:color w:val="auto"/>
        </w:rPr>
      </w:pPr>
    </w:p>
    <w:p w14:paraId="7CD18535">
      <w:pPr>
        <w:pStyle w:val="100"/>
        <w:rPr>
          <w:rFonts w:ascii="宋体" w:hAnsi="宋体"/>
          <w:b/>
          <w:bCs w:val="0"/>
          <w:color w:val="auto"/>
          <w:szCs w:val="21"/>
        </w:rPr>
      </w:pPr>
      <w:r>
        <w:rPr>
          <w:rFonts w:hint="eastAsia"/>
          <w:color w:val="auto"/>
        </w:rPr>
        <w:br w:type="page"/>
      </w:r>
      <w:bookmarkStart w:id="21" w:name="_Toc16970"/>
      <w:r>
        <w:rPr>
          <w:rFonts w:hint="eastAsia" w:ascii="宋体" w:hAnsi="宋体" w:cs="Arial"/>
          <w:b/>
          <w:bCs w:val="0"/>
          <w:color w:val="auto"/>
          <w:szCs w:val="21"/>
        </w:rPr>
        <w:t>附件7：</w:t>
      </w:r>
      <w:r>
        <w:rPr>
          <w:rFonts w:hint="eastAsia" w:ascii="宋体" w:hAnsi="宋体" w:cs="宋体"/>
          <w:b/>
          <w:bCs w:val="0"/>
          <w:color w:val="auto"/>
          <w:szCs w:val="21"/>
        </w:rPr>
        <w:t>《违约处理与处罚规定》</w:t>
      </w:r>
    </w:p>
    <w:p w14:paraId="6D5DEE5C">
      <w:pPr>
        <w:spacing w:line="360" w:lineRule="auto"/>
        <w:ind w:firstLine="420" w:firstLineChars="200"/>
        <w:jc w:val="left"/>
        <w:rPr>
          <w:rFonts w:ascii="宋体" w:hAnsi="宋体" w:cs="宋体"/>
          <w:color w:val="auto"/>
          <w:szCs w:val="21"/>
        </w:rPr>
      </w:pPr>
    </w:p>
    <w:p w14:paraId="444BC45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中标供应商在合同执行期间，如果有下列情形之一者，采购人一经发现并核实，有权直接依据本条款规定的具体罚则进行独立罚款。该罚款独立于月度综合考核评分机制，将与月度考核产生的服务费扣款合并，从当月应付物业服务费总额中一并扣除。</w:t>
      </w:r>
    </w:p>
    <w:p w14:paraId="5B6DBEA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未执行合同约定服务，或对采购人要求整改的问题未在规定时间内完成整改的，采购人有权视情节轻重扣减月物业服务费的50元—1000元/次，直至整改达标为止。当月累计出现以上情形三次以上（含三次）的，采购人可单方终止合同。</w:t>
      </w:r>
    </w:p>
    <w:p w14:paraId="468E64F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2.垃圾回收转运岗位未按院感管理规定配备安全防护用具的，予以扣减当月物业服务费的50元-500元</w:t>
      </w:r>
      <w:r>
        <w:rPr>
          <w:rFonts w:hint="eastAsia"/>
          <w:color w:val="auto"/>
        </w:rPr>
        <w:t>/次</w:t>
      </w:r>
      <w:r>
        <w:rPr>
          <w:rFonts w:hint="eastAsia" w:ascii="宋体" w:hAnsi="宋体" w:cs="宋体"/>
          <w:color w:val="auto"/>
          <w:szCs w:val="21"/>
        </w:rPr>
        <w:t>。</w:t>
      </w:r>
    </w:p>
    <w:p w14:paraId="4DC1064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3.工作中存在不文明现象，与病人或家属引起纠纷或吵架、打架、管理人员或其他工作人员到院方办公室闹事、语言粗俗等其他过激行为，予以扣减当月物业服务费的50元-100元</w:t>
      </w:r>
      <w:r>
        <w:rPr>
          <w:rFonts w:hint="eastAsia"/>
          <w:color w:val="auto"/>
        </w:rPr>
        <w:t>/次外，在事件中产生的民事赔偿和应负的法律负责由供应商承担。</w:t>
      </w:r>
    </w:p>
    <w:p w14:paraId="33D7EB6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4.没有及时报告不良事件或有意隐瞒不良事件，甚至知情不报的，根据不良事件的等级予以扣减当月物业服务费的50元-200元</w:t>
      </w:r>
      <w:r>
        <w:rPr>
          <w:rFonts w:hint="eastAsia"/>
          <w:color w:val="auto"/>
        </w:rPr>
        <w:t>/次</w:t>
      </w:r>
      <w:r>
        <w:rPr>
          <w:rFonts w:hint="eastAsia" w:ascii="宋体" w:hAnsi="宋体" w:cs="宋体"/>
          <w:color w:val="auto"/>
          <w:szCs w:val="21"/>
        </w:rPr>
        <w:t>。</w:t>
      </w:r>
    </w:p>
    <w:p w14:paraId="7F438FE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5.供应商员工在采购人区域内有偷电偷水、偷盗医院公共财物（包括但不仅限于电线、电缆、废旧物品等）、他人物品的现象，除予以扣减当月物业服务费的500-1000元/次外，供应商还需承担法律责任。如因此发生安全事故，供应商除赔偿相关人员及采购人经济损失外（固定资产原价赔偿），采购人同时予以扣减当月物业服务费的10000-50000元，并由此产生的违法行为、民事责任和赔偿均由供应商自行承担。</w:t>
      </w:r>
    </w:p>
    <w:p w14:paraId="273E9D5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6.因供应商员工的原因造成病人及家属物品被盗、丢失事件、造成采购人公共设施损坏等，经核查属实后，除扣减当月物业服务费200-1000元外，由此产生的经济费用由供应商承担赔偿责任（赔偿金额由供应商与当事人协商），损坏采购人设施由供应商负责维修或原价赔偿，并由此产生的违法行为、民事责任和赔偿、采购人的损失均由供应商自行承担。</w:t>
      </w:r>
    </w:p>
    <w:p w14:paraId="37BDD6A3">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供应商员工严格按采购人相关制度职责规定规范工作，因工作不当、不负责任或其他原因造成采购人发生安全事故、财产损失、病人或本人出现意外伤害等情况，由此给采购人造成社会不良影响的事件，视情节严重的采购人予以扣减供应商当月物业服务费5000元—100000元外，供应商还需要对不良事件的后果全权负责，积极进行解决，包括承担法律责任及民事赔偿责任。</w:t>
      </w:r>
    </w:p>
    <w:p w14:paraId="64AE86B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8.由供应商行为造成采购人被相关部门（含院内或院外）处罚，除处罚金额由供应商承担外，采购人同时扣减月物业管理服务托管费的50元-1000元，直至执行整改达标为止，出现以上情形三次以上（含三次）的，采购人可单方终止合同，对采购人造成的损失将扣减100000元进行赔偿。</w:t>
      </w:r>
    </w:p>
    <w:p w14:paraId="58982E2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9.供应商在采购人投入的员工在岗履行工作职责期间，发生自身的人身伤害、伤亡，健康受损等情况，均由供应商负责处理并承担员工经济和道义上的责任，积极处理员工的保险理赔事宜，采购人不承担任何责任和赔偿。</w:t>
      </w:r>
    </w:p>
    <w:p w14:paraId="68A6761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10.对于自主检查、医院管理部门检查中发现因保洁操作不当、消杀不到位、防护缺失等，引发安全事故、公共卫生事件、多人感染或造成人身伤害、财产损失及恶劣社会影响不良事件，应及时采取整改措施，并对整改结果进行追踪，评估整改效果，做到持续改进，并有记录。发生不良事件扣减服务费：一级不良事件（特别重大）扣100000元；二级不良事件（重大）扣50000元；三级不良事件（较大）扣10000元；四级不良事件（一般）扣1000元。</w:t>
      </w:r>
      <w:bookmarkEnd w:id="21"/>
    </w:p>
    <w:p w14:paraId="7934921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11.供应商违反国家相关法规，与员工发生经济纠纷的，均由供应商自己负责调解与处理，采购人不承担任何责任，如果对采购人造成不良影响，由供应商负责向社会及个人解除对采购人的影响，扣减100000元进行赔偿采购人。</w:t>
      </w:r>
    </w:p>
    <w:p w14:paraId="6CBD09D5">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12.以上提到的限期内整改均为7日内。若供应商行为出现两次以上将视为严重违约情节。</w:t>
      </w:r>
    </w:p>
    <w:p w14:paraId="64286BF3">
      <w:pPr>
        <w:jc w:val="center"/>
        <w:rPr>
          <w:rFonts w:hint="eastAsia" w:ascii="宋体" w:hAnsi="宋体"/>
          <w:b/>
          <w:color w:val="auto"/>
          <w:sz w:val="28"/>
          <w:szCs w:val="28"/>
        </w:rPr>
      </w:pPr>
    </w:p>
    <w:p w14:paraId="7B692617">
      <w:pPr>
        <w:jc w:val="center"/>
        <w:rPr>
          <w:rFonts w:hint="eastAsia" w:ascii="宋体" w:hAnsi="宋体"/>
          <w:b/>
          <w:color w:val="auto"/>
          <w:sz w:val="28"/>
          <w:szCs w:val="28"/>
        </w:rPr>
      </w:pPr>
    </w:p>
    <w:p w14:paraId="3F91E2AA">
      <w:pPr>
        <w:jc w:val="center"/>
        <w:rPr>
          <w:rFonts w:hint="eastAsia" w:ascii="宋体" w:hAnsi="宋体"/>
          <w:b/>
          <w:color w:val="auto"/>
          <w:sz w:val="28"/>
          <w:szCs w:val="28"/>
        </w:rPr>
      </w:pPr>
    </w:p>
    <w:p w14:paraId="764DAF02">
      <w:pPr>
        <w:jc w:val="center"/>
        <w:rPr>
          <w:rFonts w:hint="eastAsia" w:ascii="宋体" w:hAnsi="宋体"/>
          <w:b/>
          <w:color w:val="auto"/>
          <w:sz w:val="28"/>
          <w:szCs w:val="28"/>
        </w:rPr>
      </w:pPr>
    </w:p>
    <w:p w14:paraId="74E171D2">
      <w:pPr>
        <w:jc w:val="center"/>
        <w:rPr>
          <w:rFonts w:hint="eastAsia" w:ascii="宋体" w:hAnsi="宋体"/>
          <w:b/>
          <w:color w:val="auto"/>
          <w:sz w:val="28"/>
          <w:szCs w:val="28"/>
        </w:rPr>
      </w:pPr>
    </w:p>
    <w:p w14:paraId="0D8E51AF">
      <w:pPr>
        <w:jc w:val="center"/>
        <w:rPr>
          <w:rFonts w:hint="eastAsia" w:ascii="宋体" w:hAnsi="宋体"/>
          <w:b/>
          <w:color w:val="auto"/>
          <w:sz w:val="28"/>
          <w:szCs w:val="28"/>
        </w:rPr>
      </w:pPr>
    </w:p>
    <w:p w14:paraId="490BAC76">
      <w:pPr>
        <w:jc w:val="center"/>
        <w:rPr>
          <w:rFonts w:hint="eastAsia" w:ascii="宋体" w:hAnsi="宋体"/>
          <w:b/>
          <w:color w:val="auto"/>
          <w:sz w:val="28"/>
          <w:szCs w:val="28"/>
        </w:rPr>
      </w:pPr>
    </w:p>
    <w:p w14:paraId="5943D503">
      <w:pPr>
        <w:jc w:val="center"/>
        <w:rPr>
          <w:rFonts w:hint="eastAsia" w:ascii="宋体" w:hAnsi="宋体"/>
          <w:b/>
          <w:color w:val="auto"/>
          <w:sz w:val="28"/>
          <w:szCs w:val="28"/>
        </w:rPr>
      </w:pPr>
    </w:p>
    <w:p w14:paraId="0D833758">
      <w:pPr>
        <w:jc w:val="center"/>
        <w:rPr>
          <w:rFonts w:hint="eastAsia" w:ascii="宋体" w:hAnsi="宋体"/>
          <w:b/>
          <w:color w:val="auto"/>
          <w:sz w:val="28"/>
          <w:szCs w:val="28"/>
        </w:rPr>
      </w:pPr>
    </w:p>
    <w:p w14:paraId="44A124AA">
      <w:pPr>
        <w:jc w:val="center"/>
        <w:rPr>
          <w:rFonts w:hint="eastAsia" w:ascii="宋体" w:hAnsi="宋体"/>
          <w:b/>
          <w:color w:val="auto"/>
          <w:sz w:val="28"/>
          <w:szCs w:val="28"/>
        </w:rPr>
      </w:pPr>
    </w:p>
    <w:p w14:paraId="61A21694">
      <w:pPr>
        <w:jc w:val="center"/>
        <w:rPr>
          <w:rFonts w:hint="eastAsia" w:ascii="宋体" w:hAnsi="宋体"/>
          <w:b/>
          <w:color w:val="auto"/>
          <w:sz w:val="28"/>
          <w:szCs w:val="28"/>
        </w:rPr>
      </w:pPr>
    </w:p>
    <w:p w14:paraId="05B989A4">
      <w:pPr>
        <w:jc w:val="center"/>
        <w:rPr>
          <w:rFonts w:hint="eastAsia" w:ascii="宋体" w:hAnsi="宋体"/>
          <w:b/>
          <w:color w:val="auto"/>
          <w:sz w:val="28"/>
          <w:szCs w:val="28"/>
        </w:rPr>
      </w:pPr>
    </w:p>
    <w:p w14:paraId="41BFC9B1">
      <w:pPr>
        <w:jc w:val="center"/>
        <w:rPr>
          <w:rFonts w:hint="eastAsia" w:ascii="宋体" w:hAnsi="宋体"/>
          <w:b/>
          <w:color w:val="auto"/>
          <w:sz w:val="28"/>
          <w:szCs w:val="28"/>
        </w:rPr>
      </w:pPr>
    </w:p>
    <w:p w14:paraId="7C1AF9DC">
      <w:pPr>
        <w:jc w:val="left"/>
        <w:rPr>
          <w:rFonts w:hint="default" w:ascii="宋体" w:hAnsi="宋体" w:eastAsia="宋体"/>
          <w:b/>
          <w:color w:val="auto"/>
          <w:sz w:val="28"/>
          <w:szCs w:val="28"/>
          <w:lang w:val="en-US" w:eastAsia="zh-CN"/>
        </w:rPr>
      </w:pPr>
      <w:r>
        <w:rPr>
          <w:rFonts w:hint="eastAsia" w:ascii="宋体" w:hAnsi="宋体"/>
          <w:b/>
          <w:color w:val="auto"/>
          <w:sz w:val="28"/>
          <w:szCs w:val="28"/>
          <w:lang w:eastAsia="zh-CN"/>
        </w:rPr>
        <w:t>附件</w:t>
      </w:r>
      <w:r>
        <w:rPr>
          <w:rFonts w:hint="eastAsia" w:ascii="宋体" w:hAnsi="宋体"/>
          <w:b/>
          <w:color w:val="auto"/>
          <w:sz w:val="28"/>
          <w:szCs w:val="28"/>
          <w:lang w:val="en-US" w:eastAsia="zh-CN"/>
        </w:rPr>
        <w:t>8</w:t>
      </w:r>
    </w:p>
    <w:p w14:paraId="43384EC4">
      <w:pPr>
        <w:jc w:val="center"/>
        <w:rPr>
          <w:rFonts w:ascii="宋体" w:hAnsi="宋体"/>
          <w:b/>
          <w:color w:val="auto"/>
          <w:sz w:val="28"/>
          <w:szCs w:val="28"/>
        </w:rPr>
      </w:pPr>
      <w:r>
        <w:rPr>
          <w:rFonts w:hint="eastAsia" w:ascii="宋体" w:hAnsi="宋体"/>
          <w:b/>
          <w:color w:val="auto"/>
          <w:sz w:val="28"/>
          <w:szCs w:val="28"/>
        </w:rPr>
        <w:t>其他临时计时结算服务报价表</w:t>
      </w:r>
    </w:p>
    <w:p w14:paraId="6930C639">
      <w:pPr>
        <w:spacing w:line="400" w:lineRule="exact"/>
        <w:ind w:firstLine="420" w:firstLineChars="200"/>
        <w:rPr>
          <w:color w:val="auto"/>
        </w:rPr>
      </w:pPr>
      <w:r>
        <w:rPr>
          <w:rFonts w:hint="eastAsia" w:hAnsi="宋体"/>
          <w:b/>
          <w:color w:val="auto"/>
          <w:szCs w:val="21"/>
          <w:u w:val="single"/>
        </w:rPr>
        <w:t>本项目</w:t>
      </w:r>
    </w:p>
    <w:tbl>
      <w:tblPr>
        <w:tblStyle w:val="55"/>
        <w:tblW w:w="9159" w:type="dxa"/>
        <w:jc w:val="center"/>
        <w:tblLayout w:type="fixed"/>
        <w:tblCellMar>
          <w:top w:w="0" w:type="dxa"/>
          <w:left w:w="108" w:type="dxa"/>
          <w:bottom w:w="0" w:type="dxa"/>
          <w:right w:w="108" w:type="dxa"/>
        </w:tblCellMar>
      </w:tblPr>
      <w:tblGrid>
        <w:gridCol w:w="984"/>
        <w:gridCol w:w="2850"/>
        <w:gridCol w:w="1395"/>
        <w:gridCol w:w="1140"/>
        <w:gridCol w:w="1410"/>
        <w:gridCol w:w="1380"/>
      </w:tblGrid>
      <w:tr w14:paraId="5628C1C8">
        <w:tblPrEx>
          <w:tblCellMar>
            <w:top w:w="0" w:type="dxa"/>
            <w:left w:w="108" w:type="dxa"/>
            <w:bottom w:w="0" w:type="dxa"/>
            <w:right w:w="108" w:type="dxa"/>
          </w:tblCellMar>
        </w:tblPrEx>
        <w:trPr>
          <w:trHeight w:val="58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5272D289">
            <w:pPr>
              <w:widowControl/>
              <w:adjustRightInd w:val="0"/>
              <w:snapToGrid w:val="0"/>
              <w:spacing w:line="400" w:lineRule="atLeast"/>
              <w:jc w:val="center"/>
              <w:textAlignment w:val="top"/>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序号</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63735B64">
            <w:pPr>
              <w:widowControl/>
              <w:adjustRightInd w:val="0"/>
              <w:snapToGrid w:val="0"/>
              <w:spacing w:line="400" w:lineRule="atLeast"/>
              <w:jc w:val="center"/>
              <w:textAlignment w:val="top"/>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费用名称</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59CF17EF">
            <w:pPr>
              <w:widowControl/>
              <w:adjustRightInd w:val="0"/>
              <w:snapToGrid w:val="0"/>
              <w:spacing w:line="400" w:lineRule="atLeast"/>
              <w:jc w:val="center"/>
              <w:textAlignment w:val="top"/>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标准</w:t>
            </w: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04ADA18C">
            <w:pPr>
              <w:widowControl/>
              <w:adjustRightInd w:val="0"/>
              <w:snapToGrid w:val="0"/>
              <w:spacing w:line="400" w:lineRule="atLeast"/>
              <w:jc w:val="center"/>
              <w:textAlignment w:val="top"/>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月费用（元）</w:t>
            </w: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4690FF9F">
            <w:pPr>
              <w:widowControl/>
              <w:adjustRightInd w:val="0"/>
              <w:snapToGrid w:val="0"/>
              <w:spacing w:line="400" w:lineRule="atLeast"/>
              <w:jc w:val="center"/>
              <w:textAlignment w:val="top"/>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二年费用合计（元）</w:t>
            </w: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202973D8">
            <w:pPr>
              <w:adjustRightInd w:val="0"/>
              <w:snapToGrid w:val="0"/>
              <w:spacing w:line="400" w:lineRule="atLeas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备注</w:t>
            </w:r>
          </w:p>
        </w:tc>
      </w:tr>
      <w:tr w14:paraId="13370D09">
        <w:tblPrEx>
          <w:tblCellMar>
            <w:top w:w="0" w:type="dxa"/>
            <w:left w:w="108" w:type="dxa"/>
            <w:bottom w:w="0" w:type="dxa"/>
            <w:right w:w="108" w:type="dxa"/>
          </w:tblCellMar>
        </w:tblPrEx>
        <w:trPr>
          <w:trHeight w:val="35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0D08F449">
            <w:pPr>
              <w:widowControl/>
              <w:jc w:val="center"/>
              <w:textAlignment w:val="top"/>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13345D83">
            <w:pPr>
              <w:spacing w:line="40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临时保洁服务加班费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15FB02F6">
            <w:pPr>
              <w:widowControl/>
              <w:jc w:val="center"/>
              <w:textAlignment w:val="top"/>
              <w:rPr>
                <w:rFonts w:asciiTheme="minorEastAsia" w:hAnsiTheme="minorEastAsia" w:eastAsiaTheme="minorEastAsia" w:cstheme="minorEastAsia"/>
                <w:color w:val="auto"/>
                <w:szCs w:val="21"/>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5560408F">
            <w:pPr>
              <w:jc w:val="center"/>
              <w:rPr>
                <w:rFonts w:asciiTheme="minorEastAsia" w:hAnsiTheme="minorEastAsia" w:eastAsiaTheme="minorEastAsia" w:cstheme="minorEastAsia"/>
                <w:color w:val="auto"/>
                <w:szCs w:val="21"/>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1CB4590B">
            <w:pPr>
              <w:jc w:val="center"/>
              <w:rPr>
                <w:rFonts w:asciiTheme="minorEastAsia" w:hAnsiTheme="minorEastAsia" w:eastAsiaTheme="minorEastAsia" w:cstheme="minorEastAsia"/>
                <w:color w:val="auto"/>
                <w:szCs w:val="21"/>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0972F570">
            <w:pPr>
              <w:jc w:val="center"/>
              <w:rPr>
                <w:rFonts w:asciiTheme="minorEastAsia" w:hAnsiTheme="minorEastAsia" w:eastAsiaTheme="minorEastAsia" w:cstheme="minorEastAsia"/>
                <w:color w:val="auto"/>
                <w:szCs w:val="21"/>
              </w:rPr>
            </w:pPr>
          </w:p>
        </w:tc>
      </w:tr>
      <w:tr w14:paraId="0C36A412">
        <w:tblPrEx>
          <w:tblCellMar>
            <w:top w:w="0" w:type="dxa"/>
            <w:left w:w="108" w:type="dxa"/>
            <w:bottom w:w="0" w:type="dxa"/>
            <w:right w:w="108" w:type="dxa"/>
          </w:tblCellMar>
        </w:tblPrEx>
        <w:trPr>
          <w:trHeight w:val="31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6981919E">
            <w:pPr>
              <w:widowControl/>
              <w:jc w:val="center"/>
              <w:textAlignment w:val="top"/>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7</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638E9CC4">
            <w:pPr>
              <w:spacing w:line="40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搬家服务加班费</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4B9A8A53">
            <w:pPr>
              <w:widowControl/>
              <w:jc w:val="center"/>
              <w:textAlignment w:val="top"/>
              <w:rPr>
                <w:rFonts w:asciiTheme="minorEastAsia" w:hAnsiTheme="minorEastAsia" w:eastAsiaTheme="minorEastAsia" w:cstheme="minorEastAsia"/>
                <w:color w:val="auto"/>
                <w:szCs w:val="21"/>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5402877D">
            <w:pPr>
              <w:jc w:val="center"/>
              <w:rPr>
                <w:rFonts w:asciiTheme="minorEastAsia" w:hAnsiTheme="minorEastAsia" w:eastAsiaTheme="minorEastAsia" w:cstheme="minorEastAsia"/>
                <w:color w:val="auto"/>
                <w:szCs w:val="21"/>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2C0311E4">
            <w:pPr>
              <w:jc w:val="center"/>
              <w:rPr>
                <w:rFonts w:asciiTheme="minorEastAsia" w:hAnsiTheme="minorEastAsia" w:eastAsiaTheme="minorEastAsia" w:cstheme="minorEastAsia"/>
                <w:color w:val="auto"/>
                <w:szCs w:val="21"/>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337D95A3">
            <w:pPr>
              <w:jc w:val="center"/>
              <w:rPr>
                <w:rFonts w:asciiTheme="minorEastAsia" w:hAnsiTheme="minorEastAsia" w:eastAsiaTheme="minorEastAsia" w:cstheme="minorEastAsia"/>
                <w:color w:val="auto"/>
                <w:szCs w:val="21"/>
              </w:rPr>
            </w:pPr>
          </w:p>
        </w:tc>
      </w:tr>
      <w:tr w14:paraId="72E9C97A">
        <w:tblPrEx>
          <w:tblCellMar>
            <w:top w:w="0" w:type="dxa"/>
            <w:left w:w="108" w:type="dxa"/>
            <w:bottom w:w="0" w:type="dxa"/>
            <w:right w:w="108" w:type="dxa"/>
          </w:tblCellMar>
        </w:tblPrEx>
        <w:trPr>
          <w:trHeight w:val="315"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75258B37">
            <w:pPr>
              <w:widowControl/>
              <w:jc w:val="center"/>
              <w:textAlignment w:val="top"/>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8</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61B464CF">
            <w:pPr>
              <w:spacing w:line="40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隔帘、床帘拆装洗费用</w:t>
            </w:r>
          </w:p>
        </w:tc>
        <w:tc>
          <w:tcPr>
            <w:tcW w:w="1395" w:type="dxa"/>
            <w:tcBorders>
              <w:top w:val="single" w:color="000000" w:sz="8" w:space="0"/>
              <w:left w:val="single" w:color="000000" w:sz="8" w:space="0"/>
              <w:bottom w:val="single" w:color="000000" w:sz="8" w:space="0"/>
              <w:right w:val="single" w:color="000000" w:sz="8" w:space="0"/>
            </w:tcBorders>
            <w:noWrap/>
            <w:vAlign w:val="center"/>
          </w:tcPr>
          <w:p w14:paraId="4B9B6FB0">
            <w:pPr>
              <w:widowControl/>
              <w:jc w:val="center"/>
              <w:textAlignment w:val="top"/>
              <w:rPr>
                <w:rFonts w:asciiTheme="minorEastAsia" w:hAnsiTheme="minorEastAsia" w:eastAsiaTheme="minorEastAsia" w:cstheme="minorEastAsia"/>
                <w:color w:val="auto"/>
                <w:szCs w:val="21"/>
              </w:rPr>
            </w:pPr>
          </w:p>
        </w:tc>
        <w:tc>
          <w:tcPr>
            <w:tcW w:w="1140" w:type="dxa"/>
            <w:tcBorders>
              <w:top w:val="single" w:color="000000" w:sz="8" w:space="0"/>
              <w:left w:val="single" w:color="000000" w:sz="8" w:space="0"/>
              <w:bottom w:val="single" w:color="000000" w:sz="8" w:space="0"/>
              <w:right w:val="single" w:color="000000" w:sz="8" w:space="0"/>
            </w:tcBorders>
            <w:noWrap/>
            <w:vAlign w:val="center"/>
          </w:tcPr>
          <w:p w14:paraId="0D9B7C4E">
            <w:pPr>
              <w:jc w:val="center"/>
              <w:rPr>
                <w:rFonts w:asciiTheme="minorEastAsia" w:hAnsiTheme="minorEastAsia" w:eastAsiaTheme="minorEastAsia" w:cstheme="minorEastAsia"/>
                <w:color w:val="auto"/>
                <w:szCs w:val="21"/>
              </w:rPr>
            </w:pPr>
          </w:p>
        </w:tc>
        <w:tc>
          <w:tcPr>
            <w:tcW w:w="1410" w:type="dxa"/>
            <w:tcBorders>
              <w:top w:val="single" w:color="000000" w:sz="8" w:space="0"/>
              <w:left w:val="single" w:color="000000" w:sz="8" w:space="0"/>
              <w:bottom w:val="single" w:color="000000" w:sz="8" w:space="0"/>
              <w:right w:val="single" w:color="000000" w:sz="8" w:space="0"/>
            </w:tcBorders>
            <w:noWrap/>
            <w:vAlign w:val="center"/>
          </w:tcPr>
          <w:p w14:paraId="612F94BF">
            <w:pPr>
              <w:jc w:val="center"/>
              <w:rPr>
                <w:rFonts w:asciiTheme="minorEastAsia" w:hAnsiTheme="minorEastAsia" w:eastAsiaTheme="minorEastAsia" w:cstheme="minorEastAsia"/>
                <w:color w:val="auto"/>
                <w:szCs w:val="21"/>
              </w:rPr>
            </w:pPr>
          </w:p>
        </w:tc>
        <w:tc>
          <w:tcPr>
            <w:tcW w:w="1380" w:type="dxa"/>
            <w:tcBorders>
              <w:top w:val="single" w:color="000000" w:sz="8" w:space="0"/>
              <w:left w:val="single" w:color="000000" w:sz="8" w:space="0"/>
              <w:bottom w:val="single" w:color="000000" w:sz="8" w:space="0"/>
              <w:right w:val="single" w:color="000000" w:sz="8" w:space="0"/>
            </w:tcBorders>
            <w:noWrap/>
            <w:vAlign w:val="center"/>
          </w:tcPr>
          <w:p w14:paraId="355CEC9A">
            <w:pPr>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可按张/病区分别报价</w:t>
            </w:r>
          </w:p>
        </w:tc>
      </w:tr>
      <w:tr w14:paraId="75DAB803">
        <w:tblPrEx>
          <w:tblCellMar>
            <w:top w:w="0" w:type="dxa"/>
            <w:left w:w="108" w:type="dxa"/>
            <w:bottom w:w="0" w:type="dxa"/>
            <w:right w:w="108" w:type="dxa"/>
          </w:tblCellMar>
        </w:tblPrEx>
        <w:trPr>
          <w:trHeight w:val="410" w:hRule="atLeast"/>
          <w:jc w:val="center"/>
        </w:trPr>
        <w:tc>
          <w:tcPr>
            <w:tcW w:w="984" w:type="dxa"/>
            <w:tcBorders>
              <w:top w:val="single" w:color="000000" w:sz="8" w:space="0"/>
              <w:left w:val="single" w:color="000000" w:sz="8" w:space="0"/>
              <w:bottom w:val="single" w:color="000000" w:sz="8" w:space="0"/>
              <w:right w:val="single" w:color="000000" w:sz="8" w:space="0"/>
            </w:tcBorders>
            <w:noWrap/>
            <w:vAlign w:val="center"/>
          </w:tcPr>
          <w:p w14:paraId="4DBFF211">
            <w:pPr>
              <w:widowControl/>
              <w:jc w:val="center"/>
              <w:textAlignment w:val="top"/>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11</w:t>
            </w:r>
          </w:p>
        </w:tc>
        <w:tc>
          <w:tcPr>
            <w:tcW w:w="2850" w:type="dxa"/>
            <w:tcBorders>
              <w:top w:val="single" w:color="000000" w:sz="8" w:space="0"/>
              <w:left w:val="single" w:color="000000" w:sz="8" w:space="0"/>
              <w:bottom w:val="single" w:color="000000" w:sz="8" w:space="0"/>
              <w:right w:val="single" w:color="000000" w:sz="8" w:space="0"/>
            </w:tcBorders>
            <w:noWrap/>
            <w:vAlign w:val="center"/>
          </w:tcPr>
          <w:p w14:paraId="20337C7F">
            <w:pPr>
              <w:spacing w:line="40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办公用房</w:t>
            </w:r>
          </w:p>
        </w:tc>
        <w:tc>
          <w:tcPr>
            <w:tcW w:w="5325" w:type="dxa"/>
            <w:gridSpan w:val="4"/>
            <w:tcBorders>
              <w:top w:val="single" w:color="000000" w:sz="8" w:space="0"/>
              <w:left w:val="single" w:color="000000" w:sz="8" w:space="0"/>
              <w:bottom w:val="single" w:color="000000" w:sz="8" w:space="0"/>
              <w:right w:val="single" w:color="000000" w:sz="8" w:space="0"/>
            </w:tcBorders>
            <w:noWrap/>
            <w:vAlign w:val="center"/>
          </w:tcPr>
          <w:p w14:paraId="04FD5230">
            <w:pPr>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采购人原则上不提供服务商驻院管理人员的办公用房及</w:t>
            </w:r>
            <w:r>
              <w:rPr>
                <w:rFonts w:hint="eastAsia" w:asciiTheme="minorEastAsia" w:hAnsiTheme="minorEastAsia" w:eastAsiaTheme="minorEastAsia" w:cstheme="minorEastAsia"/>
                <w:color w:val="auto"/>
                <w:szCs w:val="21"/>
              </w:rPr>
              <w:t>宿舍用房，由服务商自行解决，在采购人用房条件允许情况下，如因特殊情况需申请使用，应该注明面积、水电要求</w:t>
            </w:r>
          </w:p>
        </w:tc>
      </w:tr>
    </w:tbl>
    <w:p w14:paraId="74FE4854">
      <w:pPr>
        <w:rPr>
          <w:rFonts w:ascii="新宋体" w:hAnsi="新宋体" w:eastAsia="新宋体" w:cs="新宋体"/>
          <w:color w:val="auto"/>
          <w:szCs w:val="21"/>
        </w:rPr>
      </w:pPr>
    </w:p>
    <w:p w14:paraId="44F05543">
      <w:pPr>
        <w:rPr>
          <w:rFonts w:ascii="新宋体" w:hAnsi="新宋体" w:eastAsia="新宋体" w:cs="新宋体"/>
          <w:color w:val="auto"/>
          <w:szCs w:val="21"/>
        </w:rPr>
      </w:pPr>
      <w:r>
        <w:rPr>
          <w:rFonts w:hint="eastAsia" w:ascii="新宋体" w:hAnsi="新宋体" w:eastAsia="新宋体" w:cs="新宋体"/>
          <w:color w:val="auto"/>
          <w:szCs w:val="21"/>
        </w:rPr>
        <w:t>备注：</w:t>
      </w:r>
    </w:p>
    <w:p w14:paraId="3CFFA38C">
      <w:pPr>
        <w:rPr>
          <w:rFonts w:ascii="新宋体" w:hAnsi="新宋体" w:eastAsia="新宋体" w:cs="新宋体"/>
          <w:color w:val="auto"/>
          <w:szCs w:val="21"/>
        </w:rPr>
      </w:pPr>
      <w:r>
        <w:rPr>
          <w:rFonts w:hint="eastAsia" w:ascii="新宋体" w:hAnsi="新宋体" w:eastAsia="新宋体" w:cs="新宋体"/>
          <w:color w:val="auto"/>
          <w:szCs w:val="21"/>
        </w:rPr>
        <w:t>1.上述附加服务费按实际发生据实结算，不纳入本次服务采购项目预算总额。</w:t>
      </w:r>
    </w:p>
    <w:p w14:paraId="6DA78677">
      <w:pPr>
        <w:rPr>
          <w:rFonts w:ascii="新宋体" w:hAnsi="新宋体" w:eastAsia="新宋体" w:cs="新宋体"/>
          <w:color w:val="auto"/>
          <w:szCs w:val="21"/>
        </w:rPr>
      </w:pPr>
      <w:r>
        <w:rPr>
          <w:rFonts w:hint="eastAsia" w:ascii="新宋体" w:hAnsi="新宋体" w:eastAsia="新宋体" w:cs="新宋体"/>
          <w:color w:val="auto"/>
          <w:szCs w:val="21"/>
        </w:rPr>
        <w:t>2.本表参与报价的供应商均须报价。</w:t>
      </w:r>
    </w:p>
    <w:p w14:paraId="4C941A9A">
      <w:pPr>
        <w:snapToGrid w:val="0"/>
        <w:spacing w:before="50" w:after="50" w:line="360" w:lineRule="exact"/>
        <w:rPr>
          <w:rFonts w:ascii="新宋体" w:hAnsi="新宋体" w:eastAsia="新宋体" w:cs="新宋体"/>
          <w:color w:val="auto"/>
          <w:szCs w:val="21"/>
        </w:rPr>
      </w:pPr>
      <w:r>
        <w:rPr>
          <w:rFonts w:hint="eastAsia" w:ascii="新宋体" w:hAnsi="新宋体" w:eastAsia="新宋体" w:cs="新宋体"/>
          <w:color w:val="auto"/>
          <w:szCs w:val="21"/>
        </w:rPr>
        <w:t>3.报价标准不超过如下表服务预算控制价:保洁加班费按10元/人·小时计取，搬家服务费按25元/人·小时计取，病房隔帘/床帘拆装费按5元/张计取。</w:t>
      </w:r>
    </w:p>
    <w:p w14:paraId="6C42F4AA">
      <w:pPr>
        <w:snapToGrid w:val="0"/>
        <w:spacing w:before="50" w:after="50" w:line="360" w:lineRule="exact"/>
        <w:rPr>
          <w:rFonts w:ascii="新宋体" w:hAnsi="新宋体" w:eastAsia="新宋体" w:cs="新宋体"/>
          <w:color w:val="auto"/>
          <w:szCs w:val="21"/>
        </w:rPr>
      </w:pPr>
    </w:p>
    <w:p w14:paraId="274ADB9C">
      <w:pPr>
        <w:pStyle w:val="28"/>
        <w:spacing w:line="400" w:lineRule="exact"/>
        <w:ind w:firstLine="420" w:firstLineChars="200"/>
        <w:rPr>
          <w:rFonts w:hint="eastAsia" w:hAnsi="宋体" w:eastAsia="宋体"/>
          <w:color w:val="auto"/>
          <w:lang w:eastAsia="zh-CN"/>
        </w:rPr>
      </w:pPr>
      <w:r>
        <w:rPr>
          <w:rFonts w:hint="eastAsia" w:hAnsi="宋体"/>
          <w:color w:val="auto"/>
        </w:rPr>
        <w:t>投标人盖公章</w:t>
      </w:r>
      <w:r>
        <w:rPr>
          <w:rFonts w:hint="eastAsia" w:hAnsi="宋体"/>
          <w:color w:val="auto"/>
          <w:lang w:eastAsia="zh-CN"/>
        </w:rPr>
        <w:t>：</w:t>
      </w:r>
    </w:p>
    <w:p w14:paraId="1C681BBE">
      <w:pPr>
        <w:pStyle w:val="28"/>
        <w:spacing w:line="400" w:lineRule="exact"/>
        <w:rPr>
          <w:rFonts w:hAnsi="宋体"/>
          <w:color w:val="auto"/>
        </w:rPr>
      </w:pPr>
    </w:p>
    <w:p w14:paraId="4FB397CB">
      <w:pPr>
        <w:snapToGrid w:val="0"/>
        <w:spacing w:before="50" w:after="50" w:line="400" w:lineRule="exact"/>
        <w:ind w:firstLine="420" w:firstLineChars="200"/>
        <w:rPr>
          <w:rFonts w:ascii="宋体" w:hAnsi="宋体"/>
          <w:color w:val="auto"/>
          <w:spacing w:val="20"/>
          <w:u w:val="single"/>
        </w:rPr>
      </w:pPr>
      <w:r>
        <w:rPr>
          <w:rFonts w:hint="eastAsia" w:ascii="宋体" w:hAnsi="宋体"/>
          <w:color w:val="auto"/>
        </w:rPr>
        <w:t>法定代表人或委托代理人</w:t>
      </w:r>
      <w:r>
        <w:rPr>
          <w:rFonts w:hint="eastAsia" w:ascii="宋体" w:hAnsi="宋体"/>
          <w:color w:val="auto"/>
          <w:spacing w:val="20"/>
        </w:rPr>
        <w:t>签字（或签章）：</w:t>
      </w:r>
    </w:p>
    <w:p w14:paraId="4AD6C8C0">
      <w:pPr>
        <w:pStyle w:val="34"/>
        <w:rPr>
          <w:color w:val="auto"/>
        </w:rPr>
      </w:pPr>
    </w:p>
    <w:p w14:paraId="0DBC7AFF">
      <w:pPr>
        <w:snapToGrid w:val="0"/>
        <w:spacing w:beforeLines="50" w:afterLines="50"/>
        <w:ind w:left="238"/>
        <w:jc w:val="center"/>
        <w:rPr>
          <w:rFonts w:ascii="宋体" w:hAnsi="宋体" w:cs="宋体"/>
          <w:b/>
          <w:color w:val="auto"/>
          <w:sz w:val="44"/>
          <w:szCs w:val="44"/>
        </w:rPr>
      </w:pPr>
    </w:p>
    <w:p w14:paraId="00D31A33">
      <w:pPr>
        <w:snapToGrid w:val="0"/>
        <w:spacing w:beforeLines="50" w:afterLines="50"/>
        <w:ind w:left="238"/>
        <w:jc w:val="center"/>
        <w:rPr>
          <w:rFonts w:ascii="宋体" w:hAnsi="宋体" w:cs="宋体"/>
          <w:b/>
          <w:color w:val="auto"/>
          <w:sz w:val="44"/>
          <w:szCs w:val="44"/>
        </w:rPr>
      </w:pPr>
    </w:p>
    <w:p w14:paraId="524AF0FA">
      <w:pPr>
        <w:snapToGrid w:val="0"/>
        <w:spacing w:beforeLines="50" w:afterLines="50"/>
        <w:ind w:left="238"/>
        <w:jc w:val="center"/>
        <w:rPr>
          <w:rFonts w:ascii="宋体" w:hAnsi="宋体" w:cs="宋体"/>
          <w:b/>
          <w:color w:val="auto"/>
          <w:sz w:val="44"/>
          <w:szCs w:val="44"/>
        </w:rPr>
      </w:pPr>
    </w:p>
    <w:p w14:paraId="14DD9B1A">
      <w:pPr>
        <w:snapToGrid w:val="0"/>
        <w:spacing w:beforeLines="50" w:afterLines="50"/>
        <w:ind w:left="238"/>
        <w:jc w:val="center"/>
        <w:rPr>
          <w:rFonts w:ascii="宋体" w:hAnsi="宋体" w:cs="宋体"/>
          <w:b/>
          <w:color w:val="auto"/>
          <w:sz w:val="44"/>
          <w:szCs w:val="44"/>
        </w:rPr>
      </w:pPr>
    </w:p>
    <w:p w14:paraId="2FE562FC">
      <w:pPr>
        <w:pageBreakBefore/>
        <w:snapToGrid w:val="0"/>
        <w:jc w:val="center"/>
        <w:rPr>
          <w:rFonts w:ascii="宋体" w:hAnsi="宋体" w:cs="宋体"/>
          <w:b/>
          <w:color w:val="auto"/>
          <w:szCs w:val="21"/>
        </w:rPr>
      </w:pPr>
      <w:r>
        <w:rPr>
          <w:rFonts w:hint="eastAsia" w:ascii="宋体" w:hAnsi="宋体" w:cs="宋体"/>
          <w:b/>
          <w:color w:val="auto"/>
          <w:sz w:val="32"/>
          <w:szCs w:val="32"/>
        </w:rPr>
        <w:t>投标</w:t>
      </w:r>
      <w:bookmarkStart w:id="22" w:name="_Toc254970526"/>
      <w:bookmarkStart w:id="23" w:name="_Toc254970667"/>
      <w:r>
        <w:rPr>
          <w:rFonts w:hint="eastAsia" w:ascii="宋体" w:hAnsi="宋体" w:cs="宋体"/>
          <w:b/>
          <w:color w:val="auto"/>
          <w:sz w:val="32"/>
          <w:szCs w:val="32"/>
        </w:rPr>
        <w:t>人须知及前附表</w:t>
      </w:r>
      <w:bookmarkEnd w:id="22"/>
      <w:bookmarkEnd w:id="23"/>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0A174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14:paraId="3987750B">
            <w:pPr>
              <w:snapToGrid w:val="0"/>
              <w:spacing w:line="360" w:lineRule="exact"/>
              <w:jc w:val="center"/>
              <w:rPr>
                <w:rFonts w:ascii="宋体" w:hAnsi="宋体" w:cs="宋体"/>
                <w:color w:val="auto"/>
                <w:szCs w:val="21"/>
              </w:rPr>
            </w:pPr>
            <w:r>
              <w:rPr>
                <w:rFonts w:hint="eastAsia" w:ascii="宋体" w:hAnsi="宋体" w:cs="宋体"/>
                <w:color w:val="auto"/>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14:paraId="05B8F164">
            <w:pPr>
              <w:snapToGrid w:val="0"/>
              <w:spacing w:line="360" w:lineRule="exact"/>
              <w:jc w:val="center"/>
              <w:rPr>
                <w:rFonts w:ascii="宋体" w:hAnsi="宋体" w:cs="宋体"/>
                <w:color w:val="auto"/>
                <w:szCs w:val="21"/>
              </w:rPr>
            </w:pPr>
            <w:r>
              <w:rPr>
                <w:rFonts w:hint="eastAsia" w:ascii="宋体" w:hAnsi="宋体" w:cs="宋体"/>
                <w:color w:val="auto"/>
                <w:szCs w:val="21"/>
              </w:rPr>
              <w:t>内容、要求</w:t>
            </w:r>
          </w:p>
        </w:tc>
      </w:tr>
      <w:tr w14:paraId="5D5BC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14:paraId="72877720">
            <w:pPr>
              <w:snapToGrid w:val="0"/>
              <w:spacing w:line="360" w:lineRule="exact"/>
              <w:jc w:val="center"/>
              <w:rPr>
                <w:rFonts w:ascii="宋体" w:hAnsi="宋体" w:cs="宋体"/>
                <w:color w:val="auto"/>
                <w:szCs w:val="21"/>
              </w:rPr>
            </w:pPr>
            <w:r>
              <w:rPr>
                <w:rFonts w:hint="eastAsia" w:ascii="宋体" w:hAnsi="宋体" w:cs="宋体"/>
                <w:color w:val="auto"/>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14:paraId="3C0A0459">
            <w:pPr>
              <w:spacing w:line="400" w:lineRule="exact"/>
              <w:ind w:right="-109" w:rightChars="-52"/>
              <w:jc w:val="left"/>
              <w:rPr>
                <w:rFonts w:ascii="宋体" w:hAnsi="宋体" w:cs="宋体"/>
                <w:color w:val="auto"/>
                <w:szCs w:val="21"/>
              </w:rPr>
            </w:pPr>
            <w:r>
              <w:rPr>
                <w:rFonts w:hint="eastAsia" w:ascii="宋体" w:hAnsi="宋体" w:cs="宋体"/>
                <w:color w:val="auto"/>
                <w:szCs w:val="21"/>
              </w:rPr>
              <w:t>项目名称：崇左市人民医院保洁、绿植养护及电梯司乘服务项目</w:t>
            </w:r>
          </w:p>
        </w:tc>
      </w:tr>
      <w:tr w14:paraId="02D95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14:paraId="0F7500E2">
            <w:pPr>
              <w:snapToGrid w:val="0"/>
              <w:spacing w:line="360" w:lineRule="exact"/>
              <w:jc w:val="center"/>
              <w:rPr>
                <w:rFonts w:ascii="宋体" w:hAnsi="宋体" w:cs="宋体"/>
                <w:color w:val="auto"/>
                <w:szCs w:val="21"/>
              </w:rPr>
            </w:pPr>
            <w:r>
              <w:rPr>
                <w:rFonts w:hint="eastAsia" w:ascii="宋体" w:hAnsi="宋体" w:cs="宋体"/>
                <w:color w:val="auto"/>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14:paraId="0F6A1A3C">
            <w:pPr>
              <w:snapToGrid w:val="0"/>
              <w:spacing w:line="380" w:lineRule="exact"/>
              <w:rPr>
                <w:rFonts w:ascii="宋体" w:hAnsi="宋体" w:cs="宋体"/>
                <w:color w:val="auto"/>
                <w:szCs w:val="21"/>
              </w:rPr>
            </w:pPr>
            <w:r>
              <w:rPr>
                <w:rFonts w:hint="eastAsia" w:ascii="宋体" w:hAnsi="宋体" w:cs="宋体"/>
                <w:color w:val="auto"/>
                <w:szCs w:val="21"/>
              </w:rPr>
              <w:t>投标报价及费用：1.本项目投标应以人民币报价；2.不论投标结果如何，投标人均应自行承担所有与投标有关的全部费用。</w:t>
            </w:r>
          </w:p>
        </w:tc>
      </w:tr>
      <w:tr w14:paraId="3D791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14:paraId="4C09D5B4">
            <w:pPr>
              <w:snapToGrid w:val="0"/>
              <w:spacing w:line="360" w:lineRule="exact"/>
              <w:jc w:val="center"/>
              <w:rPr>
                <w:rFonts w:ascii="宋体" w:hAnsi="宋体" w:cs="宋体"/>
                <w:color w:val="auto"/>
                <w:szCs w:val="21"/>
              </w:rPr>
            </w:pPr>
            <w:r>
              <w:rPr>
                <w:rFonts w:hint="eastAsia" w:ascii="宋体" w:hAnsi="宋体" w:cs="宋体"/>
                <w:color w:val="auto"/>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14:paraId="02CD63DE">
            <w:pPr>
              <w:snapToGrid w:val="0"/>
              <w:spacing w:line="380" w:lineRule="exact"/>
              <w:rPr>
                <w:rFonts w:ascii="宋体" w:hAnsi="宋体" w:cs="宋体"/>
                <w:color w:val="auto"/>
                <w:szCs w:val="21"/>
              </w:rPr>
            </w:pPr>
            <w:r>
              <w:rPr>
                <w:rFonts w:hint="eastAsia" w:ascii="宋体" w:hAnsi="宋体" w:cs="宋体"/>
                <w:color w:val="auto"/>
                <w:szCs w:val="21"/>
              </w:rPr>
              <w:t>投标保证金：</w:t>
            </w:r>
            <w:r>
              <w:rPr>
                <w:rStyle w:val="308"/>
                <w:rFonts w:hint="eastAsia" w:ascii="宋体" w:hAnsi="宋体" w:cs="宋体"/>
                <w:color w:val="auto"/>
                <w:szCs w:val="21"/>
              </w:rPr>
              <w:t>本项目不收取投标保证金</w:t>
            </w:r>
            <w:r>
              <w:rPr>
                <w:rFonts w:hint="eastAsia" w:ascii="宋体" w:hAnsi="宋体" w:cs="宋体"/>
                <w:color w:val="auto"/>
                <w:szCs w:val="21"/>
              </w:rPr>
              <w:t>。</w:t>
            </w:r>
          </w:p>
        </w:tc>
      </w:tr>
      <w:tr w14:paraId="3BDFB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14:paraId="0E5B3BEA">
            <w:pPr>
              <w:snapToGrid w:val="0"/>
              <w:spacing w:line="360" w:lineRule="exact"/>
              <w:jc w:val="center"/>
              <w:rPr>
                <w:rFonts w:ascii="宋体" w:hAnsi="宋体" w:cs="宋体"/>
                <w:b/>
                <w:color w:val="auto"/>
                <w:szCs w:val="21"/>
              </w:rPr>
            </w:pPr>
            <w:r>
              <w:rPr>
                <w:rFonts w:hint="eastAsia" w:ascii="宋体" w:hAnsi="宋体" w:cs="宋体"/>
                <w:b/>
                <w:color w:val="auto"/>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14:paraId="26E3FA7D">
            <w:pPr>
              <w:spacing w:line="360" w:lineRule="exact"/>
              <w:jc w:val="left"/>
              <w:rPr>
                <w:rFonts w:ascii="宋体" w:hAnsi="宋体" w:cs="宋体"/>
                <w:b/>
                <w:color w:val="auto"/>
                <w:szCs w:val="21"/>
              </w:rPr>
            </w:pPr>
            <w:r>
              <w:rPr>
                <w:rFonts w:hint="eastAsia" w:ascii="宋体" w:hAnsi="宋体" w:cs="宋体"/>
                <w:b/>
                <w:color w:val="auto"/>
                <w:szCs w:val="21"/>
              </w:rPr>
              <w:t>现场踏勘：详见第二章采购人的特殊要求及说明。</w:t>
            </w:r>
          </w:p>
        </w:tc>
      </w:tr>
      <w:tr w14:paraId="44CF6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14:paraId="093ED592">
            <w:pPr>
              <w:snapToGrid w:val="0"/>
              <w:spacing w:line="360" w:lineRule="exact"/>
              <w:jc w:val="center"/>
              <w:rPr>
                <w:rFonts w:ascii="宋体" w:hAnsi="宋体" w:cs="宋体"/>
                <w:color w:val="auto"/>
                <w:szCs w:val="21"/>
              </w:rPr>
            </w:pPr>
            <w:r>
              <w:rPr>
                <w:rFonts w:hint="eastAsia" w:ascii="宋体" w:hAnsi="宋体" w:cs="宋体"/>
                <w:color w:val="auto"/>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14:paraId="6CC5AB18">
            <w:pPr>
              <w:snapToGrid w:val="0"/>
              <w:spacing w:line="360" w:lineRule="exact"/>
              <w:rPr>
                <w:rFonts w:ascii="宋体" w:hAnsi="宋体" w:cs="宋体"/>
                <w:color w:val="auto"/>
                <w:szCs w:val="21"/>
              </w:rPr>
            </w:pPr>
            <w:r>
              <w:rPr>
                <w:rFonts w:hint="eastAsia" w:ascii="宋体" w:hAnsi="宋体" w:cs="宋体"/>
                <w:color w:val="auto"/>
                <w:szCs w:val="21"/>
              </w:rPr>
              <w:t>演示时间及地点：</w:t>
            </w:r>
            <w:r>
              <w:rPr>
                <w:rFonts w:hint="eastAsia" w:ascii="宋体" w:hAnsi="宋体" w:cs="宋体"/>
                <w:color w:val="auto"/>
                <w:szCs w:val="21"/>
                <w:u w:val="single"/>
              </w:rPr>
              <w:t>无</w:t>
            </w:r>
            <w:r>
              <w:rPr>
                <w:rFonts w:hint="eastAsia" w:ascii="宋体" w:hAnsi="宋体" w:cs="宋体"/>
                <w:color w:val="auto"/>
                <w:szCs w:val="21"/>
              </w:rPr>
              <w:t>。</w:t>
            </w:r>
          </w:p>
        </w:tc>
      </w:tr>
      <w:tr w14:paraId="45936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14:paraId="7B391BA7">
            <w:pPr>
              <w:snapToGrid w:val="0"/>
              <w:spacing w:line="360" w:lineRule="exact"/>
              <w:jc w:val="center"/>
              <w:rPr>
                <w:rFonts w:ascii="宋体" w:hAnsi="宋体" w:cs="宋体"/>
                <w:color w:val="auto"/>
                <w:szCs w:val="21"/>
              </w:rPr>
            </w:pPr>
            <w:r>
              <w:rPr>
                <w:rFonts w:hint="eastAsia" w:ascii="宋体" w:hAnsi="宋体" w:cs="宋体"/>
                <w:color w:val="auto"/>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14:paraId="23CCB54D">
            <w:pPr>
              <w:snapToGrid w:val="0"/>
              <w:spacing w:line="320" w:lineRule="exact"/>
              <w:rPr>
                <w:rFonts w:ascii="宋体" w:hAnsi="宋体" w:cs="宋体"/>
                <w:color w:val="auto"/>
                <w:szCs w:val="21"/>
              </w:rPr>
            </w:pPr>
            <w:r>
              <w:rPr>
                <w:rFonts w:hint="eastAsia" w:ascii="宋体" w:hAnsi="宋体" w:cs="宋体"/>
                <w:color w:val="auto"/>
                <w:szCs w:val="21"/>
              </w:rPr>
              <w:t>答疑、澄清：投标人如认为招标文件表述不清晰、</w:t>
            </w:r>
            <w:r>
              <w:rPr>
                <w:rFonts w:hint="eastAsia" w:ascii="宋体" w:hAnsi="宋体" w:cs="宋体"/>
                <w:bCs/>
                <w:color w:val="auto"/>
                <w:szCs w:val="21"/>
              </w:rPr>
              <w:t>有误或有不合理要求的</w:t>
            </w:r>
            <w:r>
              <w:rPr>
                <w:rFonts w:hint="eastAsia" w:ascii="宋体" w:hAnsi="宋体" w:cs="宋体"/>
                <w:color w:val="auto"/>
                <w:szCs w:val="21"/>
              </w:rPr>
              <w:t>，应当以书面形式要求采购人或者本中心作出书面答疑、澄清；</w:t>
            </w:r>
          </w:p>
          <w:p w14:paraId="0333FE4D">
            <w:pPr>
              <w:snapToGrid w:val="0"/>
              <w:spacing w:line="320" w:lineRule="exact"/>
              <w:rPr>
                <w:rFonts w:ascii="宋体" w:hAnsi="宋体" w:cs="宋体"/>
                <w:color w:val="auto"/>
                <w:szCs w:val="21"/>
              </w:rPr>
            </w:pPr>
            <w:r>
              <w:rPr>
                <w:rFonts w:hint="eastAsia" w:ascii="宋体" w:hAnsi="宋体" w:cs="宋体"/>
                <w:color w:val="auto"/>
                <w:szCs w:val="21"/>
              </w:rPr>
              <w:t>询问、质疑：投标人如认为招标文件存在歧视性、排他性或者其他违法内容的，按投标人须知“一、总则（八）询问、质疑和投诉”中的要求向采购人或者本中心提出书面询问、质疑。</w:t>
            </w:r>
          </w:p>
          <w:p w14:paraId="18900104">
            <w:pPr>
              <w:snapToGrid w:val="0"/>
              <w:spacing w:line="320" w:lineRule="exact"/>
              <w:rPr>
                <w:rFonts w:ascii="宋体" w:hAnsi="宋体" w:cs="宋体"/>
                <w:color w:val="auto"/>
                <w:szCs w:val="21"/>
              </w:rPr>
            </w:pPr>
            <w:r>
              <w:rPr>
                <w:rFonts w:hint="eastAsia" w:ascii="宋体" w:hAnsi="宋体" w:cs="宋体"/>
                <w:color w:val="auto"/>
                <w:szCs w:val="21"/>
              </w:rPr>
              <w:t>答疑、澄清内容是招标文件的组成部分，本中心将以书面形式送达所有已报名的投标人；本中心可以视采购具体情况，延长招标文件或者资格预审文件提供期限，并在财政部门指定的政府采购信息发布媒体及本中心网站上发布公告。</w:t>
            </w:r>
          </w:p>
        </w:tc>
      </w:tr>
      <w:tr w14:paraId="5D80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0FB0340">
            <w:pPr>
              <w:snapToGrid w:val="0"/>
              <w:spacing w:line="360" w:lineRule="exact"/>
              <w:jc w:val="center"/>
              <w:rPr>
                <w:rFonts w:ascii="宋体" w:hAnsi="宋体" w:cs="宋体"/>
                <w:color w:val="auto"/>
                <w:szCs w:val="21"/>
              </w:rPr>
            </w:pPr>
            <w:r>
              <w:rPr>
                <w:rFonts w:hint="eastAsia" w:ascii="宋体" w:hAnsi="宋体" w:cs="宋体"/>
                <w:color w:val="auto"/>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14:paraId="66B0850E">
            <w:pPr>
              <w:snapToGrid w:val="0"/>
              <w:spacing w:line="320" w:lineRule="exact"/>
              <w:rPr>
                <w:rFonts w:ascii="宋体" w:hAnsi="宋体" w:cs="宋体"/>
                <w:color w:val="auto"/>
                <w:szCs w:val="21"/>
              </w:rPr>
            </w:pPr>
            <w:r>
              <w:rPr>
                <w:rFonts w:hint="eastAsia" w:ascii="宋体" w:hAnsi="宋体" w:cs="宋体"/>
                <w:color w:val="auto"/>
                <w:szCs w:val="21"/>
              </w:rPr>
              <w:t>投标文件形式：投标供应商应准备电子投标文件。</w:t>
            </w:r>
          </w:p>
          <w:p w14:paraId="50147D6C">
            <w:pPr>
              <w:snapToGrid w:val="0"/>
              <w:spacing w:line="320" w:lineRule="exact"/>
              <w:rPr>
                <w:rFonts w:ascii="宋体" w:hAnsi="宋体" w:cs="宋体"/>
                <w:color w:val="auto"/>
                <w:szCs w:val="21"/>
              </w:rPr>
            </w:pPr>
            <w:r>
              <w:rPr>
                <w:rFonts w:hint="eastAsia" w:ascii="宋体" w:hAnsi="宋体" w:cs="宋体"/>
                <w:color w:val="auto"/>
                <w:szCs w:val="21"/>
              </w:rPr>
              <w:t>电子投标文件是指通过“广西政府采购云平台新版客户端”完成投标文件编制后生成并加密的数据电文形式的电子加密投标文件。</w:t>
            </w:r>
          </w:p>
        </w:tc>
      </w:tr>
      <w:tr w14:paraId="53772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11BDE3EC">
            <w:pPr>
              <w:snapToGrid w:val="0"/>
              <w:spacing w:line="360" w:lineRule="exact"/>
              <w:jc w:val="center"/>
              <w:rPr>
                <w:rFonts w:ascii="宋体" w:hAnsi="宋体" w:cs="宋体"/>
                <w:color w:val="auto"/>
                <w:szCs w:val="21"/>
              </w:rPr>
            </w:pPr>
            <w:r>
              <w:rPr>
                <w:rFonts w:hint="eastAsia" w:ascii="宋体" w:hAnsi="宋体" w:cs="宋体"/>
                <w:color w:val="auto"/>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14:paraId="3AB9F21A">
            <w:pPr>
              <w:snapToGrid w:val="0"/>
              <w:spacing w:line="320" w:lineRule="exact"/>
              <w:rPr>
                <w:rFonts w:ascii="宋体" w:hAnsi="宋体" w:cs="宋体"/>
                <w:color w:val="auto"/>
                <w:szCs w:val="21"/>
              </w:rPr>
            </w:pPr>
            <w:r>
              <w:rPr>
                <w:rFonts w:hint="eastAsia" w:ascii="宋体" w:hAnsi="宋体" w:cs="宋体"/>
                <w:color w:val="auto"/>
                <w:szCs w:val="21"/>
              </w:rPr>
              <w:t>投标文件的编制：供应商应先安装“广西政府采购云平台新版客户端”，并按照本招标文件和“广西政府采购云平台”的要求，通过“广西政府采购云平台新版客户端”编制并加密投标文件。</w:t>
            </w:r>
          </w:p>
        </w:tc>
      </w:tr>
      <w:tr w14:paraId="543E7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46891671">
            <w:pPr>
              <w:snapToGrid w:val="0"/>
              <w:spacing w:line="360" w:lineRule="exact"/>
              <w:jc w:val="center"/>
              <w:rPr>
                <w:rFonts w:ascii="宋体" w:hAnsi="宋体" w:cs="宋体"/>
                <w:color w:val="auto"/>
                <w:szCs w:val="21"/>
              </w:rPr>
            </w:pPr>
            <w:r>
              <w:rPr>
                <w:rFonts w:hint="eastAsia" w:ascii="宋体" w:hAnsi="宋体" w:cs="宋体"/>
                <w:color w:val="auto"/>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14:paraId="29B99774">
            <w:pPr>
              <w:snapToGrid w:val="0"/>
              <w:spacing w:line="320" w:lineRule="exact"/>
              <w:rPr>
                <w:rFonts w:ascii="宋体" w:hAnsi="宋体" w:cs="宋体"/>
                <w:color w:val="auto"/>
                <w:szCs w:val="21"/>
              </w:rPr>
            </w:pPr>
            <w:r>
              <w:rPr>
                <w:rFonts w:hint="eastAsia" w:ascii="宋体" w:hAnsi="宋体" w:cs="宋体"/>
                <w:color w:val="auto"/>
                <w:szCs w:val="21"/>
              </w:rPr>
              <w:t>投标文件的盖章：投标文件中所涉及的加盖公章均采用CA电子签章。</w:t>
            </w:r>
          </w:p>
        </w:tc>
      </w:tr>
      <w:tr w14:paraId="6674D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74A1004">
            <w:pPr>
              <w:snapToGrid w:val="0"/>
              <w:spacing w:line="360" w:lineRule="exact"/>
              <w:jc w:val="center"/>
              <w:rPr>
                <w:rFonts w:ascii="宋体" w:hAnsi="宋体" w:cs="宋体"/>
                <w:color w:val="auto"/>
                <w:szCs w:val="21"/>
              </w:rPr>
            </w:pPr>
            <w:r>
              <w:rPr>
                <w:rFonts w:hint="eastAsia" w:ascii="宋体" w:hAnsi="宋体" w:cs="宋体"/>
                <w:color w:val="auto"/>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14:paraId="0DC31DEA">
            <w:pPr>
              <w:snapToGrid w:val="0"/>
              <w:spacing w:line="320" w:lineRule="exact"/>
              <w:rPr>
                <w:rFonts w:ascii="宋体" w:hAnsi="宋体" w:cs="宋体"/>
                <w:color w:val="auto"/>
                <w:szCs w:val="21"/>
              </w:rPr>
            </w:pPr>
            <w:bookmarkStart w:id="24" w:name="auto_fouce_5"/>
            <w:r>
              <w:rPr>
                <w:rFonts w:hint="eastAsia"/>
                <w:snapToGrid w:val="0"/>
                <w:color w:val="auto"/>
              </w:rPr>
              <w:t>法定代表人或其授权代表签字：本招标文件所涉及的法定代表人或其授权代表签字的地方，如果法定代表人没有电子签章，可以线下手写签字后扫描文件上传。法定代表人或其授权代表盖章：本招标文件所涉及的法定代表人或其授权代表盖章的地方，如果法定代表人没有电子印章，可以线下加盖印章后扫描文件上传。</w:t>
            </w:r>
            <w:bookmarkEnd w:id="24"/>
          </w:p>
        </w:tc>
      </w:tr>
      <w:tr w14:paraId="27643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56A27A50">
            <w:pPr>
              <w:snapToGrid w:val="0"/>
              <w:spacing w:line="360" w:lineRule="exact"/>
              <w:jc w:val="center"/>
              <w:rPr>
                <w:rFonts w:ascii="宋体" w:hAnsi="宋体" w:cs="宋体"/>
                <w:color w:val="auto"/>
                <w:szCs w:val="21"/>
              </w:rPr>
            </w:pPr>
            <w:r>
              <w:rPr>
                <w:rFonts w:hint="eastAsia" w:ascii="宋体" w:hAnsi="宋体" w:cs="宋体"/>
                <w:color w:val="auto"/>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14:paraId="530C10B7">
            <w:pPr>
              <w:snapToGrid w:val="0"/>
              <w:spacing w:line="320" w:lineRule="exact"/>
              <w:rPr>
                <w:rFonts w:ascii="宋体" w:hAnsi="宋体" w:cs="宋体"/>
                <w:color w:val="auto"/>
                <w:szCs w:val="21"/>
              </w:rPr>
            </w:pPr>
            <w:r>
              <w:rPr>
                <w:rFonts w:hint="eastAsia" w:ascii="宋体" w:hAnsi="宋体" w:cs="宋体"/>
                <w:color w:val="auto"/>
                <w:szCs w:val="21"/>
              </w:rPr>
              <w:t>投标文件份数：电子加密投标文件在线上传提交一份。</w:t>
            </w:r>
          </w:p>
        </w:tc>
      </w:tr>
      <w:tr w14:paraId="36500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EBAF5BB">
            <w:pPr>
              <w:snapToGrid w:val="0"/>
              <w:spacing w:line="360" w:lineRule="exact"/>
              <w:jc w:val="center"/>
              <w:rPr>
                <w:rFonts w:ascii="宋体" w:hAnsi="宋体" w:cs="宋体"/>
                <w:color w:val="auto"/>
                <w:szCs w:val="21"/>
              </w:rPr>
            </w:pPr>
            <w:r>
              <w:rPr>
                <w:rFonts w:hint="eastAsia" w:ascii="宋体" w:hAnsi="宋体" w:cs="宋体"/>
                <w:color w:val="auto"/>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14:paraId="66A6F1D5">
            <w:pPr>
              <w:snapToGrid w:val="0"/>
              <w:spacing w:line="320" w:lineRule="exact"/>
              <w:rPr>
                <w:rFonts w:ascii="宋体" w:hAnsi="宋体" w:cs="宋体"/>
                <w:color w:val="auto"/>
                <w:szCs w:val="21"/>
              </w:rPr>
            </w:pPr>
            <w:r>
              <w:rPr>
                <w:rFonts w:hint="eastAsia" w:ascii="宋体" w:hAnsi="宋体" w:cs="宋体"/>
                <w:color w:val="auto"/>
                <w:szCs w:val="21"/>
              </w:rPr>
              <w:t>投标文件的上传和提交：本项目通过“广西政府采购云平台（http://www.gcy.zfcg.gxzf.gov.cn）”实行在线投标响应（电子投标），投标供应商应当在投标截止时间前，将生成的“电子加密投标文件”上传提交至“广西政府采购云平台”。</w:t>
            </w:r>
          </w:p>
          <w:p w14:paraId="1ECB072C">
            <w:pPr>
              <w:snapToGrid w:val="0"/>
              <w:spacing w:line="320" w:lineRule="exact"/>
              <w:rPr>
                <w:rFonts w:ascii="宋体" w:hAnsi="宋体" w:cs="宋体"/>
                <w:color w:val="auto"/>
                <w:szCs w:val="21"/>
              </w:rPr>
            </w:pPr>
            <w:r>
              <w:rPr>
                <w:rFonts w:hint="eastAsia" w:ascii="宋体" w:hAnsi="宋体" w:cs="宋体"/>
                <w:color w:val="auto"/>
                <w:szCs w:val="21"/>
              </w:rPr>
              <w:t>“电子加密投标文件”的上传、提交：</w:t>
            </w:r>
          </w:p>
          <w:p w14:paraId="6FFC412E">
            <w:pPr>
              <w:snapToGrid w:val="0"/>
              <w:spacing w:line="320" w:lineRule="exact"/>
              <w:rPr>
                <w:rFonts w:ascii="宋体" w:hAnsi="宋体" w:cs="宋体"/>
                <w:color w:val="auto"/>
                <w:szCs w:val="21"/>
              </w:rPr>
            </w:pPr>
            <w:r>
              <w:rPr>
                <w:rFonts w:hint="eastAsia" w:ascii="宋体" w:hAnsi="宋体" w:cs="宋体"/>
                <w:color w:val="auto"/>
                <w:szCs w:val="21"/>
              </w:rPr>
              <w:t>a.投标供应商应在投标截止时间前将“电子加密投标文件”成功上传提交至“广西政府采购云平台”，否则投标无效。</w:t>
            </w:r>
          </w:p>
          <w:p w14:paraId="70ADFDAD">
            <w:pPr>
              <w:snapToGrid w:val="0"/>
              <w:spacing w:line="320" w:lineRule="exact"/>
              <w:rPr>
                <w:rFonts w:ascii="宋体" w:hAnsi="宋体" w:cs="宋体"/>
                <w:color w:val="auto"/>
                <w:szCs w:val="21"/>
              </w:rPr>
            </w:pPr>
            <w:r>
              <w:rPr>
                <w:rFonts w:hint="eastAsia" w:ascii="宋体" w:hAnsi="宋体" w:cs="宋体"/>
                <w:color w:val="auto"/>
                <w:szCs w:val="21"/>
              </w:rPr>
              <w:t>b.“电子加密投标文件”成功上传提交后，供应商可自行打印投标文件接收回执。</w:t>
            </w:r>
          </w:p>
        </w:tc>
      </w:tr>
      <w:tr w14:paraId="75864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11055369">
            <w:pPr>
              <w:snapToGrid w:val="0"/>
              <w:spacing w:line="360" w:lineRule="exact"/>
              <w:jc w:val="center"/>
              <w:rPr>
                <w:rFonts w:ascii="宋体" w:hAnsi="宋体" w:cs="宋体"/>
                <w:color w:val="auto"/>
                <w:szCs w:val="21"/>
              </w:rPr>
            </w:pPr>
            <w:r>
              <w:rPr>
                <w:rFonts w:hint="eastAsia" w:ascii="宋体" w:hAnsi="宋体" w:cs="宋体"/>
                <w:color w:val="auto"/>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14:paraId="77ABB012">
            <w:pPr>
              <w:snapToGrid w:val="0"/>
              <w:spacing w:line="320" w:lineRule="exact"/>
              <w:rPr>
                <w:rFonts w:ascii="宋体" w:hAnsi="宋体" w:cs="宋体"/>
                <w:color w:val="auto"/>
                <w:szCs w:val="21"/>
              </w:rPr>
            </w:pPr>
            <w:r>
              <w:rPr>
                <w:rFonts w:hint="eastAsia" w:ascii="宋体" w:hAnsi="宋体" w:cs="宋体"/>
                <w:color w:val="auto"/>
                <w:szCs w:val="21"/>
              </w:rPr>
              <w:t>电子加密投标文件的解密：</w:t>
            </w:r>
          </w:p>
          <w:p w14:paraId="5F7C12B4">
            <w:pPr>
              <w:snapToGrid w:val="0"/>
              <w:spacing w:line="320" w:lineRule="exact"/>
              <w:rPr>
                <w:rFonts w:ascii="宋体" w:hAnsi="宋体" w:cs="宋体"/>
                <w:color w:val="auto"/>
                <w:szCs w:val="21"/>
              </w:rPr>
            </w:pPr>
            <w:r>
              <w:rPr>
                <w:rFonts w:hint="eastAsia" w:ascii="宋体" w:hAnsi="宋体" w:cs="宋体"/>
                <w:color w:val="auto"/>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7C31E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14:paraId="76DE46C0">
            <w:pPr>
              <w:snapToGrid w:val="0"/>
              <w:spacing w:line="360" w:lineRule="exact"/>
              <w:jc w:val="center"/>
              <w:rPr>
                <w:rFonts w:ascii="宋体" w:hAnsi="宋体" w:cs="宋体"/>
                <w:color w:val="auto"/>
                <w:szCs w:val="21"/>
              </w:rPr>
            </w:pPr>
            <w:r>
              <w:rPr>
                <w:rFonts w:hint="eastAsia" w:ascii="宋体" w:hAnsi="宋体" w:cs="宋体"/>
                <w:color w:val="auto"/>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14:paraId="20E74602">
            <w:pPr>
              <w:snapToGrid w:val="0"/>
              <w:spacing w:line="300" w:lineRule="exact"/>
              <w:rPr>
                <w:rFonts w:ascii="宋体" w:hAnsi="宋体" w:cs="宋体"/>
                <w:color w:val="auto"/>
                <w:szCs w:val="21"/>
              </w:rPr>
            </w:pPr>
            <w:r>
              <w:rPr>
                <w:rFonts w:hint="eastAsia" w:ascii="宋体" w:hAnsi="宋体" w:cs="宋体"/>
                <w:color w:val="auto"/>
                <w:szCs w:val="21"/>
              </w:rPr>
              <w:t>投标截止时间及地点：</w:t>
            </w:r>
            <w:r>
              <w:rPr>
                <w:rFonts w:hint="eastAsia" w:ascii="宋体" w:hAnsi="宋体" w:cs="宋体"/>
                <w:b/>
                <w:color w:val="auto"/>
                <w:szCs w:val="21"/>
                <w:highlight w:val="yellow"/>
              </w:rPr>
              <w:t>2026年xx月xx日上</w:t>
            </w:r>
            <w:r>
              <w:rPr>
                <w:rFonts w:hint="eastAsia" w:ascii="宋体" w:hAnsi="宋体" w:cs="宋体"/>
                <w:b/>
                <w:color w:val="auto"/>
                <w:szCs w:val="21"/>
              </w:rPr>
              <w:t>午9时整，崇左市石景林东路5号崇左市公共资源交易中心</w:t>
            </w:r>
            <w:r>
              <w:rPr>
                <w:rFonts w:hint="eastAsia" w:ascii="宋体" w:hAnsi="宋体" w:cs="宋体"/>
                <w:b/>
                <w:color w:val="auto"/>
                <w:szCs w:val="21"/>
                <w:highlight w:val="yellow"/>
              </w:rPr>
              <w:t>xx号</w:t>
            </w:r>
            <w:r>
              <w:rPr>
                <w:rFonts w:hint="eastAsia" w:ascii="宋体" w:hAnsi="宋体" w:cs="宋体"/>
                <w:b/>
                <w:color w:val="auto"/>
                <w:szCs w:val="21"/>
              </w:rPr>
              <w:t>开标室。（</w:t>
            </w:r>
            <w:r>
              <w:rPr>
                <w:rFonts w:hint="eastAsia" w:ascii="宋体" w:hAnsi="宋体" w:cs="宋体"/>
                <w:color w:val="auto"/>
                <w:szCs w:val="21"/>
              </w:rPr>
              <w:t>本项目采用在线开评标方式，投标供应商无须前往开标现场</w:t>
            </w:r>
            <w:r>
              <w:rPr>
                <w:rFonts w:hint="eastAsia" w:ascii="宋体" w:hAnsi="宋体" w:cs="宋体"/>
                <w:b/>
                <w:color w:val="auto"/>
                <w:szCs w:val="21"/>
              </w:rPr>
              <w:t>）</w:t>
            </w:r>
          </w:p>
        </w:tc>
      </w:tr>
      <w:tr w14:paraId="4295D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48" w:type="dxa"/>
            <w:tcBorders>
              <w:top w:val="single" w:color="auto" w:sz="4" w:space="0"/>
              <w:left w:val="single" w:color="auto" w:sz="4" w:space="0"/>
              <w:bottom w:val="single" w:color="auto" w:sz="4" w:space="0"/>
              <w:right w:val="single" w:color="auto" w:sz="4" w:space="0"/>
            </w:tcBorders>
            <w:vAlign w:val="center"/>
          </w:tcPr>
          <w:p w14:paraId="7C53B57B">
            <w:pPr>
              <w:snapToGrid w:val="0"/>
              <w:spacing w:line="360" w:lineRule="exact"/>
              <w:jc w:val="center"/>
              <w:rPr>
                <w:rFonts w:ascii="宋体" w:hAnsi="宋体" w:cs="宋体"/>
                <w:color w:val="auto"/>
                <w:szCs w:val="21"/>
              </w:rPr>
            </w:pPr>
            <w:r>
              <w:rPr>
                <w:rFonts w:hint="eastAsia" w:ascii="宋体" w:hAnsi="宋体" w:cs="宋体"/>
                <w:color w:val="auto"/>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14:paraId="438419B6">
            <w:pPr>
              <w:snapToGrid w:val="0"/>
              <w:spacing w:line="300" w:lineRule="exact"/>
              <w:rPr>
                <w:rFonts w:ascii="宋体" w:hAnsi="宋体" w:cs="宋体"/>
                <w:color w:val="auto"/>
                <w:szCs w:val="21"/>
              </w:rPr>
            </w:pPr>
            <w:r>
              <w:rPr>
                <w:rFonts w:hint="eastAsia" w:ascii="宋体" w:hAnsi="宋体" w:cs="宋体"/>
                <w:color w:val="auto"/>
                <w:szCs w:val="21"/>
              </w:rPr>
              <w:t>开标时间及地点</w:t>
            </w:r>
            <w:r>
              <w:rPr>
                <w:rFonts w:hint="eastAsia" w:ascii="宋体" w:hAnsi="宋体" w:cs="宋体"/>
                <w:b/>
                <w:color w:val="auto"/>
                <w:szCs w:val="21"/>
                <w:highlight w:val="yellow"/>
              </w:rPr>
              <w:t>：2026年xx月xx日</w:t>
            </w:r>
            <w:r>
              <w:rPr>
                <w:rFonts w:hint="eastAsia" w:ascii="宋体" w:hAnsi="宋体" w:cs="宋体"/>
                <w:b/>
                <w:color w:val="auto"/>
                <w:szCs w:val="21"/>
              </w:rPr>
              <w:t>上午9时整，崇左市石景林东路5号崇左市公共资源交易中心</w:t>
            </w:r>
            <w:r>
              <w:rPr>
                <w:rFonts w:hint="eastAsia" w:ascii="宋体" w:hAnsi="宋体" w:cs="宋体"/>
                <w:b/>
                <w:color w:val="auto"/>
                <w:szCs w:val="21"/>
                <w:highlight w:val="yellow"/>
              </w:rPr>
              <w:t>xx号</w:t>
            </w:r>
            <w:r>
              <w:rPr>
                <w:rFonts w:hint="eastAsia" w:ascii="宋体" w:hAnsi="宋体" w:cs="宋体"/>
                <w:b/>
                <w:color w:val="auto"/>
                <w:szCs w:val="21"/>
              </w:rPr>
              <w:t>开标室。（</w:t>
            </w:r>
            <w:r>
              <w:rPr>
                <w:rFonts w:hint="eastAsia" w:ascii="宋体" w:hAnsi="宋体" w:cs="宋体"/>
                <w:color w:val="auto"/>
                <w:szCs w:val="21"/>
              </w:rPr>
              <w:t>本项目采用在线开评标方式，投标供应商无须前往开标现场</w:t>
            </w:r>
            <w:r>
              <w:rPr>
                <w:rFonts w:hint="eastAsia" w:ascii="宋体" w:hAnsi="宋体" w:cs="宋体"/>
                <w:b/>
                <w:color w:val="auto"/>
                <w:szCs w:val="21"/>
              </w:rPr>
              <w:t>）</w:t>
            </w:r>
          </w:p>
        </w:tc>
      </w:tr>
      <w:tr w14:paraId="7AC31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C3CC7D0">
            <w:pPr>
              <w:snapToGrid w:val="0"/>
              <w:spacing w:line="360" w:lineRule="exact"/>
              <w:jc w:val="center"/>
              <w:rPr>
                <w:rFonts w:ascii="宋体" w:hAnsi="宋体" w:cs="宋体"/>
                <w:color w:val="auto"/>
                <w:szCs w:val="21"/>
              </w:rPr>
            </w:pPr>
            <w:r>
              <w:rPr>
                <w:rFonts w:hint="eastAsia" w:ascii="宋体" w:hAnsi="宋体" w:cs="宋体"/>
                <w:color w:val="auto"/>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14:paraId="28DFD2DE">
            <w:pPr>
              <w:autoSpaceDE w:val="0"/>
              <w:autoSpaceDN w:val="0"/>
              <w:snapToGrid w:val="0"/>
              <w:spacing w:line="360" w:lineRule="exact"/>
              <w:textAlignment w:val="bottom"/>
              <w:rPr>
                <w:rFonts w:ascii="宋体" w:hAnsi="宋体" w:cs="宋体"/>
                <w:color w:val="auto"/>
                <w:szCs w:val="21"/>
              </w:rPr>
            </w:pPr>
            <w:r>
              <w:rPr>
                <w:rFonts w:hint="eastAsia" w:ascii="宋体" w:hAnsi="宋体" w:cs="宋体"/>
                <w:color w:val="auto"/>
                <w:szCs w:val="21"/>
              </w:rPr>
              <w:t>评标方法及评定标准：综合评分法</w:t>
            </w:r>
          </w:p>
        </w:tc>
      </w:tr>
      <w:tr w14:paraId="21FFF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14:paraId="49F1F703">
            <w:pPr>
              <w:snapToGrid w:val="0"/>
              <w:spacing w:line="360" w:lineRule="exact"/>
              <w:jc w:val="center"/>
              <w:rPr>
                <w:rFonts w:ascii="宋体" w:hAnsi="宋体" w:cs="宋体"/>
                <w:color w:val="auto"/>
                <w:szCs w:val="21"/>
              </w:rPr>
            </w:pPr>
            <w:r>
              <w:rPr>
                <w:rFonts w:hint="eastAsia" w:ascii="宋体" w:hAnsi="宋体" w:cs="宋体"/>
                <w:color w:val="auto"/>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14:paraId="30CC72A0">
            <w:pPr>
              <w:autoSpaceDE w:val="0"/>
              <w:autoSpaceDN w:val="0"/>
              <w:snapToGrid w:val="0"/>
              <w:spacing w:line="300" w:lineRule="exact"/>
              <w:textAlignment w:val="bottom"/>
              <w:rPr>
                <w:rFonts w:ascii="宋体" w:hAnsi="宋体" w:cs="宋体"/>
                <w:color w:val="auto"/>
                <w:szCs w:val="21"/>
              </w:rPr>
            </w:pPr>
            <w:r>
              <w:rPr>
                <w:rFonts w:hint="eastAsia" w:ascii="宋体" w:hAnsi="宋体" w:cs="宋体"/>
                <w:color w:val="auto"/>
                <w:szCs w:val="21"/>
              </w:rPr>
              <w:t>中标公告及中标通知书：本中心在采购人依法确认中标人后两个工作日内发布中标公告和中标通知书，中标公告发布于上述媒体（详见公告中公布的网站）。</w:t>
            </w:r>
          </w:p>
        </w:tc>
      </w:tr>
      <w:tr w14:paraId="39D7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14:paraId="0754E6EA">
            <w:pPr>
              <w:snapToGrid w:val="0"/>
              <w:spacing w:line="360" w:lineRule="exact"/>
              <w:jc w:val="center"/>
              <w:rPr>
                <w:rFonts w:ascii="宋体" w:hAnsi="宋体" w:cs="宋体"/>
                <w:color w:val="auto"/>
                <w:szCs w:val="21"/>
              </w:rPr>
            </w:pPr>
            <w:r>
              <w:rPr>
                <w:rFonts w:hint="eastAsia" w:ascii="宋体" w:hAnsi="宋体" w:cs="宋体"/>
                <w:color w:val="auto"/>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14:paraId="3E34AD2C">
            <w:pPr>
              <w:autoSpaceDE w:val="0"/>
              <w:autoSpaceDN w:val="0"/>
              <w:snapToGrid w:val="0"/>
              <w:spacing w:line="320" w:lineRule="exact"/>
              <w:textAlignment w:val="bottom"/>
              <w:rPr>
                <w:rFonts w:ascii="宋体" w:hAnsi="宋体" w:cs="宋体"/>
                <w:color w:val="auto"/>
                <w:szCs w:val="21"/>
              </w:rPr>
            </w:pPr>
            <w:r>
              <w:rPr>
                <w:rFonts w:hint="eastAsia" w:ascii="宋体" w:hAnsi="宋体" w:cs="宋体"/>
                <w:color w:val="auto"/>
                <w:szCs w:val="21"/>
              </w:rPr>
              <w:t>采购资金来源：财政性资金。</w:t>
            </w:r>
          </w:p>
        </w:tc>
      </w:tr>
      <w:tr w14:paraId="3BFB1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14:paraId="31CFC152">
            <w:pPr>
              <w:snapToGrid w:val="0"/>
              <w:spacing w:line="360" w:lineRule="exact"/>
              <w:jc w:val="center"/>
              <w:rPr>
                <w:rFonts w:ascii="宋体" w:hAnsi="宋体" w:cs="宋体"/>
                <w:color w:val="auto"/>
                <w:szCs w:val="21"/>
              </w:rPr>
            </w:pPr>
            <w:r>
              <w:rPr>
                <w:rFonts w:hint="eastAsia" w:ascii="宋体" w:hAnsi="宋体" w:cs="宋体"/>
                <w:color w:val="auto"/>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14:paraId="47EBF265">
            <w:pPr>
              <w:widowControl/>
              <w:spacing w:line="400" w:lineRule="exact"/>
              <w:rPr>
                <w:rFonts w:ascii="宋体" w:hAnsi="宋体" w:cs="宋体"/>
                <w:color w:val="auto"/>
                <w:kern w:val="0"/>
                <w:szCs w:val="21"/>
              </w:rPr>
            </w:pPr>
            <w:r>
              <w:rPr>
                <w:rFonts w:hint="eastAsia" w:ascii="宋体" w:hAnsi="宋体" w:cs="宋体"/>
                <w:color w:val="auto"/>
                <w:szCs w:val="21"/>
              </w:rPr>
              <w:t>付款方式：</w:t>
            </w:r>
            <w:r>
              <w:rPr>
                <w:rFonts w:hint="eastAsia" w:ascii="宋体" w:hAnsi="宋体" w:cs="宋体"/>
                <w:color w:val="auto"/>
                <w:kern w:val="0"/>
                <w:szCs w:val="21"/>
              </w:rPr>
              <w:t>见招标项目采购需求。</w:t>
            </w:r>
          </w:p>
        </w:tc>
      </w:tr>
      <w:tr w14:paraId="6D331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14:paraId="35A9E8A7">
            <w:pPr>
              <w:snapToGrid w:val="0"/>
              <w:spacing w:line="360" w:lineRule="exact"/>
              <w:jc w:val="center"/>
              <w:rPr>
                <w:rFonts w:ascii="宋体" w:hAnsi="宋体" w:cs="宋体"/>
                <w:color w:val="auto"/>
                <w:szCs w:val="21"/>
              </w:rPr>
            </w:pPr>
            <w:r>
              <w:rPr>
                <w:rFonts w:hint="eastAsia" w:ascii="宋体" w:hAnsi="宋体" w:cs="宋体"/>
                <w:color w:val="auto"/>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14:paraId="271FA6AC">
            <w:pPr>
              <w:snapToGrid w:val="0"/>
              <w:spacing w:line="360" w:lineRule="exact"/>
              <w:rPr>
                <w:rFonts w:ascii="宋体" w:hAnsi="宋体" w:cs="宋体"/>
                <w:color w:val="auto"/>
                <w:szCs w:val="21"/>
              </w:rPr>
            </w:pPr>
            <w:r>
              <w:rPr>
                <w:rFonts w:hint="eastAsia" w:ascii="宋体" w:hAnsi="宋体" w:cs="宋体"/>
                <w:color w:val="auto"/>
                <w:szCs w:val="21"/>
              </w:rPr>
              <w:t>投标文件有效期：</w:t>
            </w:r>
            <w:r>
              <w:rPr>
                <w:rFonts w:hint="eastAsia" w:ascii="宋体" w:hAnsi="宋体" w:cs="宋体"/>
                <w:color w:val="auto"/>
                <w:szCs w:val="21"/>
                <w:u w:val="single"/>
              </w:rPr>
              <w:t>六十日。</w:t>
            </w:r>
          </w:p>
        </w:tc>
      </w:tr>
      <w:tr w14:paraId="423D2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14:paraId="1D89266A">
            <w:pPr>
              <w:snapToGrid w:val="0"/>
              <w:spacing w:line="360" w:lineRule="exact"/>
              <w:jc w:val="center"/>
              <w:rPr>
                <w:rFonts w:ascii="宋体" w:hAnsi="宋体" w:cs="宋体"/>
                <w:color w:val="auto"/>
                <w:szCs w:val="21"/>
              </w:rPr>
            </w:pPr>
            <w:r>
              <w:rPr>
                <w:rFonts w:hint="eastAsia" w:ascii="宋体" w:hAnsi="宋体" w:cs="宋体"/>
                <w:color w:val="auto"/>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14:paraId="6CB4E70F">
            <w:pPr>
              <w:pStyle w:val="400"/>
              <w:spacing w:line="320" w:lineRule="exact"/>
              <w:rPr>
                <w:rFonts w:hAnsi="宋体" w:cs="宋体"/>
                <w:b/>
                <w:bCs/>
                <w:snapToGrid w:val="0"/>
                <w:color w:val="auto"/>
                <w:szCs w:val="21"/>
              </w:rPr>
            </w:pPr>
            <w:r>
              <w:rPr>
                <w:rFonts w:hint="eastAsia" w:hAnsi="宋体" w:cs="宋体"/>
                <w:b/>
                <w:bCs/>
                <w:snapToGrid w:val="0"/>
                <w:color w:val="auto"/>
                <w:szCs w:val="21"/>
              </w:rPr>
              <w:t>对公开招标采购文件、采购过程或者成交结果的质疑由采购人接收或采购代理机构代为接收，由采购人负责答复。</w:t>
            </w:r>
          </w:p>
        </w:tc>
      </w:tr>
      <w:tr w14:paraId="475C8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06C2F926">
            <w:pPr>
              <w:snapToGrid w:val="0"/>
              <w:spacing w:line="360" w:lineRule="exact"/>
              <w:jc w:val="center"/>
              <w:rPr>
                <w:rFonts w:ascii="宋体" w:hAnsi="宋体" w:cs="宋体"/>
                <w:color w:val="auto"/>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1ED32F54">
            <w:pPr>
              <w:pStyle w:val="400"/>
              <w:spacing w:line="320" w:lineRule="exact"/>
              <w:rPr>
                <w:rFonts w:hAnsi="宋体" w:cs="宋体"/>
                <w:snapToGrid w:val="0"/>
                <w:color w:val="auto"/>
                <w:szCs w:val="21"/>
              </w:rPr>
            </w:pPr>
            <w:r>
              <w:rPr>
                <w:rFonts w:hint="eastAsia" w:hAnsi="宋体" w:cs="宋体"/>
                <w:snapToGrid w:val="0"/>
                <w:color w:val="auto"/>
                <w:szCs w:val="21"/>
              </w:rPr>
              <w:t>接收质疑函方式：以书面形式。</w:t>
            </w:r>
          </w:p>
        </w:tc>
      </w:tr>
      <w:tr w14:paraId="0D3E4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76B5166A">
            <w:pPr>
              <w:snapToGrid w:val="0"/>
              <w:spacing w:line="360" w:lineRule="exact"/>
              <w:jc w:val="center"/>
              <w:rPr>
                <w:rFonts w:ascii="宋体" w:hAnsi="宋体" w:cs="宋体"/>
                <w:color w:val="auto"/>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543B230A">
            <w:pPr>
              <w:pStyle w:val="400"/>
              <w:spacing w:line="320" w:lineRule="exact"/>
              <w:rPr>
                <w:rFonts w:hAnsi="宋体" w:cs="宋体"/>
                <w:snapToGrid w:val="0"/>
                <w:color w:val="auto"/>
                <w:szCs w:val="21"/>
              </w:rPr>
            </w:pPr>
            <w:r>
              <w:rPr>
                <w:rFonts w:hint="eastAsia" w:hAnsi="宋体" w:cs="宋体"/>
                <w:snapToGrid w:val="0"/>
                <w:color w:val="auto"/>
                <w:szCs w:val="21"/>
              </w:rPr>
              <w:t>质疑联系部门及联系方式：</w:t>
            </w:r>
          </w:p>
          <w:p w14:paraId="33AD81D6">
            <w:pPr>
              <w:pStyle w:val="400"/>
              <w:spacing w:line="320" w:lineRule="exact"/>
              <w:rPr>
                <w:rFonts w:hAnsi="宋体" w:cs="宋体"/>
                <w:snapToGrid w:val="0"/>
                <w:color w:val="auto"/>
                <w:szCs w:val="21"/>
              </w:rPr>
            </w:pPr>
            <w:r>
              <w:rPr>
                <w:rFonts w:hint="eastAsia" w:hAnsi="宋体" w:cs="宋体"/>
                <w:snapToGrid w:val="0"/>
                <w:color w:val="auto"/>
                <w:szCs w:val="21"/>
              </w:rPr>
              <w:t>（1）崇左市政府集中采购中心</w:t>
            </w:r>
          </w:p>
          <w:p w14:paraId="3C1237D5">
            <w:pPr>
              <w:pStyle w:val="400"/>
              <w:spacing w:line="320" w:lineRule="exact"/>
              <w:rPr>
                <w:rFonts w:hAnsi="宋体" w:cs="宋体"/>
                <w:snapToGrid w:val="0"/>
                <w:color w:val="auto"/>
                <w:szCs w:val="21"/>
              </w:rPr>
            </w:pPr>
            <w:r>
              <w:rPr>
                <w:rFonts w:hint="eastAsia" w:hAnsi="宋体" w:cs="宋体"/>
                <w:snapToGrid w:val="0"/>
                <w:color w:val="auto"/>
                <w:szCs w:val="21"/>
              </w:rPr>
              <w:t>电话：0771-7920270</w:t>
            </w:r>
          </w:p>
          <w:p w14:paraId="671538C7">
            <w:pPr>
              <w:pStyle w:val="400"/>
              <w:spacing w:line="320" w:lineRule="exact"/>
              <w:rPr>
                <w:rFonts w:hAnsi="宋体" w:cs="宋体"/>
                <w:snapToGrid w:val="0"/>
                <w:color w:val="auto"/>
                <w:szCs w:val="21"/>
              </w:rPr>
            </w:pPr>
            <w:r>
              <w:rPr>
                <w:rFonts w:hint="eastAsia" w:hAnsi="宋体" w:cs="宋体"/>
                <w:snapToGrid w:val="0"/>
                <w:color w:val="auto"/>
                <w:szCs w:val="21"/>
              </w:rPr>
              <w:t>地址：崇左市新城区石景林东路5号（崇左市政务服务中心综合楼）</w:t>
            </w:r>
          </w:p>
          <w:p w14:paraId="35F96EE1">
            <w:pPr>
              <w:pStyle w:val="400"/>
              <w:spacing w:line="320" w:lineRule="exact"/>
              <w:rPr>
                <w:rFonts w:hAnsi="宋体" w:cs="宋体"/>
                <w:snapToGrid w:val="0"/>
                <w:color w:val="auto"/>
                <w:szCs w:val="21"/>
              </w:rPr>
            </w:pPr>
            <w:r>
              <w:rPr>
                <w:rFonts w:hint="eastAsia" w:hAnsi="宋体" w:cs="宋体"/>
                <w:snapToGrid w:val="0"/>
                <w:color w:val="auto"/>
                <w:szCs w:val="21"/>
              </w:rPr>
              <w:t>（2）崇左市人民医院</w:t>
            </w:r>
          </w:p>
          <w:p w14:paraId="55939A9D">
            <w:pPr>
              <w:pStyle w:val="400"/>
              <w:spacing w:line="320" w:lineRule="exact"/>
              <w:rPr>
                <w:rFonts w:hAnsi="宋体" w:cs="宋体"/>
                <w:snapToGrid w:val="0"/>
                <w:color w:val="auto"/>
                <w:szCs w:val="21"/>
              </w:rPr>
            </w:pPr>
            <w:r>
              <w:rPr>
                <w:rFonts w:hint="eastAsia" w:hAnsi="宋体" w:cs="宋体"/>
                <w:snapToGrid w:val="0"/>
                <w:color w:val="auto"/>
                <w:szCs w:val="21"/>
              </w:rPr>
              <w:t>电话：0771-8555626</w:t>
            </w:r>
          </w:p>
          <w:p w14:paraId="24852674">
            <w:pPr>
              <w:pStyle w:val="400"/>
              <w:spacing w:line="320" w:lineRule="exact"/>
              <w:rPr>
                <w:rFonts w:hAnsi="宋体" w:cs="宋体"/>
                <w:snapToGrid w:val="0"/>
                <w:color w:val="auto"/>
                <w:szCs w:val="21"/>
              </w:rPr>
            </w:pPr>
            <w:r>
              <w:rPr>
                <w:rFonts w:hint="eastAsia" w:hAnsi="宋体" w:cs="宋体"/>
                <w:snapToGrid w:val="0"/>
                <w:color w:val="auto"/>
                <w:szCs w:val="21"/>
              </w:rPr>
              <w:t>地址：崇左市龙峡山东路6号</w:t>
            </w:r>
          </w:p>
        </w:tc>
      </w:tr>
      <w:tr w14:paraId="521A0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2E754783">
            <w:pPr>
              <w:snapToGrid w:val="0"/>
              <w:spacing w:line="360" w:lineRule="exact"/>
              <w:jc w:val="center"/>
              <w:rPr>
                <w:rFonts w:ascii="宋体" w:hAnsi="宋体" w:cs="宋体"/>
                <w:color w:val="auto"/>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14A14C87">
            <w:pPr>
              <w:pStyle w:val="400"/>
              <w:spacing w:line="320" w:lineRule="exact"/>
              <w:rPr>
                <w:rFonts w:hAnsi="宋体" w:cs="宋体"/>
                <w:snapToGrid w:val="0"/>
                <w:color w:val="auto"/>
                <w:szCs w:val="21"/>
              </w:rPr>
            </w:pPr>
            <w:r>
              <w:rPr>
                <w:rFonts w:hint="eastAsia" w:hAnsi="宋体" w:cs="宋体"/>
                <w:snapToGrid w:val="0"/>
                <w:color w:val="auto"/>
                <w:szCs w:val="21"/>
              </w:rPr>
              <w:t>现场提交质疑办理业务时间：质疑期内每个工作日采购人或采购代理机构正常工作时间（其中采购代理机构为8:00-12:00，15:00-18:00）</w:t>
            </w:r>
          </w:p>
        </w:tc>
      </w:tr>
      <w:tr w14:paraId="1687B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14:paraId="0F66FB5D">
            <w:pPr>
              <w:snapToGrid w:val="0"/>
              <w:spacing w:line="360" w:lineRule="exact"/>
              <w:jc w:val="center"/>
              <w:rPr>
                <w:rFonts w:ascii="宋体" w:hAnsi="宋体" w:cs="宋体"/>
                <w:color w:val="auto"/>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3922EA56">
            <w:pPr>
              <w:pStyle w:val="400"/>
              <w:spacing w:line="320" w:lineRule="exact"/>
              <w:rPr>
                <w:rFonts w:hAnsi="宋体" w:cs="宋体"/>
                <w:b/>
                <w:bCs/>
                <w:snapToGrid w:val="0"/>
                <w:color w:val="auto"/>
                <w:szCs w:val="21"/>
              </w:rPr>
            </w:pPr>
            <w:r>
              <w:rPr>
                <w:rFonts w:hint="eastAsia" w:hAnsi="宋体" w:cs="宋体"/>
                <w:b/>
                <w:bCs/>
                <w:snapToGrid w:val="0"/>
                <w:color w:val="auto"/>
                <w:szCs w:val="21"/>
              </w:rPr>
              <w:t>根据《崇左市财政局关于进一步做好线上“政采贷”融资业务工作的通知》（崇财采〔2023〕10号），供应商可凭成交通知书、政府采购合同，通过中征应收账款融资服务平台向银行在线申请“政采贷”融资。</w:t>
            </w:r>
          </w:p>
        </w:tc>
      </w:tr>
      <w:tr w14:paraId="56F73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14:paraId="320C0DB7">
            <w:pPr>
              <w:snapToGrid w:val="0"/>
              <w:spacing w:line="360" w:lineRule="exact"/>
              <w:jc w:val="center"/>
              <w:rPr>
                <w:rFonts w:ascii="宋体" w:hAnsi="宋体" w:cs="宋体"/>
                <w:color w:val="auto"/>
                <w:szCs w:val="21"/>
              </w:rPr>
            </w:pPr>
            <w:r>
              <w:rPr>
                <w:rFonts w:hint="eastAsia" w:ascii="宋体" w:hAnsi="宋体" w:cs="宋体"/>
                <w:color w:val="auto"/>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14:paraId="6E3EA2A5">
            <w:pPr>
              <w:snapToGrid w:val="0"/>
              <w:spacing w:line="360" w:lineRule="exact"/>
              <w:rPr>
                <w:rFonts w:ascii="宋体" w:hAnsi="宋体" w:cs="宋体"/>
                <w:color w:val="auto"/>
                <w:szCs w:val="21"/>
              </w:rPr>
            </w:pPr>
            <w:r>
              <w:rPr>
                <w:rFonts w:hint="eastAsia" w:ascii="宋体" w:hAnsi="宋体" w:cs="宋体"/>
                <w:color w:val="auto"/>
                <w:szCs w:val="21"/>
              </w:rPr>
              <w:t>本招标文件解释权属于崇左市政府集中采购中心。</w:t>
            </w:r>
          </w:p>
        </w:tc>
      </w:tr>
    </w:tbl>
    <w:p w14:paraId="0F7713D6">
      <w:pPr>
        <w:widowControl/>
        <w:spacing w:line="720" w:lineRule="exact"/>
        <w:jc w:val="left"/>
        <w:rPr>
          <w:rFonts w:ascii="宋体" w:hAnsi="宋体" w:cs="宋体"/>
          <w:b/>
          <w:color w:val="auto"/>
          <w:sz w:val="32"/>
          <w:szCs w:val="32"/>
          <w:lang w:val="zh-CN"/>
        </w:rPr>
      </w:pPr>
    </w:p>
    <w:p w14:paraId="0EF55AC6">
      <w:pPr>
        <w:widowControl/>
        <w:spacing w:line="720" w:lineRule="exact"/>
        <w:jc w:val="left"/>
        <w:rPr>
          <w:rFonts w:ascii="宋体" w:hAnsi="宋体" w:cs="宋体"/>
          <w:b/>
          <w:color w:val="auto"/>
          <w:sz w:val="32"/>
          <w:szCs w:val="32"/>
          <w:lang w:val="zh-CN"/>
        </w:rPr>
      </w:pPr>
    </w:p>
    <w:p w14:paraId="44BB12C1">
      <w:pPr>
        <w:widowControl/>
        <w:spacing w:line="720" w:lineRule="exact"/>
        <w:jc w:val="left"/>
        <w:rPr>
          <w:rFonts w:ascii="宋体" w:hAnsi="宋体" w:cs="宋体"/>
          <w:b/>
          <w:color w:val="auto"/>
          <w:sz w:val="32"/>
          <w:szCs w:val="32"/>
          <w:lang w:val="zh-CN"/>
        </w:rPr>
      </w:pPr>
    </w:p>
    <w:p w14:paraId="4747AC60">
      <w:pPr>
        <w:widowControl/>
        <w:spacing w:line="720" w:lineRule="exact"/>
        <w:jc w:val="left"/>
        <w:rPr>
          <w:rFonts w:ascii="宋体" w:hAnsi="宋体" w:cs="宋体"/>
          <w:b/>
          <w:color w:val="auto"/>
          <w:sz w:val="32"/>
          <w:szCs w:val="32"/>
          <w:lang w:val="zh-CN"/>
        </w:rPr>
      </w:pPr>
    </w:p>
    <w:p w14:paraId="1C43A780">
      <w:pPr>
        <w:widowControl/>
        <w:spacing w:line="720" w:lineRule="exact"/>
        <w:jc w:val="left"/>
        <w:rPr>
          <w:rFonts w:ascii="宋体" w:hAnsi="宋体" w:cs="宋体"/>
          <w:b/>
          <w:color w:val="auto"/>
          <w:sz w:val="32"/>
          <w:szCs w:val="32"/>
          <w:lang w:val="zh-CN"/>
        </w:rPr>
      </w:pPr>
    </w:p>
    <w:p w14:paraId="1C49014F">
      <w:pPr>
        <w:widowControl/>
        <w:spacing w:line="720" w:lineRule="exact"/>
        <w:jc w:val="left"/>
        <w:rPr>
          <w:rFonts w:ascii="宋体" w:hAnsi="宋体" w:cs="宋体"/>
          <w:b/>
          <w:color w:val="auto"/>
          <w:sz w:val="32"/>
          <w:szCs w:val="32"/>
          <w:lang w:val="zh-CN"/>
        </w:rPr>
      </w:pPr>
    </w:p>
    <w:p w14:paraId="35DD39D4">
      <w:pPr>
        <w:widowControl/>
        <w:spacing w:line="720" w:lineRule="exact"/>
        <w:jc w:val="left"/>
        <w:rPr>
          <w:rFonts w:ascii="宋体" w:hAnsi="宋体" w:cs="宋体"/>
          <w:b/>
          <w:color w:val="auto"/>
          <w:sz w:val="32"/>
          <w:szCs w:val="32"/>
          <w:lang w:val="zh-CN"/>
        </w:rPr>
      </w:pPr>
    </w:p>
    <w:p w14:paraId="0E2414F6">
      <w:pPr>
        <w:widowControl/>
        <w:spacing w:line="720" w:lineRule="exact"/>
        <w:jc w:val="left"/>
        <w:rPr>
          <w:rFonts w:ascii="宋体" w:hAnsi="宋体" w:cs="宋体"/>
          <w:b/>
          <w:color w:val="auto"/>
          <w:sz w:val="32"/>
          <w:szCs w:val="32"/>
          <w:lang w:val="zh-CN"/>
        </w:rPr>
      </w:pPr>
    </w:p>
    <w:p w14:paraId="2B709461">
      <w:pPr>
        <w:pStyle w:val="28"/>
        <w:pageBreakBefore/>
        <w:snapToGrid w:val="0"/>
        <w:spacing w:before="120" w:after="120" w:line="360" w:lineRule="exact"/>
        <w:jc w:val="center"/>
        <w:rPr>
          <w:rFonts w:hAnsi="宋体" w:cs="宋体"/>
          <w:b/>
          <w:color w:val="auto"/>
        </w:rPr>
      </w:pPr>
      <w:r>
        <w:rPr>
          <w:rFonts w:hint="eastAsia" w:hAnsi="宋体" w:cs="宋体"/>
          <w:b/>
          <w:color w:val="auto"/>
          <w:sz w:val="32"/>
          <w:szCs w:val="32"/>
        </w:rPr>
        <w:t>投标人须知</w:t>
      </w:r>
    </w:p>
    <w:p w14:paraId="55AFBBE1">
      <w:pPr>
        <w:pStyle w:val="28"/>
        <w:adjustRightInd w:val="0"/>
        <w:snapToGrid w:val="0"/>
        <w:spacing w:line="400" w:lineRule="exact"/>
        <w:rPr>
          <w:rFonts w:hAnsi="宋体" w:cs="宋体"/>
          <w:b/>
          <w:color w:val="auto"/>
        </w:rPr>
      </w:pPr>
      <w:r>
        <w:rPr>
          <w:rFonts w:hint="eastAsia" w:hAnsi="宋体" w:cs="宋体"/>
          <w:b/>
          <w:color w:val="auto"/>
        </w:rPr>
        <w:t>一、总则</w:t>
      </w:r>
    </w:p>
    <w:p w14:paraId="0C3E49FA">
      <w:pPr>
        <w:adjustRightInd w:val="0"/>
        <w:snapToGrid w:val="0"/>
        <w:spacing w:line="400" w:lineRule="exact"/>
        <w:ind w:firstLine="420" w:firstLineChars="200"/>
        <w:rPr>
          <w:rFonts w:ascii="宋体" w:hAnsi="宋体" w:cs="宋体"/>
          <w:b/>
          <w:color w:val="auto"/>
          <w:szCs w:val="21"/>
        </w:rPr>
      </w:pPr>
      <w:bookmarkStart w:id="25" w:name="_Toc254970668"/>
      <w:bookmarkStart w:id="26" w:name="_Toc254970527"/>
      <w:r>
        <w:rPr>
          <w:rFonts w:hint="eastAsia" w:ascii="宋体" w:hAnsi="宋体" w:cs="宋体"/>
          <w:b/>
          <w:color w:val="auto"/>
          <w:szCs w:val="21"/>
        </w:rPr>
        <w:t>（一）适用范围</w:t>
      </w:r>
      <w:bookmarkEnd w:id="25"/>
      <w:bookmarkEnd w:id="26"/>
    </w:p>
    <w:p w14:paraId="4DFCCA52">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本招标文件适用于</w:t>
      </w:r>
      <w:r>
        <w:rPr>
          <w:rFonts w:hint="eastAsia" w:ascii="宋体" w:hAnsi="宋体" w:cs="宋体"/>
          <w:bCs/>
          <w:color w:val="auto"/>
          <w:szCs w:val="21"/>
        </w:rPr>
        <w:t>本</w:t>
      </w:r>
      <w:r>
        <w:rPr>
          <w:rFonts w:hint="eastAsia" w:ascii="宋体" w:hAnsi="宋体" w:cs="宋体"/>
          <w:color w:val="auto"/>
          <w:szCs w:val="21"/>
        </w:rPr>
        <w:t>项目的招标、投标、评标、定标、验收、合同履约、付款等行为（法律法规另有规定的，从其规定）。</w:t>
      </w:r>
    </w:p>
    <w:p w14:paraId="7AF7F0CF">
      <w:pPr>
        <w:adjustRightInd w:val="0"/>
        <w:snapToGrid w:val="0"/>
        <w:spacing w:line="400" w:lineRule="exact"/>
        <w:ind w:firstLine="420" w:firstLineChars="200"/>
        <w:rPr>
          <w:rFonts w:ascii="宋体" w:hAnsi="宋体" w:cs="宋体"/>
          <w:b/>
          <w:color w:val="auto"/>
          <w:szCs w:val="21"/>
        </w:rPr>
      </w:pPr>
      <w:bookmarkStart w:id="27" w:name="_Toc254970528"/>
      <w:bookmarkStart w:id="28" w:name="_Toc254970669"/>
      <w:bookmarkStart w:id="29" w:name="_Toc254970548"/>
      <w:bookmarkStart w:id="30" w:name="_Toc254970689"/>
      <w:r>
        <w:rPr>
          <w:rFonts w:hint="eastAsia" w:ascii="宋体" w:hAnsi="宋体" w:cs="宋体"/>
          <w:b/>
          <w:color w:val="auto"/>
          <w:szCs w:val="21"/>
        </w:rPr>
        <w:t>（二）定义</w:t>
      </w:r>
      <w:bookmarkEnd w:id="27"/>
      <w:bookmarkEnd w:id="28"/>
    </w:p>
    <w:p w14:paraId="496A74B5">
      <w:pPr>
        <w:adjustRightInd w:val="0"/>
        <w:snapToGrid w:val="0"/>
        <w:spacing w:line="400" w:lineRule="exact"/>
        <w:ind w:firstLine="420" w:firstLineChars="200"/>
        <w:jc w:val="left"/>
        <w:rPr>
          <w:rFonts w:ascii="宋体" w:hAnsi="宋体" w:cs="宋体"/>
          <w:color w:val="auto"/>
          <w:szCs w:val="21"/>
        </w:rPr>
      </w:pPr>
      <w:bookmarkStart w:id="31" w:name="_Toc254970670"/>
      <w:bookmarkStart w:id="32" w:name="_Toc254970529"/>
      <w:r>
        <w:rPr>
          <w:rFonts w:hint="eastAsia" w:ascii="宋体" w:hAnsi="宋体" w:cs="宋体"/>
          <w:color w:val="auto"/>
          <w:szCs w:val="21"/>
        </w:rPr>
        <w:t>1.“采购人”系指组织本次招标的采购单位。</w:t>
      </w:r>
    </w:p>
    <w:p w14:paraId="0EA5AAC5">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2.“采购代理机构”系指崇左市政府集中采购中心（以下简称本中心）。</w:t>
      </w:r>
    </w:p>
    <w:p w14:paraId="3DCF23F2">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3.“投标人”系指响应招标、参加投标竞争的法人、其他组织或者自然人。</w:t>
      </w:r>
    </w:p>
    <w:p w14:paraId="5142D8FC">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4.“产品”系指供方按招标文件规定，须向采购人提供的一切设备、保险、税金、备品备件、工具、手册及其他有关技术资料和材料。</w:t>
      </w:r>
    </w:p>
    <w:p w14:paraId="30C12A20">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5.“服务”系指招标文件规定投标人须承担的安装、调试、技术协助、校准、培训、技术指导以及其他类似的义务。</w:t>
      </w:r>
    </w:p>
    <w:p w14:paraId="062D40D2">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6.“项目”系指投标人按招标文件规定向采购人提供的产品和服务。</w:t>
      </w:r>
    </w:p>
    <w:p w14:paraId="795CF583">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7.“书面形式”包括信函、传真、电报等。</w:t>
      </w:r>
    </w:p>
    <w:p w14:paraId="485B600E">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8.“▲”系指实质性要求条款。</w:t>
      </w:r>
    </w:p>
    <w:p w14:paraId="3C45FB4B">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（三）招标方式</w:t>
      </w:r>
      <w:bookmarkEnd w:id="31"/>
      <w:bookmarkEnd w:id="32"/>
    </w:p>
    <w:p w14:paraId="4540CF22">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公开招标方式。</w:t>
      </w:r>
    </w:p>
    <w:p w14:paraId="144A19CB">
      <w:pPr>
        <w:adjustRightInd w:val="0"/>
        <w:snapToGrid w:val="0"/>
        <w:spacing w:line="400" w:lineRule="exact"/>
        <w:ind w:firstLine="420" w:firstLineChars="200"/>
        <w:rPr>
          <w:rFonts w:ascii="宋体" w:hAnsi="宋体" w:cs="宋体"/>
          <w:b/>
          <w:color w:val="auto"/>
          <w:szCs w:val="21"/>
        </w:rPr>
      </w:pPr>
      <w:bookmarkStart w:id="33" w:name="_Toc254970530"/>
      <w:bookmarkStart w:id="34" w:name="_Toc254970671"/>
      <w:r>
        <w:rPr>
          <w:rFonts w:hint="eastAsia" w:ascii="宋体" w:hAnsi="宋体" w:cs="宋体"/>
          <w:b/>
          <w:color w:val="auto"/>
          <w:szCs w:val="21"/>
        </w:rPr>
        <w:t>（四）投标委托</w:t>
      </w:r>
      <w:bookmarkEnd w:id="33"/>
      <w:bookmarkEnd w:id="34"/>
    </w:p>
    <w:p w14:paraId="789FBA9F">
      <w:pPr>
        <w:pStyle w:val="22"/>
        <w:adjustRightInd w:val="0"/>
        <w:snapToGrid w:val="0"/>
        <w:spacing w:line="400" w:lineRule="exact"/>
        <w:ind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如投标人代表不是法定代表人（负责人），须有法定代表人（负责人）出具的授权委托书，格式见第六章《投标文件格式》）。</w:t>
      </w:r>
    </w:p>
    <w:p w14:paraId="2A82F456">
      <w:pPr>
        <w:adjustRightInd w:val="0"/>
        <w:snapToGrid w:val="0"/>
        <w:spacing w:line="400" w:lineRule="exact"/>
        <w:ind w:firstLine="420" w:firstLineChars="200"/>
        <w:rPr>
          <w:rFonts w:ascii="宋体" w:hAnsi="宋体" w:cs="宋体"/>
          <w:b/>
          <w:color w:val="auto"/>
          <w:szCs w:val="21"/>
        </w:rPr>
      </w:pPr>
      <w:bookmarkStart w:id="35" w:name="_Toc254970672"/>
      <w:bookmarkStart w:id="36" w:name="_Toc254970531"/>
      <w:r>
        <w:rPr>
          <w:rFonts w:hint="eastAsia" w:ascii="宋体" w:hAnsi="宋体" w:cs="宋体"/>
          <w:b/>
          <w:color w:val="auto"/>
          <w:szCs w:val="21"/>
        </w:rPr>
        <w:t>（五）投标费用</w:t>
      </w:r>
      <w:bookmarkEnd w:id="35"/>
      <w:bookmarkEnd w:id="36"/>
    </w:p>
    <w:p w14:paraId="6E1C35FD">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投标人均应自行承担所有与投标有关的全部费用（招标文件有相关的规定除外）。</w:t>
      </w:r>
    </w:p>
    <w:p w14:paraId="236C19EB">
      <w:pPr>
        <w:adjustRightInd w:val="0"/>
        <w:snapToGrid w:val="0"/>
        <w:spacing w:line="400" w:lineRule="exact"/>
        <w:ind w:firstLine="420" w:firstLineChars="200"/>
        <w:rPr>
          <w:rFonts w:ascii="宋体" w:hAnsi="宋体" w:cs="宋体"/>
          <w:b/>
          <w:color w:val="auto"/>
          <w:kern w:val="0"/>
          <w:szCs w:val="21"/>
        </w:rPr>
      </w:pPr>
      <w:r>
        <w:rPr>
          <w:rFonts w:hint="eastAsia" w:ascii="宋体" w:hAnsi="宋体" w:cs="宋体"/>
          <w:b/>
          <w:color w:val="auto"/>
          <w:szCs w:val="21"/>
        </w:rPr>
        <w:t>（六）转包与分包</w:t>
      </w:r>
    </w:p>
    <w:p w14:paraId="033580DF">
      <w:pPr>
        <w:adjustRightInd w:val="0"/>
        <w:snapToGrid w:val="0"/>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w:t>
      </w:r>
      <w:bookmarkStart w:id="37" w:name="auto_fouce_6"/>
      <w:r>
        <w:rPr>
          <w:rFonts w:hint="eastAsia" w:ascii="宋体" w:hAnsi="宋体" w:cs="宋体"/>
          <w:color w:val="auto"/>
          <w:kern w:val="0"/>
          <w:szCs w:val="21"/>
        </w:rPr>
        <w:t>本项目不允许转包。</w:t>
      </w:r>
    </w:p>
    <w:p w14:paraId="27BF10EB">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kern w:val="0"/>
          <w:szCs w:val="21"/>
        </w:rPr>
        <w:t>2.本项目不得分包。</w:t>
      </w:r>
    </w:p>
    <w:p w14:paraId="3B979641">
      <w:pPr>
        <w:adjustRightInd w:val="0"/>
        <w:snapToGrid w:val="0"/>
        <w:spacing w:line="400" w:lineRule="exact"/>
        <w:ind w:firstLine="420" w:firstLineChars="200"/>
        <w:rPr>
          <w:rFonts w:ascii="宋体" w:hAnsi="宋体" w:cs="宋体"/>
          <w:b/>
          <w:color w:val="auto"/>
          <w:szCs w:val="21"/>
        </w:rPr>
      </w:pPr>
      <w:bookmarkStart w:id="38" w:name="_Toc254970532"/>
      <w:bookmarkStart w:id="39" w:name="_Toc254970673"/>
      <w:r>
        <w:rPr>
          <w:rFonts w:hint="eastAsia" w:ascii="宋体" w:hAnsi="宋体" w:cs="宋体"/>
          <w:b/>
          <w:color w:val="auto"/>
          <w:szCs w:val="21"/>
        </w:rPr>
        <w:t>（七）特别说明：</w:t>
      </w:r>
      <w:bookmarkEnd w:id="37"/>
      <w:bookmarkEnd w:id="38"/>
      <w:bookmarkEnd w:id="39"/>
    </w:p>
    <w:p w14:paraId="7ED0FC64">
      <w:pPr>
        <w:pStyle w:val="28"/>
        <w:adjustRightInd w:val="0"/>
        <w:snapToGrid w:val="0"/>
        <w:spacing w:line="400" w:lineRule="exact"/>
        <w:ind w:left="2" w:leftChars="1" w:firstLine="420" w:firstLineChars="200"/>
        <w:rPr>
          <w:rFonts w:hAnsi="宋体" w:cs="宋体"/>
          <w:color w:val="auto"/>
        </w:rPr>
      </w:pPr>
      <w:r>
        <w:rPr>
          <w:rFonts w:hint="eastAsia" w:hAnsi="宋体" w:cs="宋体"/>
          <w:color w:val="auto"/>
        </w:rPr>
        <w:t>▲1.单位负责人为同一人或者存在直接控股、管理关系的不同供应商，不得参加同一合同项下的政府采购活动。</w:t>
      </w:r>
    </w:p>
    <w:p w14:paraId="5144BCA6">
      <w:pPr>
        <w:adjustRightInd w:val="0"/>
        <w:snapToGrid w:val="0"/>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szCs w:val="21"/>
        </w:rPr>
        <w:t>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14:paraId="4D84E712">
      <w:pPr>
        <w:pStyle w:val="28"/>
        <w:adjustRightInd w:val="0"/>
        <w:snapToGrid w:val="0"/>
        <w:spacing w:line="400" w:lineRule="exact"/>
        <w:ind w:left="2" w:leftChars="1" w:firstLine="420" w:firstLineChars="200"/>
        <w:rPr>
          <w:rFonts w:hAnsi="宋体" w:cs="宋体"/>
          <w:color w:val="auto"/>
        </w:rPr>
      </w:pPr>
      <w:r>
        <w:rPr>
          <w:rFonts w:hint="eastAsia" w:hAnsi="宋体" w:cs="宋体"/>
          <w:color w:val="auto"/>
        </w:rPr>
        <w:t>非单一产品采购项目中，多家投标人提供的招标文件中载明的核心产品品牌相同的，视为提供相同品牌产品。</w:t>
      </w:r>
    </w:p>
    <w:p w14:paraId="36A1A54F">
      <w:pPr>
        <w:pStyle w:val="28"/>
        <w:adjustRightInd w:val="0"/>
        <w:snapToGrid w:val="0"/>
        <w:spacing w:line="400" w:lineRule="exact"/>
        <w:ind w:left="2" w:leftChars="1" w:firstLine="420" w:firstLineChars="200"/>
        <w:rPr>
          <w:rFonts w:hAnsi="宋体" w:cs="宋体"/>
          <w:color w:val="auto"/>
        </w:rPr>
      </w:pPr>
      <w:r>
        <w:rPr>
          <w:rFonts w:hint="eastAsia" w:hAnsi="宋体" w:cs="宋体"/>
          <w:color w:val="auto"/>
        </w:rPr>
        <w:t>▲3.投标人投标所使用的资格、信誉、荣誉、业绩与企业认证必须为本法人所拥有。投标人投标所使用的采购项目实施（指项目合同的履行）人员必须为本法人员工（或必须为本法人或控股公司正式员工）。</w:t>
      </w:r>
    </w:p>
    <w:p w14:paraId="210017E4">
      <w:pPr>
        <w:pStyle w:val="28"/>
        <w:adjustRightInd w:val="0"/>
        <w:snapToGrid w:val="0"/>
        <w:spacing w:line="400" w:lineRule="exact"/>
        <w:ind w:left="2" w:leftChars="1" w:firstLine="420" w:firstLineChars="200"/>
        <w:rPr>
          <w:rFonts w:hAnsi="宋体" w:cs="宋体"/>
          <w:color w:val="auto"/>
        </w:rPr>
      </w:pPr>
      <w:r>
        <w:rPr>
          <w:rFonts w:hint="eastAsia" w:hAnsi="宋体" w:cs="宋体"/>
          <w:color w:val="auto"/>
        </w:rPr>
        <w:t>▲4.投标人应仔细阅读招标文件的所有内容，按照招标文件的要求提交投标文件，并对所提供的全部资料的真实性承担法律责任。</w:t>
      </w:r>
    </w:p>
    <w:p w14:paraId="468738A3">
      <w:pPr>
        <w:pStyle w:val="28"/>
        <w:adjustRightInd w:val="0"/>
        <w:snapToGrid w:val="0"/>
        <w:spacing w:line="400" w:lineRule="exact"/>
        <w:ind w:left="2" w:leftChars="1" w:firstLine="420" w:firstLineChars="200"/>
        <w:rPr>
          <w:rFonts w:hAnsi="宋体" w:cs="宋体"/>
          <w:color w:val="auto"/>
        </w:rPr>
      </w:pPr>
      <w:r>
        <w:rPr>
          <w:rFonts w:hint="eastAsia" w:hAnsi="宋体" w:cs="宋体"/>
          <w:color w:val="auto"/>
        </w:rPr>
        <w:t>▲5.投标人在投标活动中提供任何虚假材料、互相串通投标，其投标无效，并报监管部门查处。</w:t>
      </w:r>
    </w:p>
    <w:p w14:paraId="20C58554">
      <w:pPr>
        <w:pStyle w:val="28"/>
        <w:adjustRightInd w:val="0"/>
        <w:snapToGrid w:val="0"/>
        <w:spacing w:line="400" w:lineRule="exact"/>
        <w:ind w:left="2" w:leftChars="1" w:firstLine="420" w:firstLineChars="200"/>
        <w:rPr>
          <w:rFonts w:hAnsi="宋体" w:cs="宋体"/>
          <w:color w:val="auto"/>
        </w:rPr>
      </w:pPr>
      <w:r>
        <w:rPr>
          <w:rFonts w:hint="eastAsia" w:hAnsi="宋体" w:cs="宋体"/>
          <w:color w:val="auto"/>
        </w:rPr>
        <w:t>▲6.投标截止时间前三天，获取招标文件的供应商不足三家的，本中心将延迟截标和开标时间不少于十日，并通知已获取招标文件的供应商，并在财政部门指定的政府采购信息发布媒体及本中心网站上发布变更公告。</w:t>
      </w:r>
    </w:p>
    <w:p w14:paraId="0AC933B7">
      <w:pPr>
        <w:adjustRightInd w:val="0"/>
        <w:snapToGrid w:val="0"/>
        <w:spacing w:line="400" w:lineRule="exact"/>
        <w:ind w:firstLine="420" w:firstLineChars="200"/>
        <w:rPr>
          <w:rFonts w:ascii="宋体" w:hAnsi="宋体" w:cs="宋体"/>
          <w:b/>
          <w:color w:val="auto"/>
          <w:szCs w:val="21"/>
        </w:rPr>
      </w:pPr>
      <w:bookmarkStart w:id="40" w:name="_Toc254970533"/>
      <w:bookmarkStart w:id="41" w:name="_Toc254970674"/>
      <w:r>
        <w:rPr>
          <w:rFonts w:hint="eastAsia" w:ascii="宋体" w:hAnsi="宋体" w:cs="宋体"/>
          <w:b/>
          <w:color w:val="auto"/>
          <w:szCs w:val="21"/>
        </w:rPr>
        <w:t>（八）</w:t>
      </w:r>
      <w:bookmarkEnd w:id="40"/>
      <w:bookmarkEnd w:id="41"/>
      <w:r>
        <w:rPr>
          <w:rFonts w:hint="eastAsia" w:ascii="宋体" w:hAnsi="宋体" w:cs="宋体"/>
          <w:b/>
          <w:color w:val="auto"/>
          <w:szCs w:val="21"/>
        </w:rPr>
        <w:t>询问、质疑和投诉</w:t>
      </w:r>
    </w:p>
    <w:p w14:paraId="267C52E5">
      <w:pPr>
        <w:pStyle w:val="28"/>
        <w:adjustRightInd w:val="0"/>
        <w:snapToGrid w:val="0"/>
        <w:spacing w:line="400" w:lineRule="exact"/>
        <w:ind w:firstLine="420" w:firstLineChars="200"/>
        <w:rPr>
          <w:rFonts w:hAnsi="宋体" w:cs="宋体"/>
          <w:color w:val="auto"/>
        </w:rPr>
      </w:pPr>
      <w:r>
        <w:rPr>
          <w:rFonts w:hint="eastAsia" w:hAnsi="宋体" w:cs="宋体"/>
          <w:color w:val="auto"/>
        </w:rPr>
        <w:t>1.投标人对政府采购活动事项有疑问的，可以向采购人、本中心提出询问。</w:t>
      </w:r>
    </w:p>
    <w:p w14:paraId="16A350C2">
      <w:pPr>
        <w:pStyle w:val="28"/>
        <w:adjustRightInd w:val="0"/>
        <w:snapToGrid w:val="0"/>
        <w:spacing w:line="400" w:lineRule="exact"/>
        <w:ind w:firstLine="420" w:firstLineChars="200"/>
        <w:rPr>
          <w:rFonts w:hAnsi="宋体" w:cs="宋体"/>
          <w:color w:val="auto"/>
        </w:rPr>
      </w:pPr>
      <w:r>
        <w:rPr>
          <w:rFonts w:hint="eastAsia" w:hAnsi="宋体" w:cs="宋体"/>
          <w:color w:val="auto"/>
        </w:rPr>
        <w:t>2.投标人认为招标文件、招标过程或中标结果使自己的合法权益受到损害的，应当在知道或者应知其权益受到损害之日起七个工作日内，以书面形式向采购人或者本中心提出质疑。具体计算时间如下：</w:t>
      </w:r>
    </w:p>
    <w:p w14:paraId="4ABAFBE4">
      <w:pPr>
        <w:pStyle w:val="28"/>
        <w:adjustRightInd w:val="0"/>
        <w:snapToGrid w:val="0"/>
        <w:spacing w:line="400" w:lineRule="exact"/>
        <w:ind w:firstLine="308" w:firstLineChars="147"/>
        <w:rPr>
          <w:rFonts w:hAnsi="宋体" w:cs="宋体"/>
          <w:bCs/>
          <w:color w:val="auto"/>
        </w:rPr>
      </w:pPr>
      <w:r>
        <w:rPr>
          <w:rFonts w:hint="eastAsia" w:hAnsi="宋体" w:cs="宋体"/>
          <w:b/>
          <w:color w:val="auto"/>
        </w:rPr>
        <w:t>（1）对可以质疑的招标采购文件提出质疑的，为收到采购文件之日；</w:t>
      </w:r>
    </w:p>
    <w:p w14:paraId="79E047E0">
      <w:pPr>
        <w:widowControl/>
        <w:adjustRightInd w:val="0"/>
        <w:snapToGrid w:val="0"/>
        <w:spacing w:line="400" w:lineRule="exact"/>
        <w:jc w:val="left"/>
        <w:rPr>
          <w:rFonts w:ascii="宋体" w:hAnsi="宋体" w:cs="宋体"/>
          <w:b/>
          <w:color w:val="auto"/>
          <w:szCs w:val="21"/>
        </w:rPr>
      </w:pPr>
      <w:r>
        <w:rPr>
          <w:rFonts w:hint="eastAsia" w:ascii="宋体" w:hAnsi="宋体" w:cs="宋体"/>
          <w:color w:val="auto"/>
          <w:szCs w:val="21"/>
        </w:rPr>
        <w:t>　</w:t>
      </w:r>
      <w:r>
        <w:rPr>
          <w:rFonts w:hint="eastAsia" w:ascii="宋体" w:hAnsi="宋体" w:cs="宋体"/>
          <w:b/>
          <w:color w:val="auto"/>
          <w:szCs w:val="21"/>
        </w:rPr>
        <w:t>（2）对招标采购过程提出质疑的，为各采购程序环节结束之日；</w:t>
      </w:r>
    </w:p>
    <w:p w14:paraId="61443437">
      <w:pPr>
        <w:widowControl/>
        <w:adjustRightInd w:val="0"/>
        <w:snapToGrid w:val="0"/>
        <w:spacing w:line="400" w:lineRule="exact"/>
        <w:ind w:firstLine="102" w:firstLineChars="49"/>
        <w:jc w:val="left"/>
        <w:rPr>
          <w:rFonts w:ascii="宋体" w:hAnsi="宋体" w:cs="宋体"/>
          <w:b/>
          <w:color w:val="auto"/>
          <w:szCs w:val="21"/>
        </w:rPr>
      </w:pPr>
      <w:r>
        <w:rPr>
          <w:rFonts w:hint="eastAsia" w:ascii="宋体" w:hAnsi="宋体" w:cs="宋体"/>
          <w:b/>
          <w:color w:val="auto"/>
          <w:szCs w:val="21"/>
        </w:rPr>
        <w:t>（3）对中标结果提出质疑的，为中标结果公告期限届满之日。投标人对采购人或者本中心的质疑答复不满意或者采购人、本中心未在规定时间内作出答复的，可以在答复期满后十五个工作日内向同级采购监管部门投诉。</w:t>
      </w:r>
    </w:p>
    <w:p w14:paraId="6D64EAE7">
      <w:pPr>
        <w:pStyle w:val="28"/>
        <w:adjustRightInd w:val="0"/>
        <w:snapToGrid w:val="0"/>
        <w:spacing w:line="400" w:lineRule="exact"/>
        <w:ind w:firstLine="420" w:firstLineChars="200"/>
        <w:rPr>
          <w:rFonts w:hAnsi="宋体" w:cs="宋体"/>
          <w:bCs/>
          <w:color w:val="auto"/>
        </w:rPr>
      </w:pPr>
      <w:r>
        <w:rPr>
          <w:rFonts w:hint="eastAsia" w:hAnsi="宋体" w:cs="宋体"/>
          <w:bCs/>
          <w:color w:va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114F6B7D">
      <w:pPr>
        <w:pStyle w:val="28"/>
        <w:adjustRightInd w:val="0"/>
        <w:snapToGrid w:val="0"/>
        <w:spacing w:line="400" w:lineRule="exact"/>
        <w:ind w:firstLine="735" w:firstLineChars="350"/>
        <w:rPr>
          <w:rFonts w:hAnsi="宋体" w:cs="宋体"/>
          <w:bCs/>
          <w:color w:val="auto"/>
        </w:rPr>
      </w:pPr>
      <w:r>
        <w:rPr>
          <w:rFonts w:hint="eastAsia" w:hAnsi="宋体" w:cs="宋体"/>
          <w:bCs/>
          <w:color w:val="auto"/>
        </w:rPr>
        <w:t>①质疑联系部门及电话为：崇左市人民医院0771-8555626</w:t>
      </w:r>
    </w:p>
    <w:p w14:paraId="48D8876A">
      <w:pPr>
        <w:pStyle w:val="28"/>
        <w:adjustRightInd w:val="0"/>
        <w:snapToGrid w:val="0"/>
        <w:spacing w:line="400" w:lineRule="exact"/>
        <w:ind w:firstLine="3255" w:firstLineChars="1550"/>
        <w:rPr>
          <w:rFonts w:hAnsi="宋体" w:cs="宋体"/>
          <w:bCs/>
          <w:color w:val="auto"/>
        </w:rPr>
      </w:pPr>
      <w:r>
        <w:rPr>
          <w:rFonts w:hint="eastAsia" w:hAnsi="宋体" w:cs="宋体"/>
          <w:bCs/>
          <w:color w:val="auto"/>
        </w:rPr>
        <w:t>崇左市政府集中采购中心0771-7920270</w:t>
      </w:r>
    </w:p>
    <w:p w14:paraId="3FE8DCE7">
      <w:pPr>
        <w:pStyle w:val="28"/>
        <w:adjustRightInd w:val="0"/>
        <w:snapToGrid w:val="0"/>
        <w:spacing w:line="400" w:lineRule="exact"/>
        <w:ind w:left="200" w:firstLine="420"/>
        <w:rPr>
          <w:rFonts w:hAnsi="宋体" w:cs="宋体"/>
          <w:bCs/>
          <w:color w:val="auto"/>
        </w:rPr>
      </w:pPr>
      <w:r>
        <w:rPr>
          <w:rFonts w:hint="eastAsia" w:hAnsi="宋体" w:cs="宋体"/>
          <w:bCs/>
          <w:color w:val="auto"/>
        </w:rPr>
        <w:t>②投诉联系部门及电话为：崇左市财政局政府采购监督管理科0771-5962613</w:t>
      </w:r>
    </w:p>
    <w:p w14:paraId="4390D799">
      <w:pPr>
        <w:pStyle w:val="28"/>
        <w:adjustRightInd w:val="0"/>
        <w:snapToGrid w:val="0"/>
        <w:spacing w:line="400" w:lineRule="exact"/>
        <w:rPr>
          <w:rFonts w:hAnsi="宋体" w:cs="宋体"/>
          <w:b/>
          <w:color w:val="auto"/>
        </w:rPr>
      </w:pPr>
      <w:bookmarkStart w:id="42" w:name="_Toc254970534"/>
      <w:bookmarkStart w:id="43" w:name="_Toc254970675"/>
      <w:r>
        <w:rPr>
          <w:rFonts w:hint="eastAsia" w:hAnsi="宋体" w:cs="宋体"/>
          <w:b/>
          <w:color w:val="auto"/>
        </w:rPr>
        <w:t>二、招标文件</w:t>
      </w:r>
      <w:bookmarkEnd w:id="42"/>
      <w:bookmarkEnd w:id="43"/>
    </w:p>
    <w:p w14:paraId="1F97DBA2">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（一）招标文件的构成。</w:t>
      </w:r>
    </w:p>
    <w:p w14:paraId="26FA75AD">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1.公开招标公告；</w:t>
      </w:r>
    </w:p>
    <w:p w14:paraId="6C7A5769">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2.招标项目采购需求</w:t>
      </w:r>
    </w:p>
    <w:p w14:paraId="00B020E7">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3.投标人须知；</w:t>
      </w:r>
    </w:p>
    <w:p w14:paraId="0BE63191">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4.评标办法及评分标准；</w:t>
      </w:r>
    </w:p>
    <w:p w14:paraId="71BC9486">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5.政府采购合同主要条款；</w:t>
      </w:r>
    </w:p>
    <w:p w14:paraId="0137E73B">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6.投标文件格式。</w:t>
      </w:r>
    </w:p>
    <w:p w14:paraId="76EBAB7F">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（二）投标人的风险</w:t>
      </w:r>
    </w:p>
    <w:p w14:paraId="3899852A">
      <w:pPr>
        <w:tabs>
          <w:tab w:val="left" w:pos="180"/>
          <w:tab w:val="left" w:pos="1620"/>
        </w:tabs>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14:paraId="63C46244">
      <w:pPr>
        <w:tabs>
          <w:tab w:val="left" w:pos="180"/>
          <w:tab w:val="left" w:pos="1620"/>
        </w:tabs>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2.对招标文件提出的实质性要求和条件作出明确响应是指投标人必须对招标文件中涉及招标项目的价格、采购服务的服务要求及其他要求、合同主要条款等内容作出明确响应。</w:t>
      </w:r>
    </w:p>
    <w:p w14:paraId="65B77330">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（三）招标文件的澄清与修改</w:t>
      </w:r>
    </w:p>
    <w:p w14:paraId="56B67FA5">
      <w:pPr>
        <w:pStyle w:val="28"/>
        <w:adjustRightInd w:val="0"/>
        <w:snapToGrid w:val="0"/>
        <w:spacing w:line="400" w:lineRule="exact"/>
        <w:ind w:firstLine="420" w:firstLineChars="200"/>
        <w:rPr>
          <w:rFonts w:hAnsi="宋体" w:cs="宋体"/>
          <w:color w:val="auto"/>
        </w:rPr>
      </w:pPr>
      <w:r>
        <w:rPr>
          <w:rFonts w:hint="eastAsia" w:hAnsi="宋体" w:cs="宋体"/>
          <w:color w:val="auto"/>
        </w:rPr>
        <w:t>1.</w:t>
      </w:r>
      <w:r>
        <w:rPr>
          <w:rFonts w:hint="eastAsia" w:hAnsi="宋体" w:cs="宋体"/>
          <w:bCs/>
          <w:color w:val="auto"/>
        </w:rPr>
        <w:t>投标人应认真阅读本招标文件，发现其中有误或有不合理要求的，投标人</w:t>
      </w:r>
      <w:r>
        <w:rPr>
          <w:rFonts w:hint="eastAsia" w:hAnsi="宋体" w:cs="宋体"/>
          <w:b/>
          <w:bCs/>
          <w:color w:val="auto"/>
        </w:rPr>
        <w:t>应当</w:t>
      </w:r>
      <w:r>
        <w:rPr>
          <w:rFonts w:hint="eastAsia" w:hAnsi="宋体" w:cs="宋体"/>
          <w:bCs/>
          <w:color w:val="auto"/>
        </w:rPr>
        <w:t>在</w:t>
      </w:r>
      <w:r>
        <w:rPr>
          <w:rFonts w:hint="eastAsia" w:hAnsi="宋体" w:cs="宋体"/>
          <w:bCs/>
          <w:color w:val="auto"/>
          <w:u w:val="single"/>
        </w:rPr>
        <w:t>“采购文件：第三章《投标人须知及前附表》序号6”规定的时间</w:t>
      </w:r>
      <w:r>
        <w:rPr>
          <w:rFonts w:hint="eastAsia" w:hAnsi="宋体" w:cs="宋体"/>
          <w:bCs/>
          <w:color w:val="auto"/>
        </w:rPr>
        <w:t>前以书面形式要求采购人或者本中心</w:t>
      </w:r>
      <w:r>
        <w:rPr>
          <w:rFonts w:hint="eastAsia" w:hAnsi="宋体" w:cs="宋体"/>
          <w:color w:val="auto"/>
        </w:rPr>
        <w:t>答疑、澄清</w:t>
      </w:r>
      <w:r>
        <w:rPr>
          <w:rFonts w:hint="eastAsia" w:hAnsi="宋体" w:cs="宋体"/>
          <w:bCs/>
          <w:color w:val="auto"/>
        </w:rPr>
        <w:t>。本中心对已发出的招标文件进行必要澄清或者修改</w:t>
      </w:r>
      <w:r>
        <w:rPr>
          <w:rFonts w:hint="eastAsia" w:hAnsi="宋体" w:cs="宋体"/>
          <w:b/>
          <w:bCs/>
          <w:color w:val="auto"/>
        </w:rPr>
        <w:t>可能影响投标文件编制的</w:t>
      </w:r>
      <w:r>
        <w:rPr>
          <w:rFonts w:hint="eastAsia" w:hAnsi="宋体" w:cs="宋体"/>
          <w:bCs/>
          <w:color w:val="auto"/>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s="宋体"/>
          <w:color w:val="auto"/>
        </w:rPr>
        <w:t>。</w:t>
      </w:r>
    </w:p>
    <w:p w14:paraId="6064AC8F">
      <w:pPr>
        <w:pStyle w:val="28"/>
        <w:adjustRightInd w:val="0"/>
        <w:snapToGrid w:val="0"/>
        <w:spacing w:line="400" w:lineRule="exact"/>
        <w:ind w:firstLine="420" w:firstLineChars="200"/>
        <w:rPr>
          <w:rFonts w:hAnsi="宋体" w:cs="宋体"/>
          <w:color w:val="auto"/>
        </w:rPr>
      </w:pPr>
      <w:r>
        <w:rPr>
          <w:rFonts w:hint="eastAsia" w:hAnsi="宋体" w:cs="宋体"/>
          <w:color w:val="auto"/>
        </w:rPr>
        <w:t>2.本中心必须以书面形式答复投标人要求澄清的问题，并将不包含问题来源的答复书面通知所有购买招标文件的投标人；除书面答复以外的其他澄清方式及澄清内容均无效。</w:t>
      </w:r>
    </w:p>
    <w:p w14:paraId="69CD5031">
      <w:pPr>
        <w:pStyle w:val="28"/>
        <w:adjustRightInd w:val="0"/>
        <w:snapToGrid w:val="0"/>
        <w:spacing w:line="400" w:lineRule="exact"/>
        <w:ind w:firstLine="420" w:firstLineChars="200"/>
        <w:rPr>
          <w:rFonts w:hAnsi="宋体" w:cs="宋体"/>
          <w:color w:val="auto"/>
        </w:rPr>
      </w:pPr>
      <w:r>
        <w:rPr>
          <w:rFonts w:hint="eastAsia" w:hAnsi="宋体" w:cs="宋体"/>
          <w:color w:val="auto"/>
        </w:rPr>
        <w:t>3.招标文件的答疑、澄清、修改、补充的内容为招标文件的组成部分。当招标文件与招标文件的答疑、澄清、修改、补充通知就同一内容的表述不一致时，以最后发出的书面文件为准。</w:t>
      </w:r>
    </w:p>
    <w:p w14:paraId="2A2FB643">
      <w:pPr>
        <w:pStyle w:val="28"/>
        <w:adjustRightInd w:val="0"/>
        <w:snapToGrid w:val="0"/>
        <w:spacing w:line="400" w:lineRule="exact"/>
        <w:ind w:firstLine="420" w:firstLineChars="200"/>
        <w:rPr>
          <w:rFonts w:hAnsi="宋体" w:cs="宋体"/>
          <w:color w:val="auto"/>
        </w:rPr>
      </w:pPr>
      <w:r>
        <w:rPr>
          <w:rFonts w:hint="eastAsia" w:hAnsi="宋体" w:cs="宋体"/>
          <w:color w:val="auto"/>
        </w:rPr>
        <w:t>4.招标文件的答疑、澄清、修改、补充都应该通过本中心以法定形式发布，采购人非通过本机构，不得擅自答疑、澄清、修改、补充招标文件。</w:t>
      </w:r>
    </w:p>
    <w:p w14:paraId="75F456D3">
      <w:pPr>
        <w:pStyle w:val="28"/>
        <w:adjustRightInd w:val="0"/>
        <w:snapToGrid w:val="0"/>
        <w:spacing w:line="400" w:lineRule="exact"/>
        <w:ind w:firstLine="420" w:firstLineChars="200"/>
        <w:rPr>
          <w:rFonts w:hAnsi="宋体" w:cs="宋体"/>
          <w:color w:val="auto"/>
        </w:rPr>
      </w:pPr>
      <w:r>
        <w:rPr>
          <w:rFonts w:hint="eastAsia" w:hAnsi="宋体" w:cs="宋体"/>
          <w:color w:val="auto"/>
        </w:rPr>
        <w:t>5.本中心可以视采购具体情况，延长招标文件或者资格预审文件提供期限，并在财政部门指定的政府采购信息发布媒体及本中心网站上发布公告。</w:t>
      </w:r>
    </w:p>
    <w:p w14:paraId="48C1E1A3">
      <w:pPr>
        <w:pStyle w:val="28"/>
        <w:adjustRightInd w:val="0"/>
        <w:snapToGrid w:val="0"/>
        <w:spacing w:line="400" w:lineRule="exact"/>
        <w:rPr>
          <w:rFonts w:hAnsi="宋体" w:cs="宋体"/>
          <w:b/>
          <w:color w:val="auto"/>
        </w:rPr>
      </w:pPr>
      <w:bookmarkStart w:id="44" w:name="_Toc254970676"/>
      <w:bookmarkStart w:id="45" w:name="_Toc254970535"/>
      <w:r>
        <w:rPr>
          <w:rFonts w:hint="eastAsia" w:hAnsi="宋体" w:cs="宋体"/>
          <w:b/>
          <w:color w:val="auto"/>
        </w:rPr>
        <w:t>三、投标文件的编制</w:t>
      </w:r>
      <w:bookmarkEnd w:id="44"/>
      <w:bookmarkEnd w:id="45"/>
    </w:p>
    <w:p w14:paraId="079FDFEB">
      <w:pPr>
        <w:adjustRightInd w:val="0"/>
        <w:snapToGrid w:val="0"/>
        <w:spacing w:line="400" w:lineRule="exact"/>
        <w:ind w:firstLine="420" w:firstLineChars="200"/>
        <w:rPr>
          <w:rFonts w:ascii="宋体" w:hAnsi="宋体" w:cs="宋体"/>
          <w:b/>
          <w:color w:val="auto"/>
          <w:szCs w:val="21"/>
        </w:rPr>
      </w:pPr>
      <w:bookmarkStart w:id="46" w:name="_Toc254970536"/>
      <w:bookmarkStart w:id="47" w:name="_Toc254970677"/>
      <w:r>
        <w:rPr>
          <w:rFonts w:hint="eastAsia" w:ascii="宋体" w:hAnsi="宋体" w:cs="宋体"/>
          <w:b/>
          <w:color w:val="auto"/>
          <w:szCs w:val="21"/>
        </w:rPr>
        <w:t>（一）投标文件的组成</w:t>
      </w:r>
      <w:bookmarkEnd w:id="46"/>
      <w:bookmarkEnd w:id="47"/>
    </w:p>
    <w:p w14:paraId="791600FE">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投标文件由资格文件、商务技术文件、报价文件三部分组成。</w:t>
      </w:r>
    </w:p>
    <w:p w14:paraId="750510E1">
      <w:pPr>
        <w:adjustRightInd w:val="0"/>
        <w:snapToGrid w:val="0"/>
        <w:spacing w:line="400" w:lineRule="exact"/>
        <w:ind w:firstLine="411" w:firstLineChars="196"/>
        <w:jc w:val="left"/>
        <w:rPr>
          <w:rFonts w:ascii="宋体" w:hAnsi="宋体" w:cs="宋体"/>
          <w:b/>
          <w:color w:val="auto"/>
          <w:szCs w:val="21"/>
        </w:rPr>
      </w:pPr>
      <w:bookmarkStart w:id="48" w:name="OLE_LINK14"/>
      <w:r>
        <w:rPr>
          <w:rFonts w:hint="eastAsia" w:ascii="宋体" w:hAnsi="宋体" w:cs="宋体"/>
          <w:b/>
          <w:color w:val="auto"/>
          <w:szCs w:val="21"/>
        </w:rPr>
        <w:t>1.资格文件：</w:t>
      </w:r>
    </w:p>
    <w:p w14:paraId="74467DA9">
      <w:pPr>
        <w:adjustRightInd w:val="0"/>
        <w:snapToGrid w:val="0"/>
        <w:spacing w:line="400" w:lineRule="exact"/>
        <w:ind w:firstLine="411" w:firstLineChars="196"/>
        <w:jc w:val="left"/>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有效的营业执照等证明文件（</w:t>
      </w:r>
      <w:r>
        <w:rPr>
          <w:rFonts w:hint="eastAsia" w:ascii="宋体" w:hAnsi="宋体" w:cs="宋体"/>
          <w:b/>
          <w:color w:val="auto"/>
          <w:szCs w:val="21"/>
        </w:rPr>
        <w:t>必须提供</w:t>
      </w:r>
      <w:r>
        <w:rPr>
          <w:rFonts w:hint="eastAsia" w:ascii="宋体" w:hAnsi="宋体" w:cs="宋体"/>
          <w:color w:val="auto"/>
          <w:szCs w:val="21"/>
        </w:rPr>
        <w:t>）；</w:t>
      </w:r>
    </w:p>
    <w:p w14:paraId="7EB06FE4">
      <w:pPr>
        <w:pStyle w:val="28"/>
        <w:adjustRightInd w:val="0"/>
        <w:snapToGrid w:val="0"/>
        <w:spacing w:line="400" w:lineRule="exact"/>
        <w:ind w:firstLine="525" w:firstLineChars="250"/>
        <w:rPr>
          <w:rFonts w:hAnsi="宋体" w:cs="宋体"/>
          <w:b/>
          <w:color w:val="auto"/>
        </w:rPr>
      </w:pPr>
      <w:r>
        <w:rPr>
          <w:rFonts w:hint="eastAsia" w:hAnsi="宋体" w:cs="宋体"/>
          <w:color w:val="auto"/>
        </w:rPr>
        <w:t>①投标人有效的营业执照等证明文件扫描件或其他电子文件，同时要加盖单位公章</w:t>
      </w:r>
      <w:r>
        <w:rPr>
          <w:rFonts w:hint="eastAsia" w:hAnsi="宋体" w:cs="宋体"/>
          <w:b/>
          <w:color w:val="auto"/>
        </w:rPr>
        <w:t>（必须提供）</w:t>
      </w:r>
      <w:r>
        <w:rPr>
          <w:rFonts w:hint="eastAsia" w:hAnsi="宋体" w:cs="宋体"/>
          <w:color w:val="auto"/>
        </w:rPr>
        <w:t>；</w:t>
      </w:r>
    </w:p>
    <w:p w14:paraId="4E9543C7">
      <w:pPr>
        <w:pStyle w:val="28"/>
        <w:adjustRightInd w:val="0"/>
        <w:snapToGrid w:val="0"/>
        <w:spacing w:line="400" w:lineRule="exact"/>
        <w:ind w:firstLine="525" w:firstLineChars="250"/>
        <w:rPr>
          <w:rFonts w:hAnsi="宋体" w:cs="宋体"/>
          <w:b/>
          <w:color w:val="auto"/>
        </w:rPr>
      </w:pPr>
      <w:r>
        <w:rPr>
          <w:rFonts w:hint="eastAsia" w:hAnsi="宋体" w:cs="宋体"/>
          <w:color w:val="auto"/>
        </w:rPr>
        <w:t>②对于有经营资质要求的，投标人提供有效的经营资质证书副本内页扫描件或其他电子文件，同时要加盖单位公章。</w:t>
      </w:r>
      <w:r>
        <w:rPr>
          <w:rFonts w:hint="eastAsia" w:hAnsi="宋体" w:cs="宋体"/>
          <w:b/>
          <w:color w:val="auto"/>
        </w:rPr>
        <w:t>（如需，必须提供）</w:t>
      </w:r>
    </w:p>
    <w:p w14:paraId="7644D6E0">
      <w:pPr>
        <w:adjustRightInd w:val="0"/>
        <w:snapToGrid w:val="0"/>
        <w:spacing w:line="400" w:lineRule="exact"/>
        <w:ind w:firstLine="411" w:firstLineChars="196"/>
        <w:jc w:val="left"/>
        <w:rPr>
          <w:rFonts w:ascii="宋体" w:hAnsi="宋体" w:cs="宋体"/>
          <w:b/>
          <w:color w:val="auto"/>
          <w:szCs w:val="21"/>
        </w:rPr>
      </w:pPr>
      <w:r>
        <w:rPr>
          <w:rFonts w:hint="eastAsia" w:ascii="宋体" w:hAnsi="宋体" w:cs="宋体"/>
          <w:b/>
          <w:color w:val="auto"/>
          <w:szCs w:val="21"/>
        </w:rPr>
        <w:t>（2）</w:t>
      </w:r>
      <w:r>
        <w:rPr>
          <w:rFonts w:hint="eastAsia" w:ascii="宋体" w:hAnsi="宋体" w:cs="宋体"/>
          <w:color w:val="auto"/>
          <w:szCs w:val="21"/>
        </w:rPr>
        <w:t>崇左市政府采购供应商信用承诺函</w:t>
      </w:r>
      <w:r>
        <w:rPr>
          <w:rFonts w:hint="eastAsia" w:ascii="宋体" w:hAnsi="宋体" w:cs="宋体"/>
          <w:b/>
          <w:color w:val="auto"/>
          <w:szCs w:val="21"/>
        </w:rPr>
        <w:t>（必须提供）；</w:t>
      </w:r>
    </w:p>
    <w:p w14:paraId="2CB1A119">
      <w:pPr>
        <w:pStyle w:val="36"/>
        <w:spacing w:before="0" w:after="0" w:line="400" w:lineRule="exact"/>
        <w:ind w:firstLine="420" w:firstLineChars="200"/>
        <w:rPr>
          <w:rFonts w:ascii="宋体" w:eastAsia="宋体" w:cs="宋体"/>
          <w:caps w:val="0"/>
          <w:color w:val="auto"/>
        </w:rPr>
      </w:pPr>
      <w:r>
        <w:rPr>
          <w:rFonts w:hint="eastAsia" w:ascii="宋体" w:eastAsia="宋体" w:cs="宋体"/>
          <w:caps w:val="0"/>
          <w:color w:va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28AA8EAC">
      <w:pPr>
        <w:adjustRightInd w:val="0"/>
        <w:snapToGrid w:val="0"/>
        <w:spacing w:line="400" w:lineRule="exact"/>
        <w:ind w:firstLine="411" w:firstLineChars="196"/>
        <w:jc w:val="left"/>
        <w:rPr>
          <w:color w:val="auto"/>
          <w:szCs w:val="21"/>
        </w:rPr>
      </w:pPr>
      <w:r>
        <w:rPr>
          <w:rFonts w:hint="eastAsia" w:ascii="宋体" w:hAnsi="宋体" w:cs="宋体"/>
          <w:b/>
          <w:bCs/>
          <w:color w:val="auto"/>
          <w:szCs w:val="21"/>
        </w:rPr>
        <w:t>（3）</w:t>
      </w:r>
      <w:r>
        <w:rPr>
          <w:rFonts w:hint="eastAsia" w:ascii="宋体" w:hAnsi="宋体" w:cs="宋体"/>
          <w:color w:val="auto"/>
          <w:szCs w:val="21"/>
        </w:rPr>
        <w:t>中小企业声明函。（</w:t>
      </w:r>
      <w:r>
        <w:rPr>
          <w:rFonts w:hint="eastAsia" w:ascii="宋体" w:hAnsi="宋体" w:cs="宋体"/>
          <w:b/>
          <w:color w:val="auto"/>
          <w:szCs w:val="21"/>
        </w:rPr>
        <w:t>必须提供，</w:t>
      </w:r>
      <w:r>
        <w:rPr>
          <w:rFonts w:hint="eastAsia" w:ascii="宋体" w:hAnsi="宋体" w:cs="宋体"/>
          <w:color w:val="auto"/>
          <w:szCs w:val="21"/>
        </w:rPr>
        <w:t>按最新相关政策执行，格式见第六章）</w:t>
      </w:r>
    </w:p>
    <w:p w14:paraId="7DC2F945">
      <w:pPr>
        <w:adjustRightInd w:val="0"/>
        <w:snapToGrid w:val="0"/>
        <w:spacing w:line="400" w:lineRule="exact"/>
        <w:ind w:firstLine="411" w:firstLineChars="196"/>
        <w:jc w:val="left"/>
        <w:rPr>
          <w:rFonts w:ascii="宋体" w:hAnsi="宋体" w:cs="宋体"/>
          <w:b/>
          <w:color w:val="auto"/>
          <w:szCs w:val="21"/>
        </w:rPr>
      </w:pPr>
      <w:r>
        <w:rPr>
          <w:rFonts w:hint="eastAsia" w:ascii="宋体" w:hAnsi="宋体" w:cs="宋体"/>
          <w:b/>
          <w:color w:val="auto"/>
          <w:szCs w:val="21"/>
        </w:rPr>
        <w:t>2.商务技术文件：</w:t>
      </w:r>
    </w:p>
    <w:p w14:paraId="587C379A">
      <w:pPr>
        <w:adjustRightInd w:val="0"/>
        <w:snapToGrid w:val="0"/>
        <w:spacing w:line="400" w:lineRule="exact"/>
        <w:ind w:firstLine="411" w:firstLineChars="196"/>
        <w:jc w:val="left"/>
        <w:rPr>
          <w:rFonts w:ascii="宋体" w:hAnsi="宋体" w:cs="宋体"/>
          <w:b/>
          <w:color w:val="auto"/>
          <w:szCs w:val="21"/>
        </w:rPr>
      </w:pPr>
      <w:r>
        <w:rPr>
          <w:rFonts w:hint="eastAsia" w:ascii="宋体" w:hAnsi="宋体" w:cs="宋体"/>
          <w:b/>
          <w:color w:val="auto"/>
          <w:szCs w:val="21"/>
        </w:rPr>
        <w:t>2.1商务文件：</w:t>
      </w:r>
    </w:p>
    <w:p w14:paraId="5863D91A">
      <w:pPr>
        <w:adjustRightInd w:val="0"/>
        <w:snapToGrid w:val="0"/>
        <w:spacing w:line="440" w:lineRule="exact"/>
        <w:ind w:firstLine="411" w:firstLineChars="196"/>
        <w:jc w:val="left"/>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投标声明书（格式见第六章）</w:t>
      </w:r>
      <w:r>
        <w:rPr>
          <w:rFonts w:hint="eastAsia" w:ascii="宋体" w:hAnsi="宋体" w:cs="宋体"/>
          <w:b/>
          <w:color w:val="auto"/>
          <w:szCs w:val="21"/>
        </w:rPr>
        <w:t>（必须提供）</w:t>
      </w:r>
      <w:r>
        <w:rPr>
          <w:rFonts w:hint="eastAsia" w:ascii="宋体" w:hAnsi="宋体" w:cs="宋体"/>
          <w:color w:val="auto"/>
          <w:szCs w:val="21"/>
        </w:rPr>
        <w:t>；</w:t>
      </w:r>
    </w:p>
    <w:p w14:paraId="6EE6ECCF">
      <w:pPr>
        <w:adjustRightInd w:val="0"/>
        <w:snapToGrid w:val="0"/>
        <w:spacing w:line="440" w:lineRule="exact"/>
        <w:ind w:firstLine="411" w:firstLineChars="196"/>
        <w:jc w:val="left"/>
        <w:rPr>
          <w:rFonts w:ascii="宋体" w:hAnsi="宋体" w:cs="宋体"/>
          <w:color w:val="auto"/>
          <w:szCs w:val="21"/>
        </w:rPr>
      </w:pPr>
      <w:r>
        <w:rPr>
          <w:rFonts w:hint="eastAsia" w:ascii="宋体" w:hAnsi="宋体" w:cs="宋体"/>
          <w:b/>
          <w:color w:val="auto"/>
          <w:szCs w:val="21"/>
        </w:rPr>
        <w:t>（2）</w:t>
      </w:r>
      <w:r>
        <w:rPr>
          <w:rFonts w:hint="eastAsia" w:ascii="宋体" w:hAnsi="宋体" w:cs="宋体"/>
          <w:color w:val="auto"/>
          <w:szCs w:val="21"/>
        </w:rPr>
        <w:t>法定代表人（负责人）授权委托书和委托代理人身份证扫描件（格式见第六章）</w:t>
      </w:r>
      <w:r>
        <w:rPr>
          <w:rFonts w:hint="eastAsia" w:ascii="宋体" w:hAnsi="宋体" w:cs="宋体"/>
          <w:b/>
          <w:color w:val="auto"/>
          <w:szCs w:val="21"/>
        </w:rPr>
        <w:t>（必须提供）</w:t>
      </w:r>
      <w:r>
        <w:rPr>
          <w:rFonts w:hint="eastAsia" w:ascii="宋体" w:hAnsi="宋体" w:cs="宋体"/>
          <w:color w:val="auto"/>
          <w:szCs w:val="21"/>
        </w:rPr>
        <w:t>；当法定代表人（负责人）参加投标时，</w:t>
      </w:r>
      <w:r>
        <w:rPr>
          <w:rFonts w:hint="eastAsia" w:ascii="宋体" w:hAnsi="宋体" w:cs="宋体"/>
          <w:color w:val="auto"/>
          <w:kern w:val="0"/>
          <w:szCs w:val="21"/>
        </w:rPr>
        <w:t>仅需提供法定代表人</w:t>
      </w:r>
      <w:r>
        <w:rPr>
          <w:rFonts w:hint="eastAsia" w:ascii="宋体" w:hAnsi="宋体" w:cs="宋体"/>
          <w:color w:val="auto"/>
          <w:szCs w:val="21"/>
        </w:rPr>
        <w:t>（负责人）</w:t>
      </w:r>
      <w:r>
        <w:rPr>
          <w:rFonts w:hint="eastAsia" w:ascii="宋体" w:hAnsi="宋体" w:cs="宋体"/>
          <w:color w:val="auto"/>
          <w:kern w:val="0"/>
          <w:szCs w:val="21"/>
        </w:rPr>
        <w:t>的身份证扫描件</w:t>
      </w:r>
      <w:r>
        <w:rPr>
          <w:rFonts w:hint="eastAsia" w:ascii="宋体" w:hAnsi="宋体" w:cs="宋体"/>
          <w:color w:val="auto"/>
          <w:szCs w:val="21"/>
        </w:rPr>
        <w:t>；</w:t>
      </w:r>
    </w:p>
    <w:p w14:paraId="154D3780">
      <w:pPr>
        <w:adjustRightInd w:val="0"/>
        <w:snapToGrid w:val="0"/>
        <w:spacing w:line="440" w:lineRule="exact"/>
        <w:ind w:firstLine="411" w:firstLineChars="196"/>
        <w:jc w:val="left"/>
        <w:rPr>
          <w:rFonts w:ascii="宋体" w:hAnsi="宋体" w:cs="宋体"/>
          <w:b/>
          <w:color w:val="auto"/>
          <w:szCs w:val="21"/>
        </w:rPr>
      </w:pPr>
      <w:r>
        <w:rPr>
          <w:rFonts w:hint="eastAsia" w:ascii="宋体" w:hAnsi="宋体" w:cs="宋体"/>
          <w:color w:val="auto"/>
          <w:szCs w:val="21"/>
        </w:rPr>
        <w:t>（3）商务响应表（格式见第六章）</w:t>
      </w:r>
      <w:r>
        <w:rPr>
          <w:rFonts w:hint="eastAsia" w:ascii="宋体" w:hAnsi="宋体" w:cs="宋体"/>
          <w:b/>
          <w:color w:val="auto"/>
          <w:szCs w:val="21"/>
        </w:rPr>
        <w:t>（必须提供）；</w:t>
      </w:r>
    </w:p>
    <w:p w14:paraId="5841BFCB">
      <w:pPr>
        <w:adjustRightInd w:val="0"/>
        <w:snapToGrid w:val="0"/>
        <w:spacing w:line="440" w:lineRule="exact"/>
        <w:ind w:firstLine="411" w:firstLineChars="196"/>
        <w:jc w:val="left"/>
        <w:rPr>
          <w:rFonts w:ascii="宋体" w:hAnsi="宋体" w:cs="宋体"/>
          <w:bCs/>
          <w:color w:val="auto"/>
          <w:szCs w:val="21"/>
        </w:rPr>
      </w:pPr>
      <w:r>
        <w:rPr>
          <w:rFonts w:hint="eastAsia" w:ascii="宋体" w:hAnsi="宋体" w:cs="宋体"/>
          <w:bCs/>
          <w:color w:val="auto"/>
          <w:szCs w:val="21"/>
        </w:rPr>
        <w:t>（4）招标项目采购需求中要求必须提供的材料等</w:t>
      </w:r>
      <w:r>
        <w:rPr>
          <w:rFonts w:hint="eastAsia" w:ascii="宋体" w:hAnsi="宋体" w:cs="宋体"/>
          <w:b/>
          <w:color w:val="auto"/>
          <w:szCs w:val="21"/>
        </w:rPr>
        <w:t>（必须提供）</w:t>
      </w:r>
      <w:r>
        <w:rPr>
          <w:rFonts w:hint="eastAsia" w:ascii="宋体" w:hAnsi="宋体" w:cs="宋体"/>
          <w:bCs/>
          <w:color w:val="auto"/>
          <w:szCs w:val="21"/>
        </w:rPr>
        <w:t>；</w:t>
      </w:r>
    </w:p>
    <w:p w14:paraId="13DAB890">
      <w:pPr>
        <w:adjustRightInd w:val="0"/>
        <w:snapToGrid w:val="0"/>
        <w:spacing w:line="440" w:lineRule="exact"/>
        <w:ind w:firstLine="411" w:firstLineChars="196"/>
        <w:jc w:val="left"/>
        <w:rPr>
          <w:rFonts w:ascii="宋体" w:hAnsi="宋体" w:cs="宋体"/>
          <w:b/>
          <w:color w:val="auto"/>
          <w:szCs w:val="21"/>
        </w:rPr>
      </w:pPr>
      <w:r>
        <w:rPr>
          <w:rFonts w:hint="eastAsia" w:ascii="宋体" w:hAnsi="宋体" w:cs="宋体"/>
          <w:color w:val="auto"/>
          <w:szCs w:val="21"/>
        </w:rPr>
        <w:t>（5）具备法律、行政法规规定的其他条件的证明材料（</w:t>
      </w:r>
      <w:r>
        <w:rPr>
          <w:rFonts w:hint="eastAsia" w:ascii="宋体" w:hAnsi="宋体" w:cs="宋体"/>
          <w:b/>
          <w:color w:val="auto"/>
          <w:szCs w:val="21"/>
        </w:rPr>
        <w:t>如有规定，则必须提供）。</w:t>
      </w:r>
    </w:p>
    <w:p w14:paraId="29E57E02">
      <w:pPr>
        <w:adjustRightInd w:val="0"/>
        <w:snapToGrid w:val="0"/>
        <w:spacing w:line="440" w:lineRule="exact"/>
        <w:ind w:firstLine="411" w:firstLineChars="196"/>
        <w:jc w:val="left"/>
        <w:rPr>
          <w:rFonts w:ascii="宋体" w:hAnsi="宋体" w:cs="宋体"/>
          <w:b/>
          <w:color w:val="auto"/>
          <w:szCs w:val="21"/>
        </w:rPr>
      </w:pPr>
      <w:r>
        <w:rPr>
          <w:rFonts w:hint="eastAsia" w:ascii="宋体" w:hAnsi="宋体" w:cs="宋体"/>
          <w:b/>
          <w:bCs/>
          <w:color w:val="auto"/>
          <w:szCs w:val="21"/>
        </w:rPr>
        <w:t>可作为投标人资信评分的资质证明材料（可选）</w:t>
      </w:r>
    </w:p>
    <w:p w14:paraId="68E04069">
      <w:pPr>
        <w:adjustRightInd w:val="0"/>
        <w:snapToGrid w:val="0"/>
        <w:spacing w:line="440" w:lineRule="exact"/>
        <w:ind w:firstLine="411" w:firstLineChars="196"/>
        <w:jc w:val="left"/>
        <w:rPr>
          <w:rFonts w:ascii="宋体" w:hAnsi="宋体" w:cs="宋体"/>
          <w:color w:val="auto"/>
          <w:szCs w:val="21"/>
        </w:rPr>
      </w:pPr>
      <w:r>
        <w:rPr>
          <w:rFonts w:hint="eastAsia" w:ascii="宋体" w:hAnsi="宋体" w:cs="宋体"/>
          <w:color w:val="auto"/>
          <w:szCs w:val="21"/>
        </w:rPr>
        <w:t>（6）类似案例成功的业绩（投标人同类项目实施情况一览表、合同扫描件、用户验收报告、用户评价）；</w:t>
      </w:r>
    </w:p>
    <w:p w14:paraId="76653DE9">
      <w:pPr>
        <w:adjustRightInd w:val="0"/>
        <w:snapToGrid w:val="0"/>
        <w:spacing w:line="440" w:lineRule="exact"/>
        <w:ind w:firstLine="411" w:firstLineChars="196"/>
        <w:jc w:val="left"/>
        <w:rPr>
          <w:rFonts w:ascii="宋体" w:hAnsi="宋体" w:cs="宋体"/>
          <w:color w:val="auto"/>
          <w:szCs w:val="21"/>
        </w:rPr>
      </w:pPr>
      <w:r>
        <w:rPr>
          <w:rFonts w:hint="eastAsia" w:ascii="宋体" w:hAnsi="宋体" w:cs="宋体"/>
          <w:color w:val="auto"/>
          <w:szCs w:val="21"/>
        </w:rPr>
        <w:t>（7）投标人质量管理和质量保证体系等方面的认证证书；</w:t>
      </w:r>
    </w:p>
    <w:p w14:paraId="5D067D0E">
      <w:pPr>
        <w:adjustRightInd w:val="0"/>
        <w:snapToGrid w:val="0"/>
        <w:spacing w:line="440" w:lineRule="exact"/>
        <w:ind w:firstLine="411" w:firstLineChars="196"/>
        <w:jc w:val="left"/>
        <w:rPr>
          <w:rFonts w:ascii="宋体" w:hAnsi="宋体" w:cs="宋体"/>
          <w:color w:val="auto"/>
          <w:szCs w:val="21"/>
        </w:rPr>
      </w:pPr>
      <w:r>
        <w:rPr>
          <w:rFonts w:hint="eastAsia" w:ascii="宋体" w:hAnsi="宋体" w:cs="宋体"/>
          <w:color w:val="auto"/>
          <w:szCs w:val="21"/>
        </w:rPr>
        <w:t>（8）投标人认为可以证明其能力或业绩的其他材料；</w:t>
      </w:r>
    </w:p>
    <w:p w14:paraId="2A6DC20F">
      <w:pPr>
        <w:adjustRightInd w:val="0"/>
        <w:snapToGrid w:val="0"/>
        <w:spacing w:line="440" w:lineRule="exact"/>
        <w:ind w:firstLine="411" w:firstLineChars="196"/>
        <w:jc w:val="left"/>
        <w:rPr>
          <w:rFonts w:ascii="宋体" w:hAnsi="宋体" w:cs="宋体"/>
          <w:color w:val="auto"/>
          <w:szCs w:val="21"/>
        </w:rPr>
      </w:pPr>
      <w:r>
        <w:rPr>
          <w:rFonts w:hint="eastAsia" w:ascii="宋体" w:hAnsi="宋体" w:cs="宋体"/>
          <w:color w:val="auto"/>
          <w:szCs w:val="21"/>
        </w:rPr>
        <w:t>（9）投标人关于服务升级及本单位债务纠纷、违法违规记录等方面的情况（内容见投标声明书）；</w:t>
      </w:r>
    </w:p>
    <w:p w14:paraId="4E843456">
      <w:pPr>
        <w:adjustRightInd w:val="0"/>
        <w:snapToGrid w:val="0"/>
        <w:spacing w:line="440" w:lineRule="exact"/>
        <w:ind w:firstLine="411" w:firstLineChars="196"/>
        <w:jc w:val="left"/>
        <w:rPr>
          <w:rFonts w:ascii="宋体" w:hAnsi="宋体" w:cs="宋体"/>
          <w:color w:val="auto"/>
          <w:szCs w:val="21"/>
        </w:rPr>
      </w:pPr>
      <w:r>
        <w:rPr>
          <w:rFonts w:hint="eastAsia" w:ascii="宋体" w:hAnsi="宋体" w:cs="宋体"/>
          <w:color w:val="auto"/>
          <w:szCs w:val="21"/>
        </w:rPr>
        <w:t>（10）投标人情况介绍。</w:t>
      </w:r>
    </w:p>
    <w:p w14:paraId="6D3CDEB0">
      <w:pPr>
        <w:adjustRightInd w:val="0"/>
        <w:snapToGrid w:val="0"/>
        <w:spacing w:line="400" w:lineRule="exact"/>
        <w:ind w:firstLine="411" w:firstLineChars="196"/>
        <w:jc w:val="left"/>
        <w:rPr>
          <w:rFonts w:ascii="宋体" w:hAnsi="宋体" w:cs="宋体"/>
          <w:b/>
          <w:bCs/>
          <w:color w:val="auto"/>
          <w:szCs w:val="21"/>
        </w:rPr>
      </w:pPr>
      <w:r>
        <w:rPr>
          <w:rFonts w:hint="eastAsia" w:ascii="宋体" w:hAnsi="宋体" w:cs="宋体"/>
          <w:b/>
          <w:bCs/>
          <w:color w:val="auto"/>
          <w:szCs w:val="21"/>
        </w:rPr>
        <w:t>2.2技术文件</w:t>
      </w:r>
    </w:p>
    <w:p w14:paraId="3A18ABE6">
      <w:pPr>
        <w:snapToGrid w:val="0"/>
        <w:spacing w:line="360" w:lineRule="exact"/>
        <w:ind w:firstLine="420" w:firstLineChars="200"/>
        <w:jc w:val="left"/>
        <w:rPr>
          <w:rFonts w:ascii="宋体" w:hAnsi="宋体" w:cs="宋体"/>
          <w:color w:val="auto"/>
          <w:szCs w:val="21"/>
        </w:rPr>
      </w:pPr>
      <w:r>
        <w:rPr>
          <w:rFonts w:hint="eastAsia" w:ascii="宋体" w:hAnsi="宋体" w:cs="宋体"/>
          <w:color w:val="auto"/>
          <w:szCs w:val="21"/>
        </w:rPr>
        <w:t>（1）服务类项目的投标技术文件</w:t>
      </w:r>
      <w:r>
        <w:rPr>
          <w:rFonts w:hint="eastAsia" w:ascii="宋体" w:hAnsi="宋体" w:cs="宋体"/>
          <w:b/>
          <w:bCs/>
          <w:color w:val="auto"/>
          <w:szCs w:val="21"/>
        </w:rPr>
        <w:t>（服务方案，内容和格式见第六章要求，必须提供）</w:t>
      </w:r>
      <w:r>
        <w:rPr>
          <w:rFonts w:hint="eastAsia" w:ascii="宋体" w:hAnsi="宋体" w:cs="宋体"/>
          <w:color w:val="auto"/>
          <w:szCs w:val="21"/>
        </w:rPr>
        <w:t>；</w:t>
      </w:r>
    </w:p>
    <w:p w14:paraId="52C71805">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▲（2）招标项目采购需求中要求必须提供的材料。</w:t>
      </w:r>
    </w:p>
    <w:p w14:paraId="25634569">
      <w:pPr>
        <w:adjustRightInd w:val="0"/>
        <w:snapToGrid w:val="0"/>
        <w:spacing w:line="400" w:lineRule="exact"/>
        <w:ind w:firstLine="411" w:firstLineChars="196"/>
        <w:jc w:val="left"/>
        <w:rPr>
          <w:rFonts w:ascii="宋体" w:hAnsi="宋体" w:cs="宋体"/>
          <w:b/>
          <w:color w:val="auto"/>
          <w:szCs w:val="21"/>
        </w:rPr>
      </w:pPr>
      <w:r>
        <w:rPr>
          <w:rFonts w:hint="eastAsia" w:ascii="宋体" w:hAnsi="宋体" w:cs="宋体"/>
          <w:b/>
          <w:color w:val="auto"/>
          <w:szCs w:val="21"/>
        </w:rPr>
        <w:t>3.报价文件：</w:t>
      </w:r>
    </w:p>
    <w:p w14:paraId="131D38D9">
      <w:pPr>
        <w:tabs>
          <w:tab w:val="left" w:pos="3870"/>
          <w:tab w:val="left" w:pos="4085"/>
        </w:tabs>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（1）投标函（格式见第六章，必须提供）；</w:t>
      </w:r>
    </w:p>
    <w:p w14:paraId="626C450F">
      <w:pPr>
        <w:tabs>
          <w:tab w:val="left" w:pos="3870"/>
          <w:tab w:val="left" w:pos="4085"/>
        </w:tabs>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（2）投标报价明细表（格式见第六章，必须提供）；</w:t>
      </w:r>
    </w:p>
    <w:p w14:paraId="004203D1">
      <w:pPr>
        <w:tabs>
          <w:tab w:val="left" w:pos="3870"/>
          <w:tab w:val="left" w:pos="4085"/>
        </w:tabs>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（3）投标人针对报价需要说明的其他文件和说明（格式自拟）；</w:t>
      </w:r>
    </w:p>
    <w:p w14:paraId="74EA9C4B">
      <w:pPr>
        <w:tabs>
          <w:tab w:val="left" w:pos="3870"/>
          <w:tab w:val="left" w:pos="4085"/>
        </w:tabs>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（4）开标一览表（格式见第六章，必须提供）。</w:t>
      </w:r>
    </w:p>
    <w:p w14:paraId="52E2711B">
      <w:pPr>
        <w:pStyle w:val="47"/>
        <w:adjustRightInd w:val="0"/>
        <w:snapToGrid w:val="0"/>
        <w:spacing w:after="0" w:line="400" w:lineRule="exact"/>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注：法定代表人</w:t>
      </w:r>
      <w:r>
        <w:rPr>
          <w:rFonts w:hint="eastAsia" w:ascii="宋体" w:hAnsi="宋体" w:cs="宋体"/>
          <w:b/>
          <w:bCs/>
          <w:color w:val="auto"/>
          <w:szCs w:val="21"/>
        </w:rPr>
        <w:t>（负责人）</w:t>
      </w:r>
      <w:r>
        <w:rPr>
          <w:rFonts w:hint="eastAsia" w:ascii="宋体" w:hAnsi="宋体" w:cs="宋体"/>
          <w:b/>
          <w:color w:val="auto"/>
          <w:szCs w:val="21"/>
        </w:rPr>
        <w:t>授权委托书、投标声明书、投标函、开标一览表必须按招标文件格式要求签署和加盖单位公章。</w:t>
      </w:r>
    </w:p>
    <w:bookmarkEnd w:id="48"/>
    <w:p w14:paraId="7C2AC08C">
      <w:pPr>
        <w:adjustRightInd w:val="0"/>
        <w:snapToGrid w:val="0"/>
        <w:spacing w:line="400" w:lineRule="exact"/>
        <w:ind w:firstLine="420" w:firstLineChars="200"/>
        <w:rPr>
          <w:rFonts w:ascii="宋体" w:hAnsi="宋体" w:cs="宋体"/>
          <w:b/>
          <w:color w:val="auto"/>
          <w:szCs w:val="21"/>
        </w:rPr>
      </w:pPr>
      <w:bookmarkStart w:id="49" w:name="_Toc254970678"/>
      <w:bookmarkStart w:id="50" w:name="_Toc254970537"/>
      <w:r>
        <w:rPr>
          <w:rFonts w:hint="eastAsia" w:ascii="宋体" w:hAnsi="宋体" w:cs="宋体"/>
          <w:b/>
          <w:color w:val="auto"/>
          <w:szCs w:val="21"/>
        </w:rPr>
        <w:t>（二）投标文件的语言及计量</w:t>
      </w:r>
      <w:bookmarkEnd w:id="49"/>
      <w:bookmarkEnd w:id="50"/>
    </w:p>
    <w:p w14:paraId="688E3A7E">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▲1投标文件以及投标方与招标方就有关投标事宜的所有来往函电，均应以中文汉语书写。除签名、盖章、专用名称等特殊情形外，以中文汉语以外的文字表述的投标文件视同未提供。</w:t>
      </w:r>
    </w:p>
    <w:p w14:paraId="4F1761AD">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▲2投标计量单位，招标文件已有明确规定的，使用招标文件规定的计量单位；招标文件没有规定的，应采用中华人民共和国法定计量单位（货币单位：人民币元），否则视同未响应。</w:t>
      </w:r>
    </w:p>
    <w:p w14:paraId="40E844FA">
      <w:pPr>
        <w:adjustRightInd w:val="0"/>
        <w:snapToGrid w:val="0"/>
        <w:spacing w:line="400" w:lineRule="exact"/>
        <w:ind w:firstLine="420" w:firstLineChars="200"/>
        <w:rPr>
          <w:rFonts w:ascii="宋体" w:hAnsi="宋体" w:cs="宋体"/>
          <w:b/>
          <w:color w:val="auto"/>
          <w:szCs w:val="21"/>
        </w:rPr>
      </w:pPr>
      <w:bookmarkStart w:id="51" w:name="_Toc254970538"/>
      <w:bookmarkStart w:id="52" w:name="_Toc254970679"/>
      <w:r>
        <w:rPr>
          <w:rFonts w:hint="eastAsia" w:ascii="宋体" w:hAnsi="宋体" w:cs="宋体"/>
          <w:b/>
          <w:color w:val="auto"/>
          <w:szCs w:val="21"/>
        </w:rPr>
        <w:t>（三）投标报价</w:t>
      </w:r>
      <w:bookmarkEnd w:id="51"/>
      <w:bookmarkEnd w:id="52"/>
    </w:p>
    <w:p w14:paraId="4C4E7378">
      <w:pPr>
        <w:pStyle w:val="28"/>
        <w:adjustRightInd w:val="0"/>
        <w:snapToGrid w:val="0"/>
        <w:spacing w:line="400" w:lineRule="exact"/>
        <w:ind w:firstLine="420" w:firstLineChars="200"/>
        <w:jc w:val="left"/>
        <w:rPr>
          <w:rFonts w:hAnsi="宋体" w:cs="宋体"/>
          <w:color w:val="auto"/>
        </w:rPr>
      </w:pPr>
      <w:r>
        <w:rPr>
          <w:rFonts w:hint="eastAsia" w:hAnsi="宋体" w:cs="宋体"/>
          <w:color w:val="auto"/>
        </w:rPr>
        <w:t>1.投标报价应按招标文件中相关附表格式填写。投标人可就《项目采购需求》中所有服务内容完整唯一报价。</w:t>
      </w:r>
    </w:p>
    <w:p w14:paraId="6888BDB5">
      <w:pPr>
        <w:pStyle w:val="28"/>
        <w:adjustRightInd w:val="0"/>
        <w:snapToGrid w:val="0"/>
        <w:spacing w:line="400" w:lineRule="exact"/>
        <w:ind w:firstLine="420" w:firstLineChars="200"/>
        <w:jc w:val="left"/>
        <w:rPr>
          <w:rFonts w:hAnsi="宋体" w:cs="宋体"/>
          <w:color w:val="auto"/>
        </w:rPr>
      </w:pPr>
      <w:r>
        <w:rPr>
          <w:rFonts w:hint="eastAsia" w:hAnsi="宋体" w:cs="宋体"/>
          <w:color w:val="auto"/>
        </w:rPr>
        <w:t>2.投标报价是履行合同的最终价格。</w:t>
      </w:r>
    </w:p>
    <w:p w14:paraId="10AA8B9E">
      <w:pPr>
        <w:tabs>
          <w:tab w:val="left" w:pos="525"/>
        </w:tabs>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3.投标文件只允许有一个报价，有选择的或有条件的报价将不予接受。</w:t>
      </w:r>
    </w:p>
    <w:p w14:paraId="0458EA2A">
      <w:pPr>
        <w:spacing w:line="500" w:lineRule="atLeast"/>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.本项目实行单项取费上控价制，投标人按每个单项投标，报价均不得超出采购人限定的单项控制价，各单项报价总和不能超过采购项目总控制价。</w:t>
      </w:r>
    </w:p>
    <w:p w14:paraId="3EA1EA0E">
      <w:pPr>
        <w:spacing w:line="500" w:lineRule="atLeast"/>
        <w:ind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.服务费取费标准在合同履行期间实行固定单价合同。</w:t>
      </w:r>
    </w:p>
    <w:p w14:paraId="675B061D">
      <w:pPr>
        <w:spacing w:line="500" w:lineRule="atLeast"/>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.固定单价中包括以下的风险及其他的风险均包括在固定单价中。</w:t>
      </w:r>
    </w:p>
    <w:p w14:paraId="4E285329">
      <w:pPr>
        <w:spacing w:line="500" w:lineRule="atLeast"/>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.1政策性上调服务所在地最低工资标准的差额部分。</w:t>
      </w:r>
    </w:p>
    <w:p w14:paraId="64AFD46B">
      <w:pPr>
        <w:spacing w:line="500" w:lineRule="atLeast"/>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.2政策性上调服务所在地社保的差额部分。</w:t>
      </w:r>
    </w:p>
    <w:p w14:paraId="6F045593">
      <w:pPr>
        <w:spacing w:line="500" w:lineRule="atLeast"/>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物料物价上涨的部分。</w:t>
      </w:r>
    </w:p>
    <w:p w14:paraId="1F8D2FC1">
      <w:pPr>
        <w:spacing w:line="500" w:lineRule="atLeast"/>
        <w:ind w:firstLine="420" w:firstLineChars="200"/>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.投标报价包括但不限于保洁服务费、工作服费、管道疏通费、</w:t>
      </w:r>
      <w:r>
        <w:rPr>
          <w:rFonts w:hint="eastAsia" w:ascii="宋体" w:hAnsi="宋体" w:cs="宋体"/>
          <w:bCs/>
          <w:color w:val="auto"/>
          <w:szCs w:val="21"/>
        </w:rPr>
        <w:t>室内地面深度清洁、设备维护保养费</w:t>
      </w:r>
      <w:r>
        <w:rPr>
          <w:rFonts w:hint="eastAsia" w:ascii="宋体" w:hAnsi="宋体" w:cs="宋体"/>
          <w:color w:val="auto"/>
          <w:szCs w:val="21"/>
        </w:rPr>
        <w:t>等。对于本文件中未列明，而供应商认为必需的费用也需列入总报价。在合同实施时，采购人将不予支付</w:t>
      </w:r>
      <w:r>
        <w:rPr>
          <w:rFonts w:hint="eastAsia" w:ascii="宋体" w:hAnsi="宋体" w:cs="宋体"/>
          <w:color w:val="auto"/>
          <w:szCs w:val="21"/>
          <w:lang w:eastAsia="zh-CN"/>
        </w:rPr>
        <w:t>中标供应商</w:t>
      </w:r>
      <w:r>
        <w:rPr>
          <w:rFonts w:hint="eastAsia" w:ascii="宋体" w:hAnsi="宋体" w:cs="宋体"/>
          <w:color w:val="auto"/>
          <w:szCs w:val="21"/>
        </w:rPr>
        <w:t>没有列入的项目费用，并认为此项目的费用已包括在投标报价中。</w:t>
      </w:r>
    </w:p>
    <w:p w14:paraId="1DD13143">
      <w:pPr>
        <w:spacing w:line="500" w:lineRule="atLeast"/>
        <w:ind w:firstLine="420" w:firstLineChars="200"/>
        <w:rPr>
          <w:rFonts w:ascii="宋体" w:hAnsi="宋体" w:cs="宋体"/>
          <w:snapToGrid w:val="0"/>
          <w:color w:val="auto"/>
          <w:szCs w:val="21"/>
        </w:rPr>
      </w:pPr>
      <w:r>
        <w:rPr>
          <w:rFonts w:ascii="宋体" w:hAnsi="宋体" w:cs="宋体"/>
          <w:color w:val="auto"/>
          <w:szCs w:val="21"/>
        </w:rPr>
        <w:t>8</w:t>
      </w:r>
      <w:r>
        <w:rPr>
          <w:rFonts w:hint="eastAsia" w:ascii="宋体" w:hAnsi="宋体" w:cs="宋体"/>
          <w:color w:val="auto"/>
          <w:szCs w:val="21"/>
        </w:rPr>
        <w:t>.按实计费指该服务项目每月取费按供应商当月的工作量、实际投入的人数等</w:t>
      </w:r>
      <w:r>
        <w:rPr>
          <w:rFonts w:hint="eastAsia" w:ascii="宋体" w:hAnsi="宋体" w:cs="宋体"/>
          <w:snapToGrid w:val="0"/>
          <w:color w:val="auto"/>
          <w:szCs w:val="21"/>
        </w:rPr>
        <w:t>作为当月计费的量。</w:t>
      </w:r>
    </w:p>
    <w:p w14:paraId="7DDA0364">
      <w:pPr>
        <w:pStyle w:val="50"/>
        <w:spacing w:line="500" w:lineRule="atLeast"/>
        <w:rPr>
          <w:rFonts w:hAnsi="宋体" w:cs="宋体"/>
          <w:b w:val="0"/>
          <w:bCs/>
          <w:color w:val="auto"/>
          <w:szCs w:val="21"/>
        </w:rPr>
      </w:pPr>
      <w:r>
        <w:rPr>
          <w:rFonts w:hAnsi="宋体" w:cs="宋体"/>
          <w:b w:val="0"/>
          <w:bCs/>
          <w:snapToGrid w:val="0"/>
          <w:color w:val="auto"/>
          <w:szCs w:val="21"/>
        </w:rPr>
        <w:t>9</w:t>
      </w:r>
      <w:r>
        <w:rPr>
          <w:rFonts w:hint="eastAsia" w:hAnsi="宋体" w:cs="宋体"/>
          <w:b w:val="0"/>
          <w:bCs/>
          <w:snapToGrid w:val="0"/>
          <w:color w:val="auto"/>
          <w:szCs w:val="21"/>
        </w:rPr>
        <w:t>.在</w:t>
      </w:r>
      <w:r>
        <w:rPr>
          <w:rFonts w:hint="eastAsia" w:hAnsi="宋体" w:cs="宋体"/>
          <w:b w:val="0"/>
          <w:bCs/>
          <w:color w:val="auto"/>
          <w:szCs w:val="21"/>
        </w:rPr>
        <w:t>合同履行期间如因病区增加、拆迁、改造或其他原因需要变更服务地址、调整服务内容或停止服务等情况，由采购人确定，供应商必须无条件接受执行。</w:t>
      </w:r>
    </w:p>
    <w:p w14:paraId="79F84821">
      <w:pPr>
        <w:spacing w:line="500" w:lineRule="atLeast"/>
        <w:ind w:firstLine="420" w:firstLineChars="200"/>
        <w:rPr>
          <w:rFonts w:ascii="宋体" w:hAnsi="宋体" w:cs="宋体"/>
          <w:color w:val="auto"/>
          <w:szCs w:val="21"/>
        </w:rPr>
      </w:pPr>
      <w:r>
        <w:rPr>
          <w:rFonts w:ascii="宋体" w:hAnsi="宋体" w:cs="宋体"/>
          <w:color w:val="auto"/>
          <w:szCs w:val="21"/>
        </w:rPr>
        <w:t>10</w:t>
      </w:r>
      <w:r>
        <w:rPr>
          <w:rFonts w:hint="eastAsia" w:ascii="宋体" w:hAnsi="宋体" w:cs="宋体"/>
          <w:color w:val="auto"/>
          <w:szCs w:val="21"/>
        </w:rPr>
        <w:t>.投标文件中增设规划设施设备以外其他设施设备的，视为投标人自愿承担费用，中标后须在承诺期限内予以实施。</w:t>
      </w:r>
    </w:p>
    <w:p w14:paraId="0B9CAACB">
      <w:pPr>
        <w:spacing w:line="500" w:lineRule="atLeast"/>
        <w:ind w:firstLine="420" w:firstLineChars="200"/>
        <w:rPr>
          <w:rFonts w:ascii="宋体" w:hAnsi="宋体" w:cs="宋体"/>
          <w:color w:val="auto"/>
          <w:szCs w:val="21"/>
        </w:rPr>
      </w:pPr>
      <w:r>
        <w:rPr>
          <w:rFonts w:ascii="宋体" w:hAnsi="宋体" w:cs="宋体"/>
          <w:color w:val="auto"/>
          <w:szCs w:val="21"/>
        </w:rPr>
        <w:t>11</w:t>
      </w:r>
      <w:r>
        <w:rPr>
          <w:rFonts w:hint="eastAsia" w:ascii="宋体" w:hAnsi="宋体" w:cs="宋体"/>
          <w:color w:val="auto"/>
          <w:szCs w:val="21"/>
        </w:rPr>
        <w:t>.本合同不得转包给第三者，也不能给第三者挂靠。</w:t>
      </w:r>
    </w:p>
    <w:p w14:paraId="074416CB">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（四）投标文件的有效期</w:t>
      </w:r>
    </w:p>
    <w:p w14:paraId="5D4FD611">
      <w:pPr>
        <w:pStyle w:val="14"/>
        <w:widowControl w:val="0"/>
        <w:adjustRightInd w:val="0"/>
        <w:snapToGrid w:val="0"/>
        <w:spacing w:afterLines="0" w:line="400" w:lineRule="exact"/>
        <w:ind w:left="0" w:firstLine="424" w:firstLineChars="202"/>
        <w:rPr>
          <w:rFonts w:ascii="宋体" w:hAnsi="宋体" w:cs="宋体"/>
          <w:color w:val="auto"/>
          <w:sz w:val="21"/>
          <w:szCs w:val="21"/>
        </w:rPr>
      </w:pPr>
      <w:r>
        <w:rPr>
          <w:rFonts w:hint="eastAsia" w:ascii="宋体" w:hAnsi="宋体" w:cs="宋体"/>
          <w:color w:val="auto"/>
          <w:sz w:val="21"/>
          <w:szCs w:val="21"/>
        </w:rPr>
        <w:t>1.自投标截止日起</w:t>
      </w:r>
      <w:r>
        <w:rPr>
          <w:rFonts w:hint="eastAsia" w:ascii="宋体" w:hAnsi="宋体" w:cs="宋体"/>
          <w:color w:val="auto"/>
          <w:sz w:val="21"/>
          <w:szCs w:val="21"/>
          <w:u w:val="single"/>
        </w:rPr>
        <w:t>六十日</w:t>
      </w:r>
      <w:r>
        <w:rPr>
          <w:rFonts w:hint="eastAsia" w:ascii="宋体" w:hAnsi="宋体" w:cs="宋体"/>
          <w:color w:val="auto"/>
          <w:sz w:val="21"/>
          <w:szCs w:val="21"/>
        </w:rPr>
        <w:t>投标文件应保持有效。有效期不足的投标文件将被拒绝。</w:t>
      </w:r>
    </w:p>
    <w:p w14:paraId="7AB75C8A">
      <w:pPr>
        <w:pStyle w:val="14"/>
        <w:widowControl w:val="0"/>
        <w:adjustRightInd w:val="0"/>
        <w:snapToGrid w:val="0"/>
        <w:spacing w:afterLines="0" w:line="400" w:lineRule="exact"/>
        <w:ind w:left="0" w:firstLine="424" w:firstLineChars="202"/>
        <w:rPr>
          <w:rFonts w:ascii="宋体" w:hAnsi="宋体" w:cs="宋体"/>
          <w:color w:val="auto"/>
          <w:sz w:val="21"/>
          <w:szCs w:val="21"/>
        </w:rPr>
      </w:pPr>
      <w:r>
        <w:rPr>
          <w:rFonts w:hint="eastAsia" w:ascii="宋体" w:hAnsi="宋体" w:cs="宋体"/>
          <w:color w:val="auto"/>
          <w:sz w:val="21"/>
          <w:szCs w:val="21"/>
        </w:rPr>
        <w:t>2.在特殊情况下，招标人可与投标人协商延长投标书的有效期，这种要求和答复均以书面形式进行。</w:t>
      </w:r>
    </w:p>
    <w:p w14:paraId="627A23C4">
      <w:pPr>
        <w:pStyle w:val="14"/>
        <w:widowControl w:val="0"/>
        <w:adjustRightInd w:val="0"/>
        <w:snapToGrid w:val="0"/>
        <w:spacing w:afterLines="0" w:line="400" w:lineRule="exact"/>
        <w:ind w:left="0" w:firstLine="424" w:firstLineChars="202"/>
        <w:rPr>
          <w:rFonts w:ascii="宋体" w:hAnsi="宋体" w:cs="宋体"/>
          <w:color w:val="auto"/>
          <w:sz w:val="21"/>
          <w:szCs w:val="21"/>
        </w:rPr>
      </w:pPr>
      <w:bookmarkStart w:id="53" w:name="_Toc254970680"/>
      <w:bookmarkStart w:id="54" w:name="_Toc254970539"/>
      <w:r>
        <w:rPr>
          <w:rFonts w:hint="eastAsia" w:ascii="宋体" w:hAnsi="宋体" w:cs="宋体"/>
          <w:color w:val="auto"/>
          <w:sz w:val="21"/>
          <w:szCs w:val="21"/>
        </w:rPr>
        <w:t>3.投标人可拒绝接受延期要求；同意延长有效期的投标人不能修改投标文件。</w:t>
      </w:r>
      <w:bookmarkEnd w:id="53"/>
      <w:bookmarkEnd w:id="54"/>
    </w:p>
    <w:p w14:paraId="69B3C2D7">
      <w:pPr>
        <w:pStyle w:val="14"/>
        <w:widowControl w:val="0"/>
        <w:adjustRightInd w:val="0"/>
        <w:snapToGrid w:val="0"/>
        <w:spacing w:afterLines="0" w:line="400" w:lineRule="exact"/>
        <w:ind w:left="0" w:firstLine="424" w:firstLineChars="202"/>
        <w:rPr>
          <w:rFonts w:ascii="宋体" w:hAnsi="宋体" w:cs="宋体"/>
          <w:color w:val="auto"/>
          <w:sz w:val="21"/>
          <w:szCs w:val="21"/>
        </w:rPr>
      </w:pPr>
      <w:bookmarkStart w:id="55" w:name="_Toc254970681"/>
      <w:bookmarkStart w:id="56" w:name="_Toc254970540"/>
      <w:r>
        <w:rPr>
          <w:rFonts w:hint="eastAsia" w:ascii="宋体" w:hAnsi="宋体" w:cs="宋体"/>
          <w:color w:val="auto"/>
          <w:sz w:val="21"/>
          <w:szCs w:val="21"/>
        </w:rPr>
        <w:t>4.中标人的投标文件自开标之日起至合同履行完毕止均应保持有效。</w:t>
      </w:r>
      <w:bookmarkEnd w:id="55"/>
      <w:bookmarkEnd w:id="56"/>
    </w:p>
    <w:p w14:paraId="3F25B021">
      <w:pPr>
        <w:adjustRightInd w:val="0"/>
        <w:snapToGrid w:val="0"/>
        <w:spacing w:line="400" w:lineRule="exact"/>
        <w:ind w:firstLine="420" w:firstLineChars="200"/>
        <w:rPr>
          <w:rFonts w:ascii="宋体" w:hAnsi="宋体" w:cs="宋体"/>
          <w:b/>
          <w:color w:val="auto"/>
          <w:szCs w:val="21"/>
        </w:rPr>
      </w:pPr>
      <w:bookmarkStart w:id="57" w:name="_Toc254970682"/>
      <w:bookmarkStart w:id="58" w:name="_Toc254970541"/>
      <w:r>
        <w:rPr>
          <w:rFonts w:hint="eastAsia" w:ascii="宋体" w:hAnsi="宋体" w:cs="宋体"/>
          <w:b/>
          <w:color w:val="auto"/>
          <w:szCs w:val="21"/>
        </w:rPr>
        <w:t>（五）投标保证金</w:t>
      </w:r>
      <w:bookmarkEnd w:id="57"/>
      <w:bookmarkEnd w:id="58"/>
    </w:p>
    <w:p w14:paraId="09116CB9">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1.本项目不收取投标保证金。</w:t>
      </w:r>
    </w:p>
    <w:p w14:paraId="277A8BDE">
      <w:pPr>
        <w:adjustRightInd w:val="0"/>
        <w:snapToGrid w:val="0"/>
        <w:spacing w:line="400" w:lineRule="exact"/>
        <w:ind w:firstLine="420" w:firstLineChars="200"/>
        <w:rPr>
          <w:rFonts w:ascii="宋体" w:hAnsi="宋体" w:cs="宋体"/>
          <w:b/>
          <w:color w:val="auto"/>
          <w:szCs w:val="21"/>
        </w:rPr>
      </w:pPr>
      <w:bookmarkStart w:id="59" w:name="_Toc254970683"/>
      <w:bookmarkStart w:id="60" w:name="_Toc254970542"/>
      <w:r>
        <w:rPr>
          <w:rFonts w:hint="eastAsia" w:ascii="宋体" w:hAnsi="宋体" w:cs="宋体"/>
          <w:b/>
          <w:color w:val="auto"/>
          <w:szCs w:val="21"/>
        </w:rPr>
        <w:t>（六）投标文件的签署和份数</w:t>
      </w:r>
      <w:bookmarkEnd w:id="59"/>
      <w:bookmarkEnd w:id="60"/>
    </w:p>
    <w:p w14:paraId="080AA5BD">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1.投标人应按本招标文件规定的格式和顺序编制并标注页码，投标文件内容不完整、编排混乱导致投标文件被误读、漏读或者查找不到相关内容的，是投标人的责任。</w:t>
      </w:r>
    </w:p>
    <w:p w14:paraId="48C49398">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2.投标文件份数：见投标人须知及前附表。</w:t>
      </w:r>
    </w:p>
    <w:p w14:paraId="1E909C24">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3.投标文件须由投标人在规定位置盖章并由法定代表人（负责人）或法定代表人（负责人）的授权委托人签署，投标人应写全称。</w:t>
      </w:r>
    </w:p>
    <w:p w14:paraId="758F54C0">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4.投标文件不得涂改，若有修改错漏处，须加盖单位公章或者法定代表人或授权委托人签字或盖章。投标文件因扫描不清晰或乱码或表达不清所引起的后果由投标人负责。</w:t>
      </w:r>
    </w:p>
    <w:p w14:paraId="390A1D07">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（七）投标文件的上传、提交、修改、撤回和解密</w:t>
      </w:r>
    </w:p>
    <w:p w14:paraId="0A44739E">
      <w:pPr>
        <w:adjustRightInd w:val="0"/>
        <w:snapToGrid w:val="0"/>
        <w:spacing w:line="400" w:lineRule="exact"/>
        <w:ind w:firstLine="420"/>
        <w:jc w:val="left"/>
        <w:rPr>
          <w:rFonts w:ascii="宋体" w:hAnsi="宋体" w:cs="宋体"/>
          <w:b/>
          <w:color w:val="auto"/>
          <w:szCs w:val="21"/>
        </w:rPr>
      </w:pPr>
      <w:r>
        <w:rPr>
          <w:rFonts w:hint="eastAsia" w:ascii="宋体" w:hAnsi="宋体" w:cs="宋体"/>
          <w:color w:val="auto"/>
          <w:szCs w:val="21"/>
        </w:rPr>
        <w:t>▲1.</w:t>
      </w:r>
      <w:r>
        <w:rPr>
          <w:rFonts w:hint="eastAsia" w:ascii="宋体" w:hAnsi="宋体" w:cs="宋体"/>
          <w:b/>
          <w:color w:val="auto"/>
          <w:szCs w:val="21"/>
        </w:rPr>
        <w:t>投标文件的上传、提交：见投标人须知及前附表。</w:t>
      </w:r>
    </w:p>
    <w:p w14:paraId="050110BB">
      <w:pPr>
        <w:adjustRightInd w:val="0"/>
        <w:snapToGrid w:val="0"/>
        <w:spacing w:line="400" w:lineRule="exact"/>
        <w:ind w:firstLine="42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hint="eastAsia" w:ascii="宋体" w:hAnsi="宋体" w:cs="宋体"/>
          <w:color w:val="auto"/>
          <w:kern w:val="0"/>
          <w:szCs w:val="21"/>
        </w:rPr>
        <w:t>广西政府采购云平台</w:t>
      </w:r>
      <w:r>
        <w:rPr>
          <w:rFonts w:hint="eastAsia" w:ascii="宋体" w:hAnsi="宋体" w:cs="宋体"/>
          <w:color w:val="auto"/>
          <w:kern w:val="0"/>
          <w:szCs w:val="21"/>
          <w:lang w:val="zh-CN"/>
        </w:rPr>
        <w:t>”将予以拒收。投标截止时间后，投标供应商不得撤回、修改投标文件。</w:t>
      </w:r>
    </w:p>
    <w:p w14:paraId="299245D8">
      <w:pPr>
        <w:adjustRightInd w:val="0"/>
        <w:snapToGrid w:val="0"/>
        <w:spacing w:line="400" w:lineRule="exact"/>
        <w:ind w:firstLine="424" w:firstLineChars="210"/>
        <w:rPr>
          <w:rFonts w:ascii="宋体" w:hAnsi="宋体" w:cs="宋体"/>
          <w:color w:val="auto"/>
          <w:spacing w:val="-4"/>
          <w:szCs w:val="21"/>
        </w:rPr>
      </w:pPr>
      <w:bookmarkStart w:id="61" w:name="_Toc254970684"/>
      <w:bookmarkStart w:id="62" w:name="_Toc254970543"/>
      <w:r>
        <w:rPr>
          <w:rFonts w:hint="eastAsia" w:ascii="宋体" w:hAnsi="宋体" w:cs="宋体"/>
          <w:color w:val="auto"/>
          <w:spacing w:val="-4"/>
          <w:szCs w:val="21"/>
        </w:rPr>
        <w:t>3.</w:t>
      </w:r>
      <w:r>
        <w:rPr>
          <w:rFonts w:hint="eastAsia" w:ascii="宋体" w:hAnsi="宋体" w:cs="宋体"/>
          <w:snapToGrid w:val="0"/>
          <w:color w:val="auto"/>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249637B5">
      <w:pPr>
        <w:adjustRightInd w:val="0"/>
        <w:snapToGrid w:val="0"/>
        <w:spacing w:line="400" w:lineRule="exact"/>
        <w:ind w:firstLine="420"/>
        <w:jc w:val="left"/>
        <w:rPr>
          <w:rFonts w:ascii="宋体" w:hAnsi="宋体" w:cs="宋体"/>
          <w:color w:val="auto"/>
          <w:spacing w:val="-4"/>
          <w:szCs w:val="21"/>
        </w:rPr>
      </w:pPr>
      <w:r>
        <w:rPr>
          <w:rFonts w:hint="eastAsia" w:ascii="宋体" w:hAnsi="宋体" w:cs="宋体"/>
          <w:color w:val="auto"/>
          <w:spacing w:val="-4"/>
          <w:szCs w:val="21"/>
        </w:rPr>
        <w:t>4.投标人已经被推荐为第一中标候选供应商后撤回投标或放弃中标，给采购人造成损失的，还应当赔偿损失，并作为不良行为记录在案。</w:t>
      </w:r>
    </w:p>
    <w:p w14:paraId="6667E337">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（八）投标无效的情形</w:t>
      </w:r>
      <w:bookmarkEnd w:id="61"/>
      <w:bookmarkEnd w:id="62"/>
    </w:p>
    <w:p w14:paraId="122E6A44">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实质上没有响应招标文件要求的投标将被视为无效投标。投标人不得通过修正或撤销不符合要求的偏离或保留从而使其投标成为实质上响应的投标，但经评标委员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30FF5506">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1.在符合性审查和资格性审查时，如发现下列情形之一的，投标文件将被视为无效：</w:t>
      </w:r>
    </w:p>
    <w:p w14:paraId="2E4FC99F">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（1）超越了按照法律法规规定必须获得行政许可或者行政审批的经营范围的；</w:t>
      </w:r>
    </w:p>
    <w:p w14:paraId="068D4E1D">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（2）资格证明文件不全的，或者不符合招标文件标明的资格要求的；</w:t>
      </w:r>
    </w:p>
    <w:p w14:paraId="7643ECF2">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（3）投标文件无法定代表人（负责人）或其授权委托代理人签字，或未提供法定代表人（负责人）授权委托书、投标声明书或者填写项目不齐全的；</w:t>
      </w:r>
    </w:p>
    <w:p w14:paraId="4EA452A6">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（4）投标代表人未能出具身份证明或与法定代表人（负责人）授权委托人身份不符的；</w:t>
      </w:r>
    </w:p>
    <w:p w14:paraId="2DBB5800">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（5）项目不齐全或者内容虚假的；</w:t>
      </w:r>
    </w:p>
    <w:p w14:paraId="72D536FA">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（6）投标文件的实质性内容未使用中文表述、意思表述不明确、前后矛盾或者使用计量单位不符合投标文件要求的（经评标委员会认定并允许其在线更正的笔误除外）；</w:t>
      </w:r>
    </w:p>
    <w:p w14:paraId="2223D572">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（7）投标有效期、交付使用时间、质保期等商务条款不能满足招标文件要求的；</w:t>
      </w:r>
    </w:p>
    <w:p w14:paraId="17E8FBFF">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（8）未实质性响应招标文件要求或者投标文件有招标方不能接受的附加条件的；</w:t>
      </w:r>
    </w:p>
    <w:p w14:paraId="3B17C96C">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2.在技术评审时，如发现下列情形之一的，投标文件将被视为无效：</w:t>
      </w:r>
    </w:p>
    <w:p w14:paraId="264B42F9">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（1）未提供或未如实提供投标货物的技术参数，或者投标文件标明的响应或偏离与事实不符或虚假投标的；</w:t>
      </w:r>
    </w:p>
    <w:p w14:paraId="66352F6C">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（2）明显不符合招标文件要求的规格型号、质量标准，或者与招标文件中的技术指标、主要功能项目发生实质性偏离的；</w:t>
      </w:r>
    </w:p>
    <w:p w14:paraId="725FA8A2">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（3）项目采购需求中带“▲”内容项目发生负偏离达1项（含）以上的；</w:t>
      </w:r>
    </w:p>
    <w:p w14:paraId="3B4AAC05">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（4）投标技术方案不明确，存在一个或一个以上备选（替换）投标方案的；</w:t>
      </w:r>
    </w:p>
    <w:p w14:paraId="1F8786D2">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（5）与其他参加本次投标供应商的投标文件（技术文件）的文字表述内容差错相同两处以上的。</w:t>
      </w:r>
    </w:p>
    <w:p w14:paraId="4131F091">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3.在报价评审时，如发现下列情形之一的，投标文件将被视为无效：</w:t>
      </w:r>
    </w:p>
    <w:p w14:paraId="00C1480C">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（1）未采用人民币报价或者未按照招标文件标明的币种报价的；</w:t>
      </w:r>
    </w:p>
    <w:p w14:paraId="225639A5">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（2）报价超出最高限价，或者超出采购预算金额，采购人不能支付的；</w:t>
      </w:r>
    </w:p>
    <w:p w14:paraId="52044FB3">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（3）投标报价具有选择性；</w:t>
      </w:r>
    </w:p>
    <w:p w14:paraId="062FACA4">
      <w:pPr>
        <w:pStyle w:val="22"/>
        <w:adjustRightInd w:val="0"/>
        <w:snapToGrid w:val="0"/>
        <w:spacing w:line="400" w:lineRule="exact"/>
        <w:ind w:firstLine="395" w:firstLineChars="196"/>
        <w:rPr>
          <w:rFonts w:ascii="宋体" w:hAnsi="宋体" w:eastAsia="宋体" w:cs="宋体"/>
          <w:bCs/>
          <w:color w:val="auto"/>
          <w:sz w:val="21"/>
          <w:szCs w:val="21"/>
        </w:rPr>
      </w:pPr>
      <w:r>
        <w:rPr>
          <w:rFonts w:hint="eastAsia" w:ascii="宋体" w:hAnsi="宋体" w:eastAsia="宋体" w:cs="宋体"/>
          <w:color w:val="auto"/>
          <w:spacing w:val="-4"/>
          <w:sz w:val="21"/>
          <w:szCs w:val="21"/>
        </w:rPr>
        <w:t>（4）评标委员会认为投标人的报价明显低于其他通过符合性审查投标人的报价，有可能影响产品质量或者不能诚信履约，投标人不能证明其报价合理性的。</w:t>
      </w:r>
    </w:p>
    <w:p w14:paraId="694715D4">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4.有下列情形之一的视为投标人相互串通投标，投标文件将被视为无效：</w:t>
      </w:r>
    </w:p>
    <w:p w14:paraId="4E3013D8">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（1）不同投标人的投标文件由同一单位或者个人编制；或不同投标人报名的IP地址一致的；</w:t>
      </w:r>
    </w:p>
    <w:p w14:paraId="06933191">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（2）不同投标人委托同一单位或者个人办理投标事宜；</w:t>
      </w:r>
    </w:p>
    <w:p w14:paraId="5CCA1AA3">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eastAsia="宋体" w:cs="宋体"/>
          <w:color w:val="auto"/>
          <w:spacing w:val="-4"/>
          <w:sz w:val="21"/>
          <w:szCs w:val="21"/>
        </w:rPr>
        <w:t>不同投标人的投标文件载明的项目管理成员或者联系人员为同一人</w:t>
      </w:r>
      <w:r>
        <w:rPr>
          <w:rFonts w:hint="eastAsia" w:ascii="宋体" w:hAnsi="宋体" w:eastAsia="宋体" w:cs="宋体"/>
          <w:bCs/>
          <w:color w:val="auto"/>
          <w:sz w:val="21"/>
          <w:szCs w:val="21"/>
        </w:rPr>
        <w:t>；</w:t>
      </w:r>
    </w:p>
    <w:p w14:paraId="499D67D4">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（4）不同投标人的投标文件异常一致或投标报价呈规律性差异；</w:t>
      </w:r>
    </w:p>
    <w:p w14:paraId="6CF079DA">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（5）不同投标人的投标文件相互混装；</w:t>
      </w:r>
    </w:p>
    <w:p w14:paraId="476C95B7">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（6）不同投标人的投标保证金从同一个单位或者个人账户转出。</w:t>
      </w:r>
    </w:p>
    <w:p w14:paraId="5C04D517">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5.有下列情形之一的视为关联供应商参加同一合同项下政府采购活动，投标文件将被视为无效：</w:t>
      </w:r>
    </w:p>
    <w:p w14:paraId="3EE908BF">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（1）单位负责人为同一人或者存在直接控股、管理关系的不同供应商，参加同一合同项下的政府采购活动；</w:t>
      </w:r>
    </w:p>
    <w:p w14:paraId="1D4BB68D">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（2）生产厂商授权给供应商后又参加同一合同项下的政府采购活动；生产厂商对同一品牌同一型号的货物委托多个代理商参加投标。</w:t>
      </w:r>
    </w:p>
    <w:p w14:paraId="74A3E0B4">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6.其他投标无效的情形：</w:t>
      </w:r>
    </w:p>
    <w:p w14:paraId="749D133E">
      <w:pPr>
        <w:pStyle w:val="22"/>
        <w:adjustRightInd w:val="0"/>
        <w:snapToGrid w:val="0"/>
        <w:spacing w:line="400" w:lineRule="exact"/>
        <w:ind w:firstLine="411" w:firstLineChars="196"/>
        <w:rPr>
          <w:rFonts w:ascii="宋体" w:hAnsi="宋体" w:eastAsia="宋体" w:cs="宋体"/>
          <w:b/>
          <w:bCs/>
          <w:color w:val="auto"/>
          <w:sz w:val="21"/>
          <w:szCs w:val="21"/>
        </w:rPr>
      </w:pPr>
      <w:r>
        <w:rPr>
          <w:rFonts w:hint="eastAsia" w:ascii="宋体" w:hAnsi="宋体" w:eastAsia="宋体" w:cs="宋体"/>
          <w:b/>
          <w:bCs/>
          <w:color w:val="auto"/>
          <w:sz w:val="21"/>
          <w:szCs w:val="21"/>
        </w:rPr>
        <w:t>（1）投标文件未按招标文件要求签署或CA电子签章的；</w:t>
      </w:r>
    </w:p>
    <w:p w14:paraId="65125582">
      <w:pPr>
        <w:pStyle w:val="22"/>
        <w:adjustRightInd w:val="0"/>
        <w:snapToGrid w:val="0"/>
        <w:spacing w:line="400" w:lineRule="exact"/>
        <w:ind w:firstLine="411" w:firstLineChars="196"/>
        <w:rPr>
          <w:rFonts w:ascii="宋体" w:hAnsi="宋体" w:eastAsia="宋体" w:cs="宋体"/>
          <w:b/>
          <w:bCs/>
          <w:color w:val="auto"/>
          <w:sz w:val="21"/>
          <w:szCs w:val="21"/>
        </w:rPr>
      </w:pPr>
      <w:r>
        <w:rPr>
          <w:rFonts w:hint="eastAsia" w:ascii="宋体" w:hAnsi="宋体" w:eastAsia="宋体" w:cs="宋体"/>
          <w:b/>
          <w:bCs/>
          <w:color w:val="auto"/>
          <w:sz w:val="21"/>
          <w:szCs w:val="21"/>
        </w:rPr>
        <w:t>（2）供应商提交两份或两份以上内容不同的投标文件；</w:t>
      </w:r>
    </w:p>
    <w:p w14:paraId="5F25CDE6">
      <w:pPr>
        <w:pStyle w:val="28"/>
        <w:adjustRightInd w:val="0"/>
        <w:snapToGrid w:val="0"/>
        <w:spacing w:line="400" w:lineRule="exact"/>
        <w:ind w:firstLine="420" w:firstLineChars="200"/>
        <w:rPr>
          <w:rFonts w:hAnsi="宋体" w:cs="宋体"/>
          <w:b/>
          <w:bCs/>
          <w:color w:val="auto"/>
        </w:rPr>
      </w:pPr>
      <w:r>
        <w:rPr>
          <w:rFonts w:hint="eastAsia" w:hAnsi="宋体" w:cs="宋体"/>
          <w:b/>
          <w:bCs/>
          <w:color w:val="auto"/>
        </w:rPr>
        <w:t>（3）投标供应商在线制作投标文件时填写的报价金额与解密后“电子加密投标文件”中《开标一览表》填写的金额不一致并拒绝按招标文件要求接受调整的；</w:t>
      </w:r>
    </w:p>
    <w:p w14:paraId="30F5E6FC">
      <w:pPr>
        <w:pStyle w:val="22"/>
        <w:adjustRightInd w:val="0"/>
        <w:snapToGrid w:val="0"/>
        <w:spacing w:line="400" w:lineRule="exact"/>
        <w:ind w:firstLine="411" w:firstLineChars="196"/>
        <w:rPr>
          <w:rFonts w:ascii="宋体" w:hAnsi="宋体" w:eastAsia="宋体" w:cs="宋体"/>
          <w:b/>
          <w:bCs/>
          <w:color w:val="auto"/>
          <w:sz w:val="21"/>
          <w:szCs w:val="21"/>
        </w:rPr>
      </w:pPr>
      <w:r>
        <w:rPr>
          <w:rFonts w:hint="eastAsia" w:ascii="宋体" w:hAnsi="宋体" w:eastAsia="宋体" w:cs="宋体"/>
          <w:b/>
          <w:bCs/>
          <w:color w:val="auto"/>
          <w:sz w:val="21"/>
          <w:szCs w:val="21"/>
        </w:rPr>
        <w:t>（4）法律法规和招标文件规定的其他无效情形（或出现重大偏差）。</w:t>
      </w:r>
    </w:p>
    <w:p w14:paraId="5C20FD4D">
      <w:pPr>
        <w:pStyle w:val="22"/>
        <w:adjustRightInd w:val="0"/>
        <w:snapToGrid w:val="0"/>
        <w:spacing w:line="400" w:lineRule="exact"/>
        <w:ind w:firstLine="411" w:firstLineChars="196"/>
        <w:rPr>
          <w:rFonts w:ascii="宋体" w:hAnsi="宋体" w:eastAsia="宋体" w:cs="宋体"/>
          <w:bCs/>
          <w:color w:val="auto"/>
          <w:sz w:val="21"/>
          <w:szCs w:val="21"/>
        </w:rPr>
      </w:pPr>
      <w:r>
        <w:rPr>
          <w:rFonts w:hint="eastAsia" w:ascii="宋体" w:hAnsi="宋体" w:eastAsia="宋体" w:cs="宋体"/>
          <w:bCs/>
          <w:color w:val="auto"/>
          <w:sz w:val="21"/>
          <w:szCs w:val="21"/>
        </w:rPr>
        <w:t>7.被拒绝的投标文件为无效。</w:t>
      </w:r>
    </w:p>
    <w:p w14:paraId="3205B018">
      <w:pPr>
        <w:pStyle w:val="28"/>
        <w:adjustRightInd w:val="0"/>
        <w:snapToGrid w:val="0"/>
        <w:spacing w:line="400" w:lineRule="exact"/>
        <w:rPr>
          <w:rFonts w:hAnsi="宋体" w:cs="宋体"/>
          <w:b/>
          <w:color w:val="auto"/>
        </w:rPr>
      </w:pPr>
      <w:bookmarkStart w:id="63" w:name="_Toc254970685"/>
      <w:bookmarkStart w:id="64" w:name="_Toc254970544"/>
      <w:r>
        <w:rPr>
          <w:rFonts w:hint="eastAsia" w:hAnsi="宋体" w:cs="宋体"/>
          <w:b/>
          <w:color w:val="auto"/>
        </w:rPr>
        <w:t>四、开标</w:t>
      </w:r>
      <w:bookmarkEnd w:id="63"/>
      <w:bookmarkEnd w:id="64"/>
    </w:p>
    <w:p w14:paraId="43917DC4">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（一）开标准备</w:t>
      </w:r>
    </w:p>
    <w:p w14:paraId="516972AB">
      <w:pPr>
        <w:adjustRightInd w:val="0"/>
        <w:snapToGrid w:val="0"/>
        <w:spacing w:line="400" w:lineRule="exact"/>
        <w:ind w:firstLine="420" w:firstLineChars="200"/>
        <w:rPr>
          <w:rFonts w:ascii="宋体" w:hAnsi="宋体" w:cs="宋体"/>
          <w:bCs/>
          <w:color w:val="auto"/>
          <w:szCs w:val="21"/>
        </w:rPr>
      </w:pPr>
      <w:r>
        <w:rPr>
          <w:rFonts w:hint="eastAsia" w:ascii="宋体" w:hAnsi="宋体" w:cs="宋体"/>
          <w:color w:val="auto"/>
          <w:szCs w:val="21"/>
        </w:rPr>
        <w:t>本中心按招标文件规定的时间、地点通过“广西政府采购云平台”组织开标、开启投标文件，所有供应商均应当准时在线参加。投标供应商因未在线参加开标而导致投标文件无法按时解密等一切后果由供应商自行承担。</w:t>
      </w:r>
    </w:p>
    <w:p w14:paraId="010B9119">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（二）开标程序：</w:t>
      </w:r>
    </w:p>
    <w:p w14:paraId="719D52FD">
      <w:pPr>
        <w:pStyle w:val="28"/>
        <w:adjustRightInd w:val="0"/>
        <w:snapToGrid w:val="0"/>
        <w:spacing w:line="400" w:lineRule="exact"/>
        <w:ind w:firstLine="420" w:firstLineChars="200"/>
        <w:rPr>
          <w:rFonts w:hAnsi="宋体" w:cs="宋体"/>
          <w:color w:val="auto"/>
        </w:rPr>
      </w:pPr>
      <w:r>
        <w:rPr>
          <w:rFonts w:hint="eastAsia" w:hAnsi="宋体" w:cs="宋体"/>
          <w:color w:val="auto"/>
        </w:rPr>
        <w:t>1.电子开标会由本中心主持</w:t>
      </w:r>
    </w:p>
    <w:p w14:paraId="75CB45D8">
      <w:pPr>
        <w:pStyle w:val="28"/>
        <w:adjustRightInd w:val="0"/>
        <w:snapToGrid w:val="0"/>
        <w:spacing w:line="400" w:lineRule="exact"/>
        <w:ind w:firstLine="420" w:firstLineChars="200"/>
        <w:rPr>
          <w:rFonts w:hAnsi="宋体" w:cs="宋体"/>
          <w:color w:val="auto"/>
        </w:rPr>
      </w:pPr>
      <w:r>
        <w:rPr>
          <w:rFonts w:hint="eastAsia" w:hAnsi="宋体" w:cs="宋体"/>
          <w:color w:val="auto"/>
        </w:rPr>
        <w:t>2.本中心工作人员向各投标供应商发出电子加密投标文件【开始解密】通知，由供应商按招标文件规定的时间内自行进行投标文件解密。</w:t>
      </w:r>
      <w:r>
        <w:rPr>
          <w:rFonts w:hint="eastAsia" w:hAnsi="宋体" w:cs="宋体"/>
          <w:snapToGrid w:val="0"/>
          <w:color w:val="auto"/>
        </w:rPr>
        <w:t>投标供应商未在规定时间内完成解密的，系统默认自动放弃。</w:t>
      </w:r>
    </w:p>
    <w:p w14:paraId="29613A7C">
      <w:pPr>
        <w:pStyle w:val="28"/>
        <w:adjustRightInd w:val="0"/>
        <w:snapToGrid w:val="0"/>
        <w:spacing w:line="400" w:lineRule="exact"/>
        <w:ind w:firstLine="420" w:firstLineChars="200"/>
        <w:rPr>
          <w:rFonts w:hAnsi="宋体" w:cs="宋体"/>
          <w:color w:val="auto"/>
        </w:rPr>
      </w:pPr>
      <w:r>
        <w:rPr>
          <w:rFonts w:hint="eastAsia" w:hAnsi="宋体" w:cs="宋体"/>
          <w:color w:val="auto"/>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559FE849">
      <w:pPr>
        <w:pStyle w:val="28"/>
        <w:adjustRightInd w:val="0"/>
        <w:snapToGrid w:val="0"/>
        <w:spacing w:line="400" w:lineRule="exact"/>
        <w:ind w:firstLine="420" w:firstLineChars="200"/>
        <w:rPr>
          <w:rFonts w:hAnsi="宋体" w:cs="宋体"/>
          <w:color w:val="auto"/>
        </w:rPr>
      </w:pPr>
      <w:r>
        <w:rPr>
          <w:rFonts w:hint="eastAsia" w:hAnsi="宋体" w:cs="宋体"/>
          <w:color w:val="auto"/>
        </w:rPr>
        <w:t>4.进入资格文件审查环节，招标采购单位依法对投标供应商的资格进行审查。</w:t>
      </w:r>
    </w:p>
    <w:p w14:paraId="1778C66E">
      <w:pPr>
        <w:pStyle w:val="28"/>
        <w:adjustRightInd w:val="0"/>
        <w:snapToGrid w:val="0"/>
        <w:spacing w:line="400" w:lineRule="exact"/>
        <w:ind w:firstLine="420" w:firstLineChars="200"/>
        <w:rPr>
          <w:rFonts w:hAnsi="宋体" w:cs="宋体"/>
          <w:color w:val="auto"/>
        </w:rPr>
      </w:pPr>
      <w:r>
        <w:rPr>
          <w:rFonts w:hint="eastAsia" w:hAnsi="宋体" w:cs="宋体"/>
          <w:color w:val="auto"/>
        </w:rPr>
        <w:t>5.开启资格审查通过的投标供应商的商务技术文件进入符合性审查及商务技术评审。</w:t>
      </w:r>
    </w:p>
    <w:p w14:paraId="35E9A739">
      <w:pPr>
        <w:pStyle w:val="28"/>
        <w:adjustRightInd w:val="0"/>
        <w:snapToGrid w:val="0"/>
        <w:spacing w:line="400" w:lineRule="exact"/>
        <w:ind w:firstLine="420"/>
        <w:rPr>
          <w:rFonts w:hAnsi="宋体" w:cs="宋体"/>
          <w:color w:val="auto"/>
        </w:rPr>
      </w:pPr>
      <w:r>
        <w:rPr>
          <w:rFonts w:hint="eastAsia" w:hAnsi="宋体" w:cs="宋体"/>
          <w:color w:val="auto"/>
        </w:rPr>
        <w:t>注：①当整个招标项目的投标人不足3家的不开标，本中心将按政府采购管理的有关规定处理。</w:t>
      </w:r>
    </w:p>
    <w:p w14:paraId="3A316580">
      <w:pPr>
        <w:pStyle w:val="28"/>
        <w:adjustRightInd w:val="0"/>
        <w:snapToGrid w:val="0"/>
        <w:spacing w:line="400" w:lineRule="exact"/>
        <w:ind w:firstLine="840" w:firstLineChars="400"/>
        <w:rPr>
          <w:rFonts w:hAnsi="宋体" w:cs="宋体"/>
          <w:color w:val="auto"/>
        </w:rPr>
      </w:pPr>
      <w:r>
        <w:rPr>
          <w:rFonts w:hint="eastAsia" w:hAnsi="宋体" w:cs="宋体"/>
          <w:color w:val="auto"/>
        </w:rPr>
        <w:t>②开标后，某分标投标人不足3家的，本中心将按政府采购管理的有关规定处理。</w:t>
      </w:r>
    </w:p>
    <w:p w14:paraId="2EFD936C">
      <w:pPr>
        <w:pStyle w:val="28"/>
        <w:adjustRightInd w:val="0"/>
        <w:snapToGrid w:val="0"/>
        <w:spacing w:line="400" w:lineRule="exact"/>
        <w:ind w:firstLine="420" w:firstLineChars="200"/>
        <w:rPr>
          <w:rFonts w:hAnsi="宋体" w:cs="宋体"/>
          <w:color w:val="auto"/>
        </w:rPr>
      </w:pPr>
      <w:r>
        <w:rPr>
          <w:rFonts w:hint="eastAsia" w:hAnsi="宋体" w:cs="宋体"/>
          <w:b/>
          <w:bCs/>
          <w:color w:val="auto"/>
        </w:rPr>
        <w:t>特别说明：如遇“广西政府采购云平台”电子化开标或评审程序调整的，按调整后程序执行。</w:t>
      </w:r>
    </w:p>
    <w:p w14:paraId="48EAFE46">
      <w:pPr>
        <w:pStyle w:val="28"/>
        <w:adjustRightInd w:val="0"/>
        <w:snapToGrid w:val="0"/>
        <w:spacing w:line="400" w:lineRule="exact"/>
        <w:rPr>
          <w:rFonts w:hAnsi="宋体" w:cs="宋体"/>
          <w:b/>
          <w:color w:val="auto"/>
        </w:rPr>
      </w:pPr>
      <w:bookmarkStart w:id="65" w:name="_Toc254970686"/>
      <w:bookmarkStart w:id="66" w:name="_Toc254970545"/>
      <w:r>
        <w:rPr>
          <w:rFonts w:hint="eastAsia" w:hAnsi="宋体" w:cs="宋体"/>
          <w:b/>
          <w:color w:val="auto"/>
        </w:rPr>
        <w:t>五、资格审查</w:t>
      </w:r>
    </w:p>
    <w:p w14:paraId="4512799E">
      <w:pPr>
        <w:pStyle w:val="28"/>
        <w:adjustRightInd w:val="0"/>
        <w:snapToGrid w:val="0"/>
        <w:spacing w:line="400" w:lineRule="exact"/>
        <w:ind w:firstLine="567" w:firstLineChars="270"/>
        <w:rPr>
          <w:rFonts w:hAnsi="宋体" w:cs="宋体"/>
          <w:color w:val="auto"/>
        </w:rPr>
      </w:pPr>
      <w:r>
        <w:rPr>
          <w:rFonts w:hint="eastAsia" w:hAnsi="宋体" w:cs="宋体"/>
          <w:color w:val="auto"/>
        </w:rPr>
        <w:t>采购人依法对投标人的资格进行审查。合格投标人不足3家的，不得评标。</w:t>
      </w:r>
    </w:p>
    <w:p w14:paraId="4AAC2DEB">
      <w:pPr>
        <w:pStyle w:val="28"/>
        <w:adjustRightInd w:val="0"/>
        <w:snapToGrid w:val="0"/>
        <w:spacing w:line="400" w:lineRule="exact"/>
        <w:rPr>
          <w:rFonts w:hAnsi="宋体" w:cs="宋体"/>
          <w:b/>
          <w:color w:val="auto"/>
        </w:rPr>
      </w:pPr>
      <w:r>
        <w:rPr>
          <w:rFonts w:hint="eastAsia" w:hAnsi="宋体" w:cs="宋体"/>
          <w:b/>
          <w:color w:val="auto"/>
        </w:rPr>
        <w:t>六、评标</w:t>
      </w:r>
      <w:bookmarkEnd w:id="65"/>
      <w:bookmarkEnd w:id="66"/>
    </w:p>
    <w:p w14:paraId="1EDBAD08">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（一）组建评标委员会</w:t>
      </w:r>
    </w:p>
    <w:p w14:paraId="188E2CF3">
      <w:pPr>
        <w:pStyle w:val="28"/>
        <w:adjustRightInd w:val="0"/>
        <w:snapToGrid w:val="0"/>
        <w:spacing w:line="400" w:lineRule="exact"/>
        <w:ind w:firstLine="420" w:firstLineChars="200"/>
        <w:rPr>
          <w:rFonts w:hAnsi="宋体" w:cs="宋体"/>
          <w:color w:val="auto"/>
        </w:rPr>
      </w:pPr>
      <w:r>
        <w:rPr>
          <w:rFonts w:hint="eastAsia" w:hAnsi="宋体" w:cs="宋体"/>
          <w:bCs/>
          <w:color w:val="auto"/>
        </w:rPr>
        <w:t>本招标采购项目的</w:t>
      </w:r>
      <w:r>
        <w:rPr>
          <w:rFonts w:hint="eastAsia" w:hAnsi="宋体" w:cs="宋体"/>
          <w:color w:val="auto"/>
          <w:spacing w:val="-4"/>
        </w:rPr>
        <w:t>评标委员会由采购人代表和评审专家组成，成员人数应当为5人（含5人）以上单数，其中评审专家不得少于成员总数的三分之二。</w:t>
      </w:r>
    </w:p>
    <w:p w14:paraId="5937C41A">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（二）评标的方式</w:t>
      </w:r>
    </w:p>
    <w:p w14:paraId="46D37208">
      <w:pPr>
        <w:pStyle w:val="28"/>
        <w:adjustRightInd w:val="0"/>
        <w:snapToGrid w:val="0"/>
        <w:spacing w:line="400" w:lineRule="exact"/>
        <w:ind w:left="688" w:leftChars="228" w:hanging="210" w:hangingChars="100"/>
        <w:rPr>
          <w:rFonts w:hAnsi="宋体" w:cs="宋体"/>
          <w:b/>
          <w:color w:val="auto"/>
        </w:rPr>
      </w:pPr>
      <w:r>
        <w:rPr>
          <w:rFonts w:hint="eastAsia" w:hAnsi="宋体" w:cs="宋体"/>
          <w:b/>
          <w:color w:val="auto"/>
        </w:rPr>
        <w:t>本项目采用不公开方式评标，评标的依据为招标文件和投标文件。</w:t>
      </w:r>
    </w:p>
    <w:p w14:paraId="041DD690">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（三）评标程序</w:t>
      </w:r>
    </w:p>
    <w:p w14:paraId="6920F17C">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（1）评标委员会审查、评价投标文件是否符合招标文件的商务、技术等实质性要求。</w:t>
      </w:r>
    </w:p>
    <w:p w14:paraId="266BC7DE">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14:paraId="48467095">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投标人代表超过规定时间或者拒绝澄清或者澄清的内容改变了投标文件的实质性内容的，评标委员会有权视该投标文件无效。</w:t>
      </w:r>
    </w:p>
    <w:p w14:paraId="411519A5">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（3）各投标人的技术得分为所有评委的有效评分的算术平均数，由指定专人进行计算复核。</w:t>
      </w:r>
    </w:p>
    <w:p w14:paraId="4030C720">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（4）本中心工作人员协助评标委员会根据本项目的评分标准计算各投标人的商务报价得分。</w:t>
      </w:r>
    </w:p>
    <w:p w14:paraId="5A4F9C47">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（5）评标委员会完成评标后，由广西政府采购云平台系统对各部分得分汇总，计算出本项目最终得分、评标价等。评标委员会按推荐原则推荐中标候选人同时形成评标报告。</w:t>
      </w:r>
    </w:p>
    <w:p w14:paraId="2046A518">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（四）澄清问题的形式</w:t>
      </w:r>
    </w:p>
    <w:p w14:paraId="3BE7011F">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2236966F">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（五）错误修正</w:t>
      </w:r>
    </w:p>
    <w:p w14:paraId="7C26AA48">
      <w:pPr>
        <w:pStyle w:val="28"/>
        <w:adjustRightInd w:val="0"/>
        <w:snapToGrid w:val="0"/>
        <w:spacing w:line="400" w:lineRule="exact"/>
        <w:ind w:left="688" w:leftChars="228" w:hanging="210" w:hangingChars="100"/>
        <w:rPr>
          <w:rFonts w:hAnsi="宋体" w:cs="宋体"/>
          <w:color w:val="auto"/>
        </w:rPr>
      </w:pPr>
      <w:r>
        <w:rPr>
          <w:rFonts w:hint="eastAsia" w:hAnsi="宋体" w:cs="宋体"/>
          <w:color w:val="auto"/>
        </w:rPr>
        <w:t>投标文件如果出现计算或表达上的错误，修正错误的原则如下：</w:t>
      </w:r>
    </w:p>
    <w:p w14:paraId="312E688C">
      <w:pPr>
        <w:pStyle w:val="28"/>
        <w:adjustRightInd w:val="0"/>
        <w:snapToGrid w:val="0"/>
        <w:spacing w:line="400" w:lineRule="exact"/>
        <w:ind w:firstLine="420" w:firstLineChars="200"/>
        <w:rPr>
          <w:rFonts w:hAnsi="宋体" w:cs="宋体"/>
          <w:color w:val="auto"/>
        </w:rPr>
      </w:pPr>
      <w:r>
        <w:rPr>
          <w:rFonts w:hint="eastAsia" w:hAnsi="宋体" w:cs="宋体"/>
          <w:color w:val="auto"/>
        </w:rPr>
        <w:t>1.投标文件中开标一览表（报价表）内容与投标文件中相应内容不一致的，以开标一览表（报价表）为准；</w:t>
      </w:r>
    </w:p>
    <w:p w14:paraId="5E521CB1">
      <w:pPr>
        <w:pStyle w:val="28"/>
        <w:adjustRightInd w:val="0"/>
        <w:snapToGrid w:val="0"/>
        <w:spacing w:line="400" w:lineRule="exact"/>
        <w:ind w:firstLine="420" w:firstLineChars="200"/>
        <w:rPr>
          <w:rFonts w:hAnsi="宋体" w:cs="宋体"/>
          <w:color w:val="auto"/>
        </w:rPr>
      </w:pPr>
      <w:r>
        <w:rPr>
          <w:rFonts w:hint="eastAsia" w:hAnsi="宋体" w:cs="宋体"/>
          <w:color w:val="auto"/>
        </w:rPr>
        <w:t>2.大写金额和小写金额不一致的，以大写金额为准；</w:t>
      </w:r>
    </w:p>
    <w:p w14:paraId="788F94DC">
      <w:pPr>
        <w:pStyle w:val="28"/>
        <w:adjustRightInd w:val="0"/>
        <w:snapToGrid w:val="0"/>
        <w:spacing w:line="400" w:lineRule="exact"/>
        <w:ind w:firstLine="420" w:firstLineChars="200"/>
        <w:rPr>
          <w:rFonts w:hAnsi="宋体" w:cs="宋体"/>
          <w:color w:val="auto"/>
        </w:rPr>
      </w:pPr>
      <w:r>
        <w:rPr>
          <w:rFonts w:hint="eastAsia" w:hAnsi="宋体" w:cs="宋体"/>
          <w:color w:val="auto"/>
        </w:rPr>
        <w:t>3.单价金额小数点或者百分比有明显错位的，以开标一览表的总价为准，并修改单价；</w:t>
      </w:r>
    </w:p>
    <w:p w14:paraId="5090F759">
      <w:pPr>
        <w:pStyle w:val="28"/>
        <w:adjustRightInd w:val="0"/>
        <w:snapToGrid w:val="0"/>
        <w:spacing w:line="400" w:lineRule="exact"/>
        <w:ind w:firstLine="420" w:firstLineChars="200"/>
        <w:rPr>
          <w:rFonts w:hAnsi="宋体" w:cs="宋体"/>
          <w:color w:val="auto"/>
        </w:rPr>
      </w:pPr>
      <w:r>
        <w:rPr>
          <w:rFonts w:hint="eastAsia" w:hAnsi="宋体" w:cs="宋体"/>
          <w:color w:val="auto"/>
        </w:rPr>
        <w:t>4.总价金额与按单价汇总金额不一致的，以单价金额计算结果为准。</w:t>
      </w:r>
    </w:p>
    <w:p w14:paraId="472356C9">
      <w:pPr>
        <w:pStyle w:val="28"/>
        <w:adjustRightInd w:val="0"/>
        <w:snapToGrid w:val="0"/>
        <w:spacing w:line="400" w:lineRule="exact"/>
        <w:ind w:firstLine="420" w:firstLineChars="200"/>
        <w:rPr>
          <w:rFonts w:hAnsi="宋体" w:cs="宋体"/>
          <w:color w:val="auto"/>
        </w:rPr>
      </w:pPr>
      <w:r>
        <w:rPr>
          <w:rFonts w:hint="eastAsia" w:hAnsi="宋体" w:cs="宋体"/>
          <w:color w:val="auto"/>
        </w:rPr>
        <w:t>5.对不同文字文本投标文件的解释发生异议的，以中文文本为准。</w:t>
      </w:r>
    </w:p>
    <w:p w14:paraId="557FE7B1">
      <w:pPr>
        <w:pStyle w:val="28"/>
        <w:adjustRightInd w:val="0"/>
        <w:snapToGrid w:val="0"/>
        <w:spacing w:line="400" w:lineRule="exact"/>
        <w:ind w:firstLine="420" w:firstLineChars="200"/>
        <w:rPr>
          <w:rFonts w:hAnsi="宋体" w:cs="宋体"/>
          <w:color w:val="auto"/>
        </w:rPr>
      </w:pPr>
      <w:r>
        <w:rPr>
          <w:rFonts w:hint="eastAsia" w:hAnsi="宋体" w:cs="宋体"/>
          <w:color w:val="auto"/>
        </w:rPr>
        <w:t>同时出现两种以上不一致的，按照前款规定的顺序修正。</w:t>
      </w:r>
    </w:p>
    <w:p w14:paraId="08780799">
      <w:pPr>
        <w:pStyle w:val="28"/>
        <w:adjustRightInd w:val="0"/>
        <w:snapToGrid w:val="0"/>
        <w:spacing w:line="400" w:lineRule="exact"/>
        <w:ind w:firstLine="420" w:firstLineChars="200"/>
        <w:rPr>
          <w:rFonts w:hAnsi="宋体" w:cs="宋体"/>
          <w:b/>
          <w:bCs/>
          <w:color w:val="auto"/>
        </w:rPr>
      </w:pPr>
      <w:r>
        <w:rPr>
          <w:rFonts w:hint="eastAsia" w:hAnsi="宋体" w:cs="宋体"/>
          <w:b/>
          <w:bCs/>
          <w:color w:val="auto"/>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1B2DA3B3">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（六）评标原则和评标办法</w:t>
      </w:r>
    </w:p>
    <w:p w14:paraId="781D1953">
      <w:pPr>
        <w:pStyle w:val="28"/>
        <w:adjustRightInd w:val="0"/>
        <w:snapToGrid w:val="0"/>
        <w:spacing w:line="400" w:lineRule="exact"/>
        <w:ind w:firstLine="420" w:firstLineChars="200"/>
        <w:rPr>
          <w:rFonts w:hAnsi="宋体" w:cs="宋体"/>
          <w:color w:val="auto"/>
        </w:rPr>
      </w:pPr>
      <w:r>
        <w:rPr>
          <w:rFonts w:hint="eastAsia" w:hAnsi="宋体" w:cs="宋体"/>
          <w:color w:va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A2B44AF">
      <w:pPr>
        <w:pStyle w:val="28"/>
        <w:adjustRightInd w:val="0"/>
        <w:snapToGrid w:val="0"/>
        <w:spacing w:line="400" w:lineRule="exact"/>
        <w:ind w:firstLine="420" w:firstLineChars="200"/>
        <w:rPr>
          <w:rFonts w:hAnsi="宋体" w:cs="宋体"/>
          <w:color w:val="auto"/>
        </w:rPr>
      </w:pPr>
      <w:r>
        <w:rPr>
          <w:rFonts w:hint="eastAsia" w:hAnsi="宋体" w:cs="宋体"/>
          <w:color w:val="auto"/>
        </w:rPr>
        <w:t>2.评标办法。本项目评标办法是</w:t>
      </w:r>
      <w:r>
        <w:rPr>
          <w:rFonts w:hint="eastAsia" w:hAnsi="宋体" w:cs="宋体"/>
          <w:b/>
          <w:color w:val="auto"/>
          <w:u w:val="single"/>
        </w:rPr>
        <w:t>综合评分法</w:t>
      </w:r>
      <w:r>
        <w:rPr>
          <w:rFonts w:hint="eastAsia" w:hAnsi="宋体" w:cs="宋体"/>
          <w:color w:val="auto"/>
        </w:rPr>
        <w:t>，具体评标内容及评分标准等详见第四章：评标办法及评分标准。</w:t>
      </w:r>
    </w:p>
    <w:p w14:paraId="77DC18C9">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（七）评标过程的监控</w:t>
      </w:r>
    </w:p>
    <w:p w14:paraId="45D7C135">
      <w:pPr>
        <w:pStyle w:val="28"/>
        <w:adjustRightInd w:val="0"/>
        <w:snapToGrid w:val="0"/>
        <w:spacing w:line="400" w:lineRule="exact"/>
        <w:ind w:firstLine="420" w:firstLineChars="200"/>
        <w:rPr>
          <w:rFonts w:hAnsi="宋体" w:cs="宋体"/>
          <w:color w:val="auto"/>
        </w:rPr>
      </w:pPr>
      <w:r>
        <w:rPr>
          <w:rFonts w:hint="eastAsia" w:hAnsi="宋体" w:cs="宋体"/>
          <w:color w:val="auto"/>
        </w:rPr>
        <w:t>本项目评标过程实行全程录音、录像监控，投标人在评标过程中所进行的试图影响评标结果的不公正活动，可能导致其投标被拒绝。</w:t>
      </w:r>
    </w:p>
    <w:p w14:paraId="65D52644">
      <w:pPr>
        <w:pStyle w:val="28"/>
        <w:adjustRightInd w:val="0"/>
        <w:snapToGrid w:val="0"/>
        <w:spacing w:line="400" w:lineRule="exact"/>
        <w:rPr>
          <w:rFonts w:hAnsi="宋体" w:cs="宋体"/>
          <w:b/>
          <w:color w:val="auto"/>
        </w:rPr>
      </w:pPr>
      <w:bookmarkStart w:id="67" w:name="_Toc254970687"/>
      <w:bookmarkStart w:id="68" w:name="_Toc254970546"/>
      <w:r>
        <w:rPr>
          <w:rFonts w:hint="eastAsia" w:hAnsi="宋体" w:cs="宋体"/>
          <w:b/>
          <w:color w:val="auto"/>
        </w:rPr>
        <w:t>七、评标结果</w:t>
      </w:r>
      <w:bookmarkEnd w:id="67"/>
      <w:bookmarkEnd w:id="68"/>
    </w:p>
    <w:p w14:paraId="3185CB1F">
      <w:pPr>
        <w:pStyle w:val="28"/>
        <w:adjustRightInd w:val="0"/>
        <w:snapToGrid w:val="0"/>
        <w:spacing w:line="400" w:lineRule="exact"/>
        <w:ind w:firstLine="420"/>
        <w:rPr>
          <w:rFonts w:hAnsi="宋体" w:cs="宋体"/>
          <w:color w:val="auto"/>
        </w:rPr>
      </w:pPr>
      <w:r>
        <w:rPr>
          <w:rFonts w:hint="eastAsia" w:hAnsi="宋体" w:cs="宋体"/>
          <w:b/>
          <w:bCs/>
          <w:color w:val="auto"/>
        </w:rPr>
        <w:t>（一）</w:t>
      </w:r>
      <w:r>
        <w:rPr>
          <w:rFonts w:hint="eastAsia" w:hAnsi="宋体" w:cs="宋体"/>
          <w:color w:val="auto"/>
        </w:rPr>
        <w:t>本中心将在评标结束后2个工作日内将评标报告送达采购人，采购人在5个工作日内按照评标报告中推荐的中标候选供应商顺序确定中标供应商。采购人也可以事先授权评标委员会直接确定中标供应商。</w:t>
      </w:r>
    </w:p>
    <w:p w14:paraId="6A6AFD42">
      <w:pPr>
        <w:pStyle w:val="28"/>
        <w:adjustRightInd w:val="0"/>
        <w:snapToGrid w:val="0"/>
        <w:spacing w:line="400" w:lineRule="exact"/>
        <w:ind w:firstLine="420"/>
        <w:rPr>
          <w:rFonts w:hAnsi="宋体" w:cs="宋体"/>
          <w:color w:val="auto"/>
        </w:rPr>
      </w:pPr>
      <w:r>
        <w:rPr>
          <w:rFonts w:hint="eastAsia" w:hAnsi="宋体" w:cs="宋体"/>
          <w:color w:val="auto"/>
        </w:rPr>
        <w:t>（二）中标供应商确定后，本中心在中国政府采购网、广西政府采购网、</w:t>
      </w:r>
      <w:r>
        <w:rPr>
          <w:rFonts w:hint="eastAsia" w:hAnsi="宋体" w:cs="宋体"/>
          <w:color w:val="auto"/>
          <w:kern w:val="0"/>
        </w:rPr>
        <w:t>全国公共资源交易平台（广西.崇左）</w:t>
      </w:r>
      <w:r>
        <w:rPr>
          <w:rFonts w:hint="eastAsia" w:hAnsi="宋体" w:cs="宋体"/>
          <w:color w:val="auto"/>
        </w:rPr>
        <w:t>网站发布中标公告。</w:t>
      </w:r>
    </w:p>
    <w:p w14:paraId="3B81B348">
      <w:pPr>
        <w:pStyle w:val="28"/>
        <w:adjustRightInd w:val="0"/>
        <w:snapToGrid w:val="0"/>
        <w:spacing w:line="400" w:lineRule="exact"/>
        <w:ind w:firstLine="420"/>
        <w:rPr>
          <w:rFonts w:hAnsi="宋体" w:cs="宋体"/>
          <w:color w:val="auto"/>
        </w:rPr>
      </w:pPr>
      <w:r>
        <w:rPr>
          <w:rFonts w:hint="eastAsia" w:hAnsi="宋体" w:cs="宋体"/>
          <w:color w:val="auto"/>
        </w:rPr>
        <w:t>（三）在发布中标公告的同时，本中心向中标供应商发出中标通知书。</w:t>
      </w:r>
    </w:p>
    <w:p w14:paraId="068FA8AD">
      <w:pPr>
        <w:pStyle w:val="28"/>
        <w:adjustRightInd w:val="0"/>
        <w:snapToGrid w:val="0"/>
        <w:spacing w:line="400" w:lineRule="exact"/>
        <w:ind w:firstLine="420" w:firstLineChars="200"/>
        <w:rPr>
          <w:rFonts w:hAnsi="宋体" w:cs="宋体"/>
          <w:bCs/>
          <w:color w:val="auto"/>
        </w:rPr>
      </w:pPr>
      <w:r>
        <w:rPr>
          <w:rFonts w:hint="eastAsia" w:hAnsi="宋体" w:cs="宋体"/>
          <w:color w:val="auto"/>
        </w:rPr>
        <w:t>（四）</w:t>
      </w:r>
      <w:r>
        <w:rPr>
          <w:rFonts w:hint="eastAsia" w:hAnsi="宋体" w:cs="宋体"/>
          <w:bCs/>
          <w:color w:val="auto"/>
        </w:rPr>
        <w:t>投标人认为招标文件、招标过程和中标结果使自己的权益受到损害的，可以在知道或者应知其权益受到损害之日起七个工作日内，以书面形式向采购人、本中心提出质疑，并及时索要书面回执。</w:t>
      </w:r>
    </w:p>
    <w:p w14:paraId="4DFDB3CA">
      <w:pPr>
        <w:pStyle w:val="28"/>
        <w:adjustRightInd w:val="0"/>
        <w:snapToGrid w:val="0"/>
        <w:spacing w:line="400" w:lineRule="exact"/>
        <w:ind w:firstLine="420"/>
        <w:rPr>
          <w:rFonts w:hAnsi="宋体" w:cs="宋体"/>
          <w:color w:val="auto"/>
        </w:rPr>
      </w:pPr>
      <w:r>
        <w:rPr>
          <w:rFonts w:hint="eastAsia" w:hAnsi="宋体" w:cs="宋体"/>
          <w:color w:val="auto"/>
        </w:rPr>
        <w:t>（五）</w:t>
      </w:r>
      <w:r>
        <w:rPr>
          <w:rFonts w:hint="eastAsia" w:hAnsi="宋体" w:cs="宋体"/>
          <w:bCs/>
          <w:color w:val="auto"/>
        </w:rPr>
        <w:t>采购人或者本中心应当按照有关规定就采购人委托授权范围内的事项在收到投标人的书面质疑后七个工作日内作出答复，但答复的内容不得涉及商业秘密。</w:t>
      </w:r>
    </w:p>
    <w:p w14:paraId="203894C4">
      <w:pPr>
        <w:pStyle w:val="28"/>
        <w:adjustRightInd w:val="0"/>
        <w:snapToGrid w:val="0"/>
        <w:spacing w:line="400" w:lineRule="exact"/>
        <w:rPr>
          <w:rFonts w:hAnsi="宋体" w:cs="宋体"/>
          <w:b/>
          <w:color w:val="auto"/>
        </w:rPr>
      </w:pPr>
      <w:r>
        <w:rPr>
          <w:rFonts w:hint="eastAsia" w:hAnsi="宋体" w:cs="宋体"/>
          <w:b/>
          <w:color w:val="auto"/>
        </w:rPr>
        <w:t>八、签订合同</w:t>
      </w:r>
    </w:p>
    <w:p w14:paraId="1FED2EDB">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（一）合同授予标准</w:t>
      </w:r>
    </w:p>
    <w:p w14:paraId="207A7949">
      <w:pPr>
        <w:pStyle w:val="28"/>
        <w:adjustRightInd w:val="0"/>
        <w:snapToGrid w:val="0"/>
        <w:spacing w:line="400" w:lineRule="exact"/>
        <w:ind w:firstLine="420"/>
        <w:rPr>
          <w:rFonts w:hAnsi="宋体" w:cs="宋体"/>
          <w:color w:val="auto"/>
        </w:rPr>
      </w:pPr>
      <w:r>
        <w:rPr>
          <w:rFonts w:hint="eastAsia" w:hAnsi="宋体" w:cs="宋体"/>
          <w:color w:val="auto"/>
        </w:rPr>
        <w:t>合同将授予被确定实质上响应招标文件要求，具备履行合同能力，综合评分排名第一的投标人。</w:t>
      </w:r>
    </w:p>
    <w:p w14:paraId="18EED556">
      <w:pPr>
        <w:adjustRightInd w:val="0"/>
        <w:snapToGrid w:val="0"/>
        <w:spacing w:line="400" w:lineRule="exact"/>
        <w:ind w:firstLine="420" w:firstLineChars="200"/>
        <w:rPr>
          <w:rFonts w:ascii="宋体" w:hAnsi="宋体" w:cs="宋体"/>
          <w:b/>
          <w:color w:val="auto"/>
          <w:szCs w:val="21"/>
        </w:rPr>
      </w:pPr>
      <w:r>
        <w:rPr>
          <w:rFonts w:hint="eastAsia" w:ascii="宋体" w:hAnsi="宋体" w:cs="宋体"/>
          <w:b/>
          <w:color w:val="auto"/>
          <w:szCs w:val="21"/>
        </w:rPr>
        <w:t>（二）签订合同</w:t>
      </w:r>
    </w:p>
    <w:p w14:paraId="17F01519">
      <w:pPr>
        <w:pStyle w:val="28"/>
        <w:adjustRightInd w:val="0"/>
        <w:snapToGrid w:val="0"/>
        <w:spacing w:line="400" w:lineRule="exact"/>
        <w:ind w:firstLine="420"/>
        <w:rPr>
          <w:rFonts w:hAnsi="宋体" w:cs="宋体"/>
          <w:color w:val="auto"/>
        </w:rPr>
      </w:pPr>
      <w:r>
        <w:rPr>
          <w:rFonts w:hint="eastAsia" w:hAnsi="宋体" w:cs="宋体"/>
          <w:color w:val="auto"/>
        </w:rPr>
        <w:t>（1）投标人接到中标通知书后，应按中标通知书规定的时间、地点与采购人签订合同。中标人无正当理由不得放弃中标。</w:t>
      </w:r>
    </w:p>
    <w:p w14:paraId="015F1442">
      <w:pPr>
        <w:pStyle w:val="28"/>
        <w:adjustRightInd w:val="0"/>
        <w:snapToGrid w:val="0"/>
        <w:spacing w:line="400" w:lineRule="exact"/>
        <w:ind w:firstLine="420"/>
        <w:rPr>
          <w:rFonts w:hAnsi="宋体" w:cs="宋体"/>
          <w:color w:val="auto"/>
        </w:rPr>
      </w:pPr>
      <w:r>
        <w:rPr>
          <w:rFonts w:hint="eastAsia" w:hAnsi="宋体" w:cs="宋体"/>
          <w:color w:val="auto"/>
        </w:rPr>
        <w:t>（2）如中标供应商不按中标通知书的规定签订合同，则按中标供应商违约处理。</w:t>
      </w:r>
    </w:p>
    <w:p w14:paraId="2E4ECCE9">
      <w:pPr>
        <w:pStyle w:val="28"/>
        <w:adjustRightInd w:val="0"/>
        <w:snapToGrid w:val="0"/>
        <w:spacing w:line="400" w:lineRule="exact"/>
        <w:ind w:firstLine="420" w:firstLineChars="200"/>
        <w:rPr>
          <w:rFonts w:hAnsi="宋体" w:cs="宋体"/>
          <w:b/>
          <w:color w:val="auto"/>
        </w:rPr>
      </w:pPr>
      <w:r>
        <w:rPr>
          <w:rFonts w:hint="eastAsia" w:hAnsi="宋体" w:cs="宋体"/>
          <w:color w:val="auto"/>
        </w:rPr>
        <w:t>（3）中标供应商</w:t>
      </w:r>
      <w:r>
        <w:rPr>
          <w:rFonts w:hint="eastAsia" w:hAnsi="宋体" w:cs="宋体"/>
          <w:b/>
          <w:color w:val="auto"/>
        </w:rPr>
        <w:t>拒绝与采购人签订合同或</w:t>
      </w:r>
      <w:r>
        <w:rPr>
          <w:rFonts w:hint="eastAsia" w:hAnsi="宋体" w:cs="宋体"/>
          <w:color w:val="auto"/>
        </w:rPr>
        <w:t>因不可抗力或者自身原因不能履行采购合同的，采购人可以与中标供应商之后排名第一的中标候选供应商签订采购合同，以此类推。中标供应商放弃中标项目，拒绝与采购人签订合同，给采购人造成损失的，还应当赔偿损失，并作为不良行为记录在案。</w:t>
      </w:r>
    </w:p>
    <w:p w14:paraId="1E8152AC">
      <w:pPr>
        <w:pStyle w:val="28"/>
        <w:adjustRightInd w:val="0"/>
        <w:snapToGrid w:val="0"/>
        <w:spacing w:line="400" w:lineRule="exact"/>
        <w:rPr>
          <w:rFonts w:hAnsi="宋体" w:cs="宋体"/>
          <w:b/>
          <w:color w:val="auto"/>
        </w:rPr>
      </w:pPr>
      <w:r>
        <w:rPr>
          <w:rFonts w:hint="eastAsia" w:hAnsi="宋体" w:cs="宋体"/>
          <w:b/>
          <w:color w:val="auto"/>
        </w:rPr>
        <w:t>九、其他事项</w:t>
      </w:r>
    </w:p>
    <w:p w14:paraId="5900AB5D">
      <w:pPr>
        <w:pStyle w:val="28"/>
        <w:adjustRightInd w:val="0"/>
        <w:snapToGrid w:val="0"/>
        <w:spacing w:line="400" w:lineRule="exact"/>
        <w:ind w:left="688" w:leftChars="228" w:hanging="210" w:hangingChars="100"/>
        <w:rPr>
          <w:rFonts w:hAnsi="宋体" w:cs="宋体"/>
          <w:color w:val="auto"/>
        </w:rPr>
      </w:pPr>
      <w:r>
        <w:rPr>
          <w:rFonts w:hint="eastAsia" w:hAnsi="宋体" w:cs="宋体"/>
          <w:color w:val="auto"/>
        </w:rPr>
        <w:t>（一）解释权：本招标文件解释权属于本中心。</w:t>
      </w:r>
    </w:p>
    <w:p w14:paraId="7BF58F82">
      <w:pPr>
        <w:pStyle w:val="28"/>
        <w:adjustRightInd w:val="0"/>
        <w:snapToGrid w:val="0"/>
        <w:spacing w:line="400" w:lineRule="exact"/>
        <w:ind w:left="688" w:leftChars="228" w:hanging="210" w:hangingChars="100"/>
        <w:rPr>
          <w:rFonts w:hAnsi="宋体" w:cs="宋体"/>
          <w:color w:val="auto"/>
        </w:rPr>
      </w:pPr>
      <w:r>
        <w:rPr>
          <w:rFonts w:hint="eastAsia" w:hAnsi="宋体" w:cs="宋体"/>
          <w:color w:val="auto"/>
        </w:rPr>
        <w:t>（二）有关事宜</w:t>
      </w:r>
    </w:p>
    <w:p w14:paraId="7C153498">
      <w:pPr>
        <w:pStyle w:val="28"/>
        <w:adjustRightInd w:val="0"/>
        <w:snapToGrid w:val="0"/>
        <w:spacing w:line="400" w:lineRule="exact"/>
        <w:ind w:firstLine="728" w:firstLineChars="347"/>
        <w:rPr>
          <w:rFonts w:hAnsi="宋体" w:cs="宋体"/>
          <w:color w:val="auto"/>
        </w:rPr>
      </w:pPr>
      <w:r>
        <w:rPr>
          <w:rFonts w:hint="eastAsia" w:hAnsi="宋体" w:cs="宋体"/>
          <w:color w:val="auto"/>
        </w:rPr>
        <w:t>所有与本招标文件有关的函件请按下列通讯地址联系：</w:t>
      </w:r>
    </w:p>
    <w:p w14:paraId="69289A4E">
      <w:pPr>
        <w:pStyle w:val="28"/>
        <w:adjustRightInd w:val="0"/>
        <w:snapToGrid w:val="0"/>
        <w:spacing w:line="400" w:lineRule="exact"/>
        <w:ind w:firstLine="840"/>
        <w:rPr>
          <w:rFonts w:hAnsi="宋体" w:cs="宋体"/>
          <w:color w:val="auto"/>
        </w:rPr>
      </w:pPr>
      <w:r>
        <w:rPr>
          <w:rFonts w:hint="eastAsia" w:hAnsi="宋体" w:cs="宋体"/>
          <w:color w:val="auto"/>
        </w:rPr>
        <w:t>崇左市政府集中采购中心</w:t>
      </w:r>
    </w:p>
    <w:p w14:paraId="1528BC9D">
      <w:pPr>
        <w:pStyle w:val="28"/>
        <w:adjustRightInd w:val="0"/>
        <w:snapToGrid w:val="0"/>
        <w:spacing w:line="400" w:lineRule="exact"/>
        <w:ind w:firstLine="728" w:firstLineChars="347"/>
        <w:rPr>
          <w:rFonts w:hAnsi="宋体" w:cs="宋体"/>
          <w:color w:val="auto"/>
        </w:rPr>
      </w:pPr>
      <w:r>
        <w:rPr>
          <w:rFonts w:hint="eastAsia" w:hAnsi="宋体" w:cs="宋体"/>
          <w:color w:val="auto"/>
        </w:rPr>
        <w:t>邮政编码：532200</w:t>
      </w:r>
    </w:p>
    <w:p w14:paraId="2652A65A">
      <w:pPr>
        <w:pStyle w:val="28"/>
        <w:adjustRightInd w:val="0"/>
        <w:snapToGrid w:val="0"/>
        <w:spacing w:line="400" w:lineRule="exact"/>
        <w:ind w:firstLine="728" w:firstLineChars="347"/>
        <w:rPr>
          <w:rFonts w:hAnsi="宋体" w:cs="宋体"/>
          <w:color w:val="auto"/>
        </w:rPr>
      </w:pPr>
      <w:r>
        <w:rPr>
          <w:rFonts w:hint="eastAsia" w:hAnsi="宋体" w:cs="宋体"/>
          <w:color w:val="auto"/>
        </w:rPr>
        <w:t>通讯地址：崇左市江州区石景林东路5号（崇左市政务服务中心综合楼）</w:t>
      </w:r>
    </w:p>
    <w:p w14:paraId="5E68FD29">
      <w:pPr>
        <w:pStyle w:val="28"/>
        <w:adjustRightInd w:val="0"/>
        <w:snapToGrid w:val="0"/>
        <w:spacing w:line="400" w:lineRule="exact"/>
        <w:ind w:firstLine="728" w:firstLineChars="347"/>
        <w:rPr>
          <w:rFonts w:hAnsi="宋体" w:cs="宋体"/>
          <w:color w:val="auto"/>
        </w:rPr>
      </w:pPr>
      <w:r>
        <w:rPr>
          <w:rFonts w:hint="eastAsia" w:hAnsi="宋体" w:cs="宋体"/>
          <w:color w:val="auto"/>
        </w:rPr>
        <w:t>电话：</w:t>
      </w:r>
      <w:bookmarkEnd w:id="29"/>
      <w:bookmarkEnd w:id="30"/>
      <w:bookmarkStart w:id="69" w:name="_Toc254970690"/>
      <w:bookmarkStart w:id="70" w:name="_Toc254970549"/>
      <w:r>
        <w:rPr>
          <w:rFonts w:hint="eastAsia" w:hAnsi="宋体" w:cs="宋体"/>
          <w:color w:val="auto"/>
        </w:rPr>
        <w:t>0771-7920270</w:t>
      </w:r>
    </w:p>
    <w:bookmarkEnd w:id="69"/>
    <w:bookmarkEnd w:id="70"/>
    <w:p w14:paraId="13A1F37D">
      <w:pPr>
        <w:pStyle w:val="28"/>
        <w:pageBreakBefore/>
        <w:spacing w:line="480" w:lineRule="exact"/>
        <w:jc w:val="center"/>
        <w:rPr>
          <w:rFonts w:hAnsi="宋体" w:cs="宋体"/>
          <w:b/>
          <w:color w:val="auto"/>
          <w:sz w:val="32"/>
          <w:szCs w:val="32"/>
        </w:rPr>
      </w:pPr>
      <w:r>
        <w:rPr>
          <w:rFonts w:hint="eastAsia" w:hAnsi="宋体" w:cs="宋体"/>
          <w:b/>
          <w:color w:val="auto"/>
          <w:sz w:val="32"/>
          <w:szCs w:val="32"/>
        </w:rPr>
        <w:t>评标方法及评定标准</w:t>
      </w:r>
    </w:p>
    <w:p w14:paraId="23C16877">
      <w:pPr>
        <w:pStyle w:val="552"/>
        <w:adjustRightInd w:val="0"/>
        <w:snapToGrid w:val="0"/>
        <w:spacing w:line="400" w:lineRule="exact"/>
        <w:ind w:firstLine="42"/>
        <w:jc w:val="center"/>
        <w:rPr>
          <w:b/>
          <w:bCs/>
          <w:color w:val="auto"/>
        </w:rPr>
      </w:pPr>
    </w:p>
    <w:p w14:paraId="543EF142">
      <w:pPr>
        <w:pStyle w:val="552"/>
        <w:adjustRightInd w:val="0"/>
        <w:snapToGrid w:val="0"/>
        <w:spacing w:line="400" w:lineRule="exact"/>
        <w:ind w:firstLine="42"/>
        <w:rPr>
          <w:b/>
          <w:bCs/>
          <w:color w:val="auto"/>
        </w:rPr>
      </w:pPr>
      <w:r>
        <w:rPr>
          <w:rFonts w:hint="eastAsia"/>
          <w:b/>
          <w:bCs/>
          <w:color w:val="auto"/>
        </w:rPr>
        <w:t>一、评标原则</w:t>
      </w:r>
    </w:p>
    <w:p w14:paraId="21C6C54A">
      <w:pPr>
        <w:pStyle w:val="552"/>
        <w:adjustRightInd w:val="0"/>
        <w:snapToGrid w:val="0"/>
        <w:spacing w:line="400" w:lineRule="exact"/>
        <w:ind w:firstLine="378" w:firstLineChars="180"/>
        <w:rPr>
          <w:color w:val="auto"/>
        </w:rPr>
      </w:pPr>
      <w:r>
        <w:rPr>
          <w:rFonts w:hint="eastAsia"/>
          <w:color w:val="auto"/>
        </w:rPr>
        <w:t>（一）评委构成：本招标采购项目的评标委员会由采购人代表和有关技术、经济等方面的专家组成，成员人数应当为5人（含5人）以上单数。其中，技术、经济等方面的专家不得少于成员总数的三分之二。</w:t>
      </w:r>
    </w:p>
    <w:p w14:paraId="26D7F754">
      <w:pPr>
        <w:pStyle w:val="552"/>
        <w:adjustRightInd w:val="0"/>
        <w:snapToGrid w:val="0"/>
        <w:spacing w:line="400" w:lineRule="exact"/>
        <w:ind w:firstLine="378" w:firstLineChars="180"/>
        <w:rPr>
          <w:bCs/>
          <w:color w:val="auto"/>
        </w:rPr>
      </w:pPr>
      <w:r>
        <w:rPr>
          <w:rFonts w:hint="eastAsia"/>
          <w:bCs/>
          <w:color w:val="auto"/>
        </w:rPr>
        <w:t>（二）</w:t>
      </w:r>
      <w:r>
        <w:rPr>
          <w:rFonts w:hint="eastAsia"/>
          <w:color w:val="auto"/>
        </w:rPr>
        <w:t>评标依据：</w:t>
      </w:r>
      <w:r>
        <w:rPr>
          <w:rFonts w:hint="eastAsia"/>
          <w:bCs/>
          <w:color w:val="auto"/>
        </w:rPr>
        <w:t>评委将以招投标文件为评标依据，对投标人的内容按百分制打分。</w:t>
      </w:r>
    </w:p>
    <w:p w14:paraId="467D8460">
      <w:pPr>
        <w:pStyle w:val="28"/>
        <w:adjustRightInd w:val="0"/>
        <w:snapToGrid w:val="0"/>
        <w:spacing w:line="400" w:lineRule="exact"/>
        <w:ind w:firstLine="289" w:firstLineChars="138"/>
        <w:rPr>
          <w:rFonts w:hAnsi="宋体" w:cs="宋体"/>
          <w:bCs/>
          <w:color w:val="auto"/>
        </w:rPr>
      </w:pPr>
      <w:r>
        <w:rPr>
          <w:rFonts w:hint="eastAsia" w:hAnsi="宋体" w:cs="宋体"/>
          <w:bCs/>
          <w:color w:val="auto"/>
        </w:rPr>
        <w:t>（三）评标方式：以封闭方式进行。</w:t>
      </w:r>
    </w:p>
    <w:p w14:paraId="282B49C5">
      <w:pPr>
        <w:pStyle w:val="28"/>
        <w:adjustRightInd w:val="0"/>
        <w:snapToGrid w:val="0"/>
        <w:spacing w:line="400" w:lineRule="exact"/>
        <w:ind w:firstLine="42" w:firstLineChars="20"/>
        <w:rPr>
          <w:rFonts w:hAnsi="宋体" w:cs="宋体"/>
          <w:b/>
          <w:color w:val="auto"/>
        </w:rPr>
      </w:pPr>
      <w:r>
        <w:rPr>
          <w:rFonts w:hint="eastAsia" w:hAnsi="宋体" w:cs="宋体"/>
          <w:b/>
          <w:color w:val="auto"/>
        </w:rPr>
        <w:t>二、评标方法</w:t>
      </w:r>
    </w:p>
    <w:p w14:paraId="65EB0C49">
      <w:pPr>
        <w:pStyle w:val="552"/>
        <w:adjustRightInd w:val="0"/>
        <w:snapToGrid w:val="0"/>
        <w:spacing w:line="400" w:lineRule="exact"/>
        <w:ind w:firstLine="378" w:firstLineChars="180"/>
        <w:rPr>
          <w:color w:val="auto"/>
        </w:rPr>
      </w:pPr>
      <w:r>
        <w:rPr>
          <w:rFonts w:hint="eastAsia"/>
          <w:color w:val="auto"/>
        </w:rPr>
        <w:t>（一）对进入详评的，采用百分制综合评分法。</w:t>
      </w:r>
    </w:p>
    <w:p w14:paraId="08A72B3C">
      <w:pPr>
        <w:pStyle w:val="552"/>
        <w:adjustRightInd w:val="0"/>
        <w:snapToGrid w:val="0"/>
        <w:spacing w:line="400" w:lineRule="exact"/>
        <w:ind w:firstLine="378" w:firstLineChars="180"/>
        <w:rPr>
          <w:color w:val="auto"/>
        </w:rPr>
      </w:pPr>
      <w:r>
        <w:rPr>
          <w:rFonts w:hint="eastAsia"/>
          <w:color w:val="auto"/>
        </w:rPr>
        <w:t>（二）计分办法（按四舍五入取至百分位）：</w:t>
      </w:r>
    </w:p>
    <w:p w14:paraId="55BB5717">
      <w:pPr>
        <w:pStyle w:val="28"/>
        <w:adjustRightInd w:val="0"/>
        <w:snapToGrid w:val="0"/>
        <w:spacing w:line="400" w:lineRule="exact"/>
        <w:ind w:firstLine="420" w:firstLineChars="200"/>
        <w:rPr>
          <w:rFonts w:hAnsi="宋体" w:cs="宋体"/>
          <w:b/>
          <w:bCs/>
          <w:color w:val="auto"/>
        </w:rPr>
      </w:pPr>
      <w:bookmarkStart w:id="71" w:name="OLE_LINK1"/>
      <w:r>
        <w:rPr>
          <w:rFonts w:hint="eastAsia" w:hAnsi="宋体" w:cs="宋体"/>
          <w:b/>
          <w:bCs/>
          <w:color w:val="auto"/>
        </w:rPr>
        <w:t>1.报价分………………………………………………………………………………30分</w:t>
      </w:r>
    </w:p>
    <w:p w14:paraId="477C817B">
      <w:pPr>
        <w:pStyle w:val="28"/>
        <w:adjustRightInd w:val="0"/>
        <w:snapToGrid w:val="0"/>
        <w:spacing w:line="400" w:lineRule="exact"/>
        <w:ind w:firstLine="420" w:firstLineChars="200"/>
        <w:rPr>
          <w:rFonts w:hAnsi="宋体" w:cs="宋体"/>
          <w:color w:val="auto"/>
        </w:rPr>
      </w:pPr>
      <w:r>
        <w:rPr>
          <w:rFonts w:hint="eastAsia" w:hAnsi="宋体" w:cs="宋体"/>
          <w:color w:val="auto"/>
        </w:rPr>
        <w:t>（1）本项目为专门面向中小企业采购的项目（供应商应为中小微企业、监狱企业、残疾人福利性单位），不再执行价格评审优惠扶持政策。</w:t>
      </w:r>
    </w:p>
    <w:p w14:paraId="224FDA05">
      <w:pPr>
        <w:pStyle w:val="28"/>
        <w:adjustRightInd w:val="0"/>
        <w:snapToGrid w:val="0"/>
        <w:spacing w:line="400" w:lineRule="exact"/>
        <w:ind w:firstLine="420" w:firstLineChars="200"/>
        <w:rPr>
          <w:rFonts w:hAnsi="宋体" w:cs="宋体"/>
          <w:color w:val="auto"/>
        </w:rPr>
      </w:pPr>
      <w:r>
        <w:rPr>
          <w:rFonts w:hint="eastAsia" w:hAnsi="宋体" w:cs="宋体"/>
          <w:color w:val="auto"/>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A2DC8A0">
      <w:pPr>
        <w:pStyle w:val="28"/>
        <w:adjustRightInd w:val="0"/>
        <w:snapToGrid w:val="0"/>
        <w:spacing w:line="400" w:lineRule="exact"/>
        <w:ind w:firstLine="420" w:firstLineChars="200"/>
        <w:rPr>
          <w:rFonts w:hAnsi="宋体" w:cs="宋体"/>
          <w:color w:val="auto"/>
        </w:rPr>
      </w:pPr>
      <w:r>
        <w:rPr>
          <w:rFonts w:hint="eastAsia" w:hAnsi="宋体" w:cs="宋体"/>
          <w:b/>
          <w:bCs/>
          <w:color w:val="auto"/>
        </w:rPr>
        <w:t>产品或服务</w:t>
      </w:r>
      <w:r>
        <w:rPr>
          <w:rFonts w:hint="eastAsia" w:hAnsi="宋体" w:cs="宋体"/>
          <w:color w:va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17B732B">
      <w:pPr>
        <w:spacing w:line="360" w:lineRule="auto"/>
        <w:ind w:firstLine="420" w:firstLineChars="200"/>
        <w:jc w:val="left"/>
        <w:rPr>
          <w:color w:val="auto"/>
        </w:rPr>
      </w:pPr>
      <w:r>
        <w:rPr>
          <w:rFonts w:hint="eastAsia" w:ascii="宋体" w:hAnsi="宋体" w:cs="宋体"/>
          <w:color w:val="auto"/>
          <w:szCs w:val="21"/>
        </w:rPr>
        <w:t>（2）报价合理性评审：</w:t>
      </w:r>
      <w:r>
        <w:rPr>
          <w:rFonts w:hint="eastAsia"/>
          <w:color w:val="auto"/>
          <w:szCs w:val="21"/>
        </w:rPr>
        <w:t>评标委员会</w:t>
      </w:r>
      <w:r>
        <w:rPr>
          <w:rFonts w:hint="eastAsia" w:ascii="宋体" w:hAnsi="宋体" w:cs="宋体"/>
          <w:color w:val="auto"/>
          <w:szCs w:val="21"/>
        </w:rPr>
        <w:t>认为供应商的报价明显低于其他供应商的报价（判定标准详见：三、中标候选人推荐原则），应当启动异常低价投标（响应）审查程序；异常低价投标（响应）审查的启动原因、审查意见和审查结果应当在评审报告中记录。</w:t>
      </w:r>
    </w:p>
    <w:p w14:paraId="200BEB23">
      <w:pPr>
        <w:pStyle w:val="28"/>
        <w:adjustRightInd w:val="0"/>
        <w:snapToGrid w:val="0"/>
        <w:spacing w:line="400" w:lineRule="exact"/>
        <w:ind w:firstLine="420" w:firstLineChars="200"/>
        <w:rPr>
          <w:rFonts w:hAnsi="宋体" w:cs="宋体"/>
          <w:color w:val="auto"/>
        </w:rPr>
      </w:pPr>
      <w:r>
        <w:rPr>
          <w:rFonts w:hint="eastAsia" w:hAnsi="宋体" w:cs="宋体"/>
          <w:color w:val="auto"/>
        </w:rPr>
        <w:t>（3）以满足采购文件要求的最低评标价为30分。</w:t>
      </w:r>
    </w:p>
    <w:p w14:paraId="0F49C9A2">
      <w:pPr>
        <w:pStyle w:val="28"/>
        <w:adjustRightInd w:val="0"/>
        <w:snapToGrid w:val="0"/>
        <w:spacing w:line="400" w:lineRule="exact"/>
        <w:ind w:firstLine="420" w:firstLineChars="200"/>
        <w:rPr>
          <w:rFonts w:hAnsi="宋体" w:cs="宋体"/>
          <w:b/>
          <w:bCs/>
          <w:color w:val="auto"/>
        </w:rPr>
      </w:pPr>
      <w:r>
        <w:rPr>
          <w:rFonts w:hint="eastAsia" w:hAnsi="宋体" w:cs="宋体"/>
          <w:color w:val="auto"/>
        </w:rPr>
        <w:t>（4）某投标人报价分=投标人最低评标价（金额）/某投标人评标价（金额）×30分</w:t>
      </w:r>
    </w:p>
    <w:bookmarkEnd w:id="71"/>
    <w:p w14:paraId="56EE1AF3">
      <w:pPr>
        <w:spacing w:line="400" w:lineRule="exact"/>
        <w:ind w:firstLine="210" w:firstLineChars="100"/>
        <w:rPr>
          <w:rFonts w:ascii="宋体" w:hAnsi="宋体" w:cs="宋体"/>
          <w:b/>
          <w:color w:val="auto"/>
          <w:szCs w:val="21"/>
        </w:rPr>
      </w:pPr>
      <w:bookmarkStart w:id="72" w:name="_Toc895271135"/>
      <w:r>
        <w:rPr>
          <w:rFonts w:hint="eastAsia" w:ascii="宋体" w:hAnsi="宋体" w:cs="宋体"/>
          <w:b/>
          <w:color w:val="auto"/>
          <w:szCs w:val="21"/>
        </w:rPr>
        <w:t>2.技术分……………………………………………………………………………………66分</w:t>
      </w:r>
    </w:p>
    <w:p w14:paraId="36C14284">
      <w:pPr>
        <w:spacing w:line="380" w:lineRule="exact"/>
        <w:ind w:firstLine="422"/>
        <w:rPr>
          <w:rFonts w:ascii="宋体" w:hAnsi="宋体" w:cs="宋体"/>
          <w:b/>
          <w:color w:val="auto"/>
          <w:szCs w:val="21"/>
        </w:rPr>
      </w:pPr>
      <w:r>
        <w:rPr>
          <w:rFonts w:hint="eastAsia" w:ascii="宋体" w:hAnsi="宋体" w:cs="宋体"/>
          <w:b/>
          <w:color w:val="auto"/>
          <w:szCs w:val="21"/>
        </w:rPr>
        <w:t>（1）总体服务方案分（满分12分）</w:t>
      </w:r>
    </w:p>
    <w:p w14:paraId="339ADC8F">
      <w:pPr>
        <w:spacing w:line="460" w:lineRule="exact"/>
        <w:ind w:firstLine="420"/>
        <w:rPr>
          <w:rFonts w:ascii="宋体" w:hAnsi="宋体" w:cs="宋体"/>
          <w:color w:val="auto"/>
          <w:szCs w:val="21"/>
        </w:rPr>
      </w:pPr>
      <w:r>
        <w:rPr>
          <w:rFonts w:hint="eastAsia" w:ascii="宋体" w:hAnsi="宋体" w:cs="宋体"/>
          <w:color w:val="auto"/>
          <w:szCs w:val="21"/>
        </w:rPr>
        <w:t>依据供应商所提供的《服务实施方案》在合理性、可行性、科学性以及与方案的对应性等方面的表现进行评分。</w:t>
      </w:r>
    </w:p>
    <w:p w14:paraId="7C8A1198">
      <w:pPr>
        <w:spacing w:line="460" w:lineRule="exact"/>
        <w:ind w:firstLine="420"/>
        <w:rPr>
          <w:rFonts w:ascii="宋体" w:hAnsi="宋体" w:cs="宋体"/>
          <w:color w:val="auto"/>
          <w:szCs w:val="21"/>
        </w:rPr>
      </w:pPr>
      <w:r>
        <w:rPr>
          <w:rFonts w:hint="eastAsia" w:ascii="宋体" w:hAnsi="宋体" w:cs="宋体"/>
          <w:color w:val="auto"/>
          <w:szCs w:val="21"/>
        </w:rPr>
        <w:t>一档（4分）：方案基本按照本项目采购需求进行编写，包含总体设想、管理目标等基础内容，但描述过于简略、概括。仅能体现基础服务思路，缺乏具体措施和工作计划支撑，勉强满足项目最基本的采购需求。</w:t>
      </w:r>
    </w:p>
    <w:p w14:paraId="2E27F286">
      <w:pPr>
        <w:spacing w:line="460" w:lineRule="exact"/>
        <w:ind w:firstLine="420"/>
        <w:rPr>
          <w:rFonts w:ascii="宋体" w:hAnsi="宋体" w:cs="宋体"/>
          <w:color w:val="auto"/>
          <w:szCs w:val="21"/>
        </w:rPr>
      </w:pPr>
      <w:r>
        <w:rPr>
          <w:rFonts w:hint="eastAsia" w:ascii="宋体" w:hAnsi="宋体" w:cs="宋体"/>
          <w:color w:val="auto"/>
          <w:szCs w:val="21"/>
        </w:rPr>
        <w:t>二档（8分）：方案能够按照本项目采购需求进行编写，总体设想与项目定位基本相符，管理目标（包括质量目标、安全目标、满意度目标）有明确表述。运作程序和管理措施有基本描述，整体方案无明显遗漏，能够满足项目的基础采购需求，具备初步的可操作性。</w:t>
      </w:r>
    </w:p>
    <w:p w14:paraId="53250CCC">
      <w:pPr>
        <w:spacing w:line="460" w:lineRule="exact"/>
        <w:ind w:firstLine="420"/>
        <w:rPr>
          <w:rFonts w:ascii="宋体" w:hAnsi="宋体" w:cs="宋体"/>
          <w:color w:val="auto"/>
          <w:szCs w:val="21"/>
        </w:rPr>
      </w:pPr>
      <w:r>
        <w:rPr>
          <w:rFonts w:hint="eastAsia" w:ascii="宋体" w:hAnsi="宋体" w:cs="宋体"/>
          <w:color w:val="auto"/>
          <w:szCs w:val="21"/>
        </w:rPr>
        <w:t>三档（10分）：方案紧密围绕本项目采购需求编写，总体设想与项目定位高度契合，管理目标明确且可量化。运作程序清晰，管理措施具体，包含详细的工作计划和时间安排。方案能够结合医院物业管理的实际特性（如人流量大、感控要求等），阐述清楚，具备较强的可操作性，能够完全满足本项目的采购需求。</w:t>
      </w:r>
    </w:p>
    <w:p w14:paraId="2EC38453">
      <w:pPr>
        <w:spacing w:line="460" w:lineRule="exact"/>
        <w:ind w:firstLine="420"/>
        <w:rPr>
          <w:rFonts w:ascii="宋体" w:hAnsi="宋体" w:cs="宋体"/>
          <w:color w:val="auto"/>
          <w:szCs w:val="21"/>
        </w:rPr>
      </w:pPr>
      <w:r>
        <w:rPr>
          <w:rFonts w:hint="eastAsia" w:ascii="宋体" w:hAnsi="宋体" w:cs="宋体"/>
          <w:color w:val="auto"/>
          <w:szCs w:val="21"/>
        </w:rPr>
        <w:t>四档（12分）：方案完全结合项目实际状况深入编制，内容全面涵盖服务总体设想、管理目标、管理方式及措施、运作程序、服务工作计划及安排等各个方面，阐述非常详尽清晰。在管理方式、运作程序及具体管理措施方面，能够针对医院特点提出创新性或明显优于常规要求的方案，如针对不同科室的差异化服务、精细化管理措施等，完全满足或超出本项目采购需求。</w:t>
      </w:r>
    </w:p>
    <w:p w14:paraId="29D7AAB1">
      <w:pPr>
        <w:snapToGrid w:val="0"/>
        <w:spacing w:line="440" w:lineRule="exact"/>
        <w:ind w:firstLine="420" w:firstLineChars="200"/>
        <w:rPr>
          <w:color w:val="auto"/>
        </w:rPr>
      </w:pPr>
      <w:r>
        <w:rPr>
          <w:rFonts w:hint="eastAsia" w:ascii="宋体" w:hAnsi="宋体" w:cs="宋体"/>
          <w:bCs/>
          <w:color w:val="auto"/>
          <w:szCs w:val="21"/>
        </w:rPr>
        <w:t>注：未提供的得0分。</w:t>
      </w:r>
    </w:p>
    <w:p w14:paraId="4732ABF7">
      <w:pPr>
        <w:spacing w:line="380" w:lineRule="exact"/>
        <w:ind w:firstLine="422"/>
        <w:rPr>
          <w:rFonts w:ascii="宋体" w:hAnsi="宋体" w:cs="宋体"/>
          <w:b/>
          <w:color w:val="auto"/>
          <w:szCs w:val="21"/>
        </w:rPr>
      </w:pPr>
      <w:r>
        <w:rPr>
          <w:rFonts w:hint="eastAsia" w:ascii="宋体" w:hAnsi="宋体" w:cs="宋体"/>
          <w:b/>
          <w:color w:val="auto"/>
          <w:szCs w:val="21"/>
        </w:rPr>
        <w:t>（2）卫生保洁服务方案分（满分10分）</w:t>
      </w:r>
    </w:p>
    <w:p w14:paraId="78504C91">
      <w:pPr>
        <w:spacing w:line="460" w:lineRule="exact"/>
        <w:ind w:firstLine="420"/>
        <w:rPr>
          <w:rFonts w:ascii="宋体" w:hAnsi="宋体" w:cs="宋体"/>
          <w:color w:val="auto"/>
          <w:szCs w:val="21"/>
        </w:rPr>
      </w:pPr>
      <w:r>
        <w:rPr>
          <w:rFonts w:hint="eastAsia" w:ascii="宋体" w:hAnsi="宋体" w:cs="宋体"/>
          <w:color w:val="auto"/>
          <w:szCs w:val="21"/>
        </w:rPr>
        <w:t>一档（2分）：提交了针对本项目的保洁服务方案，简单提及服务范围和大致内容，对服务流程、作业标准、质量目标描述模糊。仅能初步响应采购文件的最低要求，缺乏可操作性和针对性。</w:t>
      </w:r>
    </w:p>
    <w:p w14:paraId="67BD4942">
      <w:pPr>
        <w:spacing w:line="460" w:lineRule="exact"/>
        <w:ind w:firstLine="420"/>
        <w:rPr>
          <w:rFonts w:ascii="宋体" w:hAnsi="宋体" w:cs="宋体"/>
          <w:color w:val="auto"/>
          <w:szCs w:val="21"/>
        </w:rPr>
      </w:pPr>
      <w:r>
        <w:rPr>
          <w:rFonts w:hint="eastAsia" w:ascii="宋体" w:hAnsi="宋体" w:cs="宋体"/>
          <w:color w:val="auto"/>
          <w:szCs w:val="21"/>
        </w:rPr>
        <w:t>二档（4分）：方案对保洁的服务范围和内容有基本划分，涵盖门诊、住院部、公共区域等主要区域。作业流程和质量目标有简要描述，基本符合采购文件提出的基础要求，无核心内容遗漏，具备初步的可操作性。</w:t>
      </w:r>
    </w:p>
    <w:p w14:paraId="70745803">
      <w:pPr>
        <w:spacing w:line="460" w:lineRule="exact"/>
        <w:ind w:firstLine="420"/>
        <w:rPr>
          <w:rFonts w:ascii="宋体" w:hAnsi="宋体" w:cs="宋体"/>
          <w:color w:val="auto"/>
          <w:szCs w:val="21"/>
        </w:rPr>
      </w:pPr>
      <w:r>
        <w:rPr>
          <w:rFonts w:hint="eastAsia" w:ascii="宋体" w:hAnsi="宋体" w:cs="宋体"/>
          <w:color w:val="auto"/>
          <w:szCs w:val="21"/>
        </w:rPr>
        <w:t>三档（6分）：方案具有较强的针对性，保洁的服务范围和内容划分明确，清晰包含门诊、住院部、手术室、感染科、公共区域、医废暂存点全流程。作业流程与方法描述相对详细，能够体现医院感控原则。质量目标（如清洁合格率、感控指标等）设定清晰，并达到采购需求标准。方案阐述清楚，具备良好的可操作性。</w:t>
      </w:r>
    </w:p>
    <w:p w14:paraId="5C6C2620">
      <w:pPr>
        <w:spacing w:line="460" w:lineRule="exact"/>
        <w:ind w:firstLine="420"/>
        <w:rPr>
          <w:rFonts w:ascii="宋体" w:hAnsi="宋体" w:cs="宋体"/>
          <w:color w:val="auto"/>
          <w:szCs w:val="21"/>
        </w:rPr>
      </w:pPr>
      <w:r>
        <w:rPr>
          <w:rFonts w:hint="eastAsia" w:ascii="宋体" w:hAnsi="宋体" w:cs="宋体"/>
          <w:color w:val="auto"/>
          <w:szCs w:val="21"/>
        </w:rPr>
        <w:t>四档（10分）：方案极为细致且专业，服务范围与内容实现分区、分级管理（如根据感染风险等级制定差异化清洁方案）。作业流程与方法不仅全面达标，而且在细节方面明显优于常规要求，如重点区域的消毒频次、医废处理的全流程管控等。质量目标设定高于采购文件的基本标准，并清晰、详尽地说明了达成这些高标准目标的具体技术保障手段、监控方式以及纠正预防流程，方案完全满足或优于本项目采购需求。</w:t>
      </w:r>
    </w:p>
    <w:p w14:paraId="2F466575">
      <w:pPr>
        <w:snapToGrid w:val="0"/>
        <w:spacing w:line="440" w:lineRule="exact"/>
        <w:ind w:firstLine="420" w:firstLineChars="200"/>
        <w:rPr>
          <w:color w:val="auto"/>
        </w:rPr>
      </w:pPr>
      <w:r>
        <w:rPr>
          <w:rFonts w:hint="eastAsia" w:ascii="宋体" w:hAnsi="宋体" w:cs="宋体"/>
          <w:bCs/>
          <w:color w:val="auto"/>
          <w:szCs w:val="21"/>
        </w:rPr>
        <w:t>注：未提供的得0分。</w:t>
      </w:r>
    </w:p>
    <w:p w14:paraId="5E8CD09E">
      <w:pPr>
        <w:adjustRightInd w:val="0"/>
        <w:snapToGrid w:val="0"/>
        <w:spacing w:line="400" w:lineRule="exact"/>
        <w:ind w:firstLine="420" w:firstLineChars="200"/>
        <w:rPr>
          <w:rFonts w:ascii="宋体" w:hAnsi="宋体" w:cs="宋体"/>
          <w:b/>
          <w:bCs/>
          <w:color w:val="auto"/>
          <w:szCs w:val="21"/>
        </w:rPr>
      </w:pPr>
      <w:r>
        <w:rPr>
          <w:rFonts w:hint="eastAsia" w:ascii="宋体" w:hAnsi="宋体" w:cs="宋体"/>
          <w:b/>
          <w:bCs/>
          <w:color w:val="auto"/>
          <w:szCs w:val="21"/>
        </w:rPr>
        <w:t>（3）绿化管理服务方案分（满分6分）</w:t>
      </w:r>
    </w:p>
    <w:p w14:paraId="48E85F16">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一档（2分）：方案基本覆盖绿化养护核心要求，满足项目基础需求，无重大遗漏。工作安排简单，未结合医院场景优化养护部署。针对性不足，无医院专项养护措施，无服务亮点。</w:t>
      </w:r>
    </w:p>
    <w:p w14:paraId="1EA84234">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二档（4分）：方案完全覆盖绿化养护需求，明确浇灌、修剪、病虫害防治等核心内容，适配医院场景。工作安排合理，岗位职责明确，无养护空档。针对性较强，有基础专项养护，可操作性强，有少量服务亮点。</w:t>
      </w:r>
    </w:p>
    <w:p w14:paraId="3EF05FEF">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三档（6分）：方案完全满足项目及医院特殊需求，结合院区各区域制定差异化养护标准。工作安排科学，适配医院场景，避免养护不及时、植被枯萎等问题。针对性精准，有医院专项预案（如病区、手术室周边绿化养护）。亮点突出，有创新服务，可行性强，明确人员、培训、应急流程。</w:t>
      </w:r>
    </w:p>
    <w:p w14:paraId="6DB7704D">
      <w:pPr>
        <w:snapToGrid w:val="0"/>
        <w:spacing w:line="440" w:lineRule="exact"/>
        <w:ind w:firstLine="420" w:firstLineChars="200"/>
        <w:rPr>
          <w:color w:val="auto"/>
        </w:rPr>
      </w:pPr>
      <w:r>
        <w:rPr>
          <w:rFonts w:hint="eastAsia" w:ascii="宋体" w:hAnsi="宋体" w:cs="宋体"/>
          <w:bCs/>
          <w:color w:val="auto"/>
          <w:szCs w:val="21"/>
        </w:rPr>
        <w:t>注：未提供的得0分。</w:t>
      </w:r>
    </w:p>
    <w:p w14:paraId="2402F475">
      <w:pPr>
        <w:adjustRightInd w:val="0"/>
        <w:snapToGrid w:val="0"/>
        <w:spacing w:line="400" w:lineRule="exact"/>
        <w:ind w:firstLine="420" w:firstLineChars="200"/>
        <w:rPr>
          <w:rFonts w:ascii="宋体" w:hAnsi="宋体" w:cs="宋体"/>
          <w:b/>
          <w:bCs/>
          <w:color w:val="auto"/>
          <w:szCs w:val="21"/>
        </w:rPr>
      </w:pPr>
      <w:r>
        <w:rPr>
          <w:rFonts w:hint="eastAsia" w:ascii="宋体" w:hAnsi="宋体" w:cs="宋体"/>
          <w:b/>
          <w:bCs/>
          <w:color w:val="auto"/>
          <w:szCs w:val="21"/>
        </w:rPr>
        <w:t>（4）垃圾分类方案分（满分4分）</w:t>
      </w:r>
    </w:p>
    <w:p w14:paraId="48984B5B">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一档（4分）：拟投入本项目的人员满足招标文件要求，提供基本的人员调配服务流程；</w:t>
      </w:r>
    </w:p>
    <w:p w14:paraId="744041D8">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一档（2分）：方案基本覆盖分类核心要求，满足项目基础需求，无重大遗漏。工作安排简单，未结合医院场景优化分类部署。针对性不足，无专项措施，常见问题无应对思路。无亮点，仅能完成基础分类工作。</w:t>
      </w:r>
    </w:p>
    <w:p w14:paraId="6ADC132F">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二档（3分）：方案完全覆盖分类需求，明确分类、投放、清运等核心内容，适配医院场景。工作安排合理，岗位职责明确，无工作空档。针对性较强，有基础专项服务，贴合医院分类需求。可操作性强，常见问题有明确处理流程，可直接落地。有少量亮点，如基础分类指引、宣传提示。</w:t>
      </w:r>
    </w:p>
    <w:p w14:paraId="4EDD9802">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三档（4分）：方案完全满足项目及医院特殊需求，结合各区域制定差异化标准。工作安排科学，适配医院场景，避免分类混乱、清运不及时。针对性精准，有医院专项分类预案（如医废分类、病区分类）。亮点突出，有创新增值服务（如分类宣传、便民指引）。可行性强，明确人员、培训、应急流程，保障服务稳定。</w:t>
      </w:r>
    </w:p>
    <w:p w14:paraId="3F690CB0">
      <w:pPr>
        <w:snapToGrid w:val="0"/>
        <w:spacing w:line="440" w:lineRule="exact"/>
        <w:ind w:firstLine="420" w:firstLineChars="200"/>
        <w:rPr>
          <w:color w:val="auto"/>
        </w:rPr>
      </w:pPr>
      <w:r>
        <w:rPr>
          <w:rFonts w:hint="eastAsia" w:ascii="宋体" w:hAnsi="宋体" w:cs="宋体"/>
          <w:bCs/>
          <w:color w:val="auto"/>
          <w:szCs w:val="21"/>
        </w:rPr>
        <w:t>注：未提供的得0分。</w:t>
      </w:r>
    </w:p>
    <w:p w14:paraId="6EC4AA63">
      <w:pPr>
        <w:pStyle w:val="28"/>
        <w:tabs>
          <w:tab w:val="left" w:pos="8820"/>
        </w:tabs>
        <w:adjustRightInd w:val="0"/>
        <w:snapToGrid w:val="0"/>
        <w:spacing w:line="440" w:lineRule="exact"/>
        <w:ind w:firstLine="420" w:firstLineChars="200"/>
        <w:jc w:val="left"/>
        <w:outlineLvl w:val="0"/>
        <w:rPr>
          <w:rFonts w:hAnsi="宋体" w:cs="宋体"/>
          <w:b/>
          <w:color w:val="auto"/>
        </w:rPr>
      </w:pPr>
      <w:r>
        <w:rPr>
          <w:rFonts w:hint="eastAsia" w:hAnsi="宋体" w:cs="宋体"/>
          <w:b/>
          <w:color w:val="auto"/>
        </w:rPr>
        <w:t>（5）电梯司乘服务方案分（满分4分）</w:t>
      </w:r>
    </w:p>
    <w:p w14:paraId="4B653D40">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一档（2分）：方案基本涵盖电梯操作、乘客引导等核心职责，满足日常运行基本需求，无重大遗漏。工作安排简单，仅明确基础值守时段和人员数量，未结合医院高峰时段、特殊区域优化排班。针对性不足，未结合医院患者特点、急救需求制定专项措施，对常见问题无明确应对思路。无服务亮点和创新举措，方案常规，仅能完成基础司乘工作。</w:t>
      </w:r>
    </w:p>
    <w:p w14:paraId="146498F3">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二档（3分）：方案完全覆盖司乘全部需求，明确操作、引导、巡检、消毒等核心内容，适配医院场景。工作安排合理，结合医院高峰、节假日优化人员配置，岗位职责明确，无值守空档。针对性较强，有基础专项服务，如搀扶行动不便患者、配合急救转运、响应电梯应急求助。可操作性强，明确司乘人员工作标准，对常见问题有明确处理流程，可直接落地。有少量亮点，如规范文明话术、电梯内便民指引等基础增值服务。</w:t>
      </w:r>
    </w:p>
    <w:p w14:paraId="613DD3EC">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三档（4分）：方案完全满足项目及医院特殊需求，结合各区域电梯特点制定差异化服务标准。工作安排科学，弹性排班适配高峰、手术、急救等场景，明确轮岗交接，避免乘客滞留。针对性精准，有手术室无菌操作、急救电梯调度等专项预案，贴合医院实际。亮点突出，有电梯便民物品配备、司乘基础急救能力、乘客反馈机制等创新增值服务。可行性极强，明确司乘招聘、培训、考核机制，对各类突发情况有具体应对流程，保障服务稳定。</w:t>
      </w:r>
    </w:p>
    <w:p w14:paraId="050BE0D5">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注：未提供的得0分。</w:t>
      </w:r>
    </w:p>
    <w:p w14:paraId="3210076D">
      <w:pPr>
        <w:pStyle w:val="28"/>
        <w:tabs>
          <w:tab w:val="left" w:pos="8820"/>
        </w:tabs>
        <w:adjustRightInd w:val="0"/>
        <w:snapToGrid w:val="0"/>
        <w:spacing w:line="440" w:lineRule="exact"/>
        <w:ind w:firstLine="420" w:firstLineChars="200"/>
        <w:jc w:val="left"/>
        <w:outlineLvl w:val="0"/>
        <w:rPr>
          <w:rFonts w:hAnsi="宋体" w:cs="宋体"/>
          <w:b/>
          <w:color w:val="auto"/>
        </w:rPr>
      </w:pPr>
      <w:r>
        <w:rPr>
          <w:rFonts w:hint="eastAsia" w:hAnsi="宋体" w:cs="宋体"/>
          <w:b/>
          <w:color w:val="auto"/>
        </w:rPr>
        <w:t>（6）各类突发事件的应急方案分（满分12分）</w:t>
      </w:r>
    </w:p>
    <w:p w14:paraId="4A12A7FA">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突发事件应急预案内容包含但不限于：（1）预案涵盖本项目保洁、绿植养护、电梯司乘相关突发事件应急保障措施、应急处置流程及处置措施；（2）对应岗位安全生产操作规程、应急抢险预案、安全事故处理预案；（3）应急设施设备配置、应急人员岗位职责配置，包含应急培训及常态化演练安排。</w:t>
      </w:r>
    </w:p>
    <w:p w14:paraId="51CC11BE">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一档（3分）：有基础应急保障措施，但方案内容不全面，仅简单提及少量突发情况处理思路；保洁、绿植养护、电梯司乘相关应急处置流程、措施表述笼统，无细化步骤，缺乏实际可操作性。</w:t>
      </w:r>
    </w:p>
    <w:p w14:paraId="537CC8EB">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二档（6分）：方案包含保洁、绿植养护、电梯司乘基础安全生产操作规程、应急抢险预案、安全事故处理预案；对行业常见突发情况（如地面湿滑摔伤、绿植倒伏枯萎、电梯临时停运、公共区域突发杂物散落等）具备基本应急处置流程和措施，整体内容较为完整。</w:t>
      </w:r>
    </w:p>
    <w:p w14:paraId="49833ECB">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三档（9分）：在满足二档要求基础上，结合医院服务场景特点，细化本项目专属应急风险事项；覆盖保洁专项（医疗污物洒落、消毒液泄漏、院区大面积积水）、绿植养护专项（病虫害暴发、大型苗木倾倒遮挡通道）、电梯司乘专项（电梯困人、电梯故障停运、高峰期人员疏导突发状况）等特有突发事件预案；应急处置流程清晰、措施具体周全，明确应急设施设备配置、在岗应急人员分工，制定有应急培训及定期演练安排。</w:t>
      </w:r>
    </w:p>
    <w:p w14:paraId="79DC5C3F">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四档（12分）：在满足三档要求基础上，针对医院不同区域、不同作业场景制定专项针对性应急预案；如病区保洁突发污染物扩散、手术室周边绿植应急迁移、ICU/病房专用电梯困人专项处置、高峰期院区多电梯联动应急疏导等特殊场景预案；应急预案全覆盖保洁、绿植养护、电梯司乘所有潜在突发事件，处置流程科学规范、落地可操作性极强；应急组织架构健全、岗位职责划分清晰，应急物资储备配置充足，培训体系、演练计划系统完善，完全匹配本医院项目全场景服务需求。</w:t>
      </w:r>
    </w:p>
    <w:p w14:paraId="49E68BA7">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注：未提供的得0分。</w:t>
      </w:r>
    </w:p>
    <w:p w14:paraId="1C86049B">
      <w:pPr>
        <w:pStyle w:val="28"/>
        <w:tabs>
          <w:tab w:val="left" w:pos="8820"/>
        </w:tabs>
        <w:adjustRightInd w:val="0"/>
        <w:snapToGrid w:val="0"/>
        <w:spacing w:line="440" w:lineRule="exact"/>
        <w:ind w:firstLine="420" w:firstLineChars="200"/>
        <w:jc w:val="left"/>
        <w:outlineLvl w:val="0"/>
        <w:rPr>
          <w:rFonts w:hAnsi="宋体" w:cs="宋体"/>
          <w:b/>
          <w:color w:val="auto"/>
        </w:rPr>
      </w:pPr>
      <w:r>
        <w:rPr>
          <w:rFonts w:hint="eastAsia" w:hAnsi="宋体" w:cs="宋体"/>
          <w:b/>
          <w:color w:val="auto"/>
        </w:rPr>
        <w:t>（7）人员配置及培训管理方案分（满分12分）</w:t>
      </w:r>
    </w:p>
    <w:p w14:paraId="362E2D93">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根据各供应商提供方案的内容完整性、合理性、可操作性等方面进行独立评审，确定各供应商所属档次并在相应档次内独立打分。方案内容包含但不限于：A.管理人员的配备（含：项目经理或主管的简历，各类人员数量，各岗位人员的配置）；B.人员的管理（含：录用、培训及考核，考核奖罚机制，协调关系，服务意识）；C.物资装备情况（含：器械、交通工具以及通讯、安全防范装备以及办公用品的配备等）。</w:t>
      </w:r>
    </w:p>
    <w:p w14:paraId="69A69267">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一档（3分）：有人员、物资配置方案，制定的人员、物资配置计划内容简略。</w:t>
      </w:r>
    </w:p>
    <w:p w14:paraId="7F2D3900">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二档（6分）：人员、物资配置情况方案详细，针对采购需求中各岗位需求制定人员、物资配备方案；能够针对项目需求制定服务人员管理和培训制度，物资装备情况在满足项目需求前提下，确保物资质量合格，符合质量标准。</w:t>
      </w:r>
    </w:p>
    <w:p w14:paraId="4DA862E5">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三档（9分）：在满足二档的基础上，人员、物资配置情况方案详细完整，对人员的管理方案包含人员管理方式、控制员工流失的措施、人员招聘与录用、考核奖罚机制、人员意外伤害应急处理、员工替岗管理制度等，能够建立定期评估机制，根据项目运行情况合理配置人员（比如增加保洁员人数）、优化人员结构，针对性开展人员培训，物资配备满足项目服务需求，针对本项目制定物资管理制度。</w:t>
      </w:r>
    </w:p>
    <w:p w14:paraId="04D2456E">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四档（12分）：在满足三档的基础上，为本项目制订人员、物资配置方案，人员配置方案详细、全面、可行，针对性、可操作性非常强，针对项目管理相关人员专业资格证完备，服务人员的培训满足项目实际需要。各类人员的培训有计划，有考核方式及考核标准，服务人员的管理满足项目实际需要，有考核制度，奖罚机制，信息反馈制度等。对人员的管理方案包含人员管理方式、控制员工流失的措施、人员招聘与录用、考核奖罚机制、人员意外伤害应急处理、员工替岗管理制度等，能够建立定期评估机制，根据项目运行情况合理配置人员（比如增加保洁员人数）、优化人员结构，物资配备满足项目服务需求，有专人管理，针对本项目制定物资管理制度。</w:t>
      </w:r>
    </w:p>
    <w:p w14:paraId="41838CF7">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注：未提供的得0分。</w:t>
      </w:r>
    </w:p>
    <w:p w14:paraId="6F30E105">
      <w:pPr>
        <w:pStyle w:val="28"/>
        <w:tabs>
          <w:tab w:val="left" w:pos="8820"/>
        </w:tabs>
        <w:adjustRightInd w:val="0"/>
        <w:snapToGrid w:val="0"/>
        <w:spacing w:line="440" w:lineRule="exact"/>
        <w:ind w:firstLine="420" w:firstLineChars="200"/>
        <w:jc w:val="left"/>
        <w:outlineLvl w:val="0"/>
        <w:rPr>
          <w:rFonts w:hAnsi="宋体" w:cs="宋体"/>
          <w:b/>
          <w:color w:val="auto"/>
        </w:rPr>
      </w:pPr>
      <w:r>
        <w:rPr>
          <w:rFonts w:hint="eastAsia" w:hAnsi="宋体" w:cs="宋体"/>
          <w:b/>
          <w:color w:val="auto"/>
        </w:rPr>
        <w:t>（8）其他临时计时结算服务方案分（满分6分）</w:t>
      </w:r>
    </w:p>
    <w:p w14:paraId="02CE07C3">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一档（2分）：其他临时计时结算服务方案（含临时保洁、临时搬家、拆装隔帘窗帘），基本满足本项目医院服务需求，但针对性不够精确、亮点不多；</w:t>
      </w:r>
    </w:p>
    <w:p w14:paraId="06984B02">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二档（4分）：其他临时计时结算服务方案（含临时保洁、临时搬家、拆装隔帘窗帘），完全满足本项目医院服务需求，各服务环节工作安排合理，对医院院感要求、诊疗秩序保障有一定的针对性和操作性；</w:t>
      </w:r>
    </w:p>
    <w:p w14:paraId="2AEC64BA">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三档（6分）：其他临时计时结算服务方案（含临时保洁、临时搬家、拆装隔帘窗帘）完全满足本项目需求和医院使用要求，各服务内容（保洁、搬家、拆装）工作安排科学合理，针对医院院感规范、医疗设施保护、诊疗干扰控制等核心需求针对性精确，服务亮点多（如可追溯台账、应急响应机制等），可行性强。</w:t>
      </w:r>
    </w:p>
    <w:p w14:paraId="52D168F4">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注：未提供的得0分。</w:t>
      </w:r>
    </w:p>
    <w:p w14:paraId="42CCDDB1">
      <w:pPr>
        <w:adjustRightInd w:val="0"/>
        <w:snapToGrid w:val="0"/>
        <w:spacing w:line="400" w:lineRule="exact"/>
        <w:ind w:firstLine="420" w:firstLineChars="200"/>
        <w:rPr>
          <w:rFonts w:ascii="宋体" w:hAnsi="宋体" w:cs="宋体"/>
          <w:color w:val="auto"/>
          <w:szCs w:val="21"/>
        </w:rPr>
      </w:pPr>
      <w:r>
        <w:rPr>
          <w:rFonts w:hint="eastAsia" w:ascii="宋体" w:hAnsi="宋体" w:cs="宋体"/>
          <w:b/>
          <w:bCs/>
          <w:color w:val="auto"/>
          <w:szCs w:val="21"/>
        </w:rPr>
        <w:t>3.商务分……………………………………………………………………………………4分</w:t>
      </w:r>
    </w:p>
    <w:p w14:paraId="14D2F9BF">
      <w:pPr>
        <w:snapToGrid w:val="0"/>
        <w:spacing w:line="360" w:lineRule="atLeast"/>
        <w:ind w:firstLine="420" w:firstLineChars="200"/>
        <w:rPr>
          <w:rFonts w:ascii="宋体" w:hAnsi="宋体" w:cs="宋体"/>
          <w:color w:val="auto"/>
          <w:szCs w:val="21"/>
        </w:rPr>
      </w:pPr>
      <w:r>
        <w:rPr>
          <w:rFonts w:hint="eastAsia" w:ascii="宋体" w:hAnsi="宋体" w:cs="宋体"/>
          <w:color w:val="auto"/>
          <w:szCs w:val="21"/>
        </w:rPr>
        <w:t>（1）</w:t>
      </w:r>
      <w:r>
        <w:rPr>
          <w:rFonts w:hint="eastAsia" w:hAnsi="宋体" w:cs="宋体"/>
          <w:color w:val="auto"/>
        </w:rPr>
        <w:t>投标人具有有效的质量管理体系认证，得0.5分；投标人具有有效的环境管理体系认证，得0.5分；投标人具有有效的职业健康安全管理体系认证，得1分；满分为2分。</w:t>
      </w:r>
    </w:p>
    <w:p w14:paraId="170D5F63">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（2）投标人自2023年（含2023年）以来承接的类似综合性物业服务项目（须包含保洁等服务内容），每项得1分，满分2分。（提供项目中标通知书或合同关键页扫描件，同一项目续约不重复计分）。</w:t>
      </w:r>
    </w:p>
    <w:p w14:paraId="13A3A150">
      <w:pPr>
        <w:adjustRightInd w:val="0"/>
        <w:snapToGrid w:val="0"/>
        <w:spacing w:line="380" w:lineRule="exact"/>
        <w:outlineLvl w:val="0"/>
        <w:rPr>
          <w:rFonts w:ascii="宋体" w:hAnsi="宋体" w:cs="宋体"/>
          <w:b/>
          <w:color w:val="auto"/>
          <w:szCs w:val="21"/>
        </w:rPr>
      </w:pPr>
      <w:r>
        <w:rPr>
          <w:rFonts w:hint="eastAsia" w:ascii="宋体" w:hAnsi="宋体" w:cs="宋体"/>
          <w:b/>
          <w:color w:val="auto"/>
          <w:kern w:val="0"/>
          <w:szCs w:val="21"/>
        </w:rPr>
        <w:t>（三）总得分=1+2+3</w:t>
      </w:r>
      <w:bookmarkEnd w:id="72"/>
    </w:p>
    <w:p w14:paraId="560241B8">
      <w:pPr>
        <w:adjustRightInd w:val="0"/>
        <w:snapToGrid w:val="0"/>
        <w:spacing w:line="380" w:lineRule="exact"/>
        <w:rPr>
          <w:rFonts w:ascii="宋体" w:hAnsi="宋体" w:cs="宋体"/>
          <w:b/>
          <w:color w:val="auto"/>
          <w:szCs w:val="21"/>
        </w:rPr>
      </w:pPr>
      <w:r>
        <w:rPr>
          <w:rFonts w:hint="eastAsia" w:ascii="宋体" w:hAnsi="宋体" w:cs="宋体"/>
          <w:b/>
          <w:color w:val="auto"/>
          <w:szCs w:val="21"/>
        </w:rPr>
        <w:t>三、中标候选人推荐原则</w:t>
      </w:r>
    </w:p>
    <w:p w14:paraId="299508B2">
      <w:pPr>
        <w:adjustRightInd w:val="0"/>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标委员会推荐排名第一的中标候选人为中标人。</w:t>
      </w:r>
    </w:p>
    <w:p w14:paraId="3115B5F6">
      <w:pPr>
        <w:adjustRightInd w:val="0"/>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排名第一的中标候选人放弃中标、因不可抗力提出不能履行合同，或未能按招标文件要求如期缴纳履约保证金的，采购人可以确定排名第二的中标候选人为中标人。排名第二的中标候选人因前款规定的同样原因不能签订合同的，采购人可以确定排名第三的中标候选人为中标人，其余以此类推。</w:t>
      </w:r>
    </w:p>
    <w:p w14:paraId="574224A5">
      <w:pPr>
        <w:autoSpaceDE w:val="0"/>
        <w:autoSpaceDN w:val="0"/>
        <w:adjustRightInd w:val="0"/>
        <w:snapToGrid w:val="0"/>
        <w:spacing w:line="400" w:lineRule="exact"/>
        <w:ind w:firstLine="315" w:firstLineChars="150"/>
        <w:rPr>
          <w:rFonts w:ascii="宋体" w:hAnsi="宋体" w:cs="Courier New"/>
          <w:b/>
          <w:bCs/>
          <w:color w:val="auto"/>
          <w:kern w:val="1"/>
          <w:szCs w:val="20"/>
        </w:rPr>
      </w:pPr>
      <w:r>
        <w:rPr>
          <w:rFonts w:hint="eastAsia" w:ascii="宋体" w:hAnsi="宋体" w:cs="Courier New"/>
          <w:b/>
          <w:bCs/>
          <w:color w:val="auto"/>
          <w:kern w:val="1"/>
          <w:szCs w:val="20"/>
        </w:rPr>
        <w:t>（二）下列情形之一的，评标委员会应当启动异常低价投标（响应）审查程序：</w:t>
      </w:r>
    </w:p>
    <w:p w14:paraId="7DFBB8C7">
      <w:pPr>
        <w:autoSpaceDE w:val="0"/>
        <w:autoSpaceDN w:val="0"/>
        <w:adjustRightInd w:val="0"/>
        <w:snapToGrid w:val="0"/>
        <w:spacing w:line="400" w:lineRule="exact"/>
        <w:ind w:firstLine="315" w:firstLineChars="150"/>
        <w:rPr>
          <w:rFonts w:ascii="宋体" w:hAnsi="宋体" w:cs="Courier New"/>
          <w:b/>
          <w:bCs/>
          <w:color w:val="auto"/>
          <w:kern w:val="1"/>
          <w:szCs w:val="20"/>
        </w:rPr>
      </w:pPr>
      <w:r>
        <w:rPr>
          <w:rFonts w:hint="eastAsia" w:ascii="宋体" w:hAnsi="宋体" w:cs="Courier New"/>
          <w:b/>
          <w:bCs/>
          <w:color w:val="auto"/>
          <w:kern w:val="1"/>
          <w:szCs w:val="20"/>
        </w:rPr>
        <w:t>　　1.投标（响应）报价低于全部通过符合性审查供应商投标（响应）报价平均值50%的，即投标（响应）报价〈全部通过符合性审查供应商投标（响应）报价平均值×50%；</w:t>
      </w:r>
    </w:p>
    <w:p w14:paraId="50942FDF">
      <w:pPr>
        <w:autoSpaceDE w:val="0"/>
        <w:autoSpaceDN w:val="0"/>
        <w:adjustRightInd w:val="0"/>
        <w:snapToGrid w:val="0"/>
        <w:spacing w:line="400" w:lineRule="exact"/>
        <w:ind w:firstLine="315" w:firstLineChars="150"/>
        <w:rPr>
          <w:rFonts w:ascii="宋体" w:hAnsi="宋体" w:cs="Courier New"/>
          <w:b/>
          <w:bCs/>
          <w:color w:val="auto"/>
          <w:kern w:val="1"/>
          <w:szCs w:val="20"/>
        </w:rPr>
      </w:pPr>
      <w:r>
        <w:rPr>
          <w:rFonts w:hint="eastAsia" w:ascii="宋体" w:hAnsi="宋体" w:cs="Courier New"/>
          <w:b/>
          <w:bCs/>
          <w:color w:val="auto"/>
          <w:kern w:val="1"/>
          <w:szCs w:val="20"/>
        </w:rPr>
        <w:t>　　2.投标（响应）报价低于通过符合性审查的次低报价供应商投标（响应）报价50%的，即投标（响应）报价〈通过符合性审查的次低报价供应商投标（响应）报价×50%；</w:t>
      </w:r>
    </w:p>
    <w:p w14:paraId="2F66E58A">
      <w:pPr>
        <w:autoSpaceDE w:val="0"/>
        <w:autoSpaceDN w:val="0"/>
        <w:adjustRightInd w:val="0"/>
        <w:snapToGrid w:val="0"/>
        <w:spacing w:line="400" w:lineRule="exact"/>
        <w:ind w:firstLine="315" w:firstLineChars="150"/>
        <w:rPr>
          <w:rFonts w:ascii="宋体" w:hAnsi="宋体" w:cs="Courier New"/>
          <w:b/>
          <w:bCs/>
          <w:color w:val="auto"/>
          <w:kern w:val="1"/>
          <w:szCs w:val="20"/>
        </w:rPr>
      </w:pPr>
      <w:r>
        <w:rPr>
          <w:rFonts w:hint="eastAsia" w:ascii="宋体" w:hAnsi="宋体" w:cs="Courier New"/>
          <w:b/>
          <w:bCs/>
          <w:color w:val="auto"/>
          <w:kern w:val="1"/>
          <w:szCs w:val="20"/>
        </w:rPr>
        <w:t>　　3.投标（响应）报价低于采购项目最高限价45%的，即投标（响应）报价〈采购项目最高限价×45%；</w:t>
      </w:r>
    </w:p>
    <w:p w14:paraId="30624981">
      <w:pPr>
        <w:autoSpaceDE w:val="0"/>
        <w:autoSpaceDN w:val="0"/>
        <w:adjustRightInd w:val="0"/>
        <w:snapToGrid w:val="0"/>
        <w:spacing w:line="400" w:lineRule="exact"/>
        <w:ind w:firstLine="315" w:firstLineChars="150"/>
        <w:rPr>
          <w:rFonts w:ascii="宋体" w:hAnsi="宋体" w:cs="Courier New"/>
          <w:b/>
          <w:bCs/>
          <w:color w:val="auto"/>
          <w:kern w:val="1"/>
          <w:szCs w:val="20"/>
        </w:rPr>
      </w:pPr>
      <w:r>
        <w:rPr>
          <w:rFonts w:hint="eastAsia" w:ascii="宋体" w:hAnsi="宋体" w:cs="Courier New"/>
          <w:b/>
          <w:bCs/>
          <w:color w:val="auto"/>
          <w:kern w:val="1"/>
          <w:szCs w:val="20"/>
        </w:rPr>
        <w:t>　　4.评标委员会基于专业判断，认为供应商报价过低，有可能影响产品质量或者不能诚信履约的其他情形。</w:t>
      </w:r>
    </w:p>
    <w:p w14:paraId="068375D4">
      <w:pPr>
        <w:autoSpaceDE w:val="0"/>
        <w:autoSpaceDN w:val="0"/>
        <w:adjustRightInd w:val="0"/>
        <w:snapToGrid w:val="0"/>
        <w:spacing w:line="400" w:lineRule="exact"/>
        <w:ind w:firstLine="315" w:firstLineChars="150"/>
        <w:rPr>
          <w:rFonts w:ascii="宋体" w:hAnsi="宋体" w:cs="Courier New"/>
          <w:b/>
          <w:bCs/>
          <w:color w:val="auto"/>
          <w:kern w:val="1"/>
          <w:szCs w:val="20"/>
        </w:rPr>
      </w:pPr>
      <w:r>
        <w:rPr>
          <w:rFonts w:hint="eastAsia" w:ascii="宋体" w:hAnsi="宋体" w:cs="Courier New"/>
          <w:b/>
          <w:bCs/>
          <w:color w:val="auto"/>
          <w:kern w:val="1"/>
          <w:szCs w:val="20"/>
        </w:rPr>
        <w:t>（三）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9566079">
      <w:pPr>
        <w:autoSpaceDE w:val="0"/>
        <w:autoSpaceDN w:val="0"/>
        <w:adjustRightInd w:val="0"/>
        <w:snapToGrid w:val="0"/>
        <w:spacing w:line="400" w:lineRule="exact"/>
        <w:ind w:firstLine="315" w:firstLineChars="150"/>
        <w:rPr>
          <w:rFonts w:ascii="宋体" w:hAnsi="宋体" w:cs="Courier New"/>
          <w:b/>
          <w:bCs/>
          <w:color w:val="auto"/>
          <w:kern w:val="1"/>
          <w:szCs w:val="20"/>
        </w:rPr>
      </w:pPr>
      <w:r>
        <w:rPr>
          <w:rFonts w:hint="eastAsia" w:ascii="宋体" w:hAnsi="宋体" w:cs="Courier New"/>
          <w:b/>
          <w:bCs/>
          <w:color w:val="auto"/>
          <w:kern w:val="1"/>
          <w:szCs w:val="20"/>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0F09422">
      <w:pPr>
        <w:autoSpaceDE w:val="0"/>
        <w:autoSpaceDN w:val="0"/>
        <w:adjustRightInd w:val="0"/>
        <w:snapToGrid w:val="0"/>
        <w:spacing w:line="400" w:lineRule="exact"/>
        <w:ind w:firstLine="315" w:firstLineChars="150"/>
        <w:rPr>
          <w:rFonts w:ascii="宋体" w:hAnsi="宋体" w:cs="Courier New"/>
          <w:b/>
          <w:bCs/>
          <w:color w:val="auto"/>
          <w:kern w:val="1"/>
          <w:szCs w:val="20"/>
        </w:rPr>
      </w:pPr>
      <w:r>
        <w:rPr>
          <w:rFonts w:hint="eastAsia" w:ascii="宋体" w:hAnsi="宋体" w:cs="Courier New"/>
          <w:b/>
          <w:bCs/>
          <w:color w:val="auto"/>
          <w:kern w:val="1"/>
          <w:szCs w:val="20"/>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C3F7592">
      <w:pPr>
        <w:autoSpaceDE w:val="0"/>
        <w:autoSpaceDN w:val="0"/>
        <w:adjustRightInd w:val="0"/>
        <w:snapToGrid w:val="0"/>
        <w:spacing w:line="400" w:lineRule="exact"/>
        <w:ind w:firstLine="315" w:firstLineChars="150"/>
        <w:rPr>
          <w:rFonts w:ascii="宋体" w:hAnsi="宋体" w:cs="Courier New"/>
          <w:b/>
          <w:bCs/>
          <w:color w:val="auto"/>
          <w:kern w:val="1"/>
          <w:szCs w:val="20"/>
        </w:rPr>
      </w:pPr>
      <w:r>
        <w:rPr>
          <w:rFonts w:hint="eastAsia" w:ascii="宋体" w:hAnsi="宋体" w:cs="Courier New"/>
          <w:b/>
          <w:bCs/>
          <w:color w:val="auto"/>
          <w:kern w:val="1"/>
          <w:szCs w:val="20"/>
        </w:rPr>
        <w:t>异常低价投标（响应）审查的启动原因、审查意见和审查结果应当在评审报告中记录，并随供应商提供的相关书面说明及证明材料，以及评标委员会有关互联网浏览、查询历史一并归档。</w:t>
      </w:r>
    </w:p>
    <w:p w14:paraId="3832D8F8">
      <w:pPr>
        <w:autoSpaceDE w:val="0"/>
        <w:autoSpaceDN w:val="0"/>
        <w:adjustRightInd w:val="0"/>
        <w:snapToGrid w:val="0"/>
        <w:spacing w:line="400" w:lineRule="exact"/>
        <w:ind w:firstLine="315" w:firstLineChars="150"/>
        <w:rPr>
          <w:b/>
          <w:bCs/>
          <w:color w:val="auto"/>
        </w:rPr>
      </w:pPr>
      <w:r>
        <w:rPr>
          <w:rFonts w:hint="eastAsia" w:ascii="宋体" w:hAnsi="宋体" w:cs="Courier New"/>
          <w:b/>
          <w:bCs/>
          <w:color w:val="auto"/>
          <w:kern w:val="1"/>
          <w:szCs w:val="20"/>
        </w:rPr>
        <w:t>（四）评标委员会启动异常低价投标（响应）审查后，供应商不能证明其报价合理性的，评标委员会应当将其作为无效响应处理。</w:t>
      </w:r>
    </w:p>
    <w:p w14:paraId="7BF7AB96">
      <w:pPr>
        <w:autoSpaceDE w:val="0"/>
        <w:autoSpaceDN w:val="0"/>
        <w:adjustRightInd w:val="0"/>
        <w:snapToGrid w:val="0"/>
        <w:spacing w:line="380" w:lineRule="exact"/>
        <w:ind w:firstLine="315" w:firstLineChars="150"/>
        <w:jc w:val="left"/>
        <w:rPr>
          <w:rFonts w:ascii="宋体" w:hAnsi="宋体" w:cs="宋体"/>
          <w:bCs/>
          <w:color w:val="auto"/>
          <w:szCs w:val="21"/>
        </w:rPr>
      </w:pPr>
    </w:p>
    <w:p w14:paraId="12811FE7">
      <w:pPr>
        <w:pStyle w:val="28"/>
        <w:snapToGrid w:val="0"/>
        <w:spacing w:before="120" w:after="120"/>
        <w:jc w:val="center"/>
        <w:outlineLvl w:val="0"/>
        <w:rPr>
          <w:rFonts w:hAnsi="宋体" w:cs="宋体"/>
          <w:b/>
          <w:color w:val="auto"/>
        </w:rPr>
      </w:pPr>
    </w:p>
    <w:p w14:paraId="6548191B">
      <w:pPr>
        <w:pStyle w:val="28"/>
        <w:snapToGrid w:val="0"/>
        <w:spacing w:before="120" w:after="120"/>
        <w:jc w:val="center"/>
        <w:outlineLvl w:val="0"/>
        <w:rPr>
          <w:rFonts w:hAnsi="宋体" w:cs="宋体"/>
          <w:b/>
          <w:color w:val="auto"/>
          <w:sz w:val="44"/>
          <w:szCs w:val="44"/>
        </w:rPr>
      </w:pPr>
    </w:p>
    <w:p w14:paraId="47D3960C">
      <w:pPr>
        <w:pStyle w:val="28"/>
        <w:snapToGrid w:val="0"/>
        <w:spacing w:before="120" w:after="120"/>
        <w:jc w:val="center"/>
        <w:outlineLvl w:val="0"/>
        <w:rPr>
          <w:rFonts w:hAnsi="宋体" w:cs="宋体"/>
          <w:b/>
          <w:color w:val="auto"/>
          <w:sz w:val="44"/>
          <w:szCs w:val="44"/>
        </w:rPr>
      </w:pPr>
    </w:p>
    <w:p w14:paraId="66E668EE">
      <w:pPr>
        <w:rPr>
          <w:rFonts w:ascii="宋体" w:hAnsi="宋体" w:cs="宋体"/>
          <w:color w:val="auto"/>
        </w:rPr>
      </w:pPr>
      <w:bookmarkStart w:id="73" w:name="_Toc20520"/>
    </w:p>
    <w:p w14:paraId="4422A948">
      <w:pPr>
        <w:pStyle w:val="34"/>
        <w:rPr>
          <w:rFonts w:ascii="宋体" w:hAnsi="宋体" w:cs="宋体"/>
          <w:color w:val="auto"/>
        </w:rPr>
      </w:pPr>
    </w:p>
    <w:bookmarkEnd w:id="73"/>
    <w:p w14:paraId="08684A53">
      <w:pPr>
        <w:pStyle w:val="28"/>
        <w:snapToGrid w:val="0"/>
        <w:spacing w:before="120" w:after="120"/>
        <w:jc w:val="center"/>
        <w:outlineLvl w:val="0"/>
        <w:rPr>
          <w:rFonts w:hAnsi="宋体" w:cs="宋体"/>
          <w:b/>
          <w:color w:val="auto"/>
          <w:sz w:val="44"/>
          <w:szCs w:val="44"/>
        </w:rPr>
      </w:pPr>
    </w:p>
    <w:p w14:paraId="1E7FF593">
      <w:pPr>
        <w:pStyle w:val="28"/>
        <w:snapToGrid w:val="0"/>
        <w:spacing w:before="120" w:after="120"/>
        <w:jc w:val="center"/>
        <w:outlineLvl w:val="0"/>
        <w:rPr>
          <w:rFonts w:hAnsi="宋体" w:cs="宋体"/>
          <w:b/>
          <w:color w:val="auto"/>
          <w:sz w:val="44"/>
          <w:szCs w:val="44"/>
        </w:rPr>
      </w:pPr>
    </w:p>
    <w:p w14:paraId="0D307D24">
      <w:pPr>
        <w:pStyle w:val="28"/>
        <w:snapToGrid w:val="0"/>
        <w:spacing w:before="120" w:after="120"/>
        <w:jc w:val="center"/>
        <w:outlineLvl w:val="0"/>
        <w:rPr>
          <w:rFonts w:hAnsi="宋体" w:cs="宋体"/>
          <w:b/>
          <w:color w:val="auto"/>
          <w:sz w:val="44"/>
          <w:szCs w:val="44"/>
        </w:rPr>
      </w:pPr>
    </w:p>
    <w:p w14:paraId="22A03518">
      <w:pPr>
        <w:pStyle w:val="28"/>
        <w:snapToGrid w:val="0"/>
        <w:spacing w:before="120" w:after="120"/>
        <w:jc w:val="center"/>
        <w:outlineLvl w:val="0"/>
        <w:rPr>
          <w:rFonts w:hAnsi="宋体" w:cs="宋体"/>
          <w:b/>
          <w:color w:val="auto"/>
          <w:sz w:val="44"/>
          <w:szCs w:val="44"/>
        </w:rPr>
      </w:pPr>
    </w:p>
    <w:p w14:paraId="74D8FCBD">
      <w:pPr>
        <w:pStyle w:val="28"/>
        <w:snapToGrid w:val="0"/>
        <w:spacing w:before="120" w:after="120"/>
        <w:jc w:val="center"/>
        <w:outlineLvl w:val="0"/>
        <w:rPr>
          <w:rFonts w:hAnsi="宋体" w:cs="宋体"/>
          <w:b/>
          <w:color w:val="auto"/>
          <w:sz w:val="44"/>
          <w:szCs w:val="44"/>
        </w:rPr>
      </w:pPr>
    </w:p>
    <w:p w14:paraId="4E342044">
      <w:pPr>
        <w:rPr>
          <w:rFonts w:ascii="宋体" w:hAnsi="宋体" w:cs="宋体"/>
          <w:color w:val="auto"/>
        </w:rPr>
      </w:pPr>
    </w:p>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libri Light">
    <w:altName w:val="Times New Roman"/>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Ђ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华文宋体">
    <w:panose1 w:val="02010600040101010101"/>
    <w:charset w:val="86"/>
    <w:family w:val="auto"/>
    <w:pitch w:val="default"/>
    <w:sig w:usb0="00000287" w:usb1="080F0000" w:usb2="00000000" w:usb3="00000000" w:csb0="0004009F" w:csb1="DFD70000"/>
  </w:font>
  <w:font w:name="Tms Rmn">
    <w:altName w:val="FreeSerif"/>
    <w:panose1 w:val="02020603040505020304"/>
    <w:charset w:val="00"/>
    <w:family w:val="roman"/>
    <w:pitch w:val="default"/>
    <w:sig w:usb0="00000000" w:usb1="00000000" w:usb2="00000000" w:usb3="00000000" w:csb0="00000001"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创艺简黑体">
    <w:altName w:val="方正黑体_GBK"/>
    <w:panose1 w:val="00000000000000000000"/>
    <w:charset w:val="86"/>
    <w:family w:val="auto"/>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7CEA">
    <w:pPr>
      <w:pStyle w:val="34"/>
      <w:tabs>
        <w:tab w:val="center" w:pos="4153"/>
        <w:tab w:val="right" w:pos="8306"/>
        <w:tab w:val="clear" w:pos="4140"/>
        <w:tab w:val="clear" w:pos="8300"/>
      </w:tabs>
    </w:pPr>
    <w:r>
      <w:pict>
        <v:shape id="文本框 1026" o:spid="_x0000_s102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V+SdAAAAAD&#10;AQAADwAAAAAAAAABACAAAAAiAAAAZHJzL2Rvd25yZXYueG1sUEsBAhQAFAAAAAgAh07iQH6A0L7r&#10;AQAAzQMAAA4AAAAAAAAAAQAgAAAAHwEAAGRycy9lMm9Eb2MueG1sUEsFBgAAAAAGAAYAWQEAAHwF&#10;AAAAAA==&#10;">
          <v:path/>
          <v:fill on="f" focussize="0,0"/>
          <v:stroke on="f" joinstyle="miter"/>
          <v:imagedata o:title=""/>
          <o:lock v:ext="edit"/>
          <v:textbox inset="0mm,0mm,0mm,0mm" style="mso-fit-shape-to-text:t;">
            <w:txbxContent>
              <w:p w14:paraId="4469464A">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82</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18D1">
    <w:pPr>
      <w:pStyle w:val="34"/>
      <w:framePr w:wrap="around" w:vAnchor="text" w:hAnchor="margin" w:xAlign="center" w:y="1"/>
      <w:tabs>
        <w:tab w:val="center" w:pos="4153"/>
        <w:tab w:val="right" w:pos="8306"/>
        <w:tab w:val="clear" w:pos="4140"/>
        <w:tab w:val="clear" w:pos="8300"/>
      </w:tabs>
      <w:rPr>
        <w:rStyle w:val="59"/>
      </w:rPr>
    </w:pPr>
    <w:r>
      <w:fldChar w:fldCharType="begin"/>
    </w:r>
    <w:r>
      <w:rPr>
        <w:rStyle w:val="59"/>
      </w:rPr>
      <w:instrText xml:space="preserve">PAGE  </w:instrText>
    </w:r>
    <w:r>
      <w:fldChar w:fldCharType="end"/>
    </w:r>
  </w:p>
  <w:p w14:paraId="65FBA9E7">
    <w:pPr>
      <w:pStyle w:val="34"/>
      <w:tabs>
        <w:tab w:val="center" w:pos="4153"/>
        <w:tab w:val="right" w:pos="8306"/>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4B91">
    <w:pPr>
      <w:pStyle w:val="34"/>
      <w:tabs>
        <w:tab w:val="center" w:pos="4153"/>
        <w:tab w:val="left" w:pos="5169"/>
        <w:tab w:val="clear" w:pos="4140"/>
      </w:tabs>
      <w:ind w:right="360"/>
      <w:jc w:val="both"/>
    </w:pPr>
    <w:r>
      <w:pict>
        <v:shape id="文本框 1025" o:spid="_x0000_s1028"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4vdRNAAAAAC&#10;AQAADwAAAAAAAAABACAAAAAiAAAAZHJzL2Rvd25yZXYueG1sUEsBAhQAFAAAAAgAh07iQIeY9Ejr&#10;AQAAzAMAAA4AAAAAAAAAAQAgAAAAHwEAAGRycy9lMm9Eb2MueG1sUEsFBgAAAAAGAAYAWQEAAHwF&#10;AAAAAA==&#10;">
          <v:path/>
          <v:fill on="f" focussize="0,0"/>
          <v:stroke on="f" joinstyle="miter"/>
          <v:imagedata o:title=""/>
          <o:lock v:ext="edit"/>
          <v:textbox inset="0mm,0mm,0mm,0mm" style="mso-fit-shape-to-text:t;">
            <w:txbxContent>
              <w:p w14:paraId="76E10B54">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6042">
    <w:pPr>
      <w:pStyle w:val="35"/>
      <w:pBdr>
        <w:bottom w:val="none" w:color="auto" w:sz="0" w:space="0"/>
      </w:pBdr>
      <w:tabs>
        <w:tab w:val="center" w:pos="4153"/>
        <w:tab w:val="right" w:pos="8306"/>
        <w:tab w:val="clear" w:pos="4140"/>
        <w:tab w:val="clear" w:pos="8300"/>
      </w:tabs>
    </w:pPr>
    <w:r>
      <w:rPr>
        <w:rFonts w:hint="eastAsia"/>
      </w:rPr>
      <w:t>崇左市人民医院保洁、绿植养护及电梯司乘服务项目（CZZC2026-G3-990076-CZSZ）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506F1">
    <w:pPr>
      <w:pStyle w:val="35"/>
      <w:pBdr>
        <w:bottom w:val="none" w:color="auto" w:sz="0" w:space="0"/>
      </w:pBdr>
      <w:tabs>
        <w:tab w:val="center" w:pos="4153"/>
        <w:tab w:val="right" w:pos="8306"/>
        <w:tab w:val="clear" w:pos="4140"/>
        <w:tab w:val="clear" w:pos="8300"/>
      </w:tabs>
    </w:pPr>
    <w:r>
      <w:rPr>
        <w:rFonts w:hint="eastAsia"/>
      </w:rPr>
      <w:t>崇左市人民医院保洁、绿植养护及电梯司乘服务项目（CZZC2026-G3-990076-CZSZ）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EDB3D"/>
    <w:multiLevelType w:val="singleLevel"/>
    <w:tmpl w:val="191EDB3D"/>
    <w:lvl w:ilvl="0" w:tentative="0">
      <w:start w:val="7"/>
      <w:numFmt w:val="decimal"/>
      <w:lvlText w:val="%1."/>
      <w:lvlJc w:val="left"/>
      <w:pPr>
        <w:tabs>
          <w:tab w:val="left" w:pos="312"/>
        </w:tabs>
      </w:p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dmYTdiMTQzNzRlZTAyMzBiYTFmYjcxOGQ3OGNhY2EifQ=="/>
  </w:docVars>
  <w:rsids>
    <w:rsidRoot w:val="00987B61"/>
    <w:rsid w:val="000028F3"/>
    <w:rsid w:val="00011B64"/>
    <w:rsid w:val="000346A6"/>
    <w:rsid w:val="00051D22"/>
    <w:rsid w:val="000638EB"/>
    <w:rsid w:val="00071A5C"/>
    <w:rsid w:val="000736DF"/>
    <w:rsid w:val="0008722D"/>
    <w:rsid w:val="000A49C3"/>
    <w:rsid w:val="000B32AA"/>
    <w:rsid w:val="000B5746"/>
    <w:rsid w:val="000D4A7C"/>
    <w:rsid w:val="000D5726"/>
    <w:rsid w:val="000E15C8"/>
    <w:rsid w:val="000E2A13"/>
    <w:rsid w:val="0010760E"/>
    <w:rsid w:val="00116077"/>
    <w:rsid w:val="00142108"/>
    <w:rsid w:val="0014293E"/>
    <w:rsid w:val="001429C1"/>
    <w:rsid w:val="00147009"/>
    <w:rsid w:val="001A0FFC"/>
    <w:rsid w:val="001A37F4"/>
    <w:rsid w:val="001B4ACD"/>
    <w:rsid w:val="001C3065"/>
    <w:rsid w:val="00207728"/>
    <w:rsid w:val="00242122"/>
    <w:rsid w:val="00243C58"/>
    <w:rsid w:val="0027204D"/>
    <w:rsid w:val="00281DE8"/>
    <w:rsid w:val="00291DC3"/>
    <w:rsid w:val="0029230C"/>
    <w:rsid w:val="002A47D1"/>
    <w:rsid w:val="002B0A3C"/>
    <w:rsid w:val="002B505E"/>
    <w:rsid w:val="002C09F8"/>
    <w:rsid w:val="002C2971"/>
    <w:rsid w:val="002C451F"/>
    <w:rsid w:val="002D18B4"/>
    <w:rsid w:val="00316646"/>
    <w:rsid w:val="00332455"/>
    <w:rsid w:val="00354E1E"/>
    <w:rsid w:val="00362928"/>
    <w:rsid w:val="00370AAA"/>
    <w:rsid w:val="00372075"/>
    <w:rsid w:val="003A6B66"/>
    <w:rsid w:val="003B0A38"/>
    <w:rsid w:val="003C3E3B"/>
    <w:rsid w:val="003C524B"/>
    <w:rsid w:val="003E4C67"/>
    <w:rsid w:val="00410C56"/>
    <w:rsid w:val="00412954"/>
    <w:rsid w:val="0041315F"/>
    <w:rsid w:val="0042117A"/>
    <w:rsid w:val="004272F2"/>
    <w:rsid w:val="004364F4"/>
    <w:rsid w:val="00451DBA"/>
    <w:rsid w:val="004671D1"/>
    <w:rsid w:val="004672B9"/>
    <w:rsid w:val="00476C82"/>
    <w:rsid w:val="004A7C0A"/>
    <w:rsid w:val="004B19AE"/>
    <w:rsid w:val="004D38F9"/>
    <w:rsid w:val="004E0D2C"/>
    <w:rsid w:val="004F5CE4"/>
    <w:rsid w:val="004F6774"/>
    <w:rsid w:val="00504411"/>
    <w:rsid w:val="0052132A"/>
    <w:rsid w:val="00547A9F"/>
    <w:rsid w:val="00552352"/>
    <w:rsid w:val="00553944"/>
    <w:rsid w:val="00566387"/>
    <w:rsid w:val="00566A63"/>
    <w:rsid w:val="00575F04"/>
    <w:rsid w:val="005761A0"/>
    <w:rsid w:val="005B4239"/>
    <w:rsid w:val="005B7D82"/>
    <w:rsid w:val="005D039F"/>
    <w:rsid w:val="005D1ACE"/>
    <w:rsid w:val="005D66F1"/>
    <w:rsid w:val="005D6803"/>
    <w:rsid w:val="005E14F4"/>
    <w:rsid w:val="005F5C12"/>
    <w:rsid w:val="005F6E07"/>
    <w:rsid w:val="00611AFF"/>
    <w:rsid w:val="00615576"/>
    <w:rsid w:val="0062093D"/>
    <w:rsid w:val="00621F8A"/>
    <w:rsid w:val="00625D47"/>
    <w:rsid w:val="006706F8"/>
    <w:rsid w:val="00670A92"/>
    <w:rsid w:val="00692669"/>
    <w:rsid w:val="00697C3B"/>
    <w:rsid w:val="006A7830"/>
    <w:rsid w:val="006B4B32"/>
    <w:rsid w:val="006E6EE5"/>
    <w:rsid w:val="006F28CA"/>
    <w:rsid w:val="00700CAE"/>
    <w:rsid w:val="007117C2"/>
    <w:rsid w:val="00724E19"/>
    <w:rsid w:val="0074197F"/>
    <w:rsid w:val="00747D37"/>
    <w:rsid w:val="0075336C"/>
    <w:rsid w:val="00775C37"/>
    <w:rsid w:val="007846CA"/>
    <w:rsid w:val="0079455F"/>
    <w:rsid w:val="007A3406"/>
    <w:rsid w:val="007B70A6"/>
    <w:rsid w:val="007D0DF3"/>
    <w:rsid w:val="007D35E7"/>
    <w:rsid w:val="00801D03"/>
    <w:rsid w:val="008344E2"/>
    <w:rsid w:val="0084218A"/>
    <w:rsid w:val="00852079"/>
    <w:rsid w:val="00852638"/>
    <w:rsid w:val="008526C3"/>
    <w:rsid w:val="00854DE4"/>
    <w:rsid w:val="00861246"/>
    <w:rsid w:val="0087416A"/>
    <w:rsid w:val="008746F6"/>
    <w:rsid w:val="00874C9E"/>
    <w:rsid w:val="00892FE7"/>
    <w:rsid w:val="008B200A"/>
    <w:rsid w:val="008B2129"/>
    <w:rsid w:val="008B5614"/>
    <w:rsid w:val="008C6C96"/>
    <w:rsid w:val="008F6DAC"/>
    <w:rsid w:val="0090032F"/>
    <w:rsid w:val="00910E21"/>
    <w:rsid w:val="00924263"/>
    <w:rsid w:val="0092673F"/>
    <w:rsid w:val="00933EA6"/>
    <w:rsid w:val="009463D3"/>
    <w:rsid w:val="00980957"/>
    <w:rsid w:val="00987B61"/>
    <w:rsid w:val="009C5823"/>
    <w:rsid w:val="009D40F2"/>
    <w:rsid w:val="009E0631"/>
    <w:rsid w:val="009F2CD9"/>
    <w:rsid w:val="00A026BF"/>
    <w:rsid w:val="00A03BD2"/>
    <w:rsid w:val="00A2739E"/>
    <w:rsid w:val="00A72853"/>
    <w:rsid w:val="00A73242"/>
    <w:rsid w:val="00A867D7"/>
    <w:rsid w:val="00AB3CF3"/>
    <w:rsid w:val="00AB5524"/>
    <w:rsid w:val="00AC0045"/>
    <w:rsid w:val="00AD61BC"/>
    <w:rsid w:val="00AD6750"/>
    <w:rsid w:val="00AE2475"/>
    <w:rsid w:val="00AF14A9"/>
    <w:rsid w:val="00B26488"/>
    <w:rsid w:val="00B27B8A"/>
    <w:rsid w:val="00B311D4"/>
    <w:rsid w:val="00B40A4C"/>
    <w:rsid w:val="00B64399"/>
    <w:rsid w:val="00BA4183"/>
    <w:rsid w:val="00BE3ACC"/>
    <w:rsid w:val="00BF0547"/>
    <w:rsid w:val="00BF08B8"/>
    <w:rsid w:val="00BF4FF6"/>
    <w:rsid w:val="00C0024D"/>
    <w:rsid w:val="00C067F3"/>
    <w:rsid w:val="00C12428"/>
    <w:rsid w:val="00C12DA6"/>
    <w:rsid w:val="00C148B7"/>
    <w:rsid w:val="00C2063E"/>
    <w:rsid w:val="00C26182"/>
    <w:rsid w:val="00C2697A"/>
    <w:rsid w:val="00C376C6"/>
    <w:rsid w:val="00C421DA"/>
    <w:rsid w:val="00C454AC"/>
    <w:rsid w:val="00C47BB6"/>
    <w:rsid w:val="00C556A1"/>
    <w:rsid w:val="00C76D9F"/>
    <w:rsid w:val="00C84551"/>
    <w:rsid w:val="00CA626D"/>
    <w:rsid w:val="00CB4FAF"/>
    <w:rsid w:val="00CB5E5C"/>
    <w:rsid w:val="00CC4D5E"/>
    <w:rsid w:val="00CE06E7"/>
    <w:rsid w:val="00D04ED4"/>
    <w:rsid w:val="00D16836"/>
    <w:rsid w:val="00D1741B"/>
    <w:rsid w:val="00D17A47"/>
    <w:rsid w:val="00D2666B"/>
    <w:rsid w:val="00D32300"/>
    <w:rsid w:val="00D54C2E"/>
    <w:rsid w:val="00D824C6"/>
    <w:rsid w:val="00D8663D"/>
    <w:rsid w:val="00D96EC8"/>
    <w:rsid w:val="00DB25BD"/>
    <w:rsid w:val="00DB2701"/>
    <w:rsid w:val="00DD2A9D"/>
    <w:rsid w:val="00DF40CA"/>
    <w:rsid w:val="00E055C1"/>
    <w:rsid w:val="00E25209"/>
    <w:rsid w:val="00E3568D"/>
    <w:rsid w:val="00E50E06"/>
    <w:rsid w:val="00E6682E"/>
    <w:rsid w:val="00E71DC8"/>
    <w:rsid w:val="00E75933"/>
    <w:rsid w:val="00E759E4"/>
    <w:rsid w:val="00E7601F"/>
    <w:rsid w:val="00E91B62"/>
    <w:rsid w:val="00E91E60"/>
    <w:rsid w:val="00E92282"/>
    <w:rsid w:val="00EA78B8"/>
    <w:rsid w:val="00EB2E53"/>
    <w:rsid w:val="00EB46D9"/>
    <w:rsid w:val="00ED0713"/>
    <w:rsid w:val="00F73330"/>
    <w:rsid w:val="00F7593D"/>
    <w:rsid w:val="00F8131E"/>
    <w:rsid w:val="00F87764"/>
    <w:rsid w:val="00FA0EB4"/>
    <w:rsid w:val="00FB0244"/>
    <w:rsid w:val="00FB5183"/>
    <w:rsid w:val="00FC52EE"/>
    <w:rsid w:val="00FD3876"/>
    <w:rsid w:val="00FE497E"/>
    <w:rsid w:val="01207B0A"/>
    <w:rsid w:val="012A4E2C"/>
    <w:rsid w:val="014A4B87"/>
    <w:rsid w:val="01633245"/>
    <w:rsid w:val="016F45ED"/>
    <w:rsid w:val="01934780"/>
    <w:rsid w:val="01957768"/>
    <w:rsid w:val="01AC7ED6"/>
    <w:rsid w:val="01B34E22"/>
    <w:rsid w:val="01D557C0"/>
    <w:rsid w:val="01DD1E9F"/>
    <w:rsid w:val="0200793B"/>
    <w:rsid w:val="02054F52"/>
    <w:rsid w:val="02151639"/>
    <w:rsid w:val="023615AF"/>
    <w:rsid w:val="023D0B8F"/>
    <w:rsid w:val="02B50726"/>
    <w:rsid w:val="02C92423"/>
    <w:rsid w:val="02CC3C0E"/>
    <w:rsid w:val="030C0E17"/>
    <w:rsid w:val="03382487"/>
    <w:rsid w:val="036A00FB"/>
    <w:rsid w:val="036B64E8"/>
    <w:rsid w:val="03870314"/>
    <w:rsid w:val="03912F41"/>
    <w:rsid w:val="03A8028B"/>
    <w:rsid w:val="03BB6210"/>
    <w:rsid w:val="03DB240E"/>
    <w:rsid w:val="03E5328D"/>
    <w:rsid w:val="03FF48AB"/>
    <w:rsid w:val="04294F27"/>
    <w:rsid w:val="0450104D"/>
    <w:rsid w:val="049513F2"/>
    <w:rsid w:val="05263148"/>
    <w:rsid w:val="055661F0"/>
    <w:rsid w:val="05620696"/>
    <w:rsid w:val="05CF1AFF"/>
    <w:rsid w:val="05D9472B"/>
    <w:rsid w:val="05DE1D42"/>
    <w:rsid w:val="06055520"/>
    <w:rsid w:val="062C0CFF"/>
    <w:rsid w:val="063400E4"/>
    <w:rsid w:val="06426774"/>
    <w:rsid w:val="06624721"/>
    <w:rsid w:val="067249C1"/>
    <w:rsid w:val="06821CCA"/>
    <w:rsid w:val="068B011B"/>
    <w:rsid w:val="06AC6CC8"/>
    <w:rsid w:val="06B70F10"/>
    <w:rsid w:val="06BA455D"/>
    <w:rsid w:val="06D961DB"/>
    <w:rsid w:val="06F40FF5"/>
    <w:rsid w:val="071E213B"/>
    <w:rsid w:val="07322345"/>
    <w:rsid w:val="0797489E"/>
    <w:rsid w:val="079B438E"/>
    <w:rsid w:val="07C02047"/>
    <w:rsid w:val="07CB70B1"/>
    <w:rsid w:val="07E13D6B"/>
    <w:rsid w:val="07E5385B"/>
    <w:rsid w:val="07FC18B6"/>
    <w:rsid w:val="087F5A5E"/>
    <w:rsid w:val="08960E3D"/>
    <w:rsid w:val="08A2174C"/>
    <w:rsid w:val="08EB0A30"/>
    <w:rsid w:val="08F301FA"/>
    <w:rsid w:val="090650D7"/>
    <w:rsid w:val="09144C38"/>
    <w:rsid w:val="09246605"/>
    <w:rsid w:val="093A1985"/>
    <w:rsid w:val="09434CDD"/>
    <w:rsid w:val="096411BD"/>
    <w:rsid w:val="09B07E99"/>
    <w:rsid w:val="09CD2C33"/>
    <w:rsid w:val="09D25EEB"/>
    <w:rsid w:val="09D92CC0"/>
    <w:rsid w:val="09E669D9"/>
    <w:rsid w:val="0A036E3D"/>
    <w:rsid w:val="0A0666E0"/>
    <w:rsid w:val="0A584918"/>
    <w:rsid w:val="0A595B22"/>
    <w:rsid w:val="0ACE5F4D"/>
    <w:rsid w:val="0ADD081A"/>
    <w:rsid w:val="0B024724"/>
    <w:rsid w:val="0B36617C"/>
    <w:rsid w:val="0B3FBD92"/>
    <w:rsid w:val="0B61769D"/>
    <w:rsid w:val="0B674587"/>
    <w:rsid w:val="0B6B051B"/>
    <w:rsid w:val="0B7A71C5"/>
    <w:rsid w:val="0BB652E5"/>
    <w:rsid w:val="0BC67500"/>
    <w:rsid w:val="0BDE2A9B"/>
    <w:rsid w:val="0BEB6F66"/>
    <w:rsid w:val="0BED0A27"/>
    <w:rsid w:val="0C0000B3"/>
    <w:rsid w:val="0C210BDA"/>
    <w:rsid w:val="0C364685"/>
    <w:rsid w:val="0C5B44D7"/>
    <w:rsid w:val="0CAF4438"/>
    <w:rsid w:val="0CBD6378"/>
    <w:rsid w:val="0CE340E1"/>
    <w:rsid w:val="0D0227BA"/>
    <w:rsid w:val="0D0E5602"/>
    <w:rsid w:val="0D272220"/>
    <w:rsid w:val="0D410900"/>
    <w:rsid w:val="0D4B4161"/>
    <w:rsid w:val="0D652E26"/>
    <w:rsid w:val="0D755681"/>
    <w:rsid w:val="0D9C2C0E"/>
    <w:rsid w:val="0D9D3C46"/>
    <w:rsid w:val="0DB5782C"/>
    <w:rsid w:val="0DB8335B"/>
    <w:rsid w:val="0DC52D99"/>
    <w:rsid w:val="0DD26630"/>
    <w:rsid w:val="0DD95C10"/>
    <w:rsid w:val="0DEA1BCB"/>
    <w:rsid w:val="0DED6368"/>
    <w:rsid w:val="0E4A08BC"/>
    <w:rsid w:val="0E4A4418"/>
    <w:rsid w:val="0E6574A4"/>
    <w:rsid w:val="0E6D45AA"/>
    <w:rsid w:val="0EB06D15"/>
    <w:rsid w:val="0EB36461"/>
    <w:rsid w:val="0EBE077E"/>
    <w:rsid w:val="0EBFB40D"/>
    <w:rsid w:val="0EE77627"/>
    <w:rsid w:val="0F011985"/>
    <w:rsid w:val="0F66061E"/>
    <w:rsid w:val="0F895414"/>
    <w:rsid w:val="0F950DA4"/>
    <w:rsid w:val="0F9D2C6D"/>
    <w:rsid w:val="0FE10DAC"/>
    <w:rsid w:val="0FF12903"/>
    <w:rsid w:val="0FFC1742"/>
    <w:rsid w:val="10173FAB"/>
    <w:rsid w:val="1045393E"/>
    <w:rsid w:val="10545A22"/>
    <w:rsid w:val="105A290D"/>
    <w:rsid w:val="107C5A41"/>
    <w:rsid w:val="10E723F2"/>
    <w:rsid w:val="10F60887"/>
    <w:rsid w:val="110273FB"/>
    <w:rsid w:val="116577BB"/>
    <w:rsid w:val="11692E07"/>
    <w:rsid w:val="116B3023"/>
    <w:rsid w:val="116E041E"/>
    <w:rsid w:val="11CC783A"/>
    <w:rsid w:val="11E852B1"/>
    <w:rsid w:val="120E226D"/>
    <w:rsid w:val="12495CFE"/>
    <w:rsid w:val="124D097B"/>
    <w:rsid w:val="127C6B6A"/>
    <w:rsid w:val="128C5076"/>
    <w:rsid w:val="129C0FBA"/>
    <w:rsid w:val="12A54313"/>
    <w:rsid w:val="13182D37"/>
    <w:rsid w:val="132067D5"/>
    <w:rsid w:val="13255454"/>
    <w:rsid w:val="133F6D99"/>
    <w:rsid w:val="134F6CA2"/>
    <w:rsid w:val="13693592"/>
    <w:rsid w:val="137361BF"/>
    <w:rsid w:val="13741F37"/>
    <w:rsid w:val="13D07E6D"/>
    <w:rsid w:val="13E93BC1"/>
    <w:rsid w:val="14215C1B"/>
    <w:rsid w:val="145C4EA5"/>
    <w:rsid w:val="147C72F5"/>
    <w:rsid w:val="14A07D34"/>
    <w:rsid w:val="14A7532A"/>
    <w:rsid w:val="14B06F9F"/>
    <w:rsid w:val="14BC76F2"/>
    <w:rsid w:val="14BF323B"/>
    <w:rsid w:val="14C447F8"/>
    <w:rsid w:val="14C8253B"/>
    <w:rsid w:val="14C91E0F"/>
    <w:rsid w:val="153323D4"/>
    <w:rsid w:val="15353C26"/>
    <w:rsid w:val="15400301"/>
    <w:rsid w:val="158C3C09"/>
    <w:rsid w:val="15A80030"/>
    <w:rsid w:val="15AF1BFE"/>
    <w:rsid w:val="15B14D7D"/>
    <w:rsid w:val="15F5110D"/>
    <w:rsid w:val="1608052B"/>
    <w:rsid w:val="166869D4"/>
    <w:rsid w:val="166A2EEE"/>
    <w:rsid w:val="1677708D"/>
    <w:rsid w:val="1695469E"/>
    <w:rsid w:val="169A3D9E"/>
    <w:rsid w:val="169F1079"/>
    <w:rsid w:val="16A3500D"/>
    <w:rsid w:val="16A42B33"/>
    <w:rsid w:val="16CA259A"/>
    <w:rsid w:val="16CB66C2"/>
    <w:rsid w:val="16D323A1"/>
    <w:rsid w:val="16DF591A"/>
    <w:rsid w:val="16F125C4"/>
    <w:rsid w:val="17005FBC"/>
    <w:rsid w:val="17081314"/>
    <w:rsid w:val="171750B3"/>
    <w:rsid w:val="171E6442"/>
    <w:rsid w:val="1752258F"/>
    <w:rsid w:val="17842D50"/>
    <w:rsid w:val="17A54DB5"/>
    <w:rsid w:val="17A76437"/>
    <w:rsid w:val="17B14EDF"/>
    <w:rsid w:val="17D377DF"/>
    <w:rsid w:val="17FF7357"/>
    <w:rsid w:val="18163ABC"/>
    <w:rsid w:val="181D2B9D"/>
    <w:rsid w:val="182F4CA9"/>
    <w:rsid w:val="18502F73"/>
    <w:rsid w:val="185C36C6"/>
    <w:rsid w:val="186E51A7"/>
    <w:rsid w:val="18786026"/>
    <w:rsid w:val="18B40523"/>
    <w:rsid w:val="18CB2F46"/>
    <w:rsid w:val="18CB43A7"/>
    <w:rsid w:val="18FB667D"/>
    <w:rsid w:val="19322678"/>
    <w:rsid w:val="19436634"/>
    <w:rsid w:val="19481E9C"/>
    <w:rsid w:val="19913E8A"/>
    <w:rsid w:val="19AC242B"/>
    <w:rsid w:val="19AF1F1B"/>
    <w:rsid w:val="19B412DF"/>
    <w:rsid w:val="19B6007F"/>
    <w:rsid w:val="19B72B7E"/>
    <w:rsid w:val="19C53688"/>
    <w:rsid w:val="19CF7E4E"/>
    <w:rsid w:val="1A420699"/>
    <w:rsid w:val="1A59781B"/>
    <w:rsid w:val="1A5D54D3"/>
    <w:rsid w:val="1A6E2721"/>
    <w:rsid w:val="1A7222BA"/>
    <w:rsid w:val="1AB175CD"/>
    <w:rsid w:val="1AC91670"/>
    <w:rsid w:val="1AD21561"/>
    <w:rsid w:val="1B0F0EC3"/>
    <w:rsid w:val="1B2724FC"/>
    <w:rsid w:val="1B2B0B2B"/>
    <w:rsid w:val="1B2D759B"/>
    <w:rsid w:val="1B326960"/>
    <w:rsid w:val="1B5A7C65"/>
    <w:rsid w:val="1BAF1D5E"/>
    <w:rsid w:val="1BBD091F"/>
    <w:rsid w:val="1BEB1C10"/>
    <w:rsid w:val="1BF14125"/>
    <w:rsid w:val="1C2818FE"/>
    <w:rsid w:val="1C4B64A7"/>
    <w:rsid w:val="1C5648D0"/>
    <w:rsid w:val="1CC81071"/>
    <w:rsid w:val="1CC932F4"/>
    <w:rsid w:val="1CDFF17F"/>
    <w:rsid w:val="1D267905"/>
    <w:rsid w:val="1D434E54"/>
    <w:rsid w:val="1D526E45"/>
    <w:rsid w:val="1D552DD9"/>
    <w:rsid w:val="1D7B69ED"/>
    <w:rsid w:val="1D880AB9"/>
    <w:rsid w:val="1DC37D43"/>
    <w:rsid w:val="1DE859FC"/>
    <w:rsid w:val="1DE935E5"/>
    <w:rsid w:val="1E05035C"/>
    <w:rsid w:val="1E107DB8"/>
    <w:rsid w:val="1E1862E1"/>
    <w:rsid w:val="1E1E31CB"/>
    <w:rsid w:val="1E2B7FD1"/>
    <w:rsid w:val="1E42510C"/>
    <w:rsid w:val="1E5F2A6E"/>
    <w:rsid w:val="1E5F2DC5"/>
    <w:rsid w:val="1E7D6144"/>
    <w:rsid w:val="1EBB6C6C"/>
    <w:rsid w:val="1EC82483"/>
    <w:rsid w:val="1EE73F05"/>
    <w:rsid w:val="1EEA59E8"/>
    <w:rsid w:val="1EEB0EFB"/>
    <w:rsid w:val="1F536EA5"/>
    <w:rsid w:val="1F63358C"/>
    <w:rsid w:val="1F7BBF2E"/>
    <w:rsid w:val="1F83778A"/>
    <w:rsid w:val="1F952318"/>
    <w:rsid w:val="1FBF86EC"/>
    <w:rsid w:val="1FD19F34"/>
    <w:rsid w:val="1FEE9AA2"/>
    <w:rsid w:val="1FF57F5C"/>
    <w:rsid w:val="1FFF4983"/>
    <w:rsid w:val="200307FA"/>
    <w:rsid w:val="201523AC"/>
    <w:rsid w:val="20204247"/>
    <w:rsid w:val="20631027"/>
    <w:rsid w:val="20740615"/>
    <w:rsid w:val="208714FC"/>
    <w:rsid w:val="20AC4ABE"/>
    <w:rsid w:val="20CA3197"/>
    <w:rsid w:val="20CE561E"/>
    <w:rsid w:val="20F3093F"/>
    <w:rsid w:val="213056EF"/>
    <w:rsid w:val="214E5B76"/>
    <w:rsid w:val="2150596F"/>
    <w:rsid w:val="219A723D"/>
    <w:rsid w:val="21CB16E8"/>
    <w:rsid w:val="21D97A24"/>
    <w:rsid w:val="21DC5877"/>
    <w:rsid w:val="21DE15EF"/>
    <w:rsid w:val="21E93AF0"/>
    <w:rsid w:val="223E208E"/>
    <w:rsid w:val="225D0766"/>
    <w:rsid w:val="22B660C8"/>
    <w:rsid w:val="22C8518E"/>
    <w:rsid w:val="22C97BAA"/>
    <w:rsid w:val="22CC0F2A"/>
    <w:rsid w:val="22DD3653"/>
    <w:rsid w:val="22EE5862"/>
    <w:rsid w:val="230A01C2"/>
    <w:rsid w:val="231B23CF"/>
    <w:rsid w:val="23214815"/>
    <w:rsid w:val="232E5C5F"/>
    <w:rsid w:val="2375388E"/>
    <w:rsid w:val="238503D1"/>
    <w:rsid w:val="23A31DC3"/>
    <w:rsid w:val="23BC14BC"/>
    <w:rsid w:val="23C35655"/>
    <w:rsid w:val="23C87E61"/>
    <w:rsid w:val="23F21382"/>
    <w:rsid w:val="23F24EDE"/>
    <w:rsid w:val="23FF7726"/>
    <w:rsid w:val="241475DC"/>
    <w:rsid w:val="243A5657"/>
    <w:rsid w:val="244B0A92"/>
    <w:rsid w:val="248A15BB"/>
    <w:rsid w:val="24B93C4E"/>
    <w:rsid w:val="24C30629"/>
    <w:rsid w:val="24D5203C"/>
    <w:rsid w:val="25162A04"/>
    <w:rsid w:val="25420ED4"/>
    <w:rsid w:val="254774AC"/>
    <w:rsid w:val="25506360"/>
    <w:rsid w:val="25826736"/>
    <w:rsid w:val="259124D5"/>
    <w:rsid w:val="25CC4F38"/>
    <w:rsid w:val="25D54AB7"/>
    <w:rsid w:val="25E66CC5"/>
    <w:rsid w:val="261A2CA5"/>
    <w:rsid w:val="264A0C57"/>
    <w:rsid w:val="26551E82"/>
    <w:rsid w:val="26584833"/>
    <w:rsid w:val="267E514F"/>
    <w:rsid w:val="268564DD"/>
    <w:rsid w:val="26937F25"/>
    <w:rsid w:val="269F6F91"/>
    <w:rsid w:val="26A2025D"/>
    <w:rsid w:val="26A821CC"/>
    <w:rsid w:val="26C16DEA"/>
    <w:rsid w:val="26E86A6C"/>
    <w:rsid w:val="27003DB6"/>
    <w:rsid w:val="2714160F"/>
    <w:rsid w:val="276F3234"/>
    <w:rsid w:val="278DF010"/>
    <w:rsid w:val="27A42993"/>
    <w:rsid w:val="27A91D58"/>
    <w:rsid w:val="27AA5AD0"/>
    <w:rsid w:val="27D668C5"/>
    <w:rsid w:val="281025A5"/>
    <w:rsid w:val="282854B7"/>
    <w:rsid w:val="28B365AD"/>
    <w:rsid w:val="28C606E7"/>
    <w:rsid w:val="28F416F8"/>
    <w:rsid w:val="29030077"/>
    <w:rsid w:val="29220014"/>
    <w:rsid w:val="29233D8C"/>
    <w:rsid w:val="29252777"/>
    <w:rsid w:val="2929548A"/>
    <w:rsid w:val="29297346"/>
    <w:rsid w:val="294A57BC"/>
    <w:rsid w:val="29584911"/>
    <w:rsid w:val="295B2F75"/>
    <w:rsid w:val="29777BB7"/>
    <w:rsid w:val="29C9048F"/>
    <w:rsid w:val="29DBC89D"/>
    <w:rsid w:val="29E90B31"/>
    <w:rsid w:val="29FF8421"/>
    <w:rsid w:val="2A024AF4"/>
    <w:rsid w:val="2A281FC1"/>
    <w:rsid w:val="2A2B4E3C"/>
    <w:rsid w:val="2A461AE0"/>
    <w:rsid w:val="2A925337"/>
    <w:rsid w:val="2A975780"/>
    <w:rsid w:val="2ABE3D6C"/>
    <w:rsid w:val="2ADC2444"/>
    <w:rsid w:val="2B0A6FB1"/>
    <w:rsid w:val="2B0F6EBE"/>
    <w:rsid w:val="2B120295"/>
    <w:rsid w:val="2B133692"/>
    <w:rsid w:val="2B1F0A2D"/>
    <w:rsid w:val="2B2D54F9"/>
    <w:rsid w:val="2B3FE2D0"/>
    <w:rsid w:val="2B5621F6"/>
    <w:rsid w:val="2B62521D"/>
    <w:rsid w:val="2B7B492A"/>
    <w:rsid w:val="2B946C1B"/>
    <w:rsid w:val="2BA51F9A"/>
    <w:rsid w:val="2BBB02AC"/>
    <w:rsid w:val="2BDA2E28"/>
    <w:rsid w:val="2BE05E12"/>
    <w:rsid w:val="2BE05F64"/>
    <w:rsid w:val="2BFB7EE0"/>
    <w:rsid w:val="2C2916B9"/>
    <w:rsid w:val="2C2DB96B"/>
    <w:rsid w:val="2C6421B7"/>
    <w:rsid w:val="2CBD0053"/>
    <w:rsid w:val="2CCC3583"/>
    <w:rsid w:val="2CE774CF"/>
    <w:rsid w:val="2D3D112A"/>
    <w:rsid w:val="2D496844"/>
    <w:rsid w:val="2D8867FD"/>
    <w:rsid w:val="2DAE0286"/>
    <w:rsid w:val="2DB33930"/>
    <w:rsid w:val="2DCD07EB"/>
    <w:rsid w:val="2DD50AD5"/>
    <w:rsid w:val="2DEA30CA"/>
    <w:rsid w:val="2DF67CC1"/>
    <w:rsid w:val="2E035EBA"/>
    <w:rsid w:val="2E1063E3"/>
    <w:rsid w:val="2E3D769E"/>
    <w:rsid w:val="2E6966E5"/>
    <w:rsid w:val="2E7D3700"/>
    <w:rsid w:val="2E957790"/>
    <w:rsid w:val="2E9FBE80"/>
    <w:rsid w:val="2EAC81C7"/>
    <w:rsid w:val="2EB9E33C"/>
    <w:rsid w:val="2ECB2EFB"/>
    <w:rsid w:val="2ECF1954"/>
    <w:rsid w:val="2EDC6EB7"/>
    <w:rsid w:val="2EEDBF9C"/>
    <w:rsid w:val="2EFF407F"/>
    <w:rsid w:val="2F0D0E1E"/>
    <w:rsid w:val="2F1523C9"/>
    <w:rsid w:val="2F570CF6"/>
    <w:rsid w:val="2F581368"/>
    <w:rsid w:val="2F631C4A"/>
    <w:rsid w:val="2F78340F"/>
    <w:rsid w:val="2F7B5324"/>
    <w:rsid w:val="2F7F3C22"/>
    <w:rsid w:val="2F9037FD"/>
    <w:rsid w:val="2FA4E2F4"/>
    <w:rsid w:val="2FBE7946"/>
    <w:rsid w:val="2FC00586"/>
    <w:rsid w:val="2FCFC0A5"/>
    <w:rsid w:val="2FE7C8CE"/>
    <w:rsid w:val="2FEE0445"/>
    <w:rsid w:val="2FEF49C8"/>
    <w:rsid w:val="2FF84599"/>
    <w:rsid w:val="2FFF0C1C"/>
    <w:rsid w:val="30077F63"/>
    <w:rsid w:val="302F584B"/>
    <w:rsid w:val="30881DDD"/>
    <w:rsid w:val="30C145B6"/>
    <w:rsid w:val="31140B8A"/>
    <w:rsid w:val="31244B45"/>
    <w:rsid w:val="312F7772"/>
    <w:rsid w:val="315E3BB3"/>
    <w:rsid w:val="317F1D7B"/>
    <w:rsid w:val="322328A2"/>
    <w:rsid w:val="32330B44"/>
    <w:rsid w:val="3244724D"/>
    <w:rsid w:val="32917FB8"/>
    <w:rsid w:val="329F0927"/>
    <w:rsid w:val="32B75C71"/>
    <w:rsid w:val="32D560F7"/>
    <w:rsid w:val="32DED9E2"/>
    <w:rsid w:val="32EF7A4D"/>
    <w:rsid w:val="33030EB6"/>
    <w:rsid w:val="333B11B6"/>
    <w:rsid w:val="3341553A"/>
    <w:rsid w:val="33957634"/>
    <w:rsid w:val="33C301D3"/>
    <w:rsid w:val="33CA19D4"/>
    <w:rsid w:val="33DB4427"/>
    <w:rsid w:val="33EF9715"/>
    <w:rsid w:val="33FDD19A"/>
    <w:rsid w:val="343B01B4"/>
    <w:rsid w:val="348428C3"/>
    <w:rsid w:val="348F6779"/>
    <w:rsid w:val="349A0CEE"/>
    <w:rsid w:val="34B25436"/>
    <w:rsid w:val="34D50630"/>
    <w:rsid w:val="34DDDF9A"/>
    <w:rsid w:val="34FA5243"/>
    <w:rsid w:val="34FF3A7A"/>
    <w:rsid w:val="352A1EED"/>
    <w:rsid w:val="35300883"/>
    <w:rsid w:val="35796EFC"/>
    <w:rsid w:val="35AF0E81"/>
    <w:rsid w:val="35BB2B7B"/>
    <w:rsid w:val="35F70910"/>
    <w:rsid w:val="35F7CBF4"/>
    <w:rsid w:val="35FD1F66"/>
    <w:rsid w:val="35FFC3DB"/>
    <w:rsid w:val="35FFD759"/>
    <w:rsid w:val="360E0429"/>
    <w:rsid w:val="361138EA"/>
    <w:rsid w:val="361B02C4"/>
    <w:rsid w:val="367F579D"/>
    <w:rsid w:val="369462C9"/>
    <w:rsid w:val="36A57A0F"/>
    <w:rsid w:val="36BA5D2F"/>
    <w:rsid w:val="36BFEDA0"/>
    <w:rsid w:val="36EC7EB3"/>
    <w:rsid w:val="36FE6538"/>
    <w:rsid w:val="37182A56"/>
    <w:rsid w:val="371B2546"/>
    <w:rsid w:val="3726C445"/>
    <w:rsid w:val="37296A11"/>
    <w:rsid w:val="37505428"/>
    <w:rsid w:val="376A1D62"/>
    <w:rsid w:val="377F2ACF"/>
    <w:rsid w:val="37874F45"/>
    <w:rsid w:val="37AB1B1C"/>
    <w:rsid w:val="37BE35FD"/>
    <w:rsid w:val="37D56B99"/>
    <w:rsid w:val="37DC1CD5"/>
    <w:rsid w:val="37FE509C"/>
    <w:rsid w:val="38060B00"/>
    <w:rsid w:val="38417D8A"/>
    <w:rsid w:val="3851621F"/>
    <w:rsid w:val="38593326"/>
    <w:rsid w:val="387C4DE2"/>
    <w:rsid w:val="389820A0"/>
    <w:rsid w:val="38AF5476"/>
    <w:rsid w:val="38B46719"/>
    <w:rsid w:val="38BA783F"/>
    <w:rsid w:val="38CF35E8"/>
    <w:rsid w:val="38D53666"/>
    <w:rsid w:val="38DF69E2"/>
    <w:rsid w:val="38E52E0C"/>
    <w:rsid w:val="38F0217A"/>
    <w:rsid w:val="3942025E"/>
    <w:rsid w:val="39431DE5"/>
    <w:rsid w:val="398E06A6"/>
    <w:rsid w:val="399FA462"/>
    <w:rsid w:val="39C1678C"/>
    <w:rsid w:val="39F31088"/>
    <w:rsid w:val="39FB7B8F"/>
    <w:rsid w:val="3A010751"/>
    <w:rsid w:val="3A092B2A"/>
    <w:rsid w:val="3A306BBE"/>
    <w:rsid w:val="3A396F6B"/>
    <w:rsid w:val="3A3E394E"/>
    <w:rsid w:val="3A47779C"/>
    <w:rsid w:val="3A6A65F2"/>
    <w:rsid w:val="3A6F10FB"/>
    <w:rsid w:val="3A8C79E3"/>
    <w:rsid w:val="3A9B19D4"/>
    <w:rsid w:val="3AA21F1A"/>
    <w:rsid w:val="3ABF00A1"/>
    <w:rsid w:val="3AC106C6"/>
    <w:rsid w:val="3AEF3484"/>
    <w:rsid w:val="3AFC5FE5"/>
    <w:rsid w:val="3B380C03"/>
    <w:rsid w:val="3B3FB9F7"/>
    <w:rsid w:val="3B6C15C2"/>
    <w:rsid w:val="3B74C1D1"/>
    <w:rsid w:val="3B7F4C6C"/>
    <w:rsid w:val="3B966D48"/>
    <w:rsid w:val="3BB96BD9"/>
    <w:rsid w:val="3BCC6E16"/>
    <w:rsid w:val="3BCE986F"/>
    <w:rsid w:val="3BEE7D46"/>
    <w:rsid w:val="3BFA6BCE"/>
    <w:rsid w:val="3BFD3704"/>
    <w:rsid w:val="3BFF90C1"/>
    <w:rsid w:val="3C395948"/>
    <w:rsid w:val="3C6250A3"/>
    <w:rsid w:val="3C8D3764"/>
    <w:rsid w:val="3C940DD1"/>
    <w:rsid w:val="3CA01523"/>
    <w:rsid w:val="3CC7E36F"/>
    <w:rsid w:val="3CC92DE1"/>
    <w:rsid w:val="3CD72A6B"/>
    <w:rsid w:val="3CE20FCF"/>
    <w:rsid w:val="3CFF0F58"/>
    <w:rsid w:val="3D043BC6"/>
    <w:rsid w:val="3D3F745B"/>
    <w:rsid w:val="3D7A7C25"/>
    <w:rsid w:val="3D7B3920"/>
    <w:rsid w:val="3D8C751D"/>
    <w:rsid w:val="3D95576C"/>
    <w:rsid w:val="3DA05553"/>
    <w:rsid w:val="3DBA9E76"/>
    <w:rsid w:val="3DBD8E4C"/>
    <w:rsid w:val="3DDD5A06"/>
    <w:rsid w:val="3DDFF3D9"/>
    <w:rsid w:val="3DFF690B"/>
    <w:rsid w:val="3DFFE8D1"/>
    <w:rsid w:val="3E0C4997"/>
    <w:rsid w:val="3E0E6B7D"/>
    <w:rsid w:val="3E30489E"/>
    <w:rsid w:val="3E3F55D6"/>
    <w:rsid w:val="3E5B1842"/>
    <w:rsid w:val="3E868AC3"/>
    <w:rsid w:val="3ECDF9F0"/>
    <w:rsid w:val="3EDA0BBE"/>
    <w:rsid w:val="3EF5367D"/>
    <w:rsid w:val="3EF75647"/>
    <w:rsid w:val="3EF76551"/>
    <w:rsid w:val="3EFE4C2F"/>
    <w:rsid w:val="3EFF014D"/>
    <w:rsid w:val="3EFF4EC3"/>
    <w:rsid w:val="3F1B1335"/>
    <w:rsid w:val="3F1DC19F"/>
    <w:rsid w:val="3F1E1BB3"/>
    <w:rsid w:val="3F2C3B4C"/>
    <w:rsid w:val="3F2F6720"/>
    <w:rsid w:val="3F3B7691"/>
    <w:rsid w:val="3F47541D"/>
    <w:rsid w:val="3F530BEB"/>
    <w:rsid w:val="3F591E5E"/>
    <w:rsid w:val="3F5F63EC"/>
    <w:rsid w:val="3F7E4C99"/>
    <w:rsid w:val="3F7F58CE"/>
    <w:rsid w:val="3F9B5FD2"/>
    <w:rsid w:val="3FAF7CCF"/>
    <w:rsid w:val="3FBB14C1"/>
    <w:rsid w:val="3FCA7BF8"/>
    <w:rsid w:val="3FDF058F"/>
    <w:rsid w:val="3FE313DF"/>
    <w:rsid w:val="3FED4923"/>
    <w:rsid w:val="3FEFD35A"/>
    <w:rsid w:val="3FF12096"/>
    <w:rsid w:val="3FF37B1B"/>
    <w:rsid w:val="3FF57945"/>
    <w:rsid w:val="3FF7CAB5"/>
    <w:rsid w:val="3FF7E087"/>
    <w:rsid w:val="3FF9F684"/>
    <w:rsid w:val="3FFEE5A4"/>
    <w:rsid w:val="3FFF6C37"/>
    <w:rsid w:val="400B1015"/>
    <w:rsid w:val="400E2C48"/>
    <w:rsid w:val="401069C0"/>
    <w:rsid w:val="401364B0"/>
    <w:rsid w:val="40450DA9"/>
    <w:rsid w:val="40833636"/>
    <w:rsid w:val="40A9471F"/>
    <w:rsid w:val="40D739F2"/>
    <w:rsid w:val="40DC68A2"/>
    <w:rsid w:val="40FE2B4E"/>
    <w:rsid w:val="410C274F"/>
    <w:rsid w:val="410D1B10"/>
    <w:rsid w:val="412071E1"/>
    <w:rsid w:val="4162149D"/>
    <w:rsid w:val="4168282C"/>
    <w:rsid w:val="41727207"/>
    <w:rsid w:val="417E5BAB"/>
    <w:rsid w:val="41894EB0"/>
    <w:rsid w:val="41A43864"/>
    <w:rsid w:val="41B46346"/>
    <w:rsid w:val="41BD4926"/>
    <w:rsid w:val="41EA1493"/>
    <w:rsid w:val="41F4DF7D"/>
    <w:rsid w:val="425705B7"/>
    <w:rsid w:val="425A5FBC"/>
    <w:rsid w:val="425D3A13"/>
    <w:rsid w:val="426D5A4D"/>
    <w:rsid w:val="429817A4"/>
    <w:rsid w:val="42A142B5"/>
    <w:rsid w:val="43283134"/>
    <w:rsid w:val="433F191E"/>
    <w:rsid w:val="43601A0D"/>
    <w:rsid w:val="43683470"/>
    <w:rsid w:val="436865A2"/>
    <w:rsid w:val="43727992"/>
    <w:rsid w:val="43C27FD1"/>
    <w:rsid w:val="446B16C3"/>
    <w:rsid w:val="44AC5327"/>
    <w:rsid w:val="44D81A76"/>
    <w:rsid w:val="44E71327"/>
    <w:rsid w:val="44FF31B7"/>
    <w:rsid w:val="454E4A5D"/>
    <w:rsid w:val="45576E3F"/>
    <w:rsid w:val="455B692F"/>
    <w:rsid w:val="459C04E5"/>
    <w:rsid w:val="45AC7E7F"/>
    <w:rsid w:val="45C85647"/>
    <w:rsid w:val="45ED51BC"/>
    <w:rsid w:val="45F573B8"/>
    <w:rsid w:val="4614088C"/>
    <w:rsid w:val="462C312B"/>
    <w:rsid w:val="464C1041"/>
    <w:rsid w:val="468441AD"/>
    <w:rsid w:val="468F56AB"/>
    <w:rsid w:val="46DEDD2C"/>
    <w:rsid w:val="46EB3F17"/>
    <w:rsid w:val="47380DE7"/>
    <w:rsid w:val="4766659B"/>
    <w:rsid w:val="476E221E"/>
    <w:rsid w:val="477B2797"/>
    <w:rsid w:val="477ECFB8"/>
    <w:rsid w:val="478B1022"/>
    <w:rsid w:val="478F0B12"/>
    <w:rsid w:val="47953C4F"/>
    <w:rsid w:val="479F4109"/>
    <w:rsid w:val="47AA594C"/>
    <w:rsid w:val="47BB6897"/>
    <w:rsid w:val="47BBFF48"/>
    <w:rsid w:val="47D66741"/>
    <w:rsid w:val="47D76015"/>
    <w:rsid w:val="47DF0C10"/>
    <w:rsid w:val="47E2398A"/>
    <w:rsid w:val="47E64EED"/>
    <w:rsid w:val="47F44E19"/>
    <w:rsid w:val="47FF3E13"/>
    <w:rsid w:val="47FF9259"/>
    <w:rsid w:val="481D4374"/>
    <w:rsid w:val="486A50DB"/>
    <w:rsid w:val="487B4BF3"/>
    <w:rsid w:val="488066AD"/>
    <w:rsid w:val="48897310"/>
    <w:rsid w:val="48F84495"/>
    <w:rsid w:val="48FF75D2"/>
    <w:rsid w:val="495D5814"/>
    <w:rsid w:val="49795384"/>
    <w:rsid w:val="49C83E68"/>
    <w:rsid w:val="49DE3D9E"/>
    <w:rsid w:val="49E573CC"/>
    <w:rsid w:val="49F17862"/>
    <w:rsid w:val="4A0F7CE8"/>
    <w:rsid w:val="4A203CA4"/>
    <w:rsid w:val="4A2A68D0"/>
    <w:rsid w:val="4A3634C7"/>
    <w:rsid w:val="4A556FE7"/>
    <w:rsid w:val="4A8444B7"/>
    <w:rsid w:val="4ABF170F"/>
    <w:rsid w:val="4AD597D6"/>
    <w:rsid w:val="4AD833F0"/>
    <w:rsid w:val="4B1355B6"/>
    <w:rsid w:val="4B1A4B97"/>
    <w:rsid w:val="4B242DE5"/>
    <w:rsid w:val="4B321EE0"/>
    <w:rsid w:val="4B3F45FD"/>
    <w:rsid w:val="4B4343D3"/>
    <w:rsid w:val="4B674D0F"/>
    <w:rsid w:val="4B73193A"/>
    <w:rsid w:val="4B7BC9BA"/>
    <w:rsid w:val="4BA6467C"/>
    <w:rsid w:val="4BC32B39"/>
    <w:rsid w:val="4BDBE377"/>
    <w:rsid w:val="4BE11211"/>
    <w:rsid w:val="4C1F188A"/>
    <w:rsid w:val="4C4231FA"/>
    <w:rsid w:val="4C7BE755"/>
    <w:rsid w:val="4D0F70D2"/>
    <w:rsid w:val="4D1A4990"/>
    <w:rsid w:val="4D272911"/>
    <w:rsid w:val="4D2770F7"/>
    <w:rsid w:val="4D302450"/>
    <w:rsid w:val="4D35747B"/>
    <w:rsid w:val="4D4419A1"/>
    <w:rsid w:val="4D5F2D35"/>
    <w:rsid w:val="4D5FDC3A"/>
    <w:rsid w:val="4D6D5452"/>
    <w:rsid w:val="4D9902CE"/>
    <w:rsid w:val="4DA150FB"/>
    <w:rsid w:val="4DB714D7"/>
    <w:rsid w:val="4DD3102D"/>
    <w:rsid w:val="4DEF9E86"/>
    <w:rsid w:val="4DFB4421"/>
    <w:rsid w:val="4DFF9858"/>
    <w:rsid w:val="4E0D09E3"/>
    <w:rsid w:val="4E224CE2"/>
    <w:rsid w:val="4E281379"/>
    <w:rsid w:val="4E3367DF"/>
    <w:rsid w:val="4E3B5E76"/>
    <w:rsid w:val="4E6E1B50"/>
    <w:rsid w:val="4E710F72"/>
    <w:rsid w:val="4EA604F0"/>
    <w:rsid w:val="4EB004CB"/>
    <w:rsid w:val="4EE14D9C"/>
    <w:rsid w:val="4EF86F9D"/>
    <w:rsid w:val="4F657E0F"/>
    <w:rsid w:val="4F7815E6"/>
    <w:rsid w:val="4F7934A9"/>
    <w:rsid w:val="4F7BD9FC"/>
    <w:rsid w:val="4F7F90BC"/>
    <w:rsid w:val="4FA22219"/>
    <w:rsid w:val="4FA70ABD"/>
    <w:rsid w:val="4FC472C9"/>
    <w:rsid w:val="4FD32219"/>
    <w:rsid w:val="4FE319FB"/>
    <w:rsid w:val="4FEB135E"/>
    <w:rsid w:val="4FF744E0"/>
    <w:rsid w:val="4FF754A7"/>
    <w:rsid w:val="4FF77908"/>
    <w:rsid w:val="4FFA0AF3"/>
    <w:rsid w:val="5003209D"/>
    <w:rsid w:val="50067498"/>
    <w:rsid w:val="500B3467"/>
    <w:rsid w:val="503474F4"/>
    <w:rsid w:val="5038161B"/>
    <w:rsid w:val="506D39BB"/>
    <w:rsid w:val="512A18AC"/>
    <w:rsid w:val="512F6EC2"/>
    <w:rsid w:val="517D19DC"/>
    <w:rsid w:val="518C60C3"/>
    <w:rsid w:val="519D31E6"/>
    <w:rsid w:val="51BA49DE"/>
    <w:rsid w:val="51FC7120"/>
    <w:rsid w:val="524D13AE"/>
    <w:rsid w:val="524E3378"/>
    <w:rsid w:val="52B1601C"/>
    <w:rsid w:val="52DF67BF"/>
    <w:rsid w:val="52E84E05"/>
    <w:rsid w:val="52F48E54"/>
    <w:rsid w:val="53296783"/>
    <w:rsid w:val="534E7960"/>
    <w:rsid w:val="53672943"/>
    <w:rsid w:val="53876B42"/>
    <w:rsid w:val="53A07C03"/>
    <w:rsid w:val="53A4641C"/>
    <w:rsid w:val="53B92A73"/>
    <w:rsid w:val="53E915AA"/>
    <w:rsid w:val="53F00B8B"/>
    <w:rsid w:val="53FFD5BA"/>
    <w:rsid w:val="541B1A21"/>
    <w:rsid w:val="54210ABC"/>
    <w:rsid w:val="5426635A"/>
    <w:rsid w:val="54353E7F"/>
    <w:rsid w:val="54436F0C"/>
    <w:rsid w:val="54563D8C"/>
    <w:rsid w:val="54653E21"/>
    <w:rsid w:val="546FFF38"/>
    <w:rsid w:val="54921C42"/>
    <w:rsid w:val="549C21E7"/>
    <w:rsid w:val="54BA402F"/>
    <w:rsid w:val="54EA382C"/>
    <w:rsid w:val="551D52AE"/>
    <w:rsid w:val="55236D3E"/>
    <w:rsid w:val="553E5926"/>
    <w:rsid w:val="554846B8"/>
    <w:rsid w:val="556C4241"/>
    <w:rsid w:val="557FE590"/>
    <w:rsid w:val="55AC0AE1"/>
    <w:rsid w:val="55B1747F"/>
    <w:rsid w:val="55B47996"/>
    <w:rsid w:val="55B77F3B"/>
    <w:rsid w:val="55D10548"/>
    <w:rsid w:val="55FF3204"/>
    <w:rsid w:val="56073F6A"/>
    <w:rsid w:val="560768CE"/>
    <w:rsid w:val="561351C2"/>
    <w:rsid w:val="56290384"/>
    <w:rsid w:val="563E31AC"/>
    <w:rsid w:val="564B654C"/>
    <w:rsid w:val="56574EF1"/>
    <w:rsid w:val="565C2507"/>
    <w:rsid w:val="568232FD"/>
    <w:rsid w:val="5694659E"/>
    <w:rsid w:val="569D042A"/>
    <w:rsid w:val="56AE8C02"/>
    <w:rsid w:val="56CD6F61"/>
    <w:rsid w:val="56F42740"/>
    <w:rsid w:val="56FE47AE"/>
    <w:rsid w:val="571728EA"/>
    <w:rsid w:val="572E8F2B"/>
    <w:rsid w:val="5732101A"/>
    <w:rsid w:val="575546F8"/>
    <w:rsid w:val="576B08E2"/>
    <w:rsid w:val="576C0FFD"/>
    <w:rsid w:val="577A447B"/>
    <w:rsid w:val="57C06AC6"/>
    <w:rsid w:val="57EC78BB"/>
    <w:rsid w:val="57F65E9D"/>
    <w:rsid w:val="57F935C7"/>
    <w:rsid w:val="57FCF020"/>
    <w:rsid w:val="57FE121A"/>
    <w:rsid w:val="57FF2FDD"/>
    <w:rsid w:val="57FF87D1"/>
    <w:rsid w:val="5813167F"/>
    <w:rsid w:val="58163A93"/>
    <w:rsid w:val="581A3067"/>
    <w:rsid w:val="582227B7"/>
    <w:rsid w:val="58256929"/>
    <w:rsid w:val="582D708F"/>
    <w:rsid w:val="583152CE"/>
    <w:rsid w:val="58892FCD"/>
    <w:rsid w:val="588C0756"/>
    <w:rsid w:val="58BA0277"/>
    <w:rsid w:val="58BC728D"/>
    <w:rsid w:val="58CB483C"/>
    <w:rsid w:val="58E13D00"/>
    <w:rsid w:val="59215342"/>
    <w:rsid w:val="59353E89"/>
    <w:rsid w:val="593C3F2A"/>
    <w:rsid w:val="593F0FB6"/>
    <w:rsid w:val="594C8C01"/>
    <w:rsid w:val="597B52F1"/>
    <w:rsid w:val="59BF0925"/>
    <w:rsid w:val="59E720E8"/>
    <w:rsid w:val="59EA1BD8"/>
    <w:rsid w:val="59F6057D"/>
    <w:rsid w:val="5A0507C0"/>
    <w:rsid w:val="5A0709DC"/>
    <w:rsid w:val="5A1B6236"/>
    <w:rsid w:val="5A2B43B9"/>
    <w:rsid w:val="5A3F1F24"/>
    <w:rsid w:val="5A55234C"/>
    <w:rsid w:val="5A5F4374"/>
    <w:rsid w:val="5A8C71B9"/>
    <w:rsid w:val="5A971D60"/>
    <w:rsid w:val="5A9B2ED2"/>
    <w:rsid w:val="5AD1090A"/>
    <w:rsid w:val="5AD3266C"/>
    <w:rsid w:val="5ADC3C17"/>
    <w:rsid w:val="5AEA5A59"/>
    <w:rsid w:val="5AF79ED5"/>
    <w:rsid w:val="5AFA48F1"/>
    <w:rsid w:val="5B123195"/>
    <w:rsid w:val="5B315C04"/>
    <w:rsid w:val="5B762892"/>
    <w:rsid w:val="5B7839DE"/>
    <w:rsid w:val="5BBB382C"/>
    <w:rsid w:val="5BBB524E"/>
    <w:rsid w:val="5BBC6E82"/>
    <w:rsid w:val="5BED3C02"/>
    <w:rsid w:val="5BEE72BE"/>
    <w:rsid w:val="5C053504"/>
    <w:rsid w:val="5C1178F0"/>
    <w:rsid w:val="5C2018E1"/>
    <w:rsid w:val="5C2238AB"/>
    <w:rsid w:val="5C3D6937"/>
    <w:rsid w:val="5C46636D"/>
    <w:rsid w:val="5C4A64F3"/>
    <w:rsid w:val="5C6C6C7F"/>
    <w:rsid w:val="5C7064FE"/>
    <w:rsid w:val="5C8C7679"/>
    <w:rsid w:val="5CCFD9C8"/>
    <w:rsid w:val="5CD057E7"/>
    <w:rsid w:val="5CDA4186"/>
    <w:rsid w:val="5CDA5F34"/>
    <w:rsid w:val="5D086F45"/>
    <w:rsid w:val="5D156F6C"/>
    <w:rsid w:val="5D2D4636"/>
    <w:rsid w:val="5D4F3F15"/>
    <w:rsid w:val="5D5266D6"/>
    <w:rsid w:val="5D5B2B0C"/>
    <w:rsid w:val="5D6B0AC8"/>
    <w:rsid w:val="5D75670B"/>
    <w:rsid w:val="5D7731E2"/>
    <w:rsid w:val="5DBD4BD1"/>
    <w:rsid w:val="5DCD3EE3"/>
    <w:rsid w:val="5DFD9E6C"/>
    <w:rsid w:val="5DFFD7EB"/>
    <w:rsid w:val="5E20206C"/>
    <w:rsid w:val="5E296976"/>
    <w:rsid w:val="5E343D6A"/>
    <w:rsid w:val="5E3B2A02"/>
    <w:rsid w:val="5E3E24F3"/>
    <w:rsid w:val="5E4B56D7"/>
    <w:rsid w:val="5E5220DE"/>
    <w:rsid w:val="5E543AC4"/>
    <w:rsid w:val="5E5F4F1B"/>
    <w:rsid w:val="5E734892"/>
    <w:rsid w:val="5E7947DA"/>
    <w:rsid w:val="5E7E3193"/>
    <w:rsid w:val="5E7FE2FA"/>
    <w:rsid w:val="5E8048B9"/>
    <w:rsid w:val="5E814E0D"/>
    <w:rsid w:val="5E8817D1"/>
    <w:rsid w:val="5EA82F69"/>
    <w:rsid w:val="5EAD20CE"/>
    <w:rsid w:val="5EB033F0"/>
    <w:rsid w:val="5EB34FD8"/>
    <w:rsid w:val="5EBDE074"/>
    <w:rsid w:val="5EBFD00B"/>
    <w:rsid w:val="5ECA48B8"/>
    <w:rsid w:val="5ED54C05"/>
    <w:rsid w:val="5EF17565"/>
    <w:rsid w:val="5EFA466C"/>
    <w:rsid w:val="5EFD5F0A"/>
    <w:rsid w:val="5F2E24C6"/>
    <w:rsid w:val="5F3F7616"/>
    <w:rsid w:val="5F4B20D8"/>
    <w:rsid w:val="5F5F8C0C"/>
    <w:rsid w:val="5F6F946F"/>
    <w:rsid w:val="5F7E4CFF"/>
    <w:rsid w:val="5F7FA138"/>
    <w:rsid w:val="5F7FAA48"/>
    <w:rsid w:val="5F887EC9"/>
    <w:rsid w:val="5F9DF26A"/>
    <w:rsid w:val="5F9F3465"/>
    <w:rsid w:val="5FAFE3A8"/>
    <w:rsid w:val="5FB72086"/>
    <w:rsid w:val="5FBD30A7"/>
    <w:rsid w:val="5FDE4720"/>
    <w:rsid w:val="5FDFC166"/>
    <w:rsid w:val="5FE036E7"/>
    <w:rsid w:val="5FEB450C"/>
    <w:rsid w:val="5FEEDC37"/>
    <w:rsid w:val="5FF3A312"/>
    <w:rsid w:val="5FF6B3AC"/>
    <w:rsid w:val="5FF732A1"/>
    <w:rsid w:val="5FFAD7AA"/>
    <w:rsid w:val="5FFBD471"/>
    <w:rsid w:val="5FFF7BB3"/>
    <w:rsid w:val="5FFF8F6D"/>
    <w:rsid w:val="5FFFC435"/>
    <w:rsid w:val="600D6620"/>
    <w:rsid w:val="60411174"/>
    <w:rsid w:val="60433DF0"/>
    <w:rsid w:val="60464640"/>
    <w:rsid w:val="607641C6"/>
    <w:rsid w:val="60A26D69"/>
    <w:rsid w:val="60B847DE"/>
    <w:rsid w:val="60C03693"/>
    <w:rsid w:val="60C2617F"/>
    <w:rsid w:val="60F03F78"/>
    <w:rsid w:val="60FA4DF7"/>
    <w:rsid w:val="610D63F4"/>
    <w:rsid w:val="611A2DA3"/>
    <w:rsid w:val="613100ED"/>
    <w:rsid w:val="615C1302"/>
    <w:rsid w:val="617D3332"/>
    <w:rsid w:val="61A34C4D"/>
    <w:rsid w:val="61BB2B5D"/>
    <w:rsid w:val="61E84C4F"/>
    <w:rsid w:val="61FE4473"/>
    <w:rsid w:val="620249E1"/>
    <w:rsid w:val="622E6313"/>
    <w:rsid w:val="62A07F3E"/>
    <w:rsid w:val="630A6181"/>
    <w:rsid w:val="632C6236"/>
    <w:rsid w:val="63312626"/>
    <w:rsid w:val="635B58F5"/>
    <w:rsid w:val="63E8362C"/>
    <w:rsid w:val="63EF5764"/>
    <w:rsid w:val="643036C0"/>
    <w:rsid w:val="643EFCA9"/>
    <w:rsid w:val="645D4E63"/>
    <w:rsid w:val="649067F7"/>
    <w:rsid w:val="64990483"/>
    <w:rsid w:val="649C7F73"/>
    <w:rsid w:val="64A13455"/>
    <w:rsid w:val="64B7413C"/>
    <w:rsid w:val="64FBC26B"/>
    <w:rsid w:val="651D2E62"/>
    <w:rsid w:val="651D4188"/>
    <w:rsid w:val="6548383B"/>
    <w:rsid w:val="65D07B0C"/>
    <w:rsid w:val="65ED4FD2"/>
    <w:rsid w:val="65FF2008"/>
    <w:rsid w:val="65FF4C5D"/>
    <w:rsid w:val="661D180C"/>
    <w:rsid w:val="666D3AFB"/>
    <w:rsid w:val="6679056C"/>
    <w:rsid w:val="667AD8A6"/>
    <w:rsid w:val="66911D59"/>
    <w:rsid w:val="66A3B3D3"/>
    <w:rsid w:val="66A56C29"/>
    <w:rsid w:val="66AD290B"/>
    <w:rsid w:val="66B028AC"/>
    <w:rsid w:val="66D332E6"/>
    <w:rsid w:val="66D63C10"/>
    <w:rsid w:val="66FD01F8"/>
    <w:rsid w:val="670C4572"/>
    <w:rsid w:val="673F5EBD"/>
    <w:rsid w:val="675F9827"/>
    <w:rsid w:val="676F196F"/>
    <w:rsid w:val="676F2D75"/>
    <w:rsid w:val="678E388A"/>
    <w:rsid w:val="678E44EB"/>
    <w:rsid w:val="6797873B"/>
    <w:rsid w:val="67A94E81"/>
    <w:rsid w:val="67D3CA98"/>
    <w:rsid w:val="67F546D8"/>
    <w:rsid w:val="67F799A7"/>
    <w:rsid w:val="67F81964"/>
    <w:rsid w:val="67FFB509"/>
    <w:rsid w:val="681D51DB"/>
    <w:rsid w:val="683926A8"/>
    <w:rsid w:val="68572B2F"/>
    <w:rsid w:val="68733823"/>
    <w:rsid w:val="68BF2482"/>
    <w:rsid w:val="68DE6DAC"/>
    <w:rsid w:val="68E1689C"/>
    <w:rsid w:val="68EF6DFC"/>
    <w:rsid w:val="691C78D4"/>
    <w:rsid w:val="6945507D"/>
    <w:rsid w:val="69457B44"/>
    <w:rsid w:val="69780837"/>
    <w:rsid w:val="69992CD3"/>
    <w:rsid w:val="69A04061"/>
    <w:rsid w:val="69A73642"/>
    <w:rsid w:val="69EEDDA1"/>
    <w:rsid w:val="69F110E2"/>
    <w:rsid w:val="6A1011E7"/>
    <w:rsid w:val="6A102F95"/>
    <w:rsid w:val="6A1F58CE"/>
    <w:rsid w:val="6A2B6021"/>
    <w:rsid w:val="6A470AE2"/>
    <w:rsid w:val="6A99298E"/>
    <w:rsid w:val="6AAA2146"/>
    <w:rsid w:val="6AB90282"/>
    <w:rsid w:val="6AD14E1A"/>
    <w:rsid w:val="6AD7132A"/>
    <w:rsid w:val="6AF705F9"/>
    <w:rsid w:val="6AF9611F"/>
    <w:rsid w:val="6B0D5727"/>
    <w:rsid w:val="6B3E723A"/>
    <w:rsid w:val="6B47AA84"/>
    <w:rsid w:val="6B4A24D7"/>
    <w:rsid w:val="6B506FC7"/>
    <w:rsid w:val="6B5477F9"/>
    <w:rsid w:val="6B577BDC"/>
    <w:rsid w:val="6B833C3B"/>
    <w:rsid w:val="6B930322"/>
    <w:rsid w:val="6B9E11A7"/>
    <w:rsid w:val="6BF98B79"/>
    <w:rsid w:val="6BFB4C38"/>
    <w:rsid w:val="6BFF332A"/>
    <w:rsid w:val="6BFF4F3A"/>
    <w:rsid w:val="6C3F7B62"/>
    <w:rsid w:val="6C496C32"/>
    <w:rsid w:val="6C4BEAA1"/>
    <w:rsid w:val="6C5555D7"/>
    <w:rsid w:val="6C7D0DCC"/>
    <w:rsid w:val="6C966DF1"/>
    <w:rsid w:val="6CA81BAB"/>
    <w:rsid w:val="6CB7D3FC"/>
    <w:rsid w:val="6CC462B9"/>
    <w:rsid w:val="6CD81D64"/>
    <w:rsid w:val="6CDE7A81"/>
    <w:rsid w:val="6CFD4175"/>
    <w:rsid w:val="6CFE50B4"/>
    <w:rsid w:val="6D042B59"/>
    <w:rsid w:val="6D0D4104"/>
    <w:rsid w:val="6D140D7C"/>
    <w:rsid w:val="6D266D14"/>
    <w:rsid w:val="6D301BA0"/>
    <w:rsid w:val="6D3E42BD"/>
    <w:rsid w:val="6D7B3F8B"/>
    <w:rsid w:val="6D7C6B93"/>
    <w:rsid w:val="6D7FE466"/>
    <w:rsid w:val="6DA83A90"/>
    <w:rsid w:val="6DBA1CEB"/>
    <w:rsid w:val="6DBE0723"/>
    <w:rsid w:val="6DDB6865"/>
    <w:rsid w:val="6DEFBCF2"/>
    <w:rsid w:val="6DFE3811"/>
    <w:rsid w:val="6E227207"/>
    <w:rsid w:val="6E3D3153"/>
    <w:rsid w:val="6E4753F3"/>
    <w:rsid w:val="6E830EFF"/>
    <w:rsid w:val="6E993DB3"/>
    <w:rsid w:val="6ECB392F"/>
    <w:rsid w:val="6EF45453"/>
    <w:rsid w:val="6EFC55B7"/>
    <w:rsid w:val="6F0C44DD"/>
    <w:rsid w:val="6F20011E"/>
    <w:rsid w:val="6F3586D7"/>
    <w:rsid w:val="6F4D1369"/>
    <w:rsid w:val="6F6BDE1A"/>
    <w:rsid w:val="6F6E35CA"/>
    <w:rsid w:val="6F7A04C1"/>
    <w:rsid w:val="6F7B3FE2"/>
    <w:rsid w:val="6F7F5EEB"/>
    <w:rsid w:val="6F7FF765"/>
    <w:rsid w:val="6F821D12"/>
    <w:rsid w:val="6F83245B"/>
    <w:rsid w:val="6F8A0BAA"/>
    <w:rsid w:val="6FA4E956"/>
    <w:rsid w:val="6FA64AE5"/>
    <w:rsid w:val="6FAF6B51"/>
    <w:rsid w:val="6FB5225E"/>
    <w:rsid w:val="6FB8CDD6"/>
    <w:rsid w:val="6FBB8183"/>
    <w:rsid w:val="6FBD0865"/>
    <w:rsid w:val="6FBD1652"/>
    <w:rsid w:val="6FBE5CD9"/>
    <w:rsid w:val="6FBF219C"/>
    <w:rsid w:val="6FD6DA62"/>
    <w:rsid w:val="6FD74620"/>
    <w:rsid w:val="6FD7F40D"/>
    <w:rsid w:val="6FD95F1C"/>
    <w:rsid w:val="6FDB3506"/>
    <w:rsid w:val="6FDE635F"/>
    <w:rsid w:val="6FEE12A4"/>
    <w:rsid w:val="6FFB00C8"/>
    <w:rsid w:val="6FFDA9B4"/>
    <w:rsid w:val="6FFE09BB"/>
    <w:rsid w:val="6FFEA22B"/>
    <w:rsid w:val="6FFF7D28"/>
    <w:rsid w:val="704F233D"/>
    <w:rsid w:val="705F6A24"/>
    <w:rsid w:val="7064228D"/>
    <w:rsid w:val="70875F7B"/>
    <w:rsid w:val="70A14F65"/>
    <w:rsid w:val="70F80C27"/>
    <w:rsid w:val="7104581E"/>
    <w:rsid w:val="71053D85"/>
    <w:rsid w:val="711D243B"/>
    <w:rsid w:val="712F289B"/>
    <w:rsid w:val="713704E9"/>
    <w:rsid w:val="71730052"/>
    <w:rsid w:val="718F6E95"/>
    <w:rsid w:val="71954552"/>
    <w:rsid w:val="71AE0372"/>
    <w:rsid w:val="71B53AF2"/>
    <w:rsid w:val="71D92806"/>
    <w:rsid w:val="71DBDB20"/>
    <w:rsid w:val="71E85A49"/>
    <w:rsid w:val="71FBD499"/>
    <w:rsid w:val="7205184D"/>
    <w:rsid w:val="720C087B"/>
    <w:rsid w:val="72167C70"/>
    <w:rsid w:val="724F0D1A"/>
    <w:rsid w:val="725C58D5"/>
    <w:rsid w:val="729C4303"/>
    <w:rsid w:val="72B91ACC"/>
    <w:rsid w:val="72BA2638"/>
    <w:rsid w:val="72E74AAF"/>
    <w:rsid w:val="72F00A08"/>
    <w:rsid w:val="72FF629D"/>
    <w:rsid w:val="730833A3"/>
    <w:rsid w:val="73291F27"/>
    <w:rsid w:val="732EFC27"/>
    <w:rsid w:val="737F2D0D"/>
    <w:rsid w:val="73A429A0"/>
    <w:rsid w:val="73B633EF"/>
    <w:rsid w:val="73BBD7F4"/>
    <w:rsid w:val="73BF3116"/>
    <w:rsid w:val="73BF71EE"/>
    <w:rsid w:val="73CF47A1"/>
    <w:rsid w:val="73EB6514"/>
    <w:rsid w:val="73F2195D"/>
    <w:rsid w:val="73FF5D65"/>
    <w:rsid w:val="73FF84B6"/>
    <w:rsid w:val="73FFB8D3"/>
    <w:rsid w:val="74251D33"/>
    <w:rsid w:val="74390771"/>
    <w:rsid w:val="743B1556"/>
    <w:rsid w:val="74422E57"/>
    <w:rsid w:val="7473007E"/>
    <w:rsid w:val="747E57F8"/>
    <w:rsid w:val="749E3893"/>
    <w:rsid w:val="74B11819"/>
    <w:rsid w:val="74D6695A"/>
    <w:rsid w:val="74D774D1"/>
    <w:rsid w:val="74FD05BA"/>
    <w:rsid w:val="75656D39"/>
    <w:rsid w:val="756BF4F0"/>
    <w:rsid w:val="756D645A"/>
    <w:rsid w:val="759BFF60"/>
    <w:rsid w:val="75AA6994"/>
    <w:rsid w:val="75DB38DE"/>
    <w:rsid w:val="75DF4860"/>
    <w:rsid w:val="75F66016"/>
    <w:rsid w:val="75FE84CC"/>
    <w:rsid w:val="75FFA890"/>
    <w:rsid w:val="76045978"/>
    <w:rsid w:val="76200A04"/>
    <w:rsid w:val="763149BF"/>
    <w:rsid w:val="763F82A7"/>
    <w:rsid w:val="766308F1"/>
    <w:rsid w:val="766537ED"/>
    <w:rsid w:val="76852F5D"/>
    <w:rsid w:val="76896296"/>
    <w:rsid w:val="76AEE14C"/>
    <w:rsid w:val="76B1EA39"/>
    <w:rsid w:val="76BF646F"/>
    <w:rsid w:val="76C84BF7"/>
    <w:rsid w:val="76E01F41"/>
    <w:rsid w:val="76E03CE5"/>
    <w:rsid w:val="76EF3E2A"/>
    <w:rsid w:val="773F1A0E"/>
    <w:rsid w:val="773F409D"/>
    <w:rsid w:val="775748F9"/>
    <w:rsid w:val="776F06BC"/>
    <w:rsid w:val="777392CA"/>
    <w:rsid w:val="777E5A86"/>
    <w:rsid w:val="77974CF6"/>
    <w:rsid w:val="779D6084"/>
    <w:rsid w:val="77AF776E"/>
    <w:rsid w:val="77B5517C"/>
    <w:rsid w:val="77BF4D72"/>
    <w:rsid w:val="77C610F3"/>
    <w:rsid w:val="77CF4A8A"/>
    <w:rsid w:val="77DE8AD8"/>
    <w:rsid w:val="77DFA440"/>
    <w:rsid w:val="77ECB5C7"/>
    <w:rsid w:val="77ED9F5E"/>
    <w:rsid w:val="77EFC898"/>
    <w:rsid w:val="77F15F89"/>
    <w:rsid w:val="77FDABB3"/>
    <w:rsid w:val="77FFFE7A"/>
    <w:rsid w:val="78734D2C"/>
    <w:rsid w:val="78850FF2"/>
    <w:rsid w:val="78870D0D"/>
    <w:rsid w:val="78AA2807"/>
    <w:rsid w:val="78B06666"/>
    <w:rsid w:val="78B33DB1"/>
    <w:rsid w:val="78BFE464"/>
    <w:rsid w:val="78FA5C4F"/>
    <w:rsid w:val="78FB5758"/>
    <w:rsid w:val="79084528"/>
    <w:rsid w:val="7908577F"/>
    <w:rsid w:val="790E0FE8"/>
    <w:rsid w:val="792672EA"/>
    <w:rsid w:val="79334EF2"/>
    <w:rsid w:val="795D3D1D"/>
    <w:rsid w:val="79763C98"/>
    <w:rsid w:val="797C23F5"/>
    <w:rsid w:val="797F5D9C"/>
    <w:rsid w:val="79984D55"/>
    <w:rsid w:val="79B5F06C"/>
    <w:rsid w:val="79BE29F4"/>
    <w:rsid w:val="79BF3D14"/>
    <w:rsid w:val="79D4A19F"/>
    <w:rsid w:val="7A3525A4"/>
    <w:rsid w:val="7A6B3C7B"/>
    <w:rsid w:val="7A835A05"/>
    <w:rsid w:val="7A8F7F06"/>
    <w:rsid w:val="7A9FCE7F"/>
    <w:rsid w:val="7AA0A394"/>
    <w:rsid w:val="7AC0616D"/>
    <w:rsid w:val="7AC2652D"/>
    <w:rsid w:val="7AD81B0D"/>
    <w:rsid w:val="7AEB82A1"/>
    <w:rsid w:val="7AEBA8E1"/>
    <w:rsid w:val="7AF76602"/>
    <w:rsid w:val="7AFF8AB8"/>
    <w:rsid w:val="7B1D4732"/>
    <w:rsid w:val="7B4D1AFE"/>
    <w:rsid w:val="7B5BA758"/>
    <w:rsid w:val="7B7CB7C7"/>
    <w:rsid w:val="7B7F7E78"/>
    <w:rsid w:val="7B9A1258"/>
    <w:rsid w:val="7BAB5214"/>
    <w:rsid w:val="7BBD83F7"/>
    <w:rsid w:val="7BC859C7"/>
    <w:rsid w:val="7BD2DC41"/>
    <w:rsid w:val="7BE10C35"/>
    <w:rsid w:val="7BE78074"/>
    <w:rsid w:val="7BF4D4CD"/>
    <w:rsid w:val="7BF5D2A7"/>
    <w:rsid w:val="7BF608B1"/>
    <w:rsid w:val="7BF770A1"/>
    <w:rsid w:val="7BFD9C2B"/>
    <w:rsid w:val="7BFEBA08"/>
    <w:rsid w:val="7BFFA7D9"/>
    <w:rsid w:val="7BFFE040"/>
    <w:rsid w:val="7C0C6DEF"/>
    <w:rsid w:val="7C1C080B"/>
    <w:rsid w:val="7C1D1DCF"/>
    <w:rsid w:val="7C247C23"/>
    <w:rsid w:val="7C547659"/>
    <w:rsid w:val="7C645601"/>
    <w:rsid w:val="7C727735"/>
    <w:rsid w:val="7C77AEE6"/>
    <w:rsid w:val="7C8B294F"/>
    <w:rsid w:val="7CA81753"/>
    <w:rsid w:val="7CD50937"/>
    <w:rsid w:val="7CD95BE9"/>
    <w:rsid w:val="7CE96D09"/>
    <w:rsid w:val="7CF7387A"/>
    <w:rsid w:val="7CFFB2DA"/>
    <w:rsid w:val="7D2A2168"/>
    <w:rsid w:val="7D3F71D4"/>
    <w:rsid w:val="7D4A280A"/>
    <w:rsid w:val="7D4FFDA8"/>
    <w:rsid w:val="7D5E2976"/>
    <w:rsid w:val="7D6DE3FA"/>
    <w:rsid w:val="7D70503D"/>
    <w:rsid w:val="7D755AD9"/>
    <w:rsid w:val="7D915880"/>
    <w:rsid w:val="7D923BFB"/>
    <w:rsid w:val="7DA06444"/>
    <w:rsid w:val="7DAF216F"/>
    <w:rsid w:val="7DB54128"/>
    <w:rsid w:val="7DB75212"/>
    <w:rsid w:val="7DBD8C60"/>
    <w:rsid w:val="7DBF874A"/>
    <w:rsid w:val="7DCC1471"/>
    <w:rsid w:val="7DCE1E6D"/>
    <w:rsid w:val="7DCF7257"/>
    <w:rsid w:val="7DD7A6EF"/>
    <w:rsid w:val="7DDF48D4"/>
    <w:rsid w:val="7DDFB69C"/>
    <w:rsid w:val="7DE5D350"/>
    <w:rsid w:val="7DEF1DAA"/>
    <w:rsid w:val="7DEF6A51"/>
    <w:rsid w:val="7DF30CF9"/>
    <w:rsid w:val="7DFCB627"/>
    <w:rsid w:val="7DFEA3B6"/>
    <w:rsid w:val="7DFF162D"/>
    <w:rsid w:val="7DFF1B01"/>
    <w:rsid w:val="7DFF4862"/>
    <w:rsid w:val="7DFF9DDE"/>
    <w:rsid w:val="7DFFA8DE"/>
    <w:rsid w:val="7E16AA90"/>
    <w:rsid w:val="7E3314F0"/>
    <w:rsid w:val="7E4234E1"/>
    <w:rsid w:val="7E4D8EF6"/>
    <w:rsid w:val="7E5E47BF"/>
    <w:rsid w:val="7E6D4A02"/>
    <w:rsid w:val="7E8458A8"/>
    <w:rsid w:val="7E87E402"/>
    <w:rsid w:val="7E885398"/>
    <w:rsid w:val="7E8B4E88"/>
    <w:rsid w:val="7E928AF4"/>
    <w:rsid w:val="7E94382C"/>
    <w:rsid w:val="7EAC767B"/>
    <w:rsid w:val="7EB5E0CD"/>
    <w:rsid w:val="7EB7BADF"/>
    <w:rsid w:val="7EBC3294"/>
    <w:rsid w:val="7EBEF8B8"/>
    <w:rsid w:val="7ECF0E55"/>
    <w:rsid w:val="7ECF746B"/>
    <w:rsid w:val="7EDABB89"/>
    <w:rsid w:val="7EED78F1"/>
    <w:rsid w:val="7EEEC534"/>
    <w:rsid w:val="7EEF3719"/>
    <w:rsid w:val="7EEFA970"/>
    <w:rsid w:val="7EF12D52"/>
    <w:rsid w:val="7EF96F36"/>
    <w:rsid w:val="7EFF4191"/>
    <w:rsid w:val="7EFFD9A2"/>
    <w:rsid w:val="7F1B7D95"/>
    <w:rsid w:val="7F2D04E5"/>
    <w:rsid w:val="7F370B6C"/>
    <w:rsid w:val="7F3BBD33"/>
    <w:rsid w:val="7F3D84CC"/>
    <w:rsid w:val="7F3E8D35"/>
    <w:rsid w:val="7F5781DD"/>
    <w:rsid w:val="7F5D7119"/>
    <w:rsid w:val="7F67EA59"/>
    <w:rsid w:val="7F78540D"/>
    <w:rsid w:val="7F7B91B3"/>
    <w:rsid w:val="7F7C8963"/>
    <w:rsid w:val="7F7F335A"/>
    <w:rsid w:val="7F7FB099"/>
    <w:rsid w:val="7F842003"/>
    <w:rsid w:val="7F845027"/>
    <w:rsid w:val="7F8DF0A7"/>
    <w:rsid w:val="7F8F1454"/>
    <w:rsid w:val="7F9164CE"/>
    <w:rsid w:val="7F97CAF2"/>
    <w:rsid w:val="7F991392"/>
    <w:rsid w:val="7F9EB853"/>
    <w:rsid w:val="7F9F8096"/>
    <w:rsid w:val="7FA3CCC6"/>
    <w:rsid w:val="7FABD60C"/>
    <w:rsid w:val="7FAE0A32"/>
    <w:rsid w:val="7FB61F05"/>
    <w:rsid w:val="7FB623D9"/>
    <w:rsid w:val="7FB7BEA0"/>
    <w:rsid w:val="7FBF18AE"/>
    <w:rsid w:val="7FBF4402"/>
    <w:rsid w:val="7FBF487F"/>
    <w:rsid w:val="7FBF816B"/>
    <w:rsid w:val="7FCD1E97"/>
    <w:rsid w:val="7FCFE02A"/>
    <w:rsid w:val="7FD0172B"/>
    <w:rsid w:val="7FD7A471"/>
    <w:rsid w:val="7FD7C699"/>
    <w:rsid w:val="7FD7CDAB"/>
    <w:rsid w:val="7FDB9EDA"/>
    <w:rsid w:val="7FDF50C4"/>
    <w:rsid w:val="7FE3922C"/>
    <w:rsid w:val="7FE6B3A9"/>
    <w:rsid w:val="7FE7EABA"/>
    <w:rsid w:val="7FEC044A"/>
    <w:rsid w:val="7FED1DB7"/>
    <w:rsid w:val="7FEF27B3"/>
    <w:rsid w:val="7FEFA0DB"/>
    <w:rsid w:val="7FF2CC95"/>
    <w:rsid w:val="7FF40BBE"/>
    <w:rsid w:val="7FF9E909"/>
    <w:rsid w:val="7FFA731E"/>
    <w:rsid w:val="7FFAF0FB"/>
    <w:rsid w:val="7FFC1E20"/>
    <w:rsid w:val="7FFC2A1C"/>
    <w:rsid w:val="7FFD0DB8"/>
    <w:rsid w:val="7FFD41A1"/>
    <w:rsid w:val="7FFD4E3A"/>
    <w:rsid w:val="7FFE697A"/>
    <w:rsid w:val="7FFF0F66"/>
    <w:rsid w:val="7FFF2179"/>
    <w:rsid w:val="7FFF73C9"/>
    <w:rsid w:val="7FFFCCB6"/>
    <w:rsid w:val="80EF2A97"/>
    <w:rsid w:val="8AAF947D"/>
    <w:rsid w:val="8E4692B0"/>
    <w:rsid w:val="8FFFA1A1"/>
    <w:rsid w:val="9133F456"/>
    <w:rsid w:val="93F18791"/>
    <w:rsid w:val="96FF634A"/>
    <w:rsid w:val="976E3AB9"/>
    <w:rsid w:val="977A97FA"/>
    <w:rsid w:val="97ADEA04"/>
    <w:rsid w:val="97D1B3D9"/>
    <w:rsid w:val="97EB2CA7"/>
    <w:rsid w:val="9AADF9CD"/>
    <w:rsid w:val="9AF18C1F"/>
    <w:rsid w:val="9AF7D1B9"/>
    <w:rsid w:val="9D3C233B"/>
    <w:rsid w:val="9DBF8346"/>
    <w:rsid w:val="9EBE22C8"/>
    <w:rsid w:val="9F3FD8E8"/>
    <w:rsid w:val="9F5F4F75"/>
    <w:rsid w:val="9F87340A"/>
    <w:rsid w:val="9F8FA027"/>
    <w:rsid w:val="9FE3756D"/>
    <w:rsid w:val="9FF37908"/>
    <w:rsid w:val="9FFFBF3E"/>
    <w:rsid w:val="A0A7C305"/>
    <w:rsid w:val="A37FA223"/>
    <w:rsid w:val="A3D756A7"/>
    <w:rsid w:val="A6FF58FB"/>
    <w:rsid w:val="A7F7B12A"/>
    <w:rsid w:val="AB1D979A"/>
    <w:rsid w:val="ABD488DD"/>
    <w:rsid w:val="AD3D4A3B"/>
    <w:rsid w:val="ADE2936B"/>
    <w:rsid w:val="ADEB830F"/>
    <w:rsid w:val="ADF4FB81"/>
    <w:rsid w:val="ADFA296D"/>
    <w:rsid w:val="ADFB85F9"/>
    <w:rsid w:val="ADFE32CC"/>
    <w:rsid w:val="AE57F05B"/>
    <w:rsid w:val="AEBE64E3"/>
    <w:rsid w:val="AECDB081"/>
    <w:rsid w:val="AEFF64AD"/>
    <w:rsid w:val="AF67A593"/>
    <w:rsid w:val="AF732E8C"/>
    <w:rsid w:val="AFFB6BCB"/>
    <w:rsid w:val="AFFBDEB3"/>
    <w:rsid w:val="B0AB3905"/>
    <w:rsid w:val="B115D03C"/>
    <w:rsid w:val="B1F61E4C"/>
    <w:rsid w:val="B37AA405"/>
    <w:rsid w:val="B3BD28F3"/>
    <w:rsid w:val="B3DFAD9B"/>
    <w:rsid w:val="B5F3D6B4"/>
    <w:rsid w:val="B64BCD55"/>
    <w:rsid w:val="B67F74A9"/>
    <w:rsid w:val="B7343C69"/>
    <w:rsid w:val="B73D4E4E"/>
    <w:rsid w:val="B76DC94E"/>
    <w:rsid w:val="B7CFA30D"/>
    <w:rsid w:val="B7EF143F"/>
    <w:rsid w:val="B7F75331"/>
    <w:rsid w:val="B7F7B536"/>
    <w:rsid w:val="B7F7D443"/>
    <w:rsid w:val="B7FDBA85"/>
    <w:rsid w:val="B87FD1F3"/>
    <w:rsid w:val="B8EF80E6"/>
    <w:rsid w:val="B97FF32C"/>
    <w:rsid w:val="B9BBBB89"/>
    <w:rsid w:val="B9FE489B"/>
    <w:rsid w:val="BA3F1E4E"/>
    <w:rsid w:val="BA760272"/>
    <w:rsid w:val="BA912153"/>
    <w:rsid w:val="BACDB6E9"/>
    <w:rsid w:val="BAF78F76"/>
    <w:rsid w:val="BB5963FC"/>
    <w:rsid w:val="BBBF5DB5"/>
    <w:rsid w:val="BBF75492"/>
    <w:rsid w:val="BBF9D5BB"/>
    <w:rsid w:val="BBFFEF85"/>
    <w:rsid w:val="BC77A10D"/>
    <w:rsid w:val="BCC570E3"/>
    <w:rsid w:val="BCFD1BFB"/>
    <w:rsid w:val="BCFE5CFE"/>
    <w:rsid w:val="BD2F22C9"/>
    <w:rsid w:val="BD7B0D29"/>
    <w:rsid w:val="BD87C5E7"/>
    <w:rsid w:val="BDAA1205"/>
    <w:rsid w:val="BDBB8F2A"/>
    <w:rsid w:val="BDBF28C9"/>
    <w:rsid w:val="BDBFC10C"/>
    <w:rsid w:val="BDDF35D3"/>
    <w:rsid w:val="BDFBAE3C"/>
    <w:rsid w:val="BE6F64F1"/>
    <w:rsid w:val="BE6FDA26"/>
    <w:rsid w:val="BECFAD2F"/>
    <w:rsid w:val="BEDFD087"/>
    <w:rsid w:val="BEEF0817"/>
    <w:rsid w:val="BEFD4141"/>
    <w:rsid w:val="BEFF15B9"/>
    <w:rsid w:val="BEFF7C45"/>
    <w:rsid w:val="BEFFA21C"/>
    <w:rsid w:val="BF6F9BE4"/>
    <w:rsid w:val="BF7EA396"/>
    <w:rsid w:val="BF963CD6"/>
    <w:rsid w:val="BFAFBE39"/>
    <w:rsid w:val="BFBB531B"/>
    <w:rsid w:val="BFCDDF5E"/>
    <w:rsid w:val="BFDA087A"/>
    <w:rsid w:val="BFDBE65B"/>
    <w:rsid w:val="BFDDEC36"/>
    <w:rsid w:val="BFDE6129"/>
    <w:rsid w:val="BFEEBEC8"/>
    <w:rsid w:val="BFEFDAE8"/>
    <w:rsid w:val="BFF0C177"/>
    <w:rsid w:val="BFF742DC"/>
    <w:rsid w:val="BFFD2929"/>
    <w:rsid w:val="BFFF7840"/>
    <w:rsid w:val="C277ADB4"/>
    <w:rsid w:val="C6FDE4CA"/>
    <w:rsid w:val="C7DBF4AE"/>
    <w:rsid w:val="CA956882"/>
    <w:rsid w:val="CB8F4817"/>
    <w:rsid w:val="CBEF2305"/>
    <w:rsid w:val="CBF300E2"/>
    <w:rsid w:val="CBF784E4"/>
    <w:rsid w:val="CBFACBD2"/>
    <w:rsid w:val="CBFD137A"/>
    <w:rsid w:val="CCE3F1CF"/>
    <w:rsid w:val="CD719428"/>
    <w:rsid w:val="CDB741E9"/>
    <w:rsid w:val="CDBB364D"/>
    <w:rsid w:val="CDDDAA18"/>
    <w:rsid w:val="CDDF33B6"/>
    <w:rsid w:val="CDED897F"/>
    <w:rsid w:val="CDFD5540"/>
    <w:rsid w:val="CED6B7C2"/>
    <w:rsid w:val="CF3BE008"/>
    <w:rsid w:val="CF494758"/>
    <w:rsid w:val="CFDCFD9E"/>
    <w:rsid w:val="CFED538D"/>
    <w:rsid w:val="CFEDB367"/>
    <w:rsid w:val="CFEFCCF5"/>
    <w:rsid w:val="CFF5EA18"/>
    <w:rsid w:val="CFFDBAAF"/>
    <w:rsid w:val="CFFE9AD3"/>
    <w:rsid w:val="D22FB12A"/>
    <w:rsid w:val="D3E7CF6B"/>
    <w:rsid w:val="D3FF64F6"/>
    <w:rsid w:val="D5D7F5F2"/>
    <w:rsid w:val="D6616613"/>
    <w:rsid w:val="D6CF6145"/>
    <w:rsid w:val="D6FFC2D9"/>
    <w:rsid w:val="D77DFC30"/>
    <w:rsid w:val="D7B39654"/>
    <w:rsid w:val="D7D7DD1F"/>
    <w:rsid w:val="D7DA9959"/>
    <w:rsid w:val="D7EDC66A"/>
    <w:rsid w:val="D7EF3F9B"/>
    <w:rsid w:val="D7FDB8DD"/>
    <w:rsid w:val="D7FF278A"/>
    <w:rsid w:val="DA3F487B"/>
    <w:rsid w:val="DBDF912D"/>
    <w:rsid w:val="DBFB7FD1"/>
    <w:rsid w:val="DC37F397"/>
    <w:rsid w:val="DCB950FE"/>
    <w:rsid w:val="DD365C8B"/>
    <w:rsid w:val="DD3BECC7"/>
    <w:rsid w:val="DD74E16E"/>
    <w:rsid w:val="DDBF7746"/>
    <w:rsid w:val="DDBFA0D0"/>
    <w:rsid w:val="DDD9E4BB"/>
    <w:rsid w:val="DDF72434"/>
    <w:rsid w:val="DEDF9000"/>
    <w:rsid w:val="DEE77A6A"/>
    <w:rsid w:val="DEF75014"/>
    <w:rsid w:val="DEF849BF"/>
    <w:rsid w:val="DF05B7D0"/>
    <w:rsid w:val="DF7AC345"/>
    <w:rsid w:val="DFBA2A5B"/>
    <w:rsid w:val="DFBF7C70"/>
    <w:rsid w:val="DFBFE921"/>
    <w:rsid w:val="DFC38E69"/>
    <w:rsid w:val="DFD154F3"/>
    <w:rsid w:val="DFDB08D8"/>
    <w:rsid w:val="DFDDEDDD"/>
    <w:rsid w:val="DFDEF6D3"/>
    <w:rsid w:val="DFEDE14A"/>
    <w:rsid w:val="DFF5AB08"/>
    <w:rsid w:val="DFFA5673"/>
    <w:rsid w:val="DFFB5F98"/>
    <w:rsid w:val="DFFB78CA"/>
    <w:rsid w:val="DFFD3D5F"/>
    <w:rsid w:val="DFFD8748"/>
    <w:rsid w:val="DFFEA303"/>
    <w:rsid w:val="DFFF95DF"/>
    <w:rsid w:val="E37F246D"/>
    <w:rsid w:val="E3AFE997"/>
    <w:rsid w:val="E3F2F3A1"/>
    <w:rsid w:val="E4FF37DC"/>
    <w:rsid w:val="E57BA170"/>
    <w:rsid w:val="E5AD7BFB"/>
    <w:rsid w:val="E5BDF237"/>
    <w:rsid w:val="E5C605A8"/>
    <w:rsid w:val="E6DE6891"/>
    <w:rsid w:val="E6DEECD6"/>
    <w:rsid w:val="E71F1F84"/>
    <w:rsid w:val="E77FAF7C"/>
    <w:rsid w:val="E7BF5AFD"/>
    <w:rsid w:val="E7DFF126"/>
    <w:rsid w:val="E7F928B1"/>
    <w:rsid w:val="E7FB4D3E"/>
    <w:rsid w:val="E9EF9D41"/>
    <w:rsid w:val="E9FBA103"/>
    <w:rsid w:val="EA5DE827"/>
    <w:rsid w:val="EA73EF44"/>
    <w:rsid w:val="EAF6EDE2"/>
    <w:rsid w:val="EB9FFD27"/>
    <w:rsid w:val="EBAEA297"/>
    <w:rsid w:val="EBAF8815"/>
    <w:rsid w:val="EBEDC3CA"/>
    <w:rsid w:val="EBFF6669"/>
    <w:rsid w:val="EC2E6890"/>
    <w:rsid w:val="ED2F44E0"/>
    <w:rsid w:val="ED7649FC"/>
    <w:rsid w:val="ED7EEE0A"/>
    <w:rsid w:val="ED9A3668"/>
    <w:rsid w:val="EDA9E44A"/>
    <w:rsid w:val="EDBF2970"/>
    <w:rsid w:val="EEA217C8"/>
    <w:rsid w:val="EEBFDFA8"/>
    <w:rsid w:val="EED7C80A"/>
    <w:rsid w:val="EEDFAF5F"/>
    <w:rsid w:val="EEFB460E"/>
    <w:rsid w:val="EEFFEE43"/>
    <w:rsid w:val="EF3EF205"/>
    <w:rsid w:val="EF6E94C2"/>
    <w:rsid w:val="EF752453"/>
    <w:rsid w:val="EF7D3CE9"/>
    <w:rsid w:val="EF7FED0C"/>
    <w:rsid w:val="EF8F35AA"/>
    <w:rsid w:val="EF9F6151"/>
    <w:rsid w:val="EF9FA6A2"/>
    <w:rsid w:val="EFAFBEA0"/>
    <w:rsid w:val="EFB4AB34"/>
    <w:rsid w:val="EFB56EC8"/>
    <w:rsid w:val="EFB76580"/>
    <w:rsid w:val="EFBDA9B2"/>
    <w:rsid w:val="EFBEF592"/>
    <w:rsid w:val="EFC7690A"/>
    <w:rsid w:val="EFD88995"/>
    <w:rsid w:val="EFDA3C8A"/>
    <w:rsid w:val="EFEBA03B"/>
    <w:rsid w:val="EFEDC329"/>
    <w:rsid w:val="EFEDDB36"/>
    <w:rsid w:val="EFEF5E54"/>
    <w:rsid w:val="EFEF70C4"/>
    <w:rsid w:val="EFF7976B"/>
    <w:rsid w:val="EFF91051"/>
    <w:rsid w:val="EFFD6C02"/>
    <w:rsid w:val="EFFEC046"/>
    <w:rsid w:val="EFFEC93B"/>
    <w:rsid w:val="EFFEE794"/>
    <w:rsid w:val="EFFEE873"/>
    <w:rsid w:val="EFFF16F1"/>
    <w:rsid w:val="EFFF2508"/>
    <w:rsid w:val="EFFF3791"/>
    <w:rsid w:val="EFFF9445"/>
    <w:rsid w:val="F155FAC8"/>
    <w:rsid w:val="F1FF8341"/>
    <w:rsid w:val="F23F776D"/>
    <w:rsid w:val="F26DEE2B"/>
    <w:rsid w:val="F31D4323"/>
    <w:rsid w:val="F3756E6E"/>
    <w:rsid w:val="F37EB314"/>
    <w:rsid w:val="F3BB7A0F"/>
    <w:rsid w:val="F3BFD25F"/>
    <w:rsid w:val="F3D4CBAA"/>
    <w:rsid w:val="F3DD1228"/>
    <w:rsid w:val="F3EB3824"/>
    <w:rsid w:val="F3FBCC42"/>
    <w:rsid w:val="F4C640BD"/>
    <w:rsid w:val="F4DF7BF3"/>
    <w:rsid w:val="F4ED2C90"/>
    <w:rsid w:val="F4F7BC98"/>
    <w:rsid w:val="F4FB924F"/>
    <w:rsid w:val="F54DA778"/>
    <w:rsid w:val="F57F55F3"/>
    <w:rsid w:val="F5FBD23C"/>
    <w:rsid w:val="F5FD1C1E"/>
    <w:rsid w:val="F5FF1D1B"/>
    <w:rsid w:val="F62E3511"/>
    <w:rsid w:val="F6393A7F"/>
    <w:rsid w:val="F6FD930A"/>
    <w:rsid w:val="F6FF7CDE"/>
    <w:rsid w:val="F6FFCD67"/>
    <w:rsid w:val="F7160266"/>
    <w:rsid w:val="F7778AB2"/>
    <w:rsid w:val="F79F0624"/>
    <w:rsid w:val="F79F602D"/>
    <w:rsid w:val="F7A2F9B1"/>
    <w:rsid w:val="F7B57966"/>
    <w:rsid w:val="F7B75725"/>
    <w:rsid w:val="F7B8AAC0"/>
    <w:rsid w:val="F7BB609D"/>
    <w:rsid w:val="F7BF990A"/>
    <w:rsid w:val="F7DB486B"/>
    <w:rsid w:val="F7DCB7F8"/>
    <w:rsid w:val="F7DD2A29"/>
    <w:rsid w:val="F7DFD825"/>
    <w:rsid w:val="F7EBDE77"/>
    <w:rsid w:val="F7ED7799"/>
    <w:rsid w:val="F7EED6BA"/>
    <w:rsid w:val="F7EEE349"/>
    <w:rsid w:val="F7EF3BC6"/>
    <w:rsid w:val="F7FBE0EB"/>
    <w:rsid w:val="F7FC0ACB"/>
    <w:rsid w:val="F7FD4094"/>
    <w:rsid w:val="F7FD41CE"/>
    <w:rsid w:val="F7FE606B"/>
    <w:rsid w:val="F7FF2532"/>
    <w:rsid w:val="F7FFB40C"/>
    <w:rsid w:val="F89E6491"/>
    <w:rsid w:val="F9BEDF6A"/>
    <w:rsid w:val="F9CF80D6"/>
    <w:rsid w:val="F9E57CDA"/>
    <w:rsid w:val="F9F723C8"/>
    <w:rsid w:val="F9FF6C42"/>
    <w:rsid w:val="FA1E3E96"/>
    <w:rsid w:val="FA67AE77"/>
    <w:rsid w:val="FAF69F47"/>
    <w:rsid w:val="FB77CF0F"/>
    <w:rsid w:val="FB7A3F78"/>
    <w:rsid w:val="FB7BCD01"/>
    <w:rsid w:val="FB7E06BF"/>
    <w:rsid w:val="FB7F867C"/>
    <w:rsid w:val="FB7FC5BD"/>
    <w:rsid w:val="FB891EFC"/>
    <w:rsid w:val="FB8BA54E"/>
    <w:rsid w:val="FB92F5E6"/>
    <w:rsid w:val="FB9A0CD7"/>
    <w:rsid w:val="FBAB4D8B"/>
    <w:rsid w:val="FBBF0A2C"/>
    <w:rsid w:val="FBBFC4F6"/>
    <w:rsid w:val="FBD9C8AB"/>
    <w:rsid w:val="FBDB1E2D"/>
    <w:rsid w:val="FBDFF002"/>
    <w:rsid w:val="FBEF6254"/>
    <w:rsid w:val="FBEFBB62"/>
    <w:rsid w:val="FBF3A676"/>
    <w:rsid w:val="FBF3C289"/>
    <w:rsid w:val="FBF75D7F"/>
    <w:rsid w:val="FBFB697D"/>
    <w:rsid w:val="FBFF89A6"/>
    <w:rsid w:val="FBFFF2F8"/>
    <w:rsid w:val="FC78FBFF"/>
    <w:rsid w:val="FC7F351B"/>
    <w:rsid w:val="FC7FCBDC"/>
    <w:rsid w:val="FCDD9D87"/>
    <w:rsid w:val="FCEB1AA3"/>
    <w:rsid w:val="FCF517FA"/>
    <w:rsid w:val="FCF70A3E"/>
    <w:rsid w:val="FCFD1E9C"/>
    <w:rsid w:val="FCFF59E2"/>
    <w:rsid w:val="FD550189"/>
    <w:rsid w:val="FD5F5659"/>
    <w:rsid w:val="FD5FBCF3"/>
    <w:rsid w:val="FD6AA70A"/>
    <w:rsid w:val="FD7BF7D8"/>
    <w:rsid w:val="FD7C2320"/>
    <w:rsid w:val="FD7F1AB1"/>
    <w:rsid w:val="FD7F9BA0"/>
    <w:rsid w:val="FD9D3518"/>
    <w:rsid w:val="FDA72535"/>
    <w:rsid w:val="FDAF696D"/>
    <w:rsid w:val="FDB78840"/>
    <w:rsid w:val="FDBD760F"/>
    <w:rsid w:val="FDBE0605"/>
    <w:rsid w:val="FDBF9BD8"/>
    <w:rsid w:val="FDBFE0E7"/>
    <w:rsid w:val="FDC36304"/>
    <w:rsid w:val="FDDA97F9"/>
    <w:rsid w:val="FDE69434"/>
    <w:rsid w:val="FDE90830"/>
    <w:rsid w:val="FDEDD004"/>
    <w:rsid w:val="FDF0B37A"/>
    <w:rsid w:val="FDF98B8F"/>
    <w:rsid w:val="FDFABDEF"/>
    <w:rsid w:val="FDFFA520"/>
    <w:rsid w:val="FE1B24AC"/>
    <w:rsid w:val="FE6FD587"/>
    <w:rsid w:val="FE7C6260"/>
    <w:rsid w:val="FE7F5BAF"/>
    <w:rsid w:val="FE976FA6"/>
    <w:rsid w:val="FE9F1EA6"/>
    <w:rsid w:val="FEAD6C96"/>
    <w:rsid w:val="FEB60DEE"/>
    <w:rsid w:val="FEB79098"/>
    <w:rsid w:val="FEBF8140"/>
    <w:rsid w:val="FED76DD8"/>
    <w:rsid w:val="FEDF1310"/>
    <w:rsid w:val="FEF1FD40"/>
    <w:rsid w:val="FEF37215"/>
    <w:rsid w:val="FEF5D010"/>
    <w:rsid w:val="FEF6F9F3"/>
    <w:rsid w:val="FEF72762"/>
    <w:rsid w:val="FEF92B3A"/>
    <w:rsid w:val="FEFEDD3F"/>
    <w:rsid w:val="FF17D691"/>
    <w:rsid w:val="FF1E7BE1"/>
    <w:rsid w:val="FF1EA333"/>
    <w:rsid w:val="FF1F4B5E"/>
    <w:rsid w:val="FF1FA016"/>
    <w:rsid w:val="FF2F1B2A"/>
    <w:rsid w:val="FF3F3D05"/>
    <w:rsid w:val="FF3F9A85"/>
    <w:rsid w:val="FF3FB6E0"/>
    <w:rsid w:val="FF573495"/>
    <w:rsid w:val="FF5D073C"/>
    <w:rsid w:val="FF69C863"/>
    <w:rsid w:val="FF6DBF2C"/>
    <w:rsid w:val="FF6FCF4A"/>
    <w:rsid w:val="FF732DEC"/>
    <w:rsid w:val="FF77B24C"/>
    <w:rsid w:val="FF7B39DF"/>
    <w:rsid w:val="FF7BBCFA"/>
    <w:rsid w:val="FF7F7649"/>
    <w:rsid w:val="FF7FDF43"/>
    <w:rsid w:val="FF89E529"/>
    <w:rsid w:val="FF8EF5FE"/>
    <w:rsid w:val="FF9548AA"/>
    <w:rsid w:val="FF9557F8"/>
    <w:rsid w:val="FF9B102F"/>
    <w:rsid w:val="FF9D448A"/>
    <w:rsid w:val="FFA5AA92"/>
    <w:rsid w:val="FFA76C1A"/>
    <w:rsid w:val="FFA7981E"/>
    <w:rsid w:val="FFB76C12"/>
    <w:rsid w:val="FFB97290"/>
    <w:rsid w:val="FFBA3ACC"/>
    <w:rsid w:val="FFBC39F1"/>
    <w:rsid w:val="FFBD3F1E"/>
    <w:rsid w:val="FFBDEB0B"/>
    <w:rsid w:val="FFBF1449"/>
    <w:rsid w:val="FFBF73C5"/>
    <w:rsid w:val="FFC52269"/>
    <w:rsid w:val="FFCBA738"/>
    <w:rsid w:val="FFCE8BA5"/>
    <w:rsid w:val="FFD70F8C"/>
    <w:rsid w:val="FFDB155F"/>
    <w:rsid w:val="FFDD4600"/>
    <w:rsid w:val="FFDE4735"/>
    <w:rsid w:val="FFDF285F"/>
    <w:rsid w:val="FFE57C48"/>
    <w:rsid w:val="FFE60B63"/>
    <w:rsid w:val="FFEDA1B1"/>
    <w:rsid w:val="FFEF1C65"/>
    <w:rsid w:val="FFF0DAB9"/>
    <w:rsid w:val="FFF2C5F8"/>
    <w:rsid w:val="FFF518E3"/>
    <w:rsid w:val="FFF5E9E1"/>
    <w:rsid w:val="FFF6BA70"/>
    <w:rsid w:val="FFF99C0D"/>
    <w:rsid w:val="FFFB344C"/>
    <w:rsid w:val="FFFBEC96"/>
    <w:rsid w:val="FFFC6845"/>
    <w:rsid w:val="FFFD02F1"/>
    <w:rsid w:val="FFFD45CD"/>
    <w:rsid w:val="FFFD48AA"/>
    <w:rsid w:val="FFFD7D1E"/>
    <w:rsid w:val="FFFD8F15"/>
    <w:rsid w:val="FFFDAECF"/>
    <w:rsid w:val="FFFE1207"/>
    <w:rsid w:val="FFFE98E6"/>
    <w:rsid w:val="FFFEAFD8"/>
    <w:rsid w:val="FFFEC5DF"/>
    <w:rsid w:val="FFFF0D35"/>
    <w:rsid w:val="FFFF10AD"/>
    <w:rsid w:val="FFFF5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2"/>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4"/>
    <w:qFormat/>
    <w:uiPriority w:val="0"/>
    <w:pPr>
      <w:keepNext/>
      <w:keepLines/>
      <w:spacing w:before="280" w:after="290" w:line="376" w:lineRule="auto"/>
      <w:outlineLvl w:val="4"/>
    </w:pPr>
    <w:rPr>
      <w:b/>
      <w:sz w:val="28"/>
    </w:rPr>
  </w:style>
  <w:style w:type="paragraph" w:styleId="8">
    <w:name w:val="heading 6"/>
    <w:basedOn w:val="1"/>
    <w:next w:val="7"/>
    <w:link w:val="76"/>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7"/>
    <w:qFormat/>
    <w:uiPriority w:val="0"/>
    <w:pPr>
      <w:keepNext/>
      <w:keepLines/>
      <w:spacing w:before="240" w:after="64" w:line="320" w:lineRule="auto"/>
      <w:outlineLvl w:val="6"/>
    </w:pPr>
    <w:rPr>
      <w:b/>
      <w:sz w:val="24"/>
    </w:rPr>
  </w:style>
  <w:style w:type="paragraph" w:styleId="10">
    <w:name w:val="heading 8"/>
    <w:basedOn w:val="1"/>
    <w:next w:val="7"/>
    <w:link w:val="78"/>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9"/>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5"/>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40"/>
        <w:tab w:val="left" w:pos="720"/>
        <w:tab w:val="left" w:pos="840"/>
      </w:tabs>
      <w:spacing w:afterLines="50"/>
      <w:ind w:left="454" w:hanging="280"/>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qFormat/>
    <w:uiPriority w:val="0"/>
    <w:pPr>
      <w:tabs>
        <w:tab w:val="left" w:pos="3300"/>
      </w:tabs>
    </w:pPr>
  </w:style>
  <w:style w:type="paragraph" w:styleId="17">
    <w:name w:val="Document Map"/>
    <w:basedOn w:val="1"/>
    <w:link w:val="80"/>
    <w:qFormat/>
    <w:uiPriority w:val="0"/>
    <w:pPr>
      <w:shd w:val="clear" w:color="auto" w:fill="000080"/>
    </w:pPr>
  </w:style>
  <w:style w:type="paragraph" w:styleId="18">
    <w:name w:val="annotation text"/>
    <w:basedOn w:val="1"/>
    <w:link w:val="81"/>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2"/>
    <w:qFormat/>
    <w:uiPriority w:val="0"/>
    <w:rPr>
      <w:sz w:val="28"/>
    </w:rPr>
  </w:style>
  <w:style w:type="paragraph" w:styleId="20">
    <w:name w:val="Body Text 3"/>
    <w:basedOn w:val="1"/>
    <w:link w:val="83"/>
    <w:qFormat/>
    <w:uiPriority w:val="0"/>
    <w:pPr>
      <w:spacing w:line="500" w:lineRule="exact"/>
    </w:pPr>
    <w:rPr>
      <w:b/>
      <w:bCs/>
      <w:sz w:val="24"/>
    </w:rPr>
  </w:style>
  <w:style w:type="paragraph" w:styleId="21">
    <w:name w:val="Body Text"/>
    <w:basedOn w:val="1"/>
    <w:next w:val="1"/>
    <w:link w:val="84"/>
    <w:qFormat/>
    <w:uiPriority w:val="0"/>
    <w:pPr>
      <w:spacing w:line="380" w:lineRule="exact"/>
    </w:pPr>
    <w:rPr>
      <w:sz w:val="24"/>
    </w:rPr>
  </w:style>
  <w:style w:type="paragraph" w:styleId="22">
    <w:name w:val="Body Text Indent"/>
    <w:basedOn w:val="1"/>
    <w:next w:val="7"/>
    <w:link w:val="85"/>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1"/>
    <w:link w:val="86"/>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7"/>
    <w:qFormat/>
    <w:uiPriority w:val="0"/>
    <w:pPr>
      <w:ind w:left="100" w:leftChars="2500"/>
    </w:pPr>
    <w:rPr>
      <w:rFonts w:ascii="宋体" w:hAnsi="Courier New" w:cs="Courier New"/>
      <w:szCs w:val="21"/>
    </w:rPr>
  </w:style>
  <w:style w:type="paragraph" w:styleId="31">
    <w:name w:val="Body Text Indent 2"/>
    <w:basedOn w:val="1"/>
    <w:link w:val="88"/>
    <w:qFormat/>
    <w:uiPriority w:val="0"/>
    <w:pPr>
      <w:ind w:firstLine="630"/>
    </w:pPr>
    <w:rPr>
      <w:sz w:val="32"/>
      <w:szCs w:val="20"/>
    </w:rPr>
  </w:style>
  <w:style w:type="paragraph" w:styleId="32">
    <w:name w:val="endnote text"/>
    <w:basedOn w:val="1"/>
    <w:link w:val="89"/>
    <w:qFormat/>
    <w:uiPriority w:val="0"/>
    <w:pPr>
      <w:snapToGrid w:val="0"/>
      <w:jc w:val="left"/>
    </w:pPr>
    <w:rPr>
      <w:rFonts w:ascii="Calibri" w:hAnsi="Calibri"/>
      <w:szCs w:val="22"/>
    </w:rPr>
  </w:style>
  <w:style w:type="paragraph" w:styleId="33">
    <w:name w:val="Balloon Text"/>
    <w:basedOn w:val="1"/>
    <w:link w:val="90"/>
    <w:qFormat/>
    <w:uiPriority w:val="99"/>
    <w:rPr>
      <w:sz w:val="18"/>
      <w:szCs w:val="18"/>
    </w:rPr>
  </w:style>
  <w:style w:type="paragraph" w:styleId="34">
    <w:name w:val="footer"/>
    <w:basedOn w:val="1"/>
    <w:next w:val="1"/>
    <w:qFormat/>
    <w:uiPriority w:val="0"/>
    <w:pPr>
      <w:tabs>
        <w:tab w:val="center" w:pos="4140"/>
        <w:tab w:val="right" w:pos="8300"/>
      </w:tabs>
      <w:snapToGrid w:val="0"/>
      <w:jc w:val="left"/>
    </w:pPr>
    <w:rPr>
      <w:sz w:val="18"/>
      <w:szCs w:val="18"/>
    </w:rPr>
  </w:style>
  <w:style w:type="paragraph" w:styleId="35">
    <w:name w:val="header"/>
    <w:basedOn w:val="1"/>
    <w:qFormat/>
    <w:uiPriority w:val="0"/>
    <w:pPr>
      <w:pBdr>
        <w:bottom w:val="single" w:color="auto" w:sz="6" w:space="1"/>
      </w:pBdr>
      <w:tabs>
        <w:tab w:val="center" w:pos="4140"/>
        <w:tab w:val="right" w:pos="8300"/>
      </w:tabs>
      <w:snapToGrid w:val="0"/>
      <w:jc w:val="center"/>
    </w:pPr>
    <w:rPr>
      <w:sz w:val="18"/>
      <w:szCs w:val="18"/>
    </w:rPr>
  </w:style>
  <w:style w:type="paragraph" w:styleId="36">
    <w:name w:val="toc 1"/>
    <w:basedOn w:val="1"/>
    <w:next w:val="1"/>
    <w:qFormat/>
    <w:uiPriority w:val="0"/>
    <w:pPr>
      <w:tabs>
        <w:tab w:val="right" w:leader="dot" w:pos="8280"/>
        <w:tab w:val="right" w:leader="dot" w:pos="8380"/>
      </w:tabs>
      <w:spacing w:before="120" w:after="120" w:line="320" w:lineRule="exact"/>
      <w:ind w:firstLine="840" w:firstLineChars="400"/>
      <w:jc w:val="left"/>
    </w:pPr>
    <w:rPr>
      <w:rFonts w:ascii="仿宋_GB2312" w:hAnsi="宋体" w:eastAsia="仿宋_GB2312" w:cs="Courier New"/>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1"/>
    <w:qFormat/>
    <w:uiPriority w:val="0"/>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2"/>
    <w:qFormat/>
    <w:uiPriority w:val="0"/>
    <w:pPr>
      <w:snapToGrid w:val="0"/>
      <w:jc w:val="left"/>
    </w:pPr>
    <w:rPr>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3"/>
    <w:qFormat/>
    <w:uiPriority w:val="0"/>
    <w:pPr>
      <w:spacing w:after="120"/>
      <w:ind w:left="420" w:leftChars="200"/>
    </w:pPr>
    <w:rPr>
      <w:sz w:val="16"/>
      <w:szCs w:val="16"/>
    </w:rPr>
  </w:style>
  <w:style w:type="paragraph" w:styleId="44">
    <w:name w:val="table of figures"/>
    <w:basedOn w:val="1"/>
    <w:next w:val="1"/>
    <w:qFormat/>
    <w:uiPriority w:val="0"/>
    <w:pPr>
      <w:ind w:left="200" w:leftChars="200" w:hanging="200" w:hangingChars="200"/>
      <w:jc w:val="center"/>
    </w:p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4"/>
    <w:qFormat/>
    <w:uiPriority w:val="0"/>
    <w:pPr>
      <w:spacing w:after="120" w:line="480" w:lineRule="auto"/>
    </w:pPr>
  </w:style>
  <w:style w:type="paragraph" w:styleId="48">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next w:val="1"/>
    <w:link w:val="96"/>
    <w:qFormat/>
    <w:uiPriority w:val="0"/>
    <w:pPr>
      <w:spacing w:before="240" w:after="60"/>
      <w:jc w:val="center"/>
      <w:outlineLvl w:val="0"/>
    </w:pPr>
    <w:rPr>
      <w:rFonts w:ascii="Arial" w:hAnsi="Arial"/>
      <w:b/>
      <w:bCs/>
      <w:sz w:val="32"/>
      <w:szCs w:val="32"/>
    </w:rPr>
  </w:style>
  <w:style w:type="paragraph" w:styleId="52">
    <w:name w:val="annotation subject"/>
    <w:basedOn w:val="18"/>
    <w:next w:val="18"/>
    <w:link w:val="97"/>
    <w:qFormat/>
    <w:uiPriority w:val="0"/>
    <w:pPr>
      <w:adjustRightInd/>
      <w:spacing w:line="240" w:lineRule="auto"/>
      <w:textAlignment w:val="auto"/>
    </w:pPr>
    <w:rPr>
      <w:b/>
      <w:bCs/>
      <w:kern w:val="2"/>
      <w:sz w:val="21"/>
      <w:szCs w:val="24"/>
    </w:rPr>
  </w:style>
  <w:style w:type="paragraph" w:styleId="53">
    <w:name w:val="Body Text First Indent"/>
    <w:basedOn w:val="21"/>
    <w:link w:val="98"/>
    <w:qFormat/>
    <w:uiPriority w:val="0"/>
    <w:pPr>
      <w:spacing w:after="120" w:line="240" w:lineRule="auto"/>
      <w:ind w:firstLine="420" w:firstLineChars="100"/>
    </w:pPr>
    <w:rPr>
      <w:sz w:val="21"/>
    </w:rPr>
  </w:style>
  <w:style w:type="paragraph" w:styleId="54">
    <w:name w:val="Body Text First Indent 2"/>
    <w:basedOn w:val="22"/>
    <w:next w:val="1"/>
    <w:link w:val="99"/>
    <w:qFormat/>
    <w:uiPriority w:val="0"/>
    <w:pPr>
      <w:spacing w:after="120"/>
      <w:ind w:left="420" w:leftChars="200" w:firstLine="420" w:firstLineChars="200"/>
    </w:pPr>
    <w:rPr>
      <w:rFonts w:ascii="Times New Roman" w:eastAsia="宋体"/>
      <w:kern w:val="0"/>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rFonts w:ascii="Times New Roman" w:hAnsi="Times New Roman" w:eastAsia="宋体" w:cs="Times New Roman"/>
      <w:b/>
      <w:bCs/>
      <w:sz w:val="21"/>
    </w:rPr>
  </w:style>
  <w:style w:type="character" w:styleId="59">
    <w:name w:val="page number"/>
    <w:qFormat/>
    <w:uiPriority w:val="0"/>
    <w:rPr>
      <w:rFonts w:ascii="Times New Roman" w:hAnsi="Times New Roman" w:eastAsia="宋体" w:cs="Times New Roman"/>
      <w:sz w:val="21"/>
    </w:rPr>
  </w:style>
  <w:style w:type="character" w:styleId="60">
    <w:name w:val="FollowedHyperlink"/>
    <w:qFormat/>
    <w:uiPriority w:val="0"/>
    <w:rPr>
      <w:rFonts w:ascii="Times New Roman" w:hAnsi="Times New Roman" w:eastAsia="宋体" w:cs="Times New Roman"/>
      <w:color w:val="800080"/>
      <w:u w:val="single"/>
    </w:rPr>
  </w:style>
  <w:style w:type="character" w:styleId="61">
    <w:name w:val="Emphasis"/>
    <w:qFormat/>
    <w:uiPriority w:val="0"/>
    <w:rPr>
      <w:rFonts w:ascii="Times New Roman" w:hAnsi="Times New Roman" w:eastAsia="宋体" w:cs="Times New Roman"/>
      <w:color w:val="CC0000"/>
      <w:sz w:val="21"/>
    </w:rPr>
  </w:style>
  <w:style w:type="character" w:styleId="62">
    <w:name w:val="HTML Definition"/>
    <w:qFormat/>
    <w:uiPriority w:val="0"/>
    <w:rPr>
      <w:rFonts w:ascii="Times New Roman" w:hAnsi="Times New Roman" w:eastAsia="宋体" w:cs="Times New Roman"/>
    </w:rPr>
  </w:style>
  <w:style w:type="character" w:styleId="63">
    <w:name w:val="HTML Variable"/>
    <w:qFormat/>
    <w:uiPriority w:val="0"/>
    <w:rPr>
      <w:rFonts w:ascii="Times New Roman" w:hAnsi="Times New Roman" w:eastAsia="宋体" w:cs="Times New Roman"/>
    </w:rPr>
  </w:style>
  <w:style w:type="character" w:styleId="64">
    <w:name w:val="Hyperlink"/>
    <w:qFormat/>
    <w:uiPriority w:val="0"/>
    <w:rPr>
      <w:rFonts w:ascii="Times New Roman" w:hAnsi="Times New Roman" w:eastAsia="宋体" w:cs="Times New Roman"/>
      <w:color w:val="0000FF"/>
      <w:u w:val="single"/>
    </w:rPr>
  </w:style>
  <w:style w:type="character" w:styleId="65">
    <w:name w:val="HTML Code"/>
    <w:qFormat/>
    <w:uiPriority w:val="0"/>
    <w:rPr>
      <w:rFonts w:hint="default" w:ascii="Courier New" w:hAnsi="Courier New" w:eastAsia="Courier New" w:cs="Courier New"/>
      <w:sz w:val="24"/>
      <w:szCs w:val="24"/>
    </w:rPr>
  </w:style>
  <w:style w:type="character" w:styleId="66">
    <w:name w:val="annotation reference"/>
    <w:qFormat/>
    <w:uiPriority w:val="0"/>
    <w:rPr>
      <w:rFonts w:ascii="Times New Roman" w:hAnsi="Times New Roman" w:eastAsia="宋体" w:cs="Times New Roman"/>
      <w:sz w:val="21"/>
      <w:szCs w:val="21"/>
    </w:rPr>
  </w:style>
  <w:style w:type="character" w:styleId="67">
    <w:name w:val="HTML Cite"/>
    <w:qFormat/>
    <w:uiPriority w:val="0"/>
    <w:rPr>
      <w:rFonts w:ascii="Times New Roman" w:hAnsi="Times New Roman" w:eastAsia="宋体" w:cs="Times New Roman"/>
    </w:rPr>
  </w:style>
  <w:style w:type="character" w:styleId="68">
    <w:name w:val="HTML Keyboard"/>
    <w:qFormat/>
    <w:uiPriority w:val="0"/>
    <w:rPr>
      <w:rFonts w:hint="default" w:ascii="Courier New" w:hAnsi="Courier New" w:eastAsia="Courier New" w:cs="Courier New"/>
      <w:sz w:val="24"/>
      <w:szCs w:val="24"/>
    </w:rPr>
  </w:style>
  <w:style w:type="character" w:styleId="69">
    <w:name w:val="HTML Sample"/>
    <w:qFormat/>
    <w:uiPriority w:val="0"/>
    <w:rPr>
      <w:rFonts w:ascii="Courier New" w:hAnsi="Courier New" w:eastAsia="Times New Roman" w:cs="Courier New"/>
      <w:sz w:val="21"/>
    </w:rPr>
  </w:style>
  <w:style w:type="character" w:customStyle="1" w:styleId="70">
    <w:name w:val="标题 1 Char1"/>
    <w:link w:val="2"/>
    <w:qFormat/>
    <w:uiPriority w:val="0"/>
    <w:rPr>
      <w:rFonts w:ascii="Times New Roman" w:hAnsi="Times New Roman" w:eastAsia="宋体" w:cs="Times New Roman"/>
      <w:b/>
      <w:bCs/>
      <w:kern w:val="44"/>
      <w:sz w:val="44"/>
      <w:szCs w:val="44"/>
      <w:lang w:val="en-US" w:eastAsia="zh-CN" w:bidi="ar-SA"/>
    </w:rPr>
  </w:style>
  <w:style w:type="character" w:customStyle="1" w:styleId="71">
    <w:name w:val="标题 2 Char1"/>
    <w:link w:val="3"/>
    <w:qFormat/>
    <w:uiPriority w:val="0"/>
    <w:rPr>
      <w:rFonts w:ascii="Arial" w:hAnsi="Arial" w:eastAsia="黑体" w:cs="Times New Roman"/>
      <w:b/>
      <w:bCs/>
      <w:sz w:val="32"/>
      <w:szCs w:val="32"/>
      <w:lang w:bidi="ar-SA"/>
    </w:rPr>
  </w:style>
  <w:style w:type="character" w:customStyle="1" w:styleId="72">
    <w:name w:val="标题 3 Char1"/>
    <w:link w:val="4"/>
    <w:qFormat/>
    <w:uiPriority w:val="0"/>
    <w:rPr>
      <w:rFonts w:ascii="Times New Roman" w:hAnsi="Times New Roman" w:eastAsia="宋体" w:cs="Times New Roman"/>
      <w:b/>
      <w:bCs/>
      <w:sz w:val="32"/>
      <w:szCs w:val="32"/>
      <w:lang w:bidi="ar-SA"/>
    </w:rPr>
  </w:style>
  <w:style w:type="character" w:customStyle="1" w:styleId="73">
    <w:name w:val="标题 4 Char1"/>
    <w:link w:val="5"/>
    <w:qFormat/>
    <w:uiPriority w:val="0"/>
    <w:rPr>
      <w:rFonts w:ascii="Arial" w:hAnsi="Arial" w:eastAsia="黑体" w:cs="Times New Roman"/>
      <w:sz w:val="28"/>
      <w:lang w:bidi="ar-SA"/>
    </w:rPr>
  </w:style>
  <w:style w:type="character" w:customStyle="1" w:styleId="74">
    <w:name w:val="标题 5 Char1"/>
    <w:link w:val="6"/>
    <w:qFormat/>
    <w:uiPriority w:val="0"/>
    <w:rPr>
      <w:rFonts w:ascii="Times New Roman" w:hAnsi="Times New Roman" w:eastAsia="宋体" w:cs="Times New Roman"/>
      <w:b/>
      <w:kern w:val="2"/>
      <w:sz w:val="28"/>
      <w:szCs w:val="24"/>
      <w:lang w:val="en-US" w:eastAsia="zh-CN" w:bidi="ar-SA"/>
    </w:rPr>
  </w:style>
  <w:style w:type="character" w:customStyle="1" w:styleId="75">
    <w:name w:val="正文缩进 Char"/>
    <w:link w:val="7"/>
    <w:qFormat/>
    <w:uiPriority w:val="0"/>
    <w:rPr>
      <w:rFonts w:ascii="Times New Roman" w:hAnsi="Times New Roman" w:eastAsia="宋体" w:cs="Times New Roman"/>
      <w:kern w:val="2"/>
      <w:sz w:val="21"/>
    </w:rPr>
  </w:style>
  <w:style w:type="character" w:customStyle="1" w:styleId="76">
    <w:name w:val="标题 6 Char1"/>
    <w:link w:val="8"/>
    <w:qFormat/>
    <w:uiPriority w:val="0"/>
    <w:rPr>
      <w:rFonts w:ascii="Arial" w:hAnsi="Arial" w:eastAsia="黑体" w:cs="Times New Roman"/>
      <w:b/>
      <w:kern w:val="2"/>
      <w:sz w:val="24"/>
      <w:szCs w:val="24"/>
      <w:lang w:val="en-US" w:eastAsia="zh-CN" w:bidi="ar-SA"/>
    </w:rPr>
  </w:style>
  <w:style w:type="character" w:customStyle="1" w:styleId="77">
    <w:name w:val="标题 7 Char1"/>
    <w:link w:val="9"/>
    <w:qFormat/>
    <w:uiPriority w:val="0"/>
    <w:rPr>
      <w:rFonts w:ascii="Times New Roman" w:hAnsi="Times New Roman" w:eastAsia="宋体" w:cs="Times New Roman"/>
      <w:b/>
      <w:kern w:val="2"/>
      <w:sz w:val="24"/>
      <w:szCs w:val="24"/>
      <w:lang w:val="en-US" w:eastAsia="zh-CN" w:bidi="ar-SA"/>
    </w:rPr>
  </w:style>
  <w:style w:type="character" w:customStyle="1" w:styleId="78">
    <w:name w:val="标题 8 Char1"/>
    <w:link w:val="10"/>
    <w:qFormat/>
    <w:uiPriority w:val="0"/>
    <w:rPr>
      <w:rFonts w:ascii="Arial" w:hAnsi="Arial" w:eastAsia="黑体" w:cs="Times New Roman"/>
      <w:kern w:val="2"/>
      <w:sz w:val="24"/>
      <w:szCs w:val="24"/>
      <w:lang w:val="en-US" w:eastAsia="zh-CN" w:bidi="ar-SA"/>
    </w:rPr>
  </w:style>
  <w:style w:type="character" w:customStyle="1" w:styleId="79">
    <w:name w:val="标题 9 Char1"/>
    <w:link w:val="11"/>
    <w:qFormat/>
    <w:uiPriority w:val="0"/>
    <w:rPr>
      <w:rFonts w:ascii="Arial" w:hAnsi="Arial" w:eastAsia="黑体" w:cs="Times New Roman"/>
      <w:kern w:val="2"/>
      <w:sz w:val="21"/>
      <w:szCs w:val="24"/>
      <w:lang w:val="en-US" w:eastAsia="zh-CN" w:bidi="ar-SA"/>
    </w:rPr>
  </w:style>
  <w:style w:type="character" w:customStyle="1" w:styleId="80">
    <w:name w:val="文档结构图 Char1"/>
    <w:link w:val="17"/>
    <w:qFormat/>
    <w:uiPriority w:val="0"/>
    <w:rPr>
      <w:rFonts w:ascii="Times New Roman" w:hAnsi="Times New Roman" w:eastAsia="宋体" w:cs="Times New Roman"/>
      <w:kern w:val="2"/>
      <w:sz w:val="21"/>
      <w:szCs w:val="24"/>
      <w:lang w:val="en-US" w:eastAsia="zh-CN" w:bidi="ar-SA"/>
    </w:rPr>
  </w:style>
  <w:style w:type="character" w:customStyle="1" w:styleId="81">
    <w:name w:val="批注文字 Char2"/>
    <w:link w:val="18"/>
    <w:qFormat/>
    <w:uiPriority w:val="0"/>
    <w:rPr>
      <w:rFonts w:ascii="Times New Roman" w:hAnsi="Times New Roman" w:eastAsia="宋体" w:cs="Times New Roman"/>
      <w:sz w:val="24"/>
      <w:lang w:bidi="ar-SA"/>
    </w:rPr>
  </w:style>
  <w:style w:type="character" w:customStyle="1" w:styleId="82">
    <w:name w:val="称呼 Char1"/>
    <w:link w:val="19"/>
    <w:qFormat/>
    <w:uiPriority w:val="0"/>
    <w:rPr>
      <w:rFonts w:ascii="Times New Roman" w:hAnsi="Times New Roman" w:eastAsia="宋体" w:cs="Times New Roman"/>
      <w:kern w:val="2"/>
      <w:sz w:val="28"/>
      <w:szCs w:val="24"/>
    </w:rPr>
  </w:style>
  <w:style w:type="character" w:customStyle="1" w:styleId="83">
    <w:name w:val="正文文本 3 Char1"/>
    <w:link w:val="20"/>
    <w:qFormat/>
    <w:uiPriority w:val="0"/>
    <w:rPr>
      <w:rFonts w:ascii="Times New Roman" w:hAnsi="Times New Roman" w:eastAsia="宋体" w:cs="Times New Roman"/>
      <w:b/>
      <w:bCs/>
      <w:kern w:val="2"/>
      <w:sz w:val="24"/>
      <w:szCs w:val="24"/>
      <w:lang w:val="en-US" w:eastAsia="zh-CN" w:bidi="ar-SA"/>
    </w:rPr>
  </w:style>
  <w:style w:type="character" w:customStyle="1" w:styleId="84">
    <w:name w:val="正文文本 Char1"/>
    <w:link w:val="21"/>
    <w:qFormat/>
    <w:uiPriority w:val="0"/>
    <w:rPr>
      <w:rFonts w:ascii="Times New Roman" w:hAnsi="Times New Roman" w:eastAsia="宋体" w:cs="Times New Roman"/>
      <w:kern w:val="2"/>
      <w:sz w:val="24"/>
      <w:szCs w:val="24"/>
      <w:lang w:val="en-US" w:eastAsia="zh-CN" w:bidi="ar-SA"/>
    </w:rPr>
  </w:style>
  <w:style w:type="character" w:customStyle="1" w:styleId="85">
    <w:name w:val="正文文本缩进 Char2"/>
    <w:link w:val="22"/>
    <w:qFormat/>
    <w:uiPriority w:val="0"/>
    <w:rPr>
      <w:rFonts w:ascii="仿宋_GB2312" w:hAnsi="Times New Roman" w:eastAsia="仿宋_GB2312" w:cs="Times New Roman"/>
      <w:kern w:val="2"/>
      <w:sz w:val="32"/>
      <w:lang w:val="en-US" w:eastAsia="zh-CN" w:bidi="ar-SA"/>
    </w:rPr>
  </w:style>
  <w:style w:type="character" w:customStyle="1" w:styleId="86">
    <w:name w:val="纯文本 Char3"/>
    <w:link w:val="28"/>
    <w:qFormat/>
    <w:uiPriority w:val="0"/>
    <w:rPr>
      <w:rFonts w:ascii="宋体" w:hAnsi="Courier New" w:eastAsia="宋体" w:cs="Courier New"/>
      <w:kern w:val="2"/>
      <w:sz w:val="21"/>
      <w:szCs w:val="21"/>
      <w:lang w:val="en-US" w:eastAsia="zh-CN" w:bidi="ar-SA"/>
    </w:rPr>
  </w:style>
  <w:style w:type="character" w:customStyle="1" w:styleId="87">
    <w:name w:val="日期 Char1"/>
    <w:link w:val="30"/>
    <w:qFormat/>
    <w:uiPriority w:val="0"/>
    <w:rPr>
      <w:rFonts w:ascii="宋体" w:hAnsi="Courier New" w:eastAsia="宋体" w:cs="Courier New"/>
      <w:kern w:val="2"/>
      <w:sz w:val="21"/>
      <w:szCs w:val="21"/>
      <w:lang w:val="en-US" w:eastAsia="zh-CN" w:bidi="ar-SA"/>
    </w:rPr>
  </w:style>
  <w:style w:type="character" w:customStyle="1" w:styleId="88">
    <w:name w:val="正文文本缩进 2 Char1"/>
    <w:link w:val="31"/>
    <w:qFormat/>
    <w:uiPriority w:val="0"/>
    <w:rPr>
      <w:rFonts w:ascii="Times New Roman" w:hAnsi="Times New Roman" w:eastAsia="宋体" w:cs="Times New Roman"/>
      <w:kern w:val="2"/>
      <w:sz w:val="32"/>
      <w:lang w:val="en-US" w:eastAsia="zh-CN" w:bidi="ar-SA"/>
    </w:rPr>
  </w:style>
  <w:style w:type="character" w:customStyle="1" w:styleId="89">
    <w:name w:val="尾注文本 Char1"/>
    <w:link w:val="32"/>
    <w:qFormat/>
    <w:uiPriority w:val="0"/>
    <w:rPr>
      <w:rFonts w:ascii="Calibri" w:hAnsi="Calibri" w:eastAsia="宋体" w:cs="Times New Roman"/>
      <w:kern w:val="2"/>
      <w:sz w:val="21"/>
      <w:szCs w:val="22"/>
    </w:rPr>
  </w:style>
  <w:style w:type="character" w:customStyle="1" w:styleId="90">
    <w:name w:val="批注框文本 Char1"/>
    <w:link w:val="33"/>
    <w:qFormat/>
    <w:uiPriority w:val="0"/>
    <w:rPr>
      <w:rFonts w:ascii="Times New Roman" w:hAnsi="Times New Roman" w:eastAsia="宋体" w:cs="Times New Roman"/>
      <w:kern w:val="2"/>
      <w:sz w:val="18"/>
      <w:szCs w:val="18"/>
      <w:lang w:val="en-US" w:eastAsia="zh-CN" w:bidi="ar-SA"/>
    </w:rPr>
  </w:style>
  <w:style w:type="character" w:customStyle="1" w:styleId="91">
    <w:name w:val="副标题 Char2"/>
    <w:link w:val="38"/>
    <w:qFormat/>
    <w:uiPriority w:val="0"/>
    <w:rPr>
      <w:rFonts w:ascii="Calibri Light" w:hAnsi="Calibri Light" w:eastAsia="宋体" w:cs="Times New Roman"/>
      <w:b/>
      <w:bCs/>
      <w:kern w:val="28"/>
      <w:sz w:val="32"/>
      <w:szCs w:val="32"/>
    </w:rPr>
  </w:style>
  <w:style w:type="character" w:customStyle="1" w:styleId="92">
    <w:name w:val="脚注文本 Char2"/>
    <w:link w:val="40"/>
    <w:qFormat/>
    <w:uiPriority w:val="0"/>
    <w:rPr>
      <w:rFonts w:ascii="Times New Roman" w:hAnsi="Times New Roman" w:eastAsia="宋体" w:cs="Times New Roman"/>
      <w:kern w:val="2"/>
      <w:sz w:val="18"/>
      <w:szCs w:val="18"/>
    </w:rPr>
  </w:style>
  <w:style w:type="character" w:customStyle="1" w:styleId="93">
    <w:name w:val="正文文本缩进 3 Char1"/>
    <w:link w:val="43"/>
    <w:qFormat/>
    <w:uiPriority w:val="0"/>
    <w:rPr>
      <w:rFonts w:ascii="Times New Roman" w:hAnsi="Times New Roman" w:eastAsia="宋体" w:cs="Times New Roman"/>
      <w:kern w:val="2"/>
      <w:sz w:val="16"/>
      <w:szCs w:val="16"/>
      <w:lang w:val="en-US" w:eastAsia="zh-CN" w:bidi="ar-SA"/>
    </w:rPr>
  </w:style>
  <w:style w:type="character" w:customStyle="1" w:styleId="94">
    <w:name w:val="正文文本 2 Char1"/>
    <w:link w:val="47"/>
    <w:qFormat/>
    <w:uiPriority w:val="0"/>
    <w:rPr>
      <w:rFonts w:ascii="Times New Roman" w:hAnsi="Times New Roman" w:eastAsia="宋体" w:cs="Times New Roman"/>
      <w:kern w:val="2"/>
      <w:sz w:val="21"/>
      <w:szCs w:val="24"/>
      <w:lang w:val="en-US" w:eastAsia="zh-CN" w:bidi="ar-SA"/>
    </w:rPr>
  </w:style>
  <w:style w:type="character" w:customStyle="1" w:styleId="95">
    <w:name w:val="HTML 预设格式 Char1"/>
    <w:link w:val="48"/>
    <w:qFormat/>
    <w:uiPriority w:val="0"/>
    <w:rPr>
      <w:rFonts w:ascii="黑体" w:hAnsi="Courier New" w:eastAsia="黑体" w:cs="Courier New"/>
      <w:lang w:val="en-US" w:eastAsia="zh-CN" w:bidi="ar-SA"/>
    </w:rPr>
  </w:style>
  <w:style w:type="character" w:customStyle="1" w:styleId="96">
    <w:name w:val="标题 Char2"/>
    <w:link w:val="51"/>
    <w:qFormat/>
    <w:uiPriority w:val="0"/>
    <w:rPr>
      <w:rFonts w:ascii="Arial" w:hAnsi="Arial" w:eastAsia="宋体" w:cs="Times New Roman"/>
      <w:b/>
      <w:bCs/>
      <w:kern w:val="2"/>
      <w:sz w:val="32"/>
      <w:szCs w:val="32"/>
      <w:lang w:bidi="ar-SA"/>
    </w:rPr>
  </w:style>
  <w:style w:type="character" w:customStyle="1" w:styleId="97">
    <w:name w:val="批注主题 Char1"/>
    <w:link w:val="52"/>
    <w:qFormat/>
    <w:uiPriority w:val="0"/>
    <w:rPr>
      <w:rFonts w:ascii="Times New Roman" w:hAnsi="Times New Roman" w:eastAsia="宋体" w:cs="Times New Roman"/>
      <w:b/>
      <w:bCs/>
      <w:kern w:val="2"/>
      <w:sz w:val="21"/>
      <w:szCs w:val="24"/>
      <w:lang w:bidi="ar-SA"/>
    </w:rPr>
  </w:style>
  <w:style w:type="character" w:customStyle="1" w:styleId="98">
    <w:name w:val="正文首行缩进 Char1"/>
    <w:link w:val="53"/>
    <w:qFormat/>
    <w:uiPriority w:val="0"/>
    <w:rPr>
      <w:rFonts w:ascii="Times New Roman" w:hAnsi="Times New Roman" w:eastAsia="宋体" w:cs="Times New Roman"/>
      <w:kern w:val="2"/>
      <w:sz w:val="21"/>
      <w:szCs w:val="24"/>
      <w:lang w:val="en-US" w:eastAsia="zh-CN" w:bidi="ar-SA"/>
    </w:rPr>
  </w:style>
  <w:style w:type="character" w:customStyle="1" w:styleId="99">
    <w:name w:val="正文首行缩进 2 Char"/>
    <w:link w:val="54"/>
    <w:qFormat/>
    <w:uiPriority w:val="0"/>
    <w:rPr>
      <w:rFonts w:ascii="Times New Roman" w:hAnsi="Times New Roman" w:eastAsia="宋体" w:cs="Times New Roman"/>
      <w:sz w:val="21"/>
      <w:szCs w:val="24"/>
      <w:lang w:val="en-US" w:eastAsia="zh-CN" w:bidi="ar-SA"/>
    </w:rPr>
  </w:style>
  <w:style w:type="paragraph" w:customStyle="1" w:styleId="100">
    <w:name w:val="表格文字"/>
    <w:basedOn w:val="1"/>
    <w:qFormat/>
    <w:uiPriority w:val="0"/>
    <w:pPr>
      <w:spacing w:before="25" w:after="25"/>
      <w:jc w:val="left"/>
    </w:pPr>
    <w:rPr>
      <w:bCs/>
      <w:spacing w:val="10"/>
      <w:kern w:val="0"/>
      <w:sz w:val="24"/>
    </w:rPr>
  </w:style>
  <w:style w:type="character" w:customStyle="1" w:styleId="101">
    <w:name w:val="页码 New New New New"/>
    <w:qFormat/>
    <w:uiPriority w:val="0"/>
    <w:rPr>
      <w:rFonts w:ascii="Times New Roman" w:hAnsi="Times New Roman" w:eastAsia="宋体" w:cs="Times New Roman"/>
    </w:rPr>
  </w:style>
  <w:style w:type="character" w:customStyle="1" w:styleId="102">
    <w:name w:val="页眉 Char"/>
    <w:qFormat/>
    <w:uiPriority w:val="0"/>
    <w:rPr>
      <w:rFonts w:ascii="Times New Roman" w:hAnsi="Times New Roman" w:eastAsia="宋体" w:cs="Times New Roman"/>
      <w:kern w:val="2"/>
      <w:sz w:val="18"/>
      <w:szCs w:val="18"/>
      <w:lang w:val="en-US" w:eastAsia="zh-CN" w:bidi="ar-SA"/>
    </w:rPr>
  </w:style>
  <w:style w:type="character" w:customStyle="1" w:styleId="103">
    <w:name w:val="正文（首行缩进2字符） Char"/>
    <w:link w:val="104"/>
    <w:qFormat/>
    <w:uiPriority w:val="0"/>
    <w:rPr>
      <w:rFonts w:ascii="宋体" w:hAnsi="宋体" w:eastAsia="宋体" w:cs="Times New Roman"/>
      <w:kern w:val="2"/>
      <w:sz w:val="21"/>
      <w:szCs w:val="21"/>
    </w:rPr>
  </w:style>
  <w:style w:type="paragraph" w:customStyle="1" w:styleId="104">
    <w:name w:val="正文（首行缩进2字符）"/>
    <w:basedOn w:val="1"/>
    <w:link w:val="103"/>
    <w:qFormat/>
    <w:uiPriority w:val="0"/>
    <w:pPr>
      <w:spacing w:line="360" w:lineRule="auto"/>
      <w:ind w:firstLine="420" w:firstLineChars="200"/>
    </w:pPr>
    <w:rPr>
      <w:rFonts w:ascii="宋体" w:hAnsi="宋体"/>
      <w:szCs w:val="21"/>
    </w:rPr>
  </w:style>
  <w:style w:type="character" w:customStyle="1" w:styleId="105">
    <w:name w:val="Body Text Char"/>
    <w:qFormat/>
    <w:uiPriority w:val="0"/>
    <w:rPr>
      <w:rFonts w:ascii="Times New Roman" w:hAnsi="Times New Roman" w:eastAsia="宋体" w:cs="Times New Roman"/>
      <w:kern w:val="2"/>
      <w:sz w:val="24"/>
      <w:szCs w:val="24"/>
      <w:lang w:val="en-US" w:eastAsia="zh-CN" w:bidi="ar-SA"/>
    </w:rPr>
  </w:style>
  <w:style w:type="character" w:customStyle="1" w:styleId="106">
    <w:name w:val="bookmark-item uuid-1594624443488 code-23013 addword date-time-selection-cls readonly"/>
    <w:qFormat/>
    <w:uiPriority w:val="0"/>
    <w:rPr>
      <w:rFonts w:ascii="Times New Roman" w:hAnsi="Times New Roman" w:eastAsia="宋体" w:cs="Times New Roman"/>
    </w:rPr>
  </w:style>
  <w:style w:type="character" w:customStyle="1" w:styleId="107">
    <w:name w:val="ca-9"/>
    <w:qFormat/>
    <w:uiPriority w:val="0"/>
    <w:rPr>
      <w:rFonts w:ascii="Times New Roman" w:hAnsi="Times New Roman" w:eastAsia="宋体" w:cs="Times New Roman"/>
    </w:rPr>
  </w:style>
  <w:style w:type="character" w:customStyle="1" w:styleId="108">
    <w:name w:val="正文无缩进 Char Char"/>
    <w:link w:val="109"/>
    <w:qFormat/>
    <w:uiPriority w:val="0"/>
    <w:rPr>
      <w:rFonts w:ascii="宋体" w:hAnsi="宋体" w:eastAsia="宋体" w:cs="Times New Roman"/>
      <w:color w:val="000000"/>
      <w:kern w:val="2"/>
      <w:sz w:val="24"/>
      <w:szCs w:val="24"/>
    </w:rPr>
  </w:style>
  <w:style w:type="paragraph" w:customStyle="1" w:styleId="109">
    <w:name w:val="正文无缩进"/>
    <w:basedOn w:val="1"/>
    <w:link w:val="108"/>
    <w:qFormat/>
    <w:uiPriority w:val="0"/>
    <w:pPr>
      <w:spacing w:line="360" w:lineRule="auto"/>
    </w:pPr>
    <w:rPr>
      <w:rFonts w:ascii="宋体" w:hAnsi="宋体"/>
      <w:color w:val="000000"/>
      <w:sz w:val="24"/>
    </w:rPr>
  </w:style>
  <w:style w:type="character" w:customStyle="1" w:styleId="110">
    <w:name w:val="style21"/>
    <w:qFormat/>
    <w:uiPriority w:val="0"/>
    <w:rPr>
      <w:rFonts w:ascii="Times New Roman" w:hAnsi="Times New Roman" w:eastAsia="宋体" w:cs="Times New Roman"/>
      <w:sz w:val="18"/>
      <w:szCs w:val="18"/>
    </w:rPr>
  </w:style>
  <w:style w:type="character" w:customStyle="1" w:styleId="111">
    <w:name w:val="Char Char15"/>
    <w:qFormat/>
    <w:uiPriority w:val="0"/>
    <w:rPr>
      <w:rFonts w:ascii="Times New Roman" w:hAnsi="Times New Roman" w:eastAsia="宋体" w:cs="Times New Roman"/>
      <w:sz w:val="18"/>
      <w:szCs w:val="18"/>
    </w:rPr>
  </w:style>
  <w:style w:type="character" w:customStyle="1" w:styleId="112">
    <w:name w:val="正文文本 Char"/>
    <w:qFormat/>
    <w:uiPriority w:val="0"/>
    <w:rPr>
      <w:rFonts w:ascii="Times New Roman" w:hAnsi="Times New Roman" w:eastAsia="宋体" w:cs="Times New Roman"/>
      <w:kern w:val="2"/>
      <w:sz w:val="24"/>
      <w:szCs w:val="24"/>
      <w:lang w:val="en-US" w:eastAsia="zh-CN" w:bidi="ar-SA"/>
    </w:rPr>
  </w:style>
  <w:style w:type="character" w:customStyle="1" w:styleId="113">
    <w:name w:val="批注框文本 Char"/>
    <w:qFormat/>
    <w:uiPriority w:val="99"/>
    <w:rPr>
      <w:rFonts w:ascii="Times New Roman" w:hAnsi="Times New Roman" w:eastAsia="宋体" w:cs="Times New Roman"/>
      <w:kern w:val="2"/>
      <w:sz w:val="18"/>
      <w:szCs w:val="18"/>
      <w:lang w:val="en-US" w:eastAsia="zh-CN" w:bidi="ar-SA"/>
    </w:rPr>
  </w:style>
  <w:style w:type="character" w:customStyle="1" w:styleId="114">
    <w:name w:val="细化要求 Char"/>
    <w:link w:val="115"/>
    <w:qFormat/>
    <w:uiPriority w:val="0"/>
    <w:rPr>
      <w:rFonts w:ascii="楷体_GB2312" w:hAnsi="Calibri" w:eastAsia="楷体_GB2312" w:cs="Times New Roman"/>
      <w:b/>
      <w:color w:val="FF0000"/>
      <w:sz w:val="24"/>
    </w:rPr>
  </w:style>
  <w:style w:type="paragraph" w:customStyle="1" w:styleId="115">
    <w:name w:val="细化要求"/>
    <w:basedOn w:val="1"/>
    <w:link w:val="114"/>
    <w:qFormat/>
    <w:uiPriority w:val="0"/>
    <w:pPr>
      <w:ind w:firstLine="200" w:firstLineChars="200"/>
    </w:pPr>
    <w:rPr>
      <w:rFonts w:ascii="楷体_GB2312" w:hAnsi="Calibri" w:eastAsia="楷体_GB2312"/>
      <w:b/>
      <w:color w:val="FF0000"/>
      <w:kern w:val="0"/>
      <w:sz w:val="24"/>
      <w:szCs w:val="20"/>
    </w:rPr>
  </w:style>
  <w:style w:type="character" w:customStyle="1" w:styleId="116">
    <w:name w:val="H1 Char2"/>
    <w:qFormat/>
    <w:uiPriority w:val="0"/>
    <w:rPr>
      <w:rFonts w:ascii="Times New Roman" w:hAnsi="Times New Roman" w:eastAsia="宋体" w:cs="Times New Roman"/>
      <w:b/>
      <w:bCs/>
      <w:kern w:val="44"/>
      <w:sz w:val="44"/>
      <w:szCs w:val="44"/>
      <w:lang w:val="en-US" w:eastAsia="zh-CN" w:bidi="ar-SA"/>
    </w:rPr>
  </w:style>
  <w:style w:type="character" w:customStyle="1" w:styleId="117">
    <w:name w:val="称呼 Char"/>
    <w:qFormat/>
    <w:uiPriority w:val="0"/>
    <w:rPr>
      <w:rFonts w:ascii="Times New Roman" w:hAnsi="Times New Roman" w:eastAsia="宋体" w:cs="Times New Roman"/>
      <w:kern w:val="2"/>
      <w:sz w:val="28"/>
      <w:szCs w:val="24"/>
    </w:rPr>
  </w:style>
  <w:style w:type="character" w:customStyle="1" w:styleId="118">
    <w:name w:val="Char Char31"/>
    <w:qFormat/>
    <w:uiPriority w:val="0"/>
    <w:rPr>
      <w:rFonts w:hint="default" w:ascii="Arial" w:hAnsi="Arial" w:eastAsia="黑体" w:cs="宋体"/>
      <w:b/>
      <w:kern w:val="2"/>
      <w:sz w:val="24"/>
      <w:szCs w:val="24"/>
      <w:lang w:val="en-US" w:eastAsia="zh-CN" w:bidi="ar-SA"/>
    </w:rPr>
  </w:style>
  <w:style w:type="character" w:customStyle="1" w:styleId="119">
    <w:name w:val="批注主题 Char2"/>
    <w:qFormat/>
    <w:uiPriority w:val="0"/>
    <w:rPr>
      <w:rFonts w:hint="eastAsia" w:ascii="宋体" w:hAnsi="宋体" w:eastAsia="宋体" w:cs="Times New Roman"/>
      <w:b/>
      <w:bCs/>
      <w:kern w:val="2"/>
      <w:sz w:val="21"/>
      <w:szCs w:val="24"/>
    </w:rPr>
  </w:style>
  <w:style w:type="character" w:customStyle="1" w:styleId="120">
    <w:name w:val="标题 4 Char2"/>
    <w:qFormat/>
    <w:uiPriority w:val="0"/>
    <w:rPr>
      <w:rFonts w:hint="default" w:ascii="Arial" w:hAnsi="Arial" w:eastAsia="黑体" w:cs="Arial"/>
      <w:sz w:val="28"/>
    </w:rPr>
  </w:style>
  <w:style w:type="character" w:customStyle="1" w:styleId="121">
    <w:name w:val="Char Char20"/>
    <w:qFormat/>
    <w:uiPriority w:val="0"/>
    <w:rPr>
      <w:rFonts w:hint="eastAsia" w:ascii="仿宋_GB2312" w:hAnsi="Times New Roman" w:eastAsia="仿宋_GB2312" w:cs="Times New Roman"/>
      <w:kern w:val="2"/>
      <w:sz w:val="32"/>
      <w:lang w:val="en-US" w:eastAsia="zh-CN" w:bidi="ar-SA"/>
    </w:rPr>
  </w:style>
  <w:style w:type="character" w:customStyle="1" w:styleId="122">
    <w:name w:val="批注主题 Char"/>
    <w:link w:val="123"/>
    <w:qFormat/>
    <w:uiPriority w:val="0"/>
    <w:rPr>
      <w:rFonts w:ascii="Times New Roman" w:hAnsi="Times New Roman" w:eastAsia="宋体" w:cs="Times New Roman"/>
      <w:b/>
      <w:bCs/>
      <w:kern w:val="2"/>
      <w:sz w:val="21"/>
      <w:szCs w:val="24"/>
      <w:lang w:bidi="ar-SA"/>
    </w:rPr>
  </w:style>
  <w:style w:type="paragraph" w:customStyle="1" w:styleId="123">
    <w:name w:val="批注主题1"/>
    <w:basedOn w:val="18"/>
    <w:next w:val="18"/>
    <w:link w:val="122"/>
    <w:qFormat/>
    <w:uiPriority w:val="0"/>
    <w:pPr>
      <w:adjustRightInd/>
      <w:spacing w:line="240" w:lineRule="auto"/>
      <w:textAlignment w:val="auto"/>
    </w:pPr>
    <w:rPr>
      <w:b/>
      <w:bCs/>
      <w:kern w:val="2"/>
      <w:sz w:val="21"/>
      <w:szCs w:val="24"/>
    </w:rPr>
  </w:style>
  <w:style w:type="character" w:customStyle="1" w:styleId="124">
    <w:name w:val="Char Char35"/>
    <w:qFormat/>
    <w:uiPriority w:val="0"/>
    <w:rPr>
      <w:rFonts w:hint="default" w:ascii="Arial" w:hAnsi="Arial" w:eastAsia="黑体" w:cs="宋体"/>
      <w:b/>
      <w:bCs/>
      <w:kern w:val="2"/>
      <w:sz w:val="32"/>
      <w:szCs w:val="32"/>
      <w:lang w:val="en-US" w:eastAsia="zh-CN" w:bidi="ar-SA"/>
    </w:rPr>
  </w:style>
  <w:style w:type="character" w:customStyle="1" w:styleId="125">
    <w:name w:val="批注文字 Char"/>
    <w:qFormat/>
    <w:uiPriority w:val="0"/>
    <w:rPr>
      <w:rFonts w:ascii="Times New Roman" w:hAnsi="Times New Roman" w:eastAsia="宋体" w:cs="Times New Roman"/>
      <w:sz w:val="24"/>
      <w:lang w:bidi="ar-SA"/>
    </w:rPr>
  </w:style>
  <w:style w:type="character" w:customStyle="1" w:styleId="126">
    <w:name w:val="con"/>
    <w:qFormat/>
    <w:uiPriority w:val="0"/>
    <w:rPr>
      <w:rFonts w:ascii="Times New Roman" w:hAnsi="Times New Roman" w:eastAsia="宋体" w:cs="Times New Roman"/>
    </w:rPr>
  </w:style>
  <w:style w:type="character" w:customStyle="1" w:styleId="127">
    <w:name w:val="正文文本缩进 3 Char"/>
    <w:link w:val="128"/>
    <w:qFormat/>
    <w:uiPriority w:val="0"/>
    <w:rPr>
      <w:rFonts w:ascii="Times New Roman" w:hAnsi="Times New Roman" w:eastAsia="宋体" w:cs="Times New Roman"/>
      <w:kern w:val="2"/>
      <w:sz w:val="16"/>
      <w:szCs w:val="16"/>
      <w:lang w:val="en-US" w:eastAsia="zh-CN" w:bidi="ar-SA"/>
    </w:rPr>
  </w:style>
  <w:style w:type="paragraph" w:customStyle="1" w:styleId="128">
    <w:name w:val="Body Text Indent 3_0"/>
    <w:basedOn w:val="1"/>
    <w:link w:val="127"/>
    <w:qFormat/>
    <w:uiPriority w:val="0"/>
    <w:pPr>
      <w:spacing w:after="120"/>
      <w:ind w:left="420" w:leftChars="200"/>
    </w:pPr>
    <w:rPr>
      <w:sz w:val="16"/>
      <w:szCs w:val="16"/>
    </w:rPr>
  </w:style>
  <w:style w:type="character" w:customStyle="1" w:styleId="129">
    <w:name w:val="日期 Char2"/>
    <w:qFormat/>
    <w:uiPriority w:val="0"/>
    <w:rPr>
      <w:rFonts w:ascii="Times New Roman" w:hAnsi="Times New Roman" w:eastAsia="宋体" w:cs="Times New Roman"/>
      <w:kern w:val="2"/>
      <w:sz w:val="21"/>
      <w:szCs w:val="24"/>
    </w:rPr>
  </w:style>
  <w:style w:type="character" w:customStyle="1" w:styleId="130">
    <w:name w:val="H1 Char"/>
    <w:qFormat/>
    <w:uiPriority w:val="0"/>
    <w:rPr>
      <w:rFonts w:ascii="Times New Roman" w:hAnsi="Times New Roman" w:eastAsia="宋体" w:cs="Times New Roman"/>
      <w:b/>
      <w:bCs/>
      <w:kern w:val="44"/>
      <w:sz w:val="44"/>
      <w:szCs w:val="44"/>
      <w:lang w:val="en-US" w:eastAsia="zh-CN" w:bidi="ar-SA"/>
    </w:rPr>
  </w:style>
  <w:style w:type="character" w:customStyle="1" w:styleId="131">
    <w:name w:val="Char Char8"/>
    <w:qFormat/>
    <w:uiPriority w:val="0"/>
    <w:rPr>
      <w:rFonts w:ascii="仿宋_GB2312" w:hAnsi="Times New Roman" w:eastAsia="仿宋_GB2312" w:cs="Times New Roman"/>
      <w:kern w:val="2"/>
      <w:sz w:val="32"/>
      <w:lang w:val="en-US" w:eastAsia="zh-CN" w:bidi="ar-SA"/>
    </w:rPr>
  </w:style>
  <w:style w:type="character" w:customStyle="1" w:styleId="132">
    <w:name w:val="正文文本 3 Char"/>
    <w:link w:val="133"/>
    <w:qFormat/>
    <w:uiPriority w:val="0"/>
    <w:rPr>
      <w:rFonts w:ascii="Times New Roman" w:hAnsi="Times New Roman" w:eastAsia="宋体" w:cs="Times New Roman"/>
      <w:b/>
      <w:bCs/>
      <w:kern w:val="2"/>
      <w:sz w:val="24"/>
      <w:szCs w:val="24"/>
      <w:lang w:val="en-US" w:eastAsia="zh-CN" w:bidi="ar-SA"/>
    </w:rPr>
  </w:style>
  <w:style w:type="paragraph" w:customStyle="1" w:styleId="133">
    <w:name w:val="Body Text 3_0"/>
    <w:basedOn w:val="1"/>
    <w:link w:val="132"/>
    <w:qFormat/>
    <w:uiPriority w:val="0"/>
    <w:pPr>
      <w:spacing w:line="500" w:lineRule="exact"/>
    </w:pPr>
    <w:rPr>
      <w:b/>
      <w:bCs/>
      <w:sz w:val="24"/>
    </w:rPr>
  </w:style>
  <w:style w:type="character" w:customStyle="1" w:styleId="134">
    <w:name w:val="Char Char11"/>
    <w:qFormat/>
    <w:uiPriority w:val="0"/>
    <w:rPr>
      <w:rFonts w:hint="default" w:ascii="Times New Roman" w:hAnsi="Times New Roman" w:eastAsia="宋体" w:cs="Times New Roman"/>
      <w:sz w:val="30"/>
      <w:szCs w:val="24"/>
    </w:rPr>
  </w:style>
  <w:style w:type="character" w:customStyle="1" w:styleId="135">
    <w:name w:val="Char Char12"/>
    <w:qFormat/>
    <w:uiPriority w:val="0"/>
    <w:rPr>
      <w:rFonts w:hint="eastAsia" w:ascii="宋体" w:hAnsi="Courier New" w:eastAsia="宋体" w:cs="Courier New"/>
      <w:kern w:val="2"/>
      <w:sz w:val="21"/>
      <w:szCs w:val="21"/>
      <w:lang w:val="en-US" w:eastAsia="zh-CN" w:bidi="ar-SA"/>
    </w:rPr>
  </w:style>
  <w:style w:type="character" w:customStyle="1" w:styleId="136">
    <w:name w:val="bookmark-item uuid-1596004753055 code-00011 addword single-line-text-input-box-cls"/>
    <w:qFormat/>
    <w:uiPriority w:val="0"/>
    <w:rPr>
      <w:rFonts w:ascii="Times New Roman" w:hAnsi="Times New Roman" w:eastAsia="宋体" w:cs="Times New Roman"/>
    </w:rPr>
  </w:style>
  <w:style w:type="character" w:customStyle="1" w:styleId="137">
    <w:name w:val="页脚 字符1"/>
    <w:qFormat/>
    <w:uiPriority w:val="0"/>
    <w:rPr>
      <w:rFonts w:ascii="Times New Roman" w:hAnsi="Times New Roman" w:eastAsia="宋体" w:cs="Times New Roman"/>
      <w:kern w:val="2"/>
      <w:sz w:val="18"/>
      <w:szCs w:val="18"/>
      <w:lang w:val="en-US" w:eastAsia="zh-CN" w:bidi="ar-SA"/>
    </w:rPr>
  </w:style>
  <w:style w:type="character" w:customStyle="1" w:styleId="138">
    <w:name w:val="Char Char14"/>
    <w:qFormat/>
    <w:uiPriority w:val="0"/>
    <w:rPr>
      <w:rFonts w:ascii="Times New Roman" w:hAnsi="Times New Roman" w:eastAsia="宋体" w:cs="Times New Roman"/>
      <w:sz w:val="18"/>
      <w:szCs w:val="18"/>
    </w:rPr>
  </w:style>
  <w:style w:type="character" w:customStyle="1" w:styleId="139">
    <w:name w:val="ca-14"/>
    <w:qFormat/>
    <w:uiPriority w:val="0"/>
    <w:rPr>
      <w:rFonts w:ascii="Times New Roman" w:hAnsi="Times New Roman" w:eastAsia="宋体" w:cs="Times New Roman"/>
    </w:rPr>
  </w:style>
  <w:style w:type="character" w:customStyle="1" w:styleId="140">
    <w:name w:val="bookmark-item uuid-1594624265677 code-23006 addword afternoon-time-section-selection-cls"/>
    <w:qFormat/>
    <w:uiPriority w:val="0"/>
    <w:rPr>
      <w:rFonts w:ascii="Times New Roman" w:hAnsi="Times New Roman" w:eastAsia="宋体" w:cs="Times New Roman"/>
    </w:rPr>
  </w:style>
  <w:style w:type="character" w:customStyle="1" w:styleId="141">
    <w:name w:val="ca-32"/>
    <w:qFormat/>
    <w:uiPriority w:val="0"/>
    <w:rPr>
      <w:rFonts w:ascii="Times New Roman" w:hAnsi="Times New Roman" w:eastAsia="宋体" w:cs="Times New Roman"/>
    </w:rPr>
  </w:style>
  <w:style w:type="character" w:customStyle="1" w:styleId="142">
    <w:name w:val="Body text|3_"/>
    <w:link w:val="143"/>
    <w:qFormat/>
    <w:uiPriority w:val="0"/>
    <w:rPr>
      <w:rFonts w:ascii="宋体" w:hAnsi="宋体" w:eastAsia="宋体" w:cs="宋体"/>
      <w:sz w:val="34"/>
      <w:szCs w:val="34"/>
    </w:rPr>
  </w:style>
  <w:style w:type="paragraph" w:customStyle="1" w:styleId="143">
    <w:name w:val="Body text|3"/>
    <w:basedOn w:val="1"/>
    <w:link w:val="142"/>
    <w:qFormat/>
    <w:uiPriority w:val="0"/>
    <w:pPr>
      <w:spacing w:after="460"/>
      <w:jc w:val="center"/>
    </w:pPr>
    <w:rPr>
      <w:rFonts w:ascii="宋体" w:hAnsi="宋体"/>
      <w:kern w:val="0"/>
      <w:sz w:val="34"/>
      <w:szCs w:val="34"/>
    </w:rPr>
  </w:style>
  <w:style w:type="character" w:customStyle="1" w:styleId="144">
    <w:name w:val="Char Char13"/>
    <w:qFormat/>
    <w:uiPriority w:val="0"/>
    <w:rPr>
      <w:rFonts w:hint="eastAsia" w:ascii="仿宋_GB2312" w:hAnsi="Times New Roman" w:eastAsia="仿宋_GB2312" w:cs="Times New Roman"/>
      <w:kern w:val="2"/>
      <w:sz w:val="32"/>
      <w:lang w:val="en-US" w:eastAsia="zh-CN" w:bidi="ar-SA"/>
    </w:rPr>
  </w:style>
  <w:style w:type="character" w:customStyle="1" w:styleId="145">
    <w:name w:val="尾注文本 Char"/>
    <w:qFormat/>
    <w:uiPriority w:val="0"/>
    <w:rPr>
      <w:rFonts w:ascii="Calibri" w:hAnsi="Calibri" w:eastAsia="宋体" w:cs="Times New Roman"/>
      <w:kern w:val="2"/>
      <w:sz w:val="21"/>
      <w:szCs w:val="22"/>
    </w:rPr>
  </w:style>
  <w:style w:type="character" w:customStyle="1" w:styleId="146">
    <w:name w:val="FA正文 Char"/>
    <w:link w:val="147"/>
    <w:qFormat/>
    <w:uiPriority w:val="0"/>
    <w:rPr>
      <w:rFonts w:ascii="宋体" w:hAnsi="宋体" w:eastAsia="宋体" w:cs="Times New Roman"/>
      <w:spacing w:val="10"/>
      <w:kern w:val="2"/>
      <w:sz w:val="24"/>
      <w:szCs w:val="22"/>
    </w:rPr>
  </w:style>
  <w:style w:type="paragraph" w:customStyle="1" w:styleId="147">
    <w:name w:val="FA正文"/>
    <w:basedOn w:val="1"/>
    <w:link w:val="146"/>
    <w:qFormat/>
    <w:uiPriority w:val="0"/>
    <w:pPr>
      <w:tabs>
        <w:tab w:val="left" w:pos="3375"/>
      </w:tabs>
      <w:spacing w:line="360" w:lineRule="auto"/>
      <w:ind w:firstLine="520"/>
    </w:pPr>
    <w:rPr>
      <w:rFonts w:ascii="宋体" w:hAnsi="宋体"/>
      <w:spacing w:val="10"/>
      <w:sz w:val="24"/>
      <w:szCs w:val="22"/>
    </w:rPr>
  </w:style>
  <w:style w:type="character" w:customStyle="1" w:styleId="148">
    <w:name w:val="bookmark-item uuid-1593432166973 code-am014remarks editdisable single-line-text-input-box-cls"/>
    <w:qFormat/>
    <w:uiPriority w:val="0"/>
    <w:rPr>
      <w:rFonts w:ascii="Times New Roman" w:hAnsi="Times New Roman" w:eastAsia="宋体" w:cs="Times New Roman"/>
    </w:rPr>
  </w:style>
  <w:style w:type="character" w:customStyle="1" w:styleId="149">
    <w:name w:val="bookmark-item uuid-1596004695990 code-00016 editdisable single-line-text-input-box-cls readonly"/>
    <w:qFormat/>
    <w:uiPriority w:val="0"/>
    <w:rPr>
      <w:rFonts w:ascii="Times New Roman" w:hAnsi="Times New Roman" w:eastAsia="宋体" w:cs="Times New Roman"/>
    </w:rPr>
  </w:style>
  <w:style w:type="character" w:customStyle="1" w:styleId="150">
    <w:name w:val="Char Char27"/>
    <w:qFormat/>
    <w:uiPriority w:val="0"/>
    <w:rPr>
      <w:rFonts w:hint="eastAsia" w:ascii="宋体" w:hAnsi="宋体" w:eastAsia="宋体" w:cs="Times New Roman"/>
      <w:b/>
      <w:bCs/>
      <w:kern w:val="44"/>
      <w:sz w:val="44"/>
      <w:szCs w:val="44"/>
      <w:lang w:val="en-US" w:eastAsia="zh-CN" w:bidi="ar-SA"/>
    </w:rPr>
  </w:style>
  <w:style w:type="character" w:customStyle="1" w:styleId="151">
    <w:name w:val="bookmark-item uuid-1596004672274 code-00018 addword single-line-text-input-box-cls"/>
    <w:qFormat/>
    <w:uiPriority w:val="0"/>
    <w:rPr>
      <w:rFonts w:ascii="Times New Roman" w:hAnsi="Times New Roman" w:eastAsia="宋体" w:cs="Times New Roman"/>
    </w:rPr>
  </w:style>
  <w:style w:type="character" w:customStyle="1" w:styleId="152">
    <w:name w:val="style4"/>
    <w:qFormat/>
    <w:uiPriority w:val="0"/>
    <w:rPr>
      <w:rFonts w:ascii="Times New Roman" w:hAnsi="Times New Roman" w:eastAsia="宋体" w:cs="Times New Roman"/>
    </w:rPr>
  </w:style>
  <w:style w:type="character" w:customStyle="1" w:styleId="153">
    <w:name w:val="正文文本缩进 2 Char2"/>
    <w:qFormat/>
    <w:uiPriority w:val="0"/>
    <w:rPr>
      <w:rFonts w:ascii="Times New Roman" w:hAnsi="Times New Roman" w:eastAsia="宋体" w:cs="Times New Roman"/>
      <w:kern w:val="2"/>
      <w:sz w:val="32"/>
    </w:rPr>
  </w:style>
  <w:style w:type="character" w:customStyle="1" w:styleId="154">
    <w:name w:val="自定义标题一 Char Char"/>
    <w:qFormat/>
    <w:uiPriority w:val="0"/>
    <w:rPr>
      <w:rFonts w:ascii="黑体" w:hAnsi="黑体" w:eastAsia="黑体" w:cs="Times New Roman"/>
      <w:b/>
      <w:bCs/>
      <w:kern w:val="44"/>
      <w:sz w:val="44"/>
      <w:szCs w:val="44"/>
      <w:lang w:bidi="ar-SA"/>
    </w:rPr>
  </w:style>
  <w:style w:type="character" w:customStyle="1" w:styleId="155">
    <w:name w:val="标题 Char1"/>
    <w:qFormat/>
    <w:uiPriority w:val="0"/>
    <w:rPr>
      <w:rFonts w:hint="default" w:ascii="Cambria" w:hAnsi="Cambria" w:eastAsia="宋体" w:cs="Times New Roman"/>
      <w:b/>
      <w:bCs/>
      <w:kern w:val="2"/>
      <w:sz w:val="32"/>
      <w:szCs w:val="32"/>
    </w:rPr>
  </w:style>
  <w:style w:type="character" w:customStyle="1" w:styleId="156">
    <w:name w:val="Heading 2 Hidden Char1"/>
    <w:qFormat/>
    <w:uiPriority w:val="0"/>
    <w:rPr>
      <w:rFonts w:hint="default" w:ascii="Arial" w:hAnsi="Arial" w:eastAsia="黑体" w:cs="宋体"/>
      <w:b/>
      <w:bCs/>
      <w:kern w:val="2"/>
      <w:sz w:val="32"/>
      <w:szCs w:val="32"/>
      <w:lang w:val="en-US" w:eastAsia="zh-CN" w:bidi="ar-SA"/>
    </w:rPr>
  </w:style>
  <w:style w:type="character" w:customStyle="1" w:styleId="157">
    <w:name w:val="Char Char21"/>
    <w:qFormat/>
    <w:uiPriority w:val="0"/>
    <w:rPr>
      <w:rFonts w:hint="default" w:ascii="Arial" w:hAnsi="Arial" w:eastAsia="黑体" w:cs="Arial"/>
      <w:b/>
      <w:kern w:val="2"/>
      <w:sz w:val="24"/>
      <w:szCs w:val="24"/>
      <w:lang w:val="en-US" w:eastAsia="zh-CN" w:bidi="ar-SA"/>
    </w:rPr>
  </w:style>
  <w:style w:type="character" w:customStyle="1" w:styleId="158">
    <w:name w:val="Char Char Char Char Char"/>
    <w:qFormat/>
    <w:uiPriority w:val="0"/>
    <w:rPr>
      <w:rFonts w:ascii="Times New Roman" w:hAnsi="Times New Roman" w:eastAsia="宋体" w:cs="Times New Roman"/>
      <w:b/>
      <w:bCs/>
      <w:kern w:val="44"/>
      <w:sz w:val="44"/>
      <w:szCs w:val="44"/>
      <w:lang w:val="en-US" w:eastAsia="zh-CN" w:bidi="ar-SA"/>
    </w:rPr>
  </w:style>
  <w:style w:type="character" w:customStyle="1" w:styleId="159">
    <w:name w:val="bookmark-item uuid-1594624424199 code-23012 addword single-line-text-input-box-cls readonly"/>
    <w:qFormat/>
    <w:uiPriority w:val="0"/>
    <w:rPr>
      <w:rFonts w:ascii="Times New Roman" w:hAnsi="Times New Roman" w:eastAsia="宋体" w:cs="Times New Roman"/>
    </w:rPr>
  </w:style>
  <w:style w:type="character" w:customStyle="1" w:styleId="160">
    <w:name w:val="bookmark-item uuid-1596277470067 code-23002 editdisable multi-line-text-input-box-cls readonly"/>
    <w:qFormat/>
    <w:uiPriority w:val="0"/>
    <w:rPr>
      <w:rFonts w:ascii="Times New Roman" w:hAnsi="Times New Roman" w:eastAsia="宋体" w:cs="Times New Roman"/>
    </w:rPr>
  </w:style>
  <w:style w:type="character" w:customStyle="1" w:styleId="161">
    <w:name w:val="标题 9 Char"/>
    <w:qFormat/>
    <w:uiPriority w:val="0"/>
    <w:rPr>
      <w:rFonts w:ascii="Arial" w:hAnsi="Arial" w:eastAsia="黑体" w:cs="Times New Roman"/>
      <w:kern w:val="2"/>
      <w:sz w:val="21"/>
      <w:szCs w:val="24"/>
      <w:lang w:val="en-US" w:eastAsia="zh-CN" w:bidi="ar-SA"/>
    </w:rPr>
  </w:style>
  <w:style w:type="character" w:customStyle="1" w:styleId="162">
    <w:name w:val="Char Char143"/>
    <w:qFormat/>
    <w:uiPriority w:val="0"/>
    <w:rPr>
      <w:rFonts w:ascii="Times New Roman" w:hAnsi="Times New Roman" w:eastAsia="宋体" w:cs="Times New Roman"/>
      <w:sz w:val="18"/>
      <w:szCs w:val="18"/>
    </w:rPr>
  </w:style>
  <w:style w:type="character" w:customStyle="1" w:styleId="163">
    <w:name w:val="自定义标题一 Char"/>
    <w:link w:val="164"/>
    <w:qFormat/>
    <w:uiPriority w:val="0"/>
    <w:rPr>
      <w:rFonts w:ascii="黑体" w:hAnsi="黑体" w:eastAsia="黑体" w:cs="Times New Roman"/>
      <w:b/>
      <w:bCs/>
      <w:kern w:val="44"/>
      <w:sz w:val="44"/>
      <w:szCs w:val="44"/>
      <w:lang w:bidi="ar-SA"/>
    </w:rPr>
  </w:style>
  <w:style w:type="paragraph" w:customStyle="1" w:styleId="164">
    <w:name w:val="自定义标题一"/>
    <w:basedOn w:val="2"/>
    <w:link w:val="163"/>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165">
    <w:name w:val="标题 3 Char2"/>
    <w:qFormat/>
    <w:uiPriority w:val="0"/>
    <w:rPr>
      <w:rFonts w:ascii="Times New Roman" w:hAnsi="Times New Roman" w:eastAsia="宋体" w:cs="Times New Roman"/>
      <w:b/>
      <w:bCs/>
      <w:sz w:val="32"/>
      <w:szCs w:val="32"/>
    </w:rPr>
  </w:style>
  <w:style w:type="character" w:customStyle="1" w:styleId="166">
    <w:name w:val="Char Char9"/>
    <w:qFormat/>
    <w:uiPriority w:val="0"/>
    <w:rPr>
      <w:rFonts w:hint="eastAsia" w:ascii="宋体" w:hAnsi="Courier New" w:eastAsia="宋体" w:cs="Courier New"/>
      <w:kern w:val="2"/>
      <w:sz w:val="21"/>
      <w:szCs w:val="21"/>
      <w:lang w:val="en-US" w:eastAsia="zh-CN" w:bidi="ar-SA"/>
    </w:rPr>
  </w:style>
  <w:style w:type="character" w:customStyle="1" w:styleId="167">
    <w:name w:val="ca-11"/>
    <w:qFormat/>
    <w:uiPriority w:val="0"/>
    <w:rPr>
      <w:rFonts w:ascii="Times New Roman" w:hAnsi="Times New Roman" w:eastAsia="宋体" w:cs="Times New Roman"/>
    </w:rPr>
  </w:style>
  <w:style w:type="character" w:customStyle="1" w:styleId="168">
    <w:name w:val="Char Char3"/>
    <w:qFormat/>
    <w:uiPriority w:val="0"/>
    <w:rPr>
      <w:rFonts w:hint="eastAsia" w:ascii="宋体" w:hAnsi="宋体" w:eastAsia="宋体" w:cs="Times New Roman"/>
      <w:kern w:val="2"/>
      <w:sz w:val="16"/>
      <w:szCs w:val="16"/>
      <w:lang w:val="en-US" w:eastAsia="zh-CN" w:bidi="ar-SA"/>
    </w:rPr>
  </w:style>
  <w:style w:type="character" w:customStyle="1" w:styleId="169">
    <w:name w:val="bookmark-item uuid-1595940588841 code-23011 addword date-time-selection-cls"/>
    <w:qFormat/>
    <w:uiPriority w:val="0"/>
    <w:rPr>
      <w:rFonts w:ascii="Times New Roman" w:hAnsi="Times New Roman" w:eastAsia="宋体" w:cs="Times New Roman"/>
    </w:rPr>
  </w:style>
  <w:style w:type="character" w:customStyle="1" w:styleId="170">
    <w:name w:val="ca-6"/>
    <w:qFormat/>
    <w:uiPriority w:val="0"/>
    <w:rPr>
      <w:rFonts w:ascii="Times New Roman" w:hAnsi="Times New Roman" w:eastAsia="宋体" w:cs="Times New Roman"/>
    </w:rPr>
  </w:style>
  <w:style w:type="character" w:customStyle="1" w:styleId="171">
    <w:name w:val="手改 Char Char1"/>
    <w:qFormat/>
    <w:uiPriority w:val="0"/>
    <w:rPr>
      <w:rFonts w:hint="eastAsia" w:ascii="宋体" w:hAnsi="宋体" w:eastAsia="宋体" w:cs="Times New Roman"/>
      <w:sz w:val="24"/>
      <w:szCs w:val="24"/>
      <w:lang w:bidi="ar-SA"/>
    </w:rPr>
  </w:style>
  <w:style w:type="character" w:customStyle="1" w:styleId="172">
    <w:name w:val="列出段落 字符"/>
    <w:qFormat/>
    <w:uiPriority w:val="0"/>
    <w:rPr>
      <w:rFonts w:ascii="Calibri" w:hAnsi="Calibri" w:eastAsia="宋体" w:cs="Times New Roman"/>
      <w:kern w:val="2"/>
      <w:sz w:val="21"/>
      <w:szCs w:val="22"/>
      <w:lang w:val="en-US" w:eastAsia="zh-CN" w:bidi="ar-SA"/>
    </w:rPr>
  </w:style>
  <w:style w:type="character" w:customStyle="1" w:styleId="173">
    <w:name w:val="文档结构图 Char"/>
    <w:link w:val="174"/>
    <w:qFormat/>
    <w:uiPriority w:val="0"/>
    <w:rPr>
      <w:rFonts w:ascii="Times New Roman" w:hAnsi="Times New Roman" w:eastAsia="宋体" w:cs="Times New Roman"/>
      <w:kern w:val="2"/>
      <w:sz w:val="21"/>
      <w:szCs w:val="24"/>
      <w:lang w:val="en-US" w:eastAsia="zh-CN" w:bidi="ar-SA"/>
    </w:rPr>
  </w:style>
  <w:style w:type="paragraph" w:customStyle="1" w:styleId="174">
    <w:name w:val="Document Map_0"/>
    <w:basedOn w:val="1"/>
    <w:link w:val="173"/>
    <w:qFormat/>
    <w:uiPriority w:val="0"/>
    <w:pPr>
      <w:shd w:val="clear" w:color="auto" w:fill="000080"/>
    </w:pPr>
  </w:style>
  <w:style w:type="character" w:customStyle="1" w:styleId="175">
    <w:name w:val="页码 New New New"/>
    <w:qFormat/>
    <w:uiPriority w:val="0"/>
    <w:rPr>
      <w:rFonts w:ascii="Times New Roman" w:hAnsi="Times New Roman" w:eastAsia="宋体" w:cs="Times New Roman"/>
    </w:rPr>
  </w:style>
  <w:style w:type="character" w:customStyle="1" w:styleId="176">
    <w:name w:val="Char Char18"/>
    <w:qFormat/>
    <w:uiPriority w:val="0"/>
    <w:rPr>
      <w:rFonts w:hint="default" w:ascii="Arial" w:hAnsi="Arial" w:eastAsia="黑体" w:cs="Arial"/>
      <w:kern w:val="2"/>
      <w:sz w:val="21"/>
      <w:szCs w:val="24"/>
      <w:lang w:val="en-US" w:eastAsia="zh-CN" w:bidi="ar-SA"/>
    </w:rPr>
  </w:style>
  <w:style w:type="character" w:customStyle="1" w:styleId="177">
    <w:name w:val="纯文本 字符"/>
    <w:qFormat/>
    <w:uiPriority w:val="0"/>
    <w:rPr>
      <w:rFonts w:hint="eastAsia" w:ascii="宋体" w:hAnsi="Courier New" w:eastAsia="宋体" w:cs="Courier New"/>
      <w:szCs w:val="21"/>
    </w:rPr>
  </w:style>
  <w:style w:type="character" w:customStyle="1" w:styleId="178">
    <w:name w:val="Char Char112"/>
    <w:qFormat/>
    <w:uiPriority w:val="0"/>
    <w:rPr>
      <w:rFonts w:hint="default" w:ascii="Times New Roman" w:hAnsi="Times New Roman" w:eastAsia="宋体" w:cs="Times New Roman"/>
      <w:sz w:val="30"/>
      <w:szCs w:val="24"/>
    </w:rPr>
  </w:style>
  <w:style w:type="character" w:customStyle="1" w:styleId="179">
    <w:name w:val="1ji Char Char"/>
    <w:qFormat/>
    <w:uiPriority w:val="0"/>
    <w:rPr>
      <w:rFonts w:ascii="宋体" w:hAnsi="宋体" w:eastAsia="宋体" w:cs="Times New Roman"/>
      <w:b/>
      <w:bCs/>
      <w:kern w:val="44"/>
      <w:sz w:val="36"/>
      <w:szCs w:val="44"/>
    </w:rPr>
  </w:style>
  <w:style w:type="character" w:customStyle="1" w:styleId="180">
    <w:name w:val="Char Char25"/>
    <w:qFormat/>
    <w:uiPriority w:val="0"/>
    <w:rPr>
      <w:rFonts w:ascii="Times New Roman" w:hAnsi="Times New Roman" w:eastAsia="宋体" w:cs="Times New Roman"/>
      <w:sz w:val="24"/>
      <w:lang w:bidi="ar-SA"/>
    </w:rPr>
  </w:style>
  <w:style w:type="character" w:customStyle="1" w:styleId="181">
    <w:name w:val="Char Char10"/>
    <w:qFormat/>
    <w:uiPriority w:val="0"/>
    <w:rPr>
      <w:rFonts w:ascii="Times New Roman" w:hAnsi="Times New Roman" w:eastAsia="宋体" w:cs="Times New Roman"/>
      <w:kern w:val="2"/>
      <w:sz w:val="24"/>
      <w:szCs w:val="24"/>
      <w:lang w:val="en-US" w:eastAsia="zh-CN" w:bidi="ar-SA"/>
    </w:rPr>
  </w:style>
  <w:style w:type="character" w:customStyle="1" w:styleId="182">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183">
    <w:name w:val="bookmark-item uuid-1596004721081 code-00009 addword interval-text-box-cls"/>
    <w:qFormat/>
    <w:uiPriority w:val="0"/>
    <w:rPr>
      <w:rFonts w:ascii="Times New Roman" w:hAnsi="Times New Roman" w:eastAsia="宋体" w:cs="Times New Roman"/>
    </w:rPr>
  </w:style>
  <w:style w:type="character" w:customStyle="1" w:styleId="184">
    <w:name w:val="value"/>
    <w:qFormat/>
    <w:uiPriority w:val="0"/>
    <w:rPr>
      <w:rFonts w:ascii="Times New Roman" w:hAnsi="Times New Roman" w:eastAsia="宋体" w:cs="Times New Roman"/>
    </w:rPr>
  </w:style>
  <w:style w:type="character" w:customStyle="1" w:styleId="185">
    <w:name w:val="普通文字 Char Char2"/>
    <w:qFormat/>
    <w:uiPriority w:val="0"/>
    <w:rPr>
      <w:rFonts w:ascii="宋体" w:hAnsi="Courier New" w:eastAsia="宋体" w:cs="Times New Roman"/>
      <w:kern w:val="2"/>
      <w:sz w:val="21"/>
      <w:lang w:val="en-US" w:eastAsia="zh-CN" w:bidi="ar-SA"/>
    </w:rPr>
  </w:style>
  <w:style w:type="character" w:customStyle="1" w:styleId="186">
    <w:name w:val="页码 New New New New New New New"/>
    <w:qFormat/>
    <w:uiPriority w:val="0"/>
    <w:rPr>
      <w:rFonts w:ascii="Times New Roman" w:hAnsi="Times New Roman" w:eastAsia="宋体" w:cs="Times New Roman"/>
    </w:rPr>
  </w:style>
  <w:style w:type="character" w:customStyle="1" w:styleId="187">
    <w:name w:val="bookmark-item uuid-1593421137256 code-am014budgetprice editdisable single-line-text-input-box-cls"/>
    <w:qFormat/>
    <w:uiPriority w:val="0"/>
    <w:rPr>
      <w:rFonts w:ascii="Times New Roman" w:hAnsi="Times New Roman" w:eastAsia="宋体" w:cs="Times New Roman"/>
    </w:rPr>
  </w:style>
  <w:style w:type="character" w:customStyle="1" w:styleId="188">
    <w:name w:val="bookmark-item uuid-1595940673658 code-am01400034 addword numeric-input-box-cls"/>
    <w:qFormat/>
    <w:uiPriority w:val="0"/>
    <w:rPr>
      <w:rFonts w:ascii="Times New Roman" w:hAnsi="Times New Roman" w:eastAsia="宋体" w:cs="Times New Roman"/>
    </w:rPr>
  </w:style>
  <w:style w:type="character" w:customStyle="1" w:styleId="189">
    <w:name w:val="Char Char17"/>
    <w:qFormat/>
    <w:uiPriority w:val="0"/>
    <w:rPr>
      <w:rFonts w:hint="default" w:ascii="Times New Roman" w:hAnsi="Times New Roman" w:eastAsia="宋体" w:cs="Times New Roman"/>
      <w:b/>
      <w:bCs/>
      <w:kern w:val="2"/>
      <w:sz w:val="21"/>
      <w:szCs w:val="24"/>
    </w:rPr>
  </w:style>
  <w:style w:type="character" w:customStyle="1" w:styleId="190">
    <w:name w:val="标题 2 Char"/>
    <w:qFormat/>
    <w:uiPriority w:val="0"/>
    <w:rPr>
      <w:rFonts w:ascii="Arial" w:hAnsi="Arial" w:eastAsia="黑体" w:cs="Times New Roman"/>
      <w:b/>
      <w:bCs/>
      <w:sz w:val="32"/>
      <w:szCs w:val="32"/>
      <w:lang w:bidi="ar-SA"/>
    </w:rPr>
  </w:style>
  <w:style w:type="character" w:customStyle="1" w:styleId="191">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192">
    <w:name w:val="正文文本缩进 2 Char"/>
    <w:link w:val="193"/>
    <w:qFormat/>
    <w:uiPriority w:val="0"/>
    <w:rPr>
      <w:rFonts w:ascii="Times New Roman" w:hAnsi="Times New Roman" w:eastAsia="宋体" w:cs="Times New Roman"/>
      <w:kern w:val="2"/>
      <w:sz w:val="32"/>
      <w:lang w:val="en-US" w:eastAsia="zh-CN" w:bidi="ar-SA"/>
    </w:rPr>
  </w:style>
  <w:style w:type="paragraph" w:customStyle="1" w:styleId="193">
    <w:name w:val="Body Text Indent 2_0"/>
    <w:basedOn w:val="1"/>
    <w:link w:val="192"/>
    <w:qFormat/>
    <w:uiPriority w:val="0"/>
    <w:pPr>
      <w:ind w:firstLine="630"/>
    </w:pPr>
    <w:rPr>
      <w:sz w:val="32"/>
      <w:szCs w:val="20"/>
    </w:rPr>
  </w:style>
  <w:style w:type="character" w:customStyle="1" w:styleId="194">
    <w:name w:val="bookmark-item uuid-1595941042480 code-am014sectionno editdisable single-line-text-input-box-cls"/>
    <w:qFormat/>
    <w:uiPriority w:val="0"/>
    <w:rPr>
      <w:rFonts w:ascii="Times New Roman" w:hAnsi="Times New Roman" w:eastAsia="宋体" w:cs="Times New Roman"/>
    </w:rPr>
  </w:style>
  <w:style w:type="character" w:customStyle="1" w:styleId="195">
    <w:name w:val="ca-8"/>
    <w:qFormat/>
    <w:uiPriority w:val="0"/>
    <w:rPr>
      <w:rFonts w:ascii="Times New Roman" w:hAnsi="Times New Roman" w:eastAsia="宋体" w:cs="Times New Roman"/>
    </w:rPr>
  </w:style>
  <w:style w:type="character" w:customStyle="1" w:styleId="196">
    <w:name w:val="bookmark-item uuid-1587980024345 code-23003 addword date-selection-cls"/>
    <w:basedOn w:val="57"/>
    <w:qFormat/>
    <w:uiPriority w:val="0"/>
    <w:rPr>
      <w:rFonts w:ascii="Times New Roman" w:hAnsi="Times New Roman" w:eastAsia="宋体" w:cs="Times New Roman"/>
    </w:rPr>
  </w:style>
  <w:style w:type="character" w:customStyle="1" w:styleId="197">
    <w:name w:val="批注框文本 Char2"/>
    <w:qFormat/>
    <w:uiPriority w:val="0"/>
    <w:rPr>
      <w:rFonts w:ascii="Times New Roman" w:hAnsi="Times New Roman" w:eastAsia="宋体" w:cs="Times New Roman"/>
      <w:kern w:val="2"/>
      <w:sz w:val="18"/>
      <w:szCs w:val="18"/>
    </w:rPr>
  </w:style>
  <w:style w:type="character" w:customStyle="1" w:styleId="198">
    <w:name w:val="Char Char Char1"/>
    <w:qFormat/>
    <w:uiPriority w:val="0"/>
    <w:rPr>
      <w:rFonts w:hint="eastAsia" w:ascii="宋体" w:hAnsi="宋体" w:eastAsia="宋体" w:cs="Times New Roman"/>
      <w:kern w:val="2"/>
      <w:sz w:val="18"/>
      <w:szCs w:val="18"/>
      <w:lang w:val="en-US" w:eastAsia="zh-CN" w:bidi="ar-SA"/>
    </w:rPr>
  </w:style>
  <w:style w:type="character" w:customStyle="1" w:styleId="199">
    <w:name w:val="页码 New New New New New New"/>
    <w:qFormat/>
    <w:uiPriority w:val="0"/>
    <w:rPr>
      <w:rFonts w:ascii="Times New Roman" w:hAnsi="Times New Roman" w:eastAsia="宋体" w:cs="Times New Roman"/>
    </w:rPr>
  </w:style>
  <w:style w:type="character" w:customStyle="1" w:styleId="200">
    <w:name w:val="NormalCharacter"/>
    <w:qFormat/>
    <w:uiPriority w:val="0"/>
    <w:rPr>
      <w:rFonts w:ascii="Times New Roman" w:hAnsi="Times New Roman" w:eastAsia="宋体" w:cs="Times New Roman"/>
    </w:rPr>
  </w:style>
  <w:style w:type="character" w:customStyle="1" w:styleId="201">
    <w:name w:val="页眉 字符1"/>
    <w:qFormat/>
    <w:uiPriority w:val="0"/>
    <w:rPr>
      <w:rFonts w:ascii="Times New Roman" w:hAnsi="Times New Roman" w:eastAsia="宋体" w:cs="Times New Roman"/>
      <w:kern w:val="2"/>
      <w:sz w:val="18"/>
      <w:szCs w:val="18"/>
    </w:rPr>
  </w:style>
  <w:style w:type="character" w:customStyle="1" w:styleId="202">
    <w:name w:val="页眉 Char2"/>
    <w:qFormat/>
    <w:uiPriority w:val="0"/>
    <w:rPr>
      <w:rFonts w:hint="eastAsia" w:ascii="宋体" w:hAnsi="宋体" w:eastAsia="宋体" w:cs="Times New Roman"/>
      <w:kern w:val="2"/>
      <w:sz w:val="18"/>
      <w:szCs w:val="18"/>
    </w:rPr>
  </w:style>
  <w:style w:type="character" w:customStyle="1" w:styleId="203">
    <w:name w:val="ca-13"/>
    <w:qFormat/>
    <w:uiPriority w:val="0"/>
    <w:rPr>
      <w:rFonts w:ascii="Times New Roman" w:hAnsi="Times New Roman" w:eastAsia="宋体" w:cs="Times New Roman"/>
    </w:rPr>
  </w:style>
  <w:style w:type="character" w:customStyle="1" w:styleId="204">
    <w:name w:val="HTML 预设格式 Char"/>
    <w:qFormat/>
    <w:uiPriority w:val="0"/>
    <w:rPr>
      <w:rFonts w:ascii="黑体" w:hAnsi="Courier New" w:eastAsia="黑体" w:cs="Courier New"/>
      <w:lang w:val="en-US" w:eastAsia="zh-CN" w:bidi="ar-SA"/>
    </w:rPr>
  </w:style>
  <w:style w:type="character" w:customStyle="1" w:styleId="205">
    <w:name w:val="正文文本 3 Char2"/>
    <w:qFormat/>
    <w:uiPriority w:val="0"/>
    <w:rPr>
      <w:rFonts w:hint="eastAsia" w:ascii="宋体" w:hAnsi="宋体" w:eastAsia="宋体" w:cs="Times New Roman"/>
      <w:b/>
      <w:bCs/>
      <w:kern w:val="2"/>
      <w:sz w:val="24"/>
      <w:szCs w:val="24"/>
    </w:rPr>
  </w:style>
  <w:style w:type="character" w:customStyle="1" w:styleId="206">
    <w:name w:val="普通文字 Char Char5"/>
    <w:qFormat/>
    <w:uiPriority w:val="0"/>
    <w:rPr>
      <w:rFonts w:hint="eastAsia" w:ascii="宋体" w:hAnsi="Courier New" w:eastAsia="宋体" w:cs="Courier New"/>
      <w:kern w:val="2"/>
      <w:sz w:val="21"/>
      <w:szCs w:val="21"/>
    </w:rPr>
  </w:style>
  <w:style w:type="character" w:customStyle="1" w:styleId="207">
    <w:name w:val="纯文本 字符1"/>
    <w:qFormat/>
    <w:uiPriority w:val="0"/>
    <w:rPr>
      <w:rFonts w:ascii="Ђˎ̥" w:hAnsi="Verdana" w:eastAsia="Ђˎ̥" w:cs="Verdana"/>
      <w:szCs w:val="21"/>
    </w:rPr>
  </w:style>
  <w:style w:type="character" w:customStyle="1" w:styleId="208">
    <w:name w:val="副标题 Char3"/>
    <w:qFormat/>
    <w:uiPriority w:val="0"/>
    <w:rPr>
      <w:rFonts w:hint="default" w:ascii="Cambria" w:hAnsi="Cambria" w:eastAsia="宋体" w:cs="Times New Roman"/>
      <w:b/>
      <w:bCs/>
      <w:kern w:val="28"/>
      <w:sz w:val="32"/>
      <w:szCs w:val="32"/>
    </w:rPr>
  </w:style>
  <w:style w:type="character" w:customStyle="1" w:styleId="209">
    <w:name w:val="Char Char142"/>
    <w:qFormat/>
    <w:uiPriority w:val="0"/>
    <w:rPr>
      <w:rFonts w:ascii="Times New Roman" w:hAnsi="Times New Roman" w:eastAsia="宋体" w:cs="Times New Roman"/>
      <w:sz w:val="18"/>
      <w:szCs w:val="18"/>
    </w:rPr>
  </w:style>
  <w:style w:type="character" w:customStyle="1" w:styleId="210">
    <w:name w:val="Char Char141"/>
    <w:qFormat/>
    <w:uiPriority w:val="0"/>
    <w:rPr>
      <w:rFonts w:ascii="Times New Roman" w:hAnsi="Times New Roman" w:eastAsia="宋体" w:cs="Times New Roman"/>
      <w:sz w:val="18"/>
      <w:szCs w:val="18"/>
    </w:rPr>
  </w:style>
  <w:style w:type="character" w:customStyle="1" w:styleId="211">
    <w:name w:val="标题 2 Char2"/>
    <w:qFormat/>
    <w:uiPriority w:val="0"/>
    <w:rPr>
      <w:rFonts w:hint="default" w:ascii="Arial" w:hAnsi="Arial" w:eastAsia="黑体" w:cs="Arial"/>
      <w:b/>
      <w:bCs/>
      <w:sz w:val="32"/>
      <w:szCs w:val="32"/>
    </w:rPr>
  </w:style>
  <w:style w:type="character" w:customStyle="1" w:styleId="212">
    <w:name w:val="页脚 Char"/>
    <w:qFormat/>
    <w:uiPriority w:val="0"/>
    <w:rPr>
      <w:rFonts w:ascii="Times New Roman" w:hAnsi="Times New Roman" w:eastAsia="宋体" w:cs="Times New Roman"/>
      <w:kern w:val="2"/>
      <w:sz w:val="18"/>
      <w:szCs w:val="18"/>
      <w:lang w:val="en-US" w:eastAsia="zh-CN" w:bidi="ar-SA"/>
    </w:rPr>
  </w:style>
  <w:style w:type="character" w:customStyle="1" w:styleId="213">
    <w:name w:val="h Char1"/>
    <w:qFormat/>
    <w:uiPriority w:val="0"/>
    <w:rPr>
      <w:rFonts w:hint="eastAsia" w:ascii="宋体" w:hAnsi="宋体" w:eastAsia="宋体" w:cs="Times New Roman"/>
      <w:kern w:val="2"/>
      <w:sz w:val="18"/>
      <w:szCs w:val="18"/>
      <w:lang w:val="en-US" w:eastAsia="zh-CN" w:bidi="ar-SA"/>
    </w:rPr>
  </w:style>
  <w:style w:type="character" w:customStyle="1" w:styleId="214">
    <w:name w:val="脚注文本 Char1"/>
    <w:qFormat/>
    <w:uiPriority w:val="0"/>
    <w:rPr>
      <w:rFonts w:ascii="Times New Roman" w:hAnsi="Times New Roman" w:eastAsia="宋体" w:cs="Times New Roman"/>
      <w:kern w:val="2"/>
      <w:sz w:val="18"/>
      <w:szCs w:val="18"/>
    </w:rPr>
  </w:style>
  <w:style w:type="character" w:customStyle="1" w:styleId="215">
    <w:name w:val="mark13"/>
    <w:qFormat/>
    <w:uiPriority w:val="0"/>
    <w:rPr>
      <w:rFonts w:ascii="Times New Roman" w:hAnsi="Times New Roman" w:eastAsia="宋体" w:cs="Times New Roman"/>
    </w:rPr>
  </w:style>
  <w:style w:type="character" w:customStyle="1" w:styleId="216">
    <w:name w:val="Char Char34"/>
    <w:qFormat/>
    <w:uiPriority w:val="0"/>
    <w:rPr>
      <w:rFonts w:hint="eastAsia" w:ascii="宋体" w:hAnsi="宋体" w:eastAsia="宋体" w:cs="Times New Roman"/>
      <w:b/>
      <w:bCs/>
      <w:kern w:val="2"/>
      <w:sz w:val="32"/>
      <w:szCs w:val="32"/>
      <w:lang w:val="en-US" w:eastAsia="zh-CN" w:bidi="ar-SA"/>
    </w:rPr>
  </w:style>
  <w:style w:type="character" w:customStyle="1" w:styleId="217">
    <w:name w:val="批注文字 Char3"/>
    <w:qFormat/>
    <w:uiPriority w:val="0"/>
    <w:rPr>
      <w:rFonts w:hint="eastAsia" w:ascii="宋体" w:hAnsi="宋体" w:eastAsia="宋体" w:cs="Times New Roman"/>
      <w:kern w:val="2"/>
      <w:sz w:val="21"/>
      <w:szCs w:val="24"/>
    </w:rPr>
  </w:style>
  <w:style w:type="character" w:customStyle="1" w:styleId="218">
    <w:name w:val="bookmark-item uuid-1589437299696 code-am014contractperformanceperiod addword single-line-text-input-box-cls"/>
    <w:qFormat/>
    <w:uiPriority w:val="0"/>
    <w:rPr>
      <w:rFonts w:ascii="Times New Roman" w:hAnsi="Times New Roman" w:eastAsia="宋体" w:cs="Times New Roman"/>
    </w:rPr>
  </w:style>
  <w:style w:type="character" w:customStyle="1" w:styleId="219">
    <w:name w:val="bookmark-item uuid-1594624027756 code-23005 addword morning-time-section-selection-cls"/>
    <w:qFormat/>
    <w:uiPriority w:val="0"/>
    <w:rPr>
      <w:rFonts w:ascii="Times New Roman" w:hAnsi="Times New Roman" w:eastAsia="宋体" w:cs="Times New Roman"/>
    </w:rPr>
  </w:style>
  <w:style w:type="character" w:customStyle="1" w:styleId="220">
    <w:name w:val="日期 Char"/>
    <w:link w:val="221"/>
    <w:qFormat/>
    <w:uiPriority w:val="0"/>
    <w:rPr>
      <w:rFonts w:ascii="宋体" w:hAnsi="Courier New" w:eastAsia="宋体" w:cs="Courier New"/>
      <w:kern w:val="2"/>
      <w:sz w:val="21"/>
      <w:szCs w:val="21"/>
      <w:lang w:val="en-US" w:eastAsia="zh-CN" w:bidi="ar-SA"/>
    </w:rPr>
  </w:style>
  <w:style w:type="paragraph" w:customStyle="1" w:styleId="221">
    <w:name w:val="Date_0"/>
    <w:basedOn w:val="1"/>
    <w:next w:val="1"/>
    <w:link w:val="220"/>
    <w:qFormat/>
    <w:uiPriority w:val="0"/>
    <w:pPr>
      <w:ind w:left="100" w:leftChars="2500"/>
    </w:pPr>
    <w:rPr>
      <w:rFonts w:ascii="宋体" w:hAnsi="Courier New" w:cs="Courier New"/>
      <w:szCs w:val="21"/>
    </w:rPr>
  </w:style>
  <w:style w:type="character" w:customStyle="1" w:styleId="222">
    <w:name w:val="mark16"/>
    <w:qFormat/>
    <w:uiPriority w:val="0"/>
    <w:rPr>
      <w:rFonts w:ascii="Times New Roman" w:hAnsi="Times New Roman" w:eastAsia="宋体" w:cs="Times New Roman"/>
    </w:rPr>
  </w:style>
  <w:style w:type="character" w:customStyle="1" w:styleId="223">
    <w:name w:val="标题 3 字符"/>
    <w:qFormat/>
    <w:uiPriority w:val="0"/>
    <w:rPr>
      <w:rFonts w:ascii="Times New Roman" w:hAnsi="Times New Roman" w:eastAsia="宋体" w:cs="Times New Roman"/>
      <w:b/>
      <w:bCs/>
      <w:kern w:val="2"/>
      <w:sz w:val="32"/>
      <w:szCs w:val="32"/>
    </w:rPr>
  </w:style>
  <w:style w:type="character" w:customStyle="1" w:styleId="224">
    <w:name w:val="bookmark-item uuid-1595940687802 code-23021 editdisable multi-line-text-input-box-cls readonly"/>
    <w:qFormat/>
    <w:uiPriority w:val="0"/>
    <w:rPr>
      <w:rFonts w:ascii="Times New Roman" w:hAnsi="Times New Roman" w:eastAsia="宋体" w:cs="Times New Roman"/>
    </w:rPr>
  </w:style>
  <w:style w:type="character" w:customStyle="1" w:styleId="225">
    <w:name w:val="rili1"/>
    <w:qFormat/>
    <w:uiPriority w:val="0"/>
    <w:rPr>
      <w:rFonts w:ascii="Times New Roman" w:hAnsi="Times New Roman" w:eastAsia="宋体" w:cs="Times New Roman"/>
    </w:rPr>
  </w:style>
  <w:style w:type="character" w:customStyle="1" w:styleId="226">
    <w:name w:val="Char Char28"/>
    <w:qFormat/>
    <w:uiPriority w:val="0"/>
    <w:rPr>
      <w:rFonts w:hint="eastAsia" w:ascii="宋体" w:hAnsi="宋体" w:eastAsia="宋体" w:cs="Times New Roman"/>
      <w:b/>
      <w:kern w:val="2"/>
      <w:sz w:val="28"/>
      <w:szCs w:val="24"/>
      <w:lang w:val="en-US" w:eastAsia="zh-CN" w:bidi="ar-SA"/>
    </w:rPr>
  </w:style>
  <w:style w:type="character" w:customStyle="1" w:styleId="227">
    <w:name w:val="标题 6 Char"/>
    <w:qFormat/>
    <w:uiPriority w:val="0"/>
    <w:rPr>
      <w:rFonts w:ascii="Arial" w:hAnsi="Arial" w:eastAsia="黑体" w:cs="Times New Roman"/>
      <w:b/>
      <w:kern w:val="2"/>
      <w:sz w:val="24"/>
      <w:szCs w:val="24"/>
      <w:lang w:val="en-US" w:eastAsia="zh-CN" w:bidi="ar-SA"/>
    </w:rPr>
  </w:style>
  <w:style w:type="character" w:customStyle="1" w:styleId="228">
    <w:name w:val="font31"/>
    <w:qFormat/>
    <w:uiPriority w:val="0"/>
    <w:rPr>
      <w:rFonts w:hint="eastAsia" w:ascii="宋体" w:hAnsi="宋体" w:eastAsia="宋体" w:cs="Times New Roman"/>
      <w:color w:val="004A6F"/>
      <w:sz w:val="18"/>
      <w:szCs w:val="18"/>
    </w:rPr>
  </w:style>
  <w:style w:type="character" w:customStyle="1" w:styleId="229">
    <w:name w:val="Char Char23"/>
    <w:qFormat/>
    <w:uiPriority w:val="0"/>
    <w:rPr>
      <w:rFonts w:ascii="Times New Roman" w:hAnsi="Times New Roman" w:eastAsia="宋体" w:cs="Times New Roman"/>
      <w:b/>
      <w:bCs/>
      <w:kern w:val="44"/>
      <w:sz w:val="44"/>
      <w:szCs w:val="44"/>
    </w:rPr>
  </w:style>
  <w:style w:type="character" w:customStyle="1" w:styleId="230">
    <w:name w:val="Char Char29"/>
    <w:qFormat/>
    <w:uiPriority w:val="0"/>
    <w:rPr>
      <w:rFonts w:hint="default" w:ascii="Arial" w:hAnsi="Arial" w:eastAsia="黑体" w:cs="宋体"/>
      <w:b/>
      <w:bCs/>
      <w:kern w:val="2"/>
      <w:sz w:val="32"/>
      <w:szCs w:val="32"/>
      <w:lang w:val="en-US" w:eastAsia="zh-CN" w:bidi="ar-SA"/>
    </w:rPr>
  </w:style>
  <w:style w:type="character" w:customStyle="1" w:styleId="231">
    <w:name w:val="ca-7"/>
    <w:qFormat/>
    <w:uiPriority w:val="0"/>
    <w:rPr>
      <w:rFonts w:ascii="Times New Roman" w:hAnsi="Times New Roman" w:eastAsia="宋体" w:cs="Times New Roman"/>
    </w:rPr>
  </w:style>
  <w:style w:type="character" w:customStyle="1" w:styleId="232">
    <w:name w:val="bookmark-item uuid-1595940643756 code-00004 addword single-line-text-input-box-cls"/>
    <w:qFormat/>
    <w:uiPriority w:val="0"/>
    <w:rPr>
      <w:rFonts w:ascii="Times New Roman" w:hAnsi="Times New Roman" w:eastAsia="宋体" w:cs="Times New Roman"/>
    </w:rPr>
  </w:style>
  <w:style w:type="character" w:customStyle="1" w:styleId="233">
    <w:name w:val="已访问的超链接1"/>
    <w:qFormat/>
    <w:uiPriority w:val="0"/>
    <w:rPr>
      <w:rFonts w:ascii="Times New Roman" w:hAnsi="Times New Roman" w:eastAsia="宋体" w:cs="Times New Roman"/>
      <w:color w:val="800080"/>
      <w:u w:val="single"/>
    </w:rPr>
  </w:style>
  <w:style w:type="character" w:customStyle="1" w:styleId="234">
    <w:name w:val="Char Char26"/>
    <w:qFormat/>
    <w:uiPriority w:val="0"/>
    <w:rPr>
      <w:rFonts w:hint="default" w:ascii="Arial" w:hAnsi="Arial" w:eastAsia="黑体" w:cs="Arial"/>
      <w:b/>
      <w:bCs/>
      <w:sz w:val="32"/>
      <w:szCs w:val="32"/>
      <w:lang w:bidi="ar-SA"/>
    </w:rPr>
  </w:style>
  <w:style w:type="character" w:customStyle="1" w:styleId="235">
    <w:name w:val="Char Char2"/>
    <w:qFormat/>
    <w:uiPriority w:val="0"/>
    <w:rPr>
      <w:rFonts w:hint="eastAsia" w:ascii="宋体" w:hAnsi="Courier New" w:eastAsia="宋体" w:cs="Times New Roman"/>
      <w:szCs w:val="21"/>
      <w:lang w:bidi="ar-SA"/>
    </w:rPr>
  </w:style>
  <w:style w:type="character" w:customStyle="1" w:styleId="236">
    <w:name w:val="无间隔 Char Char"/>
    <w:qFormat/>
    <w:uiPriority w:val="0"/>
    <w:rPr>
      <w:rFonts w:ascii="Calibri" w:hAnsi="Calibri" w:eastAsia="宋体" w:cs="Times New Roman"/>
      <w:sz w:val="22"/>
      <w:szCs w:val="22"/>
      <w:lang w:val="en-US" w:eastAsia="zh-CN" w:bidi="ar-SA"/>
    </w:rPr>
  </w:style>
  <w:style w:type="character" w:customStyle="1" w:styleId="237">
    <w:name w:val="llyf92"/>
    <w:qFormat/>
    <w:uiPriority w:val="0"/>
    <w:rPr>
      <w:rFonts w:ascii="Times New Roman" w:hAnsi="Times New Roman" w:eastAsia="宋体" w:cs="Times New Roman"/>
      <w:sz w:val="18"/>
      <w:szCs w:val="18"/>
    </w:rPr>
  </w:style>
  <w:style w:type="character" w:customStyle="1" w:styleId="238">
    <w:name w:val="脚注文本 Char"/>
    <w:qFormat/>
    <w:uiPriority w:val="0"/>
    <w:rPr>
      <w:rFonts w:ascii="Times New Roman" w:hAnsi="Times New Roman" w:eastAsia="宋体" w:cs="Times New Roman"/>
      <w:sz w:val="18"/>
      <w:szCs w:val="18"/>
    </w:rPr>
  </w:style>
  <w:style w:type="character" w:customStyle="1" w:styleId="239">
    <w:name w:val="Char Char33"/>
    <w:qFormat/>
    <w:uiPriority w:val="0"/>
    <w:rPr>
      <w:rFonts w:hint="default" w:ascii="Arial" w:hAnsi="Arial" w:eastAsia="黑体" w:cs="宋体"/>
      <w:sz w:val="28"/>
      <w:lang w:val="en-US" w:eastAsia="zh-CN" w:bidi="ar-SA"/>
    </w:rPr>
  </w:style>
  <w:style w:type="character" w:customStyle="1" w:styleId="240">
    <w:name w:val="bookmark-item uuid-1589437289226 code-am014priceceiling addword single-line-text-input-box-cls"/>
    <w:qFormat/>
    <w:uiPriority w:val="0"/>
    <w:rPr>
      <w:rFonts w:ascii="Times New Roman" w:hAnsi="Times New Roman" w:eastAsia="宋体" w:cs="Times New Roman"/>
    </w:rPr>
  </w:style>
  <w:style w:type="character" w:customStyle="1" w:styleId="241">
    <w:name w:val="H1 Char3"/>
    <w:qFormat/>
    <w:uiPriority w:val="0"/>
    <w:rPr>
      <w:rFonts w:hint="eastAsia" w:ascii="宋体" w:hAnsi="宋体" w:eastAsia="宋体" w:cs="Times New Roman"/>
      <w:b/>
      <w:bCs/>
      <w:kern w:val="44"/>
      <w:sz w:val="44"/>
      <w:szCs w:val="44"/>
      <w:lang w:val="en-US" w:eastAsia="zh-CN" w:bidi="ar-SA"/>
    </w:rPr>
  </w:style>
  <w:style w:type="character" w:customStyle="1" w:styleId="242">
    <w:name w:val="ca-5"/>
    <w:qFormat/>
    <w:uiPriority w:val="0"/>
    <w:rPr>
      <w:rFonts w:ascii="Times New Roman" w:hAnsi="Times New Roman" w:eastAsia="宋体" w:cs="Times New Roman"/>
    </w:rPr>
  </w:style>
  <w:style w:type="character" w:customStyle="1" w:styleId="243">
    <w:name w:val="bookmark-item uuid-1589181188930 code-am014cg005 addword single-line-text-input-box-cls"/>
    <w:qFormat/>
    <w:uiPriority w:val="0"/>
    <w:rPr>
      <w:rFonts w:ascii="Times New Roman" w:hAnsi="Times New Roman" w:eastAsia="宋体" w:cs="Times New Roman"/>
    </w:rPr>
  </w:style>
  <w:style w:type="character" w:customStyle="1" w:styleId="244">
    <w:name w:val="15"/>
    <w:qFormat/>
    <w:uiPriority w:val="0"/>
    <w:rPr>
      <w:rFonts w:hint="default" w:ascii="Times New Roman" w:hAnsi="Times New Roman" w:eastAsia="宋体" w:cs="Times New Roman"/>
      <w:color w:val="FF0000"/>
      <w:u w:val="single"/>
    </w:rPr>
  </w:style>
  <w:style w:type="character" w:customStyle="1" w:styleId="245">
    <w:name w:val="Char Char144"/>
    <w:qFormat/>
    <w:uiPriority w:val="0"/>
    <w:rPr>
      <w:rFonts w:ascii="Times New Roman" w:hAnsi="Times New Roman" w:eastAsia="宋体" w:cs="Times New Roman"/>
      <w:sz w:val="18"/>
      <w:szCs w:val="18"/>
    </w:rPr>
  </w:style>
  <w:style w:type="character" w:customStyle="1" w:styleId="246">
    <w:name w:val="正文首行缩进 Char"/>
    <w:qFormat/>
    <w:uiPriority w:val="0"/>
    <w:rPr>
      <w:rFonts w:ascii="Times New Roman" w:hAnsi="Times New Roman" w:eastAsia="宋体" w:cs="Times New Roman"/>
      <w:kern w:val="2"/>
      <w:sz w:val="21"/>
      <w:szCs w:val="24"/>
      <w:lang w:val="en-US" w:eastAsia="zh-CN" w:bidi="ar-SA"/>
    </w:rPr>
  </w:style>
  <w:style w:type="character" w:customStyle="1" w:styleId="247">
    <w:name w:val="bookmark-item uuid-1588129973591 code-23015 addword single-line-text-input-box-cls readonly"/>
    <w:qFormat/>
    <w:uiPriority w:val="0"/>
    <w:rPr>
      <w:rFonts w:ascii="Times New Roman" w:hAnsi="Times New Roman" w:eastAsia="宋体" w:cs="Times New Roman"/>
    </w:rPr>
  </w:style>
  <w:style w:type="character" w:customStyle="1" w:styleId="248">
    <w:name w:val="正文文本缩进 Char3"/>
    <w:qFormat/>
    <w:uiPriority w:val="0"/>
    <w:rPr>
      <w:rFonts w:hint="eastAsia" w:ascii="仿宋_GB2312" w:hAnsi="Times New Roman" w:eastAsia="仿宋_GB2312" w:cs="Times New Roman"/>
      <w:kern w:val="2"/>
      <w:sz w:val="32"/>
    </w:rPr>
  </w:style>
  <w:style w:type="character" w:customStyle="1" w:styleId="249">
    <w:name w:val="Char Char Char Char Char1"/>
    <w:qFormat/>
    <w:uiPriority w:val="0"/>
    <w:rPr>
      <w:rFonts w:hint="eastAsia" w:ascii="宋体" w:hAnsi="宋体" w:eastAsia="宋体" w:cs="Times New Roman"/>
      <w:b/>
      <w:bCs/>
      <w:kern w:val="44"/>
      <w:sz w:val="44"/>
      <w:szCs w:val="44"/>
      <w:lang w:val="en-US" w:eastAsia="zh-CN" w:bidi="ar-SA"/>
    </w:rPr>
  </w:style>
  <w:style w:type="character" w:customStyle="1" w:styleId="250">
    <w:name w:val="正文文字首行缩进 Char"/>
    <w:qFormat/>
    <w:uiPriority w:val="0"/>
    <w:rPr>
      <w:rFonts w:ascii="仿宋_GB2312" w:hAnsi="Times New Roman" w:eastAsia="仿宋_GB2312" w:cs="Times New Roman"/>
      <w:kern w:val="2"/>
      <w:sz w:val="32"/>
    </w:rPr>
  </w:style>
  <w:style w:type="character" w:customStyle="1" w:styleId="251">
    <w:name w:val="Body text|1_"/>
    <w:link w:val="252"/>
    <w:qFormat/>
    <w:uiPriority w:val="0"/>
    <w:rPr>
      <w:rFonts w:ascii="宋体" w:hAnsi="宋体" w:eastAsia="宋体" w:cs="宋体"/>
      <w:sz w:val="30"/>
      <w:szCs w:val="30"/>
    </w:rPr>
  </w:style>
  <w:style w:type="paragraph" w:customStyle="1" w:styleId="252">
    <w:name w:val="Body text|1"/>
    <w:basedOn w:val="1"/>
    <w:link w:val="251"/>
    <w:qFormat/>
    <w:uiPriority w:val="0"/>
    <w:pPr>
      <w:spacing w:line="353" w:lineRule="auto"/>
      <w:ind w:firstLine="400"/>
      <w:jc w:val="left"/>
    </w:pPr>
    <w:rPr>
      <w:rFonts w:ascii="宋体" w:hAnsi="宋体"/>
      <w:kern w:val="0"/>
      <w:sz w:val="30"/>
      <w:szCs w:val="30"/>
    </w:rPr>
  </w:style>
  <w:style w:type="character" w:customStyle="1" w:styleId="253">
    <w:name w:val="font81"/>
    <w:basedOn w:val="57"/>
    <w:qFormat/>
    <w:uiPriority w:val="0"/>
    <w:rPr>
      <w:rFonts w:hint="default" w:ascii="华文宋体" w:hAnsi="华文宋体" w:eastAsia="华文宋体" w:cs="华文宋体"/>
      <w:color w:val="000000"/>
      <w:sz w:val="24"/>
      <w:szCs w:val="24"/>
      <w:u w:val="none"/>
    </w:rPr>
  </w:style>
  <w:style w:type="character" w:customStyle="1" w:styleId="254">
    <w:name w:val="ca-2"/>
    <w:qFormat/>
    <w:uiPriority w:val="0"/>
    <w:rPr>
      <w:rFonts w:ascii="Times New Roman" w:hAnsi="Times New Roman" w:eastAsia="宋体" w:cs="Times New Roman"/>
    </w:rPr>
  </w:style>
  <w:style w:type="character" w:customStyle="1" w:styleId="255">
    <w:name w:val="font21"/>
    <w:qFormat/>
    <w:uiPriority w:val="0"/>
    <w:rPr>
      <w:rFonts w:hint="eastAsia" w:ascii="宋体" w:hAnsi="宋体" w:eastAsia="宋体" w:cs="宋体"/>
      <w:color w:val="000000"/>
      <w:sz w:val="24"/>
      <w:szCs w:val="24"/>
      <w:u w:val="none"/>
    </w:rPr>
  </w:style>
  <w:style w:type="character" w:customStyle="1" w:styleId="256">
    <w:name w:val="bookmark-item uuid-1596015933656 code-00003 addword single-line-text-input-box-cls"/>
    <w:qFormat/>
    <w:uiPriority w:val="0"/>
    <w:rPr>
      <w:rFonts w:ascii="Times New Roman" w:hAnsi="Times New Roman" w:eastAsia="宋体" w:cs="Times New Roman"/>
    </w:rPr>
  </w:style>
  <w:style w:type="character" w:customStyle="1" w:styleId="257">
    <w:name w:val="bookmark-item uuid-1596004745033 code-00010 editdisable single-line-text-input-box-cls readonly"/>
    <w:qFormat/>
    <w:uiPriority w:val="0"/>
    <w:rPr>
      <w:rFonts w:ascii="Times New Roman" w:hAnsi="Times New Roman" w:eastAsia="宋体" w:cs="Times New Roman"/>
    </w:rPr>
  </w:style>
  <w:style w:type="character" w:customStyle="1" w:styleId="258">
    <w:name w:val="正文首行缩进 Char2"/>
    <w:qFormat/>
    <w:uiPriority w:val="0"/>
    <w:rPr>
      <w:rFonts w:hint="eastAsia" w:ascii="宋体" w:hAnsi="宋体" w:eastAsia="宋体" w:cs="Times New Roman"/>
      <w:kern w:val="2"/>
      <w:sz w:val="21"/>
      <w:szCs w:val="24"/>
      <w:lang w:val="en-US" w:eastAsia="zh-CN" w:bidi="ar-SA"/>
    </w:rPr>
  </w:style>
  <w:style w:type="character" w:customStyle="1" w:styleId="259">
    <w:name w:val="_Style 324"/>
    <w:qFormat/>
    <w:uiPriority w:val="0"/>
    <w:rPr>
      <w:rFonts w:ascii="Times New Roman" w:hAnsi="Times New Roman" w:eastAsia="宋体" w:cs="Times New Roman"/>
      <w:i/>
      <w:iCs/>
      <w:color w:val="808080"/>
    </w:rPr>
  </w:style>
  <w:style w:type="character" w:customStyle="1" w:styleId="260">
    <w:name w:val="font11"/>
    <w:qFormat/>
    <w:uiPriority w:val="0"/>
    <w:rPr>
      <w:rFonts w:hint="eastAsia" w:ascii="宋体" w:hAnsi="宋体" w:eastAsia="宋体" w:cs="宋体"/>
      <w:color w:val="000000"/>
      <w:sz w:val="24"/>
      <w:szCs w:val="24"/>
      <w:u w:val="none"/>
    </w:rPr>
  </w:style>
  <w:style w:type="character" w:customStyle="1" w:styleId="261">
    <w:name w:val="bookmark-item uuid-1596004688403 code-00015 editdisable single-line-text-input-box-cls readonly"/>
    <w:qFormat/>
    <w:uiPriority w:val="0"/>
    <w:rPr>
      <w:rFonts w:ascii="Times New Roman" w:hAnsi="Times New Roman" w:eastAsia="宋体" w:cs="Times New Roman"/>
    </w:rPr>
  </w:style>
  <w:style w:type="character" w:customStyle="1" w:styleId="262">
    <w:name w:val="标题 3 Char"/>
    <w:qFormat/>
    <w:uiPriority w:val="0"/>
    <w:rPr>
      <w:rFonts w:ascii="Times New Roman" w:hAnsi="Times New Roman" w:eastAsia="宋体" w:cs="Times New Roman"/>
      <w:b/>
      <w:bCs/>
      <w:sz w:val="32"/>
      <w:szCs w:val="32"/>
      <w:lang w:bidi="ar-SA"/>
    </w:rPr>
  </w:style>
  <w:style w:type="character" w:customStyle="1" w:styleId="263">
    <w:name w:val="正文文本缩进 Char1"/>
    <w:qFormat/>
    <w:uiPriority w:val="0"/>
    <w:rPr>
      <w:rFonts w:ascii="Times New Roman" w:hAnsi="Times New Roman" w:eastAsia="宋体" w:cs="Times New Roman"/>
      <w:kern w:val="2"/>
      <w:sz w:val="21"/>
      <w:szCs w:val="22"/>
    </w:rPr>
  </w:style>
  <w:style w:type="character" w:customStyle="1" w:styleId="264">
    <w:name w:val="1ji Char"/>
    <w:link w:val="265"/>
    <w:qFormat/>
    <w:uiPriority w:val="0"/>
    <w:rPr>
      <w:rFonts w:ascii="宋体" w:hAnsi="宋体" w:eastAsia="宋体" w:cs="Times New Roman"/>
      <w:b/>
      <w:bCs/>
      <w:kern w:val="44"/>
      <w:sz w:val="36"/>
      <w:szCs w:val="44"/>
      <w:lang w:val="en-US" w:eastAsia="zh-CN" w:bidi="ar-SA"/>
    </w:rPr>
  </w:style>
  <w:style w:type="paragraph" w:customStyle="1" w:styleId="265">
    <w:name w:val="1ji"/>
    <w:basedOn w:val="2"/>
    <w:link w:val="264"/>
    <w:qFormat/>
    <w:uiPriority w:val="0"/>
    <w:pPr>
      <w:keepLines w:val="0"/>
      <w:widowControl/>
      <w:spacing w:before="0" w:after="0" w:line="240" w:lineRule="auto"/>
      <w:jc w:val="center"/>
    </w:pPr>
    <w:rPr>
      <w:rFonts w:ascii="宋体" w:hAnsi="宋体"/>
      <w:sz w:val="36"/>
    </w:rPr>
  </w:style>
  <w:style w:type="character" w:customStyle="1" w:styleId="266">
    <w:name w:val="ca-3"/>
    <w:qFormat/>
    <w:uiPriority w:val="0"/>
    <w:rPr>
      <w:rFonts w:ascii="Times New Roman" w:hAnsi="Times New Roman" w:eastAsia="宋体" w:cs="Times New Roman"/>
    </w:rPr>
  </w:style>
  <w:style w:type="character" w:customStyle="1" w:styleId="267">
    <w:name w:val="列出段落 Char1"/>
    <w:qFormat/>
    <w:uiPriority w:val="0"/>
    <w:rPr>
      <w:rFonts w:hint="default" w:ascii="Calibri" w:hAnsi="Calibri" w:eastAsia="宋体" w:cs="Calibri"/>
      <w:kern w:val="2"/>
      <w:sz w:val="21"/>
      <w:szCs w:val="22"/>
    </w:rPr>
  </w:style>
  <w:style w:type="character" w:customStyle="1" w:styleId="268">
    <w:name w:val="页脚 Char2"/>
    <w:qFormat/>
    <w:uiPriority w:val="0"/>
    <w:rPr>
      <w:rFonts w:hint="eastAsia" w:ascii="宋体" w:hAnsi="宋体" w:eastAsia="宋体" w:cs="Times New Roman"/>
      <w:kern w:val="2"/>
      <w:sz w:val="18"/>
      <w:szCs w:val="18"/>
    </w:rPr>
  </w:style>
  <w:style w:type="character" w:customStyle="1" w:styleId="269">
    <w:name w:val="正文文本缩进 Char"/>
    <w:qFormat/>
    <w:uiPriority w:val="0"/>
    <w:rPr>
      <w:rFonts w:ascii="仿宋_GB2312" w:hAnsi="Times New Roman" w:eastAsia="仿宋_GB2312" w:cs="Times New Roman"/>
      <w:kern w:val="2"/>
      <w:sz w:val="32"/>
      <w:lang w:val="en-US" w:eastAsia="zh-CN" w:bidi="ar-SA"/>
    </w:rPr>
  </w:style>
  <w:style w:type="character" w:customStyle="1" w:styleId="270">
    <w:name w:val="17"/>
    <w:qFormat/>
    <w:uiPriority w:val="0"/>
    <w:rPr>
      <w:rFonts w:hint="default" w:ascii="Times New Roman" w:hAnsi="Times New Roman" w:eastAsia="宋体" w:cs="Times New Roman"/>
      <w:color w:val="CC0000"/>
    </w:rPr>
  </w:style>
  <w:style w:type="character" w:customStyle="1" w:styleId="271">
    <w:name w:val="apple-converted-space"/>
    <w:qFormat/>
    <w:uiPriority w:val="0"/>
    <w:rPr>
      <w:rFonts w:ascii="Times New Roman" w:hAnsi="Times New Roman" w:eastAsia="宋体" w:cs="Times New Roman"/>
    </w:rPr>
  </w:style>
  <w:style w:type="character" w:customStyle="1" w:styleId="272">
    <w:name w:val="qb-content2"/>
    <w:qFormat/>
    <w:uiPriority w:val="0"/>
    <w:rPr>
      <w:rFonts w:ascii="Times New Roman" w:hAnsi="Times New Roman" w:eastAsia="宋体" w:cs="Times New Roman"/>
    </w:rPr>
  </w:style>
  <w:style w:type="character" w:customStyle="1" w:styleId="273">
    <w:name w:val="ca-4"/>
    <w:qFormat/>
    <w:uiPriority w:val="0"/>
    <w:rPr>
      <w:rFonts w:ascii="Times New Roman" w:hAnsi="Times New Roman" w:eastAsia="宋体" w:cs="Times New Roman"/>
    </w:rPr>
  </w:style>
  <w:style w:type="character" w:customStyle="1" w:styleId="274">
    <w:name w:val="副标题 Char"/>
    <w:qFormat/>
    <w:uiPriority w:val="0"/>
    <w:rPr>
      <w:rFonts w:ascii="Cambria" w:hAnsi="Cambria" w:eastAsia="宋体" w:cs="Times New Roman"/>
      <w:b/>
      <w:bCs/>
      <w:kern w:val="28"/>
      <w:sz w:val="32"/>
      <w:szCs w:val="32"/>
    </w:rPr>
  </w:style>
  <w:style w:type="character" w:customStyle="1" w:styleId="275">
    <w:name w:val="Char Char Char Char Char Char"/>
    <w:qFormat/>
    <w:uiPriority w:val="0"/>
    <w:rPr>
      <w:rFonts w:hint="eastAsia" w:ascii="宋体" w:hAnsi="宋体" w:eastAsia="宋体" w:cs="Times New Roman"/>
      <w:b/>
      <w:bCs/>
      <w:kern w:val="44"/>
      <w:sz w:val="44"/>
      <w:szCs w:val="44"/>
      <w:lang w:val="en-US" w:eastAsia="zh-CN" w:bidi="ar-SA"/>
    </w:rPr>
  </w:style>
  <w:style w:type="character" w:customStyle="1" w:styleId="276">
    <w:name w:val="font51"/>
    <w:qFormat/>
    <w:uiPriority w:val="0"/>
    <w:rPr>
      <w:rFonts w:hint="eastAsia" w:ascii="黑体" w:hAnsi="宋体" w:eastAsia="黑体" w:cs="黑体"/>
      <w:b/>
      <w:color w:val="000000"/>
      <w:sz w:val="40"/>
      <w:szCs w:val="40"/>
      <w:u w:val="none"/>
    </w:rPr>
  </w:style>
  <w:style w:type="character" w:customStyle="1" w:styleId="277">
    <w:name w:val="页码 New New New New New New New New"/>
    <w:qFormat/>
    <w:uiPriority w:val="0"/>
    <w:rPr>
      <w:rFonts w:ascii="Times New Roman" w:hAnsi="Times New Roman" w:eastAsia="宋体" w:cs="Times New Roman"/>
    </w:rPr>
  </w:style>
  <w:style w:type="character" w:customStyle="1" w:styleId="278">
    <w:name w:val="Char Char19"/>
    <w:qFormat/>
    <w:uiPriority w:val="0"/>
    <w:rPr>
      <w:rFonts w:hint="default" w:ascii="Arial" w:hAnsi="Arial" w:eastAsia="黑体" w:cs="Arial"/>
      <w:kern w:val="2"/>
      <w:sz w:val="24"/>
      <w:szCs w:val="24"/>
      <w:lang w:val="en-US" w:eastAsia="zh-CN" w:bidi="ar-SA"/>
    </w:rPr>
  </w:style>
  <w:style w:type="character" w:customStyle="1" w:styleId="279">
    <w:name w:val="style31"/>
    <w:qFormat/>
    <w:uiPriority w:val="0"/>
    <w:rPr>
      <w:rFonts w:ascii="Times New Roman" w:hAnsi="Times New Roman" w:eastAsia="宋体" w:cs="Times New Roman"/>
      <w:sz w:val="18"/>
      <w:szCs w:val="18"/>
    </w:rPr>
  </w:style>
  <w:style w:type="character" w:customStyle="1" w:styleId="280">
    <w:name w:val="bookmark-item uuid-1595940760210 code-23011 addword date-time-selection-cls"/>
    <w:qFormat/>
    <w:uiPriority w:val="0"/>
    <w:rPr>
      <w:rFonts w:ascii="Times New Roman" w:hAnsi="Times New Roman" w:eastAsia="宋体" w:cs="Times New Roman"/>
    </w:rPr>
  </w:style>
  <w:style w:type="character" w:customStyle="1" w:styleId="281">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82">
    <w:name w:val="纯文本 Char"/>
    <w:qFormat/>
    <w:uiPriority w:val="0"/>
    <w:rPr>
      <w:rFonts w:ascii="宋体" w:hAnsi="Courier New" w:eastAsia="宋体" w:cs="Courier New"/>
      <w:kern w:val="2"/>
      <w:sz w:val="21"/>
      <w:szCs w:val="21"/>
      <w:lang w:val="en-US" w:eastAsia="zh-CN" w:bidi="ar-SA"/>
    </w:rPr>
  </w:style>
  <w:style w:type="character" w:customStyle="1" w:styleId="283">
    <w:name w:val="正文文本 2 Char"/>
    <w:link w:val="284"/>
    <w:qFormat/>
    <w:uiPriority w:val="0"/>
    <w:rPr>
      <w:rFonts w:ascii="Times New Roman" w:hAnsi="Times New Roman" w:eastAsia="宋体" w:cs="Times New Roman"/>
      <w:kern w:val="2"/>
      <w:sz w:val="21"/>
      <w:szCs w:val="24"/>
      <w:lang w:val="en-US" w:eastAsia="zh-CN" w:bidi="ar-SA"/>
    </w:rPr>
  </w:style>
  <w:style w:type="paragraph" w:customStyle="1" w:styleId="284">
    <w:name w:val="Body Text 2_0"/>
    <w:basedOn w:val="1"/>
    <w:link w:val="283"/>
    <w:qFormat/>
    <w:uiPriority w:val="0"/>
    <w:pPr>
      <w:spacing w:after="120" w:line="480" w:lineRule="auto"/>
    </w:pPr>
  </w:style>
  <w:style w:type="character" w:customStyle="1" w:styleId="285">
    <w:name w:val="页码 New New New New New New New New New"/>
    <w:qFormat/>
    <w:uiPriority w:val="0"/>
    <w:rPr>
      <w:rFonts w:ascii="Times New Roman" w:hAnsi="Times New Roman" w:eastAsia="宋体" w:cs="Times New Roman"/>
    </w:rPr>
  </w:style>
  <w:style w:type="character" w:customStyle="1" w:styleId="286">
    <w:name w:val="Char Char6"/>
    <w:qFormat/>
    <w:uiPriority w:val="0"/>
    <w:rPr>
      <w:rFonts w:hint="eastAsia" w:ascii="宋体" w:hAnsi="Courier New" w:eastAsia="宋体" w:cs="Courier New"/>
      <w:kern w:val="2"/>
      <w:sz w:val="21"/>
      <w:szCs w:val="21"/>
      <w:lang w:val="en-US" w:eastAsia="zh-CN" w:bidi="ar-SA"/>
    </w:rPr>
  </w:style>
  <w:style w:type="character" w:customStyle="1" w:styleId="287">
    <w:name w:val="Char Char1111"/>
    <w:qFormat/>
    <w:uiPriority w:val="0"/>
    <w:rPr>
      <w:rFonts w:hint="default" w:ascii="Times New Roman" w:hAnsi="Times New Roman" w:eastAsia="宋体" w:cs="Times New Roman"/>
      <w:sz w:val="30"/>
      <w:szCs w:val="24"/>
    </w:rPr>
  </w:style>
  <w:style w:type="character" w:customStyle="1" w:styleId="288">
    <w:name w:val="apple-style-span"/>
    <w:qFormat/>
    <w:uiPriority w:val="0"/>
    <w:rPr>
      <w:rFonts w:ascii="Times New Roman" w:hAnsi="Times New Roman" w:eastAsia="宋体" w:cs="Times New Roman"/>
    </w:rPr>
  </w:style>
  <w:style w:type="character" w:customStyle="1" w:styleId="289">
    <w:name w:val="Char Char101"/>
    <w:qFormat/>
    <w:uiPriority w:val="0"/>
    <w:rPr>
      <w:rFonts w:hint="eastAsia" w:ascii="宋体" w:hAnsi="宋体" w:eastAsia="宋体" w:cs="Times New Roman"/>
      <w:kern w:val="2"/>
      <w:sz w:val="21"/>
      <w:szCs w:val="24"/>
      <w:lang w:val="en-US" w:eastAsia="zh-CN" w:bidi="ar-SA"/>
    </w:rPr>
  </w:style>
  <w:style w:type="character" w:customStyle="1" w:styleId="290">
    <w:name w:val="ca-15"/>
    <w:qFormat/>
    <w:uiPriority w:val="0"/>
    <w:rPr>
      <w:rFonts w:ascii="Times New Roman" w:hAnsi="Times New Roman" w:eastAsia="宋体" w:cs="Times New Roman"/>
    </w:rPr>
  </w:style>
  <w:style w:type="character" w:customStyle="1" w:styleId="291">
    <w:name w:val="标题 3 Char Char"/>
    <w:qFormat/>
    <w:uiPriority w:val="0"/>
    <w:rPr>
      <w:rFonts w:hint="eastAsia" w:ascii="宋体" w:hAnsi="宋体" w:eastAsia="宋体" w:cs="Times New Roman"/>
      <w:b/>
      <w:bCs/>
      <w:kern w:val="2"/>
      <w:sz w:val="32"/>
      <w:szCs w:val="32"/>
      <w:lang w:val="en-US" w:eastAsia="zh-CN" w:bidi="ar-SA"/>
    </w:rPr>
  </w:style>
  <w:style w:type="character" w:customStyle="1" w:styleId="292">
    <w:name w:val="font61"/>
    <w:qFormat/>
    <w:uiPriority w:val="0"/>
    <w:rPr>
      <w:rFonts w:hint="eastAsia" w:ascii="黑体" w:hAnsi="宋体" w:eastAsia="黑体" w:cs="黑体"/>
      <w:b/>
      <w:color w:val="000000"/>
      <w:sz w:val="40"/>
      <w:szCs w:val="40"/>
      <w:u w:val="single"/>
    </w:rPr>
  </w:style>
  <w:style w:type="character" w:customStyle="1" w:styleId="293">
    <w:name w:val="页脚 字符"/>
    <w:qFormat/>
    <w:uiPriority w:val="0"/>
    <w:rPr>
      <w:rFonts w:ascii="Times New Roman" w:hAnsi="Times New Roman" w:eastAsia="宋体" w:cs="Times New Roman"/>
      <w:sz w:val="18"/>
      <w:szCs w:val="18"/>
    </w:rPr>
  </w:style>
  <w:style w:type="character" w:customStyle="1" w:styleId="294">
    <w:name w:val="p1"/>
    <w:qFormat/>
    <w:uiPriority w:val="0"/>
    <w:rPr>
      <w:rFonts w:ascii="Times New Roman" w:hAnsi="Times New Roman" w:eastAsia="宋体" w:cs="Times New Roman"/>
    </w:rPr>
  </w:style>
  <w:style w:type="character" w:customStyle="1" w:styleId="295">
    <w:name w:val="row08"/>
    <w:qFormat/>
    <w:uiPriority w:val="0"/>
    <w:rPr>
      <w:rFonts w:hint="default" w:ascii="Times New Roman" w:hAnsi="Times New Roman" w:eastAsia="宋体" w:cs="Times New Roman"/>
    </w:rPr>
  </w:style>
  <w:style w:type="character" w:customStyle="1" w:styleId="296">
    <w:name w:val="bookmark-item uuid-1595987425520 code-23021 editdisable multi-line-text-input-box-cls readonly"/>
    <w:qFormat/>
    <w:uiPriority w:val="0"/>
  </w:style>
  <w:style w:type="character" w:customStyle="1" w:styleId="297">
    <w:name w:val="纯文本 Char1"/>
    <w:qFormat/>
    <w:uiPriority w:val="0"/>
    <w:rPr>
      <w:rFonts w:ascii="宋体" w:hAnsi="Courier New" w:eastAsia="宋体" w:cs="Courier New"/>
      <w:kern w:val="2"/>
      <w:sz w:val="21"/>
      <w:szCs w:val="21"/>
      <w:lang w:val="en-US" w:eastAsia="zh-CN" w:bidi="ar-SA"/>
    </w:rPr>
  </w:style>
  <w:style w:type="character" w:customStyle="1" w:styleId="298">
    <w:name w:val="Char Char151"/>
    <w:qFormat/>
    <w:uiPriority w:val="0"/>
    <w:rPr>
      <w:rFonts w:ascii="Times New Roman" w:hAnsi="Times New Roman" w:eastAsia="宋体" w:cs="Times New Roman"/>
      <w:sz w:val="18"/>
      <w:szCs w:val="18"/>
    </w:rPr>
  </w:style>
  <w:style w:type="character" w:customStyle="1" w:styleId="299">
    <w:name w:val="bookmark-item uuid-1595940727161 code-23008 addword numeric-input-box-cls"/>
    <w:qFormat/>
    <w:uiPriority w:val="0"/>
    <w:rPr>
      <w:rFonts w:ascii="Times New Roman" w:hAnsi="Times New Roman" w:eastAsia="宋体" w:cs="Times New Roman"/>
    </w:rPr>
  </w:style>
  <w:style w:type="character" w:customStyle="1" w:styleId="300">
    <w:name w:val="ca-12"/>
    <w:qFormat/>
    <w:uiPriority w:val="0"/>
    <w:rPr>
      <w:rFonts w:ascii="Times New Roman" w:hAnsi="Times New Roman" w:eastAsia="宋体" w:cs="Times New Roman"/>
    </w:rPr>
  </w:style>
  <w:style w:type="character" w:customStyle="1" w:styleId="301">
    <w:name w:val="副标题 Char4"/>
    <w:qFormat/>
    <w:uiPriority w:val="0"/>
    <w:rPr>
      <w:rFonts w:hint="default" w:ascii="Cambria" w:hAnsi="Cambria" w:eastAsia="宋体" w:cs="Times New Roman"/>
      <w:b/>
      <w:bCs/>
      <w:kern w:val="28"/>
      <w:sz w:val="32"/>
      <w:szCs w:val="32"/>
    </w:rPr>
  </w:style>
  <w:style w:type="character" w:customStyle="1" w:styleId="302">
    <w:name w:val="标题 8 Char"/>
    <w:qFormat/>
    <w:uiPriority w:val="0"/>
    <w:rPr>
      <w:rFonts w:ascii="Arial" w:hAnsi="Arial" w:eastAsia="黑体" w:cs="Times New Roman"/>
      <w:kern w:val="2"/>
      <w:sz w:val="24"/>
      <w:szCs w:val="24"/>
      <w:lang w:val="en-US" w:eastAsia="zh-CN" w:bidi="ar-SA"/>
    </w:rPr>
  </w:style>
  <w:style w:type="character" w:customStyle="1" w:styleId="303">
    <w:name w:val="页码 New"/>
    <w:qFormat/>
    <w:uiPriority w:val="0"/>
    <w:rPr>
      <w:rFonts w:ascii="Times New Roman" w:hAnsi="Times New Roman" w:eastAsia="宋体" w:cs="Times New Roman"/>
    </w:rPr>
  </w:style>
  <w:style w:type="character" w:customStyle="1" w:styleId="304">
    <w:name w:val="text11"/>
    <w:qFormat/>
    <w:uiPriority w:val="0"/>
    <w:rPr>
      <w:rFonts w:hint="default" w:ascii="Verdana" w:hAnsi="Verdana" w:eastAsia="宋体" w:cs="Times New Roman"/>
      <w:color w:val="4E4E4E"/>
      <w:sz w:val="18"/>
      <w:szCs w:val="18"/>
    </w:rPr>
  </w:style>
  <w:style w:type="character" w:customStyle="1" w:styleId="305">
    <w:name w:val="正文文本 Char3"/>
    <w:qFormat/>
    <w:uiPriority w:val="0"/>
    <w:rPr>
      <w:rFonts w:ascii="Times New Roman" w:hAnsi="Times New Roman" w:eastAsia="宋体" w:cs="Times New Roman"/>
      <w:kern w:val="2"/>
      <w:sz w:val="21"/>
      <w:szCs w:val="24"/>
    </w:rPr>
  </w:style>
  <w:style w:type="character" w:customStyle="1" w:styleId="306">
    <w:name w:val="ca-16"/>
    <w:qFormat/>
    <w:uiPriority w:val="0"/>
    <w:rPr>
      <w:rFonts w:ascii="Times New Roman" w:hAnsi="Times New Roman" w:eastAsia="宋体" w:cs="Times New Roman"/>
    </w:rPr>
  </w:style>
  <w:style w:type="character" w:customStyle="1" w:styleId="307">
    <w:name w:val="页码 New New New New New"/>
    <w:qFormat/>
    <w:uiPriority w:val="0"/>
    <w:rPr>
      <w:rFonts w:ascii="Times New Roman" w:hAnsi="Times New Roman" w:eastAsia="宋体" w:cs="Times New Roman"/>
    </w:rPr>
  </w:style>
  <w:style w:type="character" w:customStyle="1" w:styleId="308">
    <w:name w:val="bookmark-item uuid-1589194982864 code-31006 addword multi-line-text-input-box-cls"/>
    <w:qFormat/>
    <w:uiPriority w:val="0"/>
    <w:rPr>
      <w:rFonts w:ascii="Times New Roman" w:hAnsi="Times New Roman" w:eastAsia="宋体" w:cs="Times New Roman"/>
    </w:rPr>
  </w:style>
  <w:style w:type="character" w:customStyle="1" w:styleId="309">
    <w:name w:val="手改 Char Char"/>
    <w:qFormat/>
    <w:uiPriority w:val="0"/>
    <w:rPr>
      <w:rFonts w:hint="eastAsia" w:ascii="宋体" w:hAnsi="宋体" w:eastAsia="宋体" w:cs="Times New Roman"/>
      <w:kern w:val="2"/>
      <w:sz w:val="24"/>
      <w:szCs w:val="24"/>
      <w:lang w:val="en-US" w:eastAsia="zh-CN" w:bidi="ar-SA"/>
    </w:rPr>
  </w:style>
  <w:style w:type="character" w:customStyle="1" w:styleId="310">
    <w:name w:val="bookmark-item uuid-1595940713919 code-am01400046 editdisable single-line-text-input-box-cls readonly"/>
    <w:qFormat/>
    <w:uiPriority w:val="0"/>
    <w:rPr>
      <w:rFonts w:ascii="Times New Roman" w:hAnsi="Times New Roman" w:eastAsia="宋体" w:cs="Times New Roman"/>
    </w:rPr>
  </w:style>
  <w:style w:type="character" w:customStyle="1" w:styleId="311">
    <w:name w:val="style161"/>
    <w:qFormat/>
    <w:uiPriority w:val="0"/>
    <w:rPr>
      <w:rFonts w:ascii="Times New Roman" w:hAnsi="Times New Roman" w:eastAsia="宋体" w:cs="Times New Roman"/>
      <w:color w:val="666666"/>
    </w:rPr>
  </w:style>
  <w:style w:type="character" w:customStyle="1" w:styleId="312">
    <w:name w:val="bookmark-item uuid-1588129635457 code-23007 addword single-line-text-input-box-cls readonly"/>
    <w:qFormat/>
    <w:uiPriority w:val="0"/>
    <w:rPr>
      <w:rFonts w:ascii="Times New Roman" w:hAnsi="Times New Roman" w:eastAsia="宋体" w:cs="Times New Roman"/>
    </w:rPr>
  </w:style>
  <w:style w:type="character" w:customStyle="1" w:styleId="313">
    <w:name w:val="正文文本 2 Char2"/>
    <w:qFormat/>
    <w:uiPriority w:val="0"/>
    <w:rPr>
      <w:rFonts w:ascii="Times New Roman" w:hAnsi="Times New Roman" w:eastAsia="宋体" w:cs="Times New Roman"/>
      <w:kern w:val="2"/>
      <w:sz w:val="21"/>
      <w:szCs w:val="24"/>
    </w:rPr>
  </w:style>
  <w:style w:type="character" w:customStyle="1" w:styleId="314">
    <w:name w:val="bookmark-item uuid-1595941076685 code-am014biditemcount editdisable single-line-text-input-box-cls"/>
    <w:qFormat/>
    <w:uiPriority w:val="0"/>
    <w:rPr>
      <w:rFonts w:ascii="Times New Roman" w:hAnsi="Times New Roman" w:eastAsia="宋体" w:cs="Times New Roman"/>
    </w:rPr>
  </w:style>
  <w:style w:type="character" w:customStyle="1" w:styleId="315">
    <w:name w:val="页码 New New"/>
    <w:qFormat/>
    <w:uiPriority w:val="0"/>
    <w:rPr>
      <w:rFonts w:ascii="Times New Roman" w:hAnsi="Times New Roman" w:eastAsia="宋体" w:cs="Times New Roman"/>
    </w:rPr>
  </w:style>
  <w:style w:type="character" w:customStyle="1" w:styleId="316">
    <w:name w:val="标题 Char3"/>
    <w:qFormat/>
    <w:uiPriority w:val="0"/>
    <w:rPr>
      <w:rFonts w:hint="default" w:ascii="Arial" w:hAnsi="Arial" w:eastAsia="宋体" w:cs="Arial"/>
      <w:b/>
      <w:bCs/>
      <w:kern w:val="2"/>
      <w:sz w:val="32"/>
      <w:szCs w:val="32"/>
    </w:rPr>
  </w:style>
  <w:style w:type="character" w:customStyle="1" w:styleId="317">
    <w:name w:val="段 Char"/>
    <w:link w:val="318"/>
    <w:qFormat/>
    <w:uiPriority w:val="0"/>
    <w:rPr>
      <w:rFonts w:ascii="宋体" w:hAnsi="Times New Roman" w:eastAsia="宋体" w:cs="Times New Roman"/>
      <w:sz w:val="21"/>
      <w:lang w:val="en-US" w:eastAsia="zh-CN" w:bidi="ar-SA"/>
    </w:rPr>
  </w:style>
  <w:style w:type="paragraph" w:customStyle="1" w:styleId="318">
    <w:name w:val="段"/>
    <w:link w:val="31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9">
    <w:name w:val="bookmark-item uuid-1596004663203 code-00014 editdisable interval-text-box-cls readonly"/>
    <w:qFormat/>
    <w:uiPriority w:val="0"/>
    <w:rPr>
      <w:rFonts w:ascii="Times New Roman" w:hAnsi="Times New Roman" w:eastAsia="宋体" w:cs="Times New Roman"/>
    </w:rPr>
  </w:style>
  <w:style w:type="character" w:customStyle="1" w:styleId="320">
    <w:name w:val="Char Char36"/>
    <w:qFormat/>
    <w:uiPriority w:val="0"/>
    <w:rPr>
      <w:rFonts w:hint="eastAsia" w:ascii="宋体" w:hAnsi="宋体" w:eastAsia="宋体" w:cs="Times New Roman"/>
      <w:b/>
      <w:spacing w:val="-2"/>
      <w:sz w:val="24"/>
      <w:lang w:val="en-US" w:eastAsia="zh-CN" w:bidi="ar-SA"/>
    </w:rPr>
  </w:style>
  <w:style w:type="character" w:customStyle="1" w:styleId="321">
    <w:name w:val="ca-0"/>
    <w:qFormat/>
    <w:uiPriority w:val="0"/>
    <w:rPr>
      <w:rFonts w:ascii="Times New Roman" w:hAnsi="Times New Roman" w:eastAsia="宋体" w:cs="Times New Roman"/>
    </w:rPr>
  </w:style>
  <w:style w:type="character" w:customStyle="1" w:styleId="322">
    <w:name w:val="font01"/>
    <w:qFormat/>
    <w:uiPriority w:val="0"/>
    <w:rPr>
      <w:rFonts w:hint="default" w:ascii="Times New Roman" w:hAnsi="Times New Roman" w:eastAsia="宋体" w:cs="Times New Roman"/>
      <w:color w:val="000000"/>
      <w:sz w:val="24"/>
      <w:szCs w:val="24"/>
      <w:u w:val="none"/>
    </w:rPr>
  </w:style>
  <w:style w:type="character" w:customStyle="1" w:styleId="323">
    <w:name w:val="Char Char251"/>
    <w:qFormat/>
    <w:uiPriority w:val="0"/>
    <w:rPr>
      <w:rFonts w:hint="eastAsia" w:ascii="宋体" w:hAnsi="宋体" w:eastAsia="宋体" w:cs="Times New Roman"/>
      <w:b/>
      <w:bCs/>
      <w:sz w:val="32"/>
      <w:szCs w:val="32"/>
      <w:lang w:bidi="ar-SA"/>
    </w:rPr>
  </w:style>
  <w:style w:type="character" w:customStyle="1" w:styleId="324">
    <w:name w:val="标题 Char"/>
    <w:qFormat/>
    <w:uiPriority w:val="0"/>
    <w:rPr>
      <w:rFonts w:ascii="Arial" w:hAnsi="Arial" w:eastAsia="宋体" w:cs="Times New Roman"/>
      <w:b/>
      <w:bCs/>
      <w:kern w:val="2"/>
      <w:sz w:val="32"/>
      <w:szCs w:val="32"/>
      <w:lang w:bidi="ar-SA"/>
    </w:rPr>
  </w:style>
  <w:style w:type="character" w:customStyle="1" w:styleId="325">
    <w:name w:val="Plain Text Char1"/>
    <w:qFormat/>
    <w:uiPriority w:val="0"/>
    <w:rPr>
      <w:rFonts w:ascii="宋体" w:hAnsi="Courier New" w:eastAsia="宋体" w:cs="Courier New"/>
      <w:szCs w:val="21"/>
    </w:rPr>
  </w:style>
  <w:style w:type="character" w:customStyle="1" w:styleId="326">
    <w:name w:val="sel9"/>
    <w:qFormat/>
    <w:uiPriority w:val="0"/>
    <w:rPr>
      <w:rFonts w:hint="eastAsia" w:ascii="宋体" w:hAnsi="宋体" w:eastAsia="宋体" w:cs="Times New Roman"/>
      <w:b/>
      <w:bCs/>
      <w:sz w:val="21"/>
      <w:szCs w:val="21"/>
    </w:rPr>
  </w:style>
  <w:style w:type="character" w:customStyle="1" w:styleId="327">
    <w:name w:val="Char Char30"/>
    <w:qFormat/>
    <w:uiPriority w:val="0"/>
    <w:rPr>
      <w:rFonts w:hint="eastAsia" w:ascii="宋体" w:hAnsi="宋体" w:eastAsia="宋体" w:cs="Times New Roman"/>
      <w:b/>
      <w:spacing w:val="-2"/>
      <w:sz w:val="24"/>
      <w:lang w:val="en-US" w:eastAsia="zh-CN" w:bidi="ar-SA"/>
    </w:rPr>
  </w:style>
  <w:style w:type="character" w:customStyle="1" w:styleId="328">
    <w:name w:val="bookmark-item uuid-1588129524349 code-23004 addword date-selection-cls readonly"/>
    <w:qFormat/>
    <w:uiPriority w:val="0"/>
    <w:rPr>
      <w:rFonts w:ascii="Times New Roman" w:hAnsi="Times New Roman" w:eastAsia="宋体" w:cs="Times New Roman"/>
    </w:rPr>
  </w:style>
  <w:style w:type="character" w:customStyle="1" w:styleId="329">
    <w:name w:val="纯文本 Char2"/>
    <w:qFormat/>
    <w:uiPriority w:val="0"/>
    <w:rPr>
      <w:rFonts w:ascii="宋体" w:hAnsi="Courier New" w:eastAsia="宋体" w:cs="Courier New"/>
      <w:kern w:val="2"/>
      <w:sz w:val="21"/>
      <w:szCs w:val="21"/>
      <w:lang w:val="en-US" w:eastAsia="zh-CN" w:bidi="ar-SA"/>
    </w:rPr>
  </w:style>
  <w:style w:type="character" w:customStyle="1" w:styleId="330">
    <w:name w:val="页眉 字符"/>
    <w:qFormat/>
    <w:uiPriority w:val="0"/>
    <w:rPr>
      <w:rFonts w:ascii="Times New Roman" w:hAnsi="Times New Roman" w:eastAsia="宋体" w:cs="Times New Roman"/>
      <w:sz w:val="18"/>
      <w:szCs w:val="18"/>
    </w:rPr>
  </w:style>
  <w:style w:type="character" w:customStyle="1" w:styleId="331">
    <w:name w:val="bookmark-item uuid-1596004728442 code-00013 editdisable single-line-text-input-box-cls readonly"/>
    <w:qFormat/>
    <w:uiPriority w:val="0"/>
    <w:rPr>
      <w:rFonts w:ascii="Times New Roman" w:hAnsi="Times New Roman" w:eastAsia="宋体" w:cs="Times New Roman"/>
    </w:rPr>
  </w:style>
  <w:style w:type="character" w:customStyle="1" w:styleId="332">
    <w:name w:val="H1 Char1"/>
    <w:qFormat/>
    <w:uiPriority w:val="0"/>
    <w:rPr>
      <w:rFonts w:ascii="Times New Roman" w:hAnsi="Times New Roman" w:eastAsia="宋体" w:cs="Times New Roman"/>
      <w:b/>
      <w:bCs/>
      <w:kern w:val="44"/>
      <w:sz w:val="44"/>
      <w:szCs w:val="44"/>
      <w:lang w:val="en-US" w:eastAsia="zh-CN" w:bidi="ar-SA"/>
    </w:rPr>
  </w:style>
  <w:style w:type="character" w:customStyle="1" w:styleId="333">
    <w:name w:val="Char Char Char2"/>
    <w:qFormat/>
    <w:uiPriority w:val="0"/>
    <w:rPr>
      <w:rFonts w:hint="eastAsia" w:ascii="宋体" w:hAnsi="宋体" w:eastAsia="宋体" w:cs="Times New Roman"/>
      <w:kern w:val="2"/>
      <w:sz w:val="18"/>
      <w:szCs w:val="18"/>
      <w:lang w:val="en-US" w:eastAsia="zh-CN" w:bidi="ar-SA"/>
    </w:rPr>
  </w:style>
  <w:style w:type="character" w:customStyle="1" w:styleId="334">
    <w:name w:val="Char Char22"/>
    <w:qFormat/>
    <w:uiPriority w:val="0"/>
    <w:rPr>
      <w:rFonts w:hint="eastAsia" w:ascii="宋体" w:hAnsi="宋体" w:eastAsia="宋体" w:cs="Times New Roman"/>
      <w:b/>
      <w:kern w:val="2"/>
      <w:sz w:val="28"/>
      <w:szCs w:val="24"/>
      <w:lang w:val="en-US" w:eastAsia="zh-CN" w:bidi="ar-SA"/>
    </w:rPr>
  </w:style>
  <w:style w:type="character" w:customStyle="1" w:styleId="335">
    <w:name w:val="副标题 Char1"/>
    <w:qFormat/>
    <w:uiPriority w:val="0"/>
    <w:rPr>
      <w:rFonts w:hint="default" w:ascii="Cambria" w:hAnsi="Cambria" w:eastAsia="宋体" w:cs="Times New Roman"/>
      <w:b/>
      <w:bCs/>
      <w:kern w:val="28"/>
      <w:sz w:val="32"/>
      <w:szCs w:val="32"/>
    </w:rPr>
  </w:style>
  <w:style w:type="character" w:customStyle="1" w:styleId="336">
    <w:name w:val="标题 Char4"/>
    <w:qFormat/>
    <w:uiPriority w:val="0"/>
    <w:rPr>
      <w:rFonts w:hint="default" w:ascii="Cambria" w:hAnsi="Cambria" w:eastAsia="宋体" w:cs="Times New Roman"/>
      <w:b/>
      <w:bCs/>
      <w:kern w:val="2"/>
      <w:sz w:val="32"/>
      <w:szCs w:val="32"/>
    </w:rPr>
  </w:style>
  <w:style w:type="character" w:customStyle="1" w:styleId="337">
    <w:name w:val="普通文字 Char Char4"/>
    <w:qFormat/>
    <w:uiPriority w:val="0"/>
    <w:rPr>
      <w:rFonts w:ascii="宋体" w:hAnsi="Courier New" w:eastAsia="宋体" w:cs="Courier New"/>
      <w:kern w:val="2"/>
      <w:sz w:val="21"/>
      <w:szCs w:val="21"/>
      <w:lang w:val="en-US" w:eastAsia="zh-CN" w:bidi="ar-SA"/>
    </w:rPr>
  </w:style>
  <w:style w:type="character" w:customStyle="1" w:styleId="338">
    <w:name w:val="Char Char231"/>
    <w:qFormat/>
    <w:uiPriority w:val="0"/>
    <w:rPr>
      <w:rFonts w:hint="default" w:ascii="Times New Roman" w:hAnsi="Times New Roman" w:eastAsia="宋体" w:cs="Times New Roman"/>
      <w:b/>
      <w:bCs/>
      <w:kern w:val="44"/>
      <w:sz w:val="44"/>
      <w:szCs w:val="44"/>
    </w:rPr>
  </w:style>
  <w:style w:type="character" w:customStyle="1" w:styleId="339">
    <w:name w:val="bookmark-item uuid-1593432150293 code-am014biditemname editdisable single-line-text-input-box-cls"/>
    <w:qFormat/>
    <w:uiPriority w:val="0"/>
    <w:rPr>
      <w:rFonts w:ascii="Times New Roman" w:hAnsi="Times New Roman" w:eastAsia="宋体" w:cs="Times New Roman"/>
    </w:rPr>
  </w:style>
  <w:style w:type="character" w:customStyle="1" w:styleId="340">
    <w:name w:val="Char Char16"/>
    <w:qFormat/>
    <w:uiPriority w:val="0"/>
    <w:rPr>
      <w:rFonts w:hint="default" w:ascii="Arial" w:hAnsi="Arial" w:eastAsia="黑体" w:cs="Arial"/>
      <w:b/>
      <w:kern w:val="2"/>
      <w:sz w:val="24"/>
      <w:szCs w:val="24"/>
    </w:rPr>
  </w:style>
  <w:style w:type="character" w:customStyle="1" w:styleId="341">
    <w:name w:val="Comment Text Char"/>
    <w:qFormat/>
    <w:uiPriority w:val="0"/>
    <w:rPr>
      <w:rFonts w:ascii="Times New Roman" w:hAnsi="Times New Roman" w:eastAsia="宋体" w:cs="Times New Roman"/>
      <w:sz w:val="24"/>
    </w:rPr>
  </w:style>
  <w:style w:type="character" w:customStyle="1" w:styleId="342">
    <w:name w:val="bookmark-item uuid-1596004736097 code-00012 addword single-line-text-input-box-cls"/>
    <w:qFormat/>
    <w:uiPriority w:val="0"/>
    <w:rPr>
      <w:rFonts w:ascii="Times New Roman" w:hAnsi="Times New Roman" w:eastAsia="宋体" w:cs="Times New Roman"/>
    </w:rPr>
  </w:style>
  <w:style w:type="character" w:customStyle="1" w:styleId="343">
    <w:name w:val="Char Char32"/>
    <w:qFormat/>
    <w:uiPriority w:val="0"/>
    <w:rPr>
      <w:rFonts w:hint="eastAsia" w:ascii="宋体" w:hAnsi="宋体" w:eastAsia="宋体" w:cs="Times New Roman"/>
      <w:b/>
      <w:kern w:val="2"/>
      <w:sz w:val="28"/>
      <w:szCs w:val="24"/>
      <w:lang w:val="en-US" w:eastAsia="zh-CN" w:bidi="ar-SA"/>
    </w:rPr>
  </w:style>
  <w:style w:type="character" w:customStyle="1" w:styleId="344">
    <w:name w:val="正文文本缩进 3 Char2"/>
    <w:qFormat/>
    <w:uiPriority w:val="0"/>
    <w:rPr>
      <w:rFonts w:ascii="Times New Roman" w:hAnsi="Times New Roman" w:eastAsia="宋体" w:cs="Times New Roman"/>
      <w:kern w:val="2"/>
      <w:sz w:val="16"/>
      <w:szCs w:val="16"/>
    </w:rPr>
  </w:style>
  <w:style w:type="character" w:customStyle="1" w:styleId="345">
    <w:name w:val="bookmark-item uuid-1596015939851 code-00003 addword single-line-text-input-box-cls"/>
    <w:qFormat/>
    <w:uiPriority w:val="0"/>
    <w:rPr>
      <w:rFonts w:ascii="Times New Roman" w:hAnsi="Times New Roman" w:eastAsia="宋体" w:cs="Times New Roman"/>
    </w:rPr>
  </w:style>
  <w:style w:type="character" w:customStyle="1" w:styleId="346">
    <w:name w:val="标题 5 Char"/>
    <w:qFormat/>
    <w:uiPriority w:val="0"/>
    <w:rPr>
      <w:rFonts w:ascii="Times New Roman" w:hAnsi="Times New Roman" w:eastAsia="宋体" w:cs="Times New Roman"/>
      <w:b/>
      <w:kern w:val="2"/>
      <w:sz w:val="28"/>
      <w:szCs w:val="24"/>
      <w:lang w:val="en-US" w:eastAsia="zh-CN" w:bidi="ar-SA"/>
    </w:rPr>
  </w:style>
  <w:style w:type="character" w:customStyle="1" w:styleId="347">
    <w:name w:val="无间隔 Char"/>
    <w:link w:val="348"/>
    <w:qFormat/>
    <w:uiPriority w:val="0"/>
    <w:rPr>
      <w:rFonts w:ascii="Times New Roman" w:hAnsi="Times New Roman" w:eastAsia="宋体" w:cs="Times New Roman"/>
      <w:sz w:val="22"/>
      <w:szCs w:val="22"/>
      <w:lang w:val="en-US" w:eastAsia="zh-CN" w:bidi="ar-SA"/>
    </w:rPr>
  </w:style>
  <w:style w:type="paragraph" w:styleId="348">
    <w:name w:val="No Spacing"/>
    <w:link w:val="347"/>
    <w:qFormat/>
    <w:uiPriority w:val="0"/>
    <w:rPr>
      <w:rFonts w:ascii="Times New Roman" w:hAnsi="Times New Roman" w:eastAsia="宋体" w:cs="Times New Roman"/>
      <w:sz w:val="22"/>
      <w:szCs w:val="22"/>
      <w:lang w:val="en-US" w:eastAsia="zh-CN" w:bidi="ar-SA"/>
    </w:rPr>
  </w:style>
  <w:style w:type="character" w:customStyle="1" w:styleId="349">
    <w:name w:val="标题 7 Char"/>
    <w:qFormat/>
    <w:uiPriority w:val="0"/>
    <w:rPr>
      <w:rFonts w:ascii="Times New Roman" w:hAnsi="Times New Roman" w:eastAsia="宋体" w:cs="Times New Roman"/>
      <w:b/>
      <w:kern w:val="2"/>
      <w:sz w:val="24"/>
      <w:szCs w:val="24"/>
      <w:lang w:val="en-US" w:eastAsia="zh-CN" w:bidi="ar-SA"/>
    </w:rPr>
  </w:style>
  <w:style w:type="character" w:customStyle="1" w:styleId="350">
    <w:name w:val="Char Char111"/>
    <w:qFormat/>
    <w:uiPriority w:val="0"/>
    <w:rPr>
      <w:rFonts w:hint="default" w:ascii="Times New Roman" w:hAnsi="Times New Roman" w:eastAsia="宋体" w:cs="Times New Roman"/>
      <w:sz w:val="30"/>
      <w:szCs w:val="24"/>
    </w:rPr>
  </w:style>
  <w:style w:type="character" w:customStyle="1" w:styleId="351">
    <w:name w:val="unnamed3"/>
    <w:qFormat/>
    <w:uiPriority w:val="0"/>
    <w:rPr>
      <w:rFonts w:ascii="Times New Roman" w:hAnsi="Times New Roman" w:eastAsia="宋体" w:cs="Times New Roman"/>
    </w:rPr>
  </w:style>
  <w:style w:type="character" w:customStyle="1" w:styleId="352">
    <w:name w:val="Char Char241"/>
    <w:qFormat/>
    <w:uiPriority w:val="0"/>
    <w:rPr>
      <w:rFonts w:hint="default" w:ascii="Arial" w:hAnsi="Arial" w:eastAsia="黑体" w:cs="Arial"/>
      <w:sz w:val="28"/>
      <w:lang w:bidi="ar-SA"/>
    </w:rPr>
  </w:style>
  <w:style w:type="character" w:customStyle="1" w:styleId="353">
    <w:name w:val="列出段落 Char"/>
    <w:link w:val="354"/>
    <w:qFormat/>
    <w:uiPriority w:val="0"/>
    <w:rPr>
      <w:rFonts w:ascii="Calibri" w:hAnsi="Calibri" w:eastAsia="宋体" w:cs="Times New Roman"/>
      <w:kern w:val="2"/>
      <w:sz w:val="21"/>
      <w:szCs w:val="22"/>
      <w:lang w:val="en-US" w:eastAsia="zh-CN" w:bidi="ar-SA"/>
    </w:rPr>
  </w:style>
  <w:style w:type="paragraph" w:styleId="354">
    <w:name w:val="List Paragraph"/>
    <w:basedOn w:val="1"/>
    <w:link w:val="353"/>
    <w:qFormat/>
    <w:uiPriority w:val="34"/>
    <w:pPr>
      <w:ind w:firstLine="420" w:firstLineChars="200"/>
    </w:pPr>
    <w:rPr>
      <w:rFonts w:ascii="Calibri" w:hAnsi="Calibri"/>
      <w:szCs w:val="22"/>
    </w:rPr>
  </w:style>
  <w:style w:type="character" w:customStyle="1" w:styleId="355">
    <w:name w:val="Char Char7"/>
    <w:qFormat/>
    <w:uiPriority w:val="0"/>
    <w:rPr>
      <w:rFonts w:hint="eastAsia" w:ascii="宋体" w:hAnsi="宋体" w:eastAsia="宋体" w:cs="Times New Roman"/>
      <w:kern w:val="2"/>
      <w:sz w:val="21"/>
      <w:szCs w:val="24"/>
      <w:lang w:val="en-US" w:eastAsia="zh-CN" w:bidi="ar-SA"/>
    </w:rPr>
  </w:style>
  <w:style w:type="character" w:customStyle="1" w:styleId="356">
    <w:name w:val="Char Char Char Char Char Char Char1"/>
    <w:qFormat/>
    <w:uiPriority w:val="0"/>
    <w:rPr>
      <w:rFonts w:hint="eastAsia" w:ascii="宋体" w:hAnsi="宋体" w:eastAsia="宋体" w:cs="Times New Roman"/>
      <w:kern w:val="2"/>
      <w:sz w:val="24"/>
      <w:szCs w:val="24"/>
      <w:lang w:val="en-US" w:eastAsia="zh-CN" w:bidi="ar-SA"/>
    </w:rPr>
  </w:style>
  <w:style w:type="character" w:customStyle="1" w:styleId="357">
    <w:name w:val="Char Char102"/>
    <w:qFormat/>
    <w:uiPriority w:val="0"/>
    <w:rPr>
      <w:rFonts w:hint="eastAsia" w:ascii="宋体" w:hAnsi="宋体" w:eastAsia="宋体" w:cs="Times New Roman"/>
      <w:kern w:val="2"/>
      <w:sz w:val="24"/>
      <w:szCs w:val="24"/>
      <w:lang w:val="en-US" w:eastAsia="zh-CN" w:bidi="ar-SA"/>
    </w:rPr>
  </w:style>
  <w:style w:type="character" w:customStyle="1" w:styleId="358">
    <w:name w:val="Char Char113"/>
    <w:qFormat/>
    <w:uiPriority w:val="0"/>
    <w:rPr>
      <w:rFonts w:ascii="Times New Roman" w:hAnsi="Times New Roman" w:eastAsia="宋体" w:cs="Times New Roman"/>
      <w:sz w:val="30"/>
      <w:szCs w:val="24"/>
    </w:rPr>
  </w:style>
  <w:style w:type="character" w:customStyle="1" w:styleId="359">
    <w:name w:val="Char Char5"/>
    <w:qFormat/>
    <w:uiPriority w:val="0"/>
    <w:rPr>
      <w:rFonts w:hint="eastAsia" w:ascii="宋体" w:hAnsi="Courier New" w:eastAsia="宋体" w:cs="Courier New"/>
      <w:kern w:val="2"/>
      <w:sz w:val="21"/>
      <w:szCs w:val="21"/>
      <w:lang w:val="en-US" w:eastAsia="zh-CN" w:bidi="ar-SA"/>
    </w:rPr>
  </w:style>
  <w:style w:type="character" w:customStyle="1" w:styleId="360">
    <w:name w:val="cubane_hilight1"/>
    <w:qFormat/>
    <w:uiPriority w:val="0"/>
    <w:rPr>
      <w:rFonts w:ascii="Times New Roman" w:hAnsi="Times New Roman" w:eastAsia="宋体" w:cs="Times New Roman"/>
      <w:color w:val="CC0000"/>
    </w:rPr>
  </w:style>
  <w:style w:type="character" w:customStyle="1" w:styleId="361">
    <w:name w:val="不明显参考1"/>
    <w:qFormat/>
    <w:uiPriority w:val="0"/>
    <w:rPr>
      <w:rFonts w:ascii="Times New Roman" w:hAnsi="Times New Roman" w:eastAsia="宋体" w:cs="Times New Roman"/>
      <w:smallCaps/>
      <w:color w:val="C0504D"/>
      <w:u w:val="single"/>
    </w:rPr>
  </w:style>
  <w:style w:type="character" w:customStyle="1" w:styleId="362">
    <w:name w:val="正文文本 Char2"/>
    <w:qFormat/>
    <w:uiPriority w:val="0"/>
    <w:rPr>
      <w:rFonts w:ascii="Times New Roman" w:hAnsi="Times New Roman" w:eastAsia="宋体" w:cs="Times New Roman"/>
      <w:kern w:val="2"/>
      <w:sz w:val="21"/>
      <w:szCs w:val="24"/>
    </w:rPr>
  </w:style>
  <w:style w:type="character" w:customStyle="1" w:styleId="363">
    <w:name w:val="Plain Text Char"/>
    <w:link w:val="364"/>
    <w:qFormat/>
    <w:uiPriority w:val="0"/>
    <w:rPr>
      <w:rFonts w:ascii="宋体" w:hAnsi="Courier New" w:eastAsia="宋体" w:cs="Times New Roman"/>
      <w:kern w:val="2"/>
      <w:sz w:val="21"/>
    </w:rPr>
  </w:style>
  <w:style w:type="paragraph" w:customStyle="1" w:styleId="364">
    <w:name w:val="Plain Text_0"/>
    <w:basedOn w:val="1"/>
    <w:link w:val="363"/>
    <w:qFormat/>
    <w:uiPriority w:val="0"/>
    <w:rPr>
      <w:rFonts w:ascii="宋体" w:hAnsi="Courier New"/>
      <w:szCs w:val="20"/>
    </w:rPr>
  </w:style>
  <w:style w:type="character" w:customStyle="1" w:styleId="365">
    <w:name w:val="ca-10"/>
    <w:qFormat/>
    <w:uiPriority w:val="0"/>
    <w:rPr>
      <w:rFonts w:ascii="Times New Roman" w:hAnsi="Times New Roman" w:eastAsia="宋体" w:cs="Times New Roman"/>
    </w:rPr>
  </w:style>
  <w:style w:type="character" w:customStyle="1" w:styleId="366">
    <w:name w:val="prodname"/>
    <w:qFormat/>
    <w:uiPriority w:val="0"/>
    <w:rPr>
      <w:rFonts w:ascii="Times New Roman" w:hAnsi="Times New Roman" w:eastAsia="宋体" w:cs="Times New Roman"/>
    </w:rPr>
  </w:style>
  <w:style w:type="character" w:customStyle="1" w:styleId="367">
    <w:name w:val="Char Char"/>
    <w:qFormat/>
    <w:uiPriority w:val="0"/>
    <w:rPr>
      <w:rFonts w:hint="eastAsia" w:ascii="宋体" w:hAnsi="宋体" w:eastAsia="宋体" w:cs="Times New Roman"/>
      <w:kern w:val="2"/>
      <w:sz w:val="16"/>
      <w:szCs w:val="16"/>
      <w:lang w:val="en-US" w:eastAsia="zh-CN" w:bidi="ar-SA"/>
    </w:rPr>
  </w:style>
  <w:style w:type="character" w:customStyle="1" w:styleId="368">
    <w:name w:val="批注文字 Char1"/>
    <w:qFormat/>
    <w:uiPriority w:val="0"/>
    <w:rPr>
      <w:rFonts w:ascii="Times New Roman" w:hAnsi="Times New Roman" w:eastAsia="宋体" w:cs="Times New Roman"/>
      <w:sz w:val="24"/>
    </w:rPr>
  </w:style>
  <w:style w:type="character" w:customStyle="1" w:styleId="369">
    <w:name w:val="标题 4 Char"/>
    <w:qFormat/>
    <w:uiPriority w:val="0"/>
    <w:rPr>
      <w:rFonts w:ascii="Arial" w:hAnsi="Arial" w:eastAsia="黑体" w:cs="Times New Roman"/>
      <w:sz w:val="28"/>
      <w:lang w:bidi="ar-SA"/>
    </w:rPr>
  </w:style>
  <w:style w:type="character" w:customStyle="1" w:styleId="370">
    <w:name w:val="HTML 预设格式 Char2"/>
    <w:qFormat/>
    <w:uiPriority w:val="0"/>
    <w:rPr>
      <w:rFonts w:hint="eastAsia" w:ascii="黑体" w:hAnsi="Courier New" w:eastAsia="黑体" w:cs="Courier New"/>
    </w:rPr>
  </w:style>
  <w:style w:type="character" w:customStyle="1" w:styleId="371">
    <w:name w:val="bookmark-item uuid-1594623824358 code-23007 addword single-line-text-input-box-cls readonly"/>
    <w:qFormat/>
    <w:uiPriority w:val="0"/>
    <w:rPr>
      <w:rFonts w:ascii="Times New Roman" w:hAnsi="Times New Roman" w:eastAsia="宋体" w:cs="Times New Roman"/>
    </w:rPr>
  </w:style>
  <w:style w:type="character" w:customStyle="1" w:styleId="372">
    <w:name w:val="bookmark-item uuid-1595988227171 code-25011 addword date-time-selection-cls"/>
    <w:qFormat/>
    <w:uiPriority w:val="99"/>
    <w:rPr>
      <w:rFonts w:ascii="Times New Roman" w:hAnsi="Times New Roman" w:eastAsia="宋体" w:cs="Times New Roman"/>
    </w:rPr>
  </w:style>
  <w:style w:type="paragraph" w:customStyle="1" w:styleId="373">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374">
    <w:name w:val="表内文字"/>
    <w:basedOn w:val="1"/>
    <w:qFormat/>
    <w:uiPriority w:val="0"/>
    <w:pPr>
      <w:snapToGrid w:val="0"/>
      <w:spacing w:before="50" w:after="50" w:line="360" w:lineRule="exact"/>
    </w:pPr>
    <w:rPr>
      <w:rFonts w:ascii="宋体" w:hAnsi="宋体"/>
      <w:b/>
      <w:color w:val="0000FF"/>
      <w:szCs w:val="21"/>
    </w:rPr>
  </w:style>
  <w:style w:type="paragraph" w:customStyle="1" w:styleId="375">
    <w:name w:val="标准正文"/>
    <w:basedOn w:val="1"/>
    <w:next w:val="1"/>
    <w:qFormat/>
    <w:uiPriority w:val="0"/>
    <w:pPr>
      <w:widowControl/>
      <w:spacing w:after="50"/>
      <w:ind w:firstLine="200"/>
    </w:pPr>
    <w:rPr>
      <w:color w:val="000000"/>
      <w:sz w:val="24"/>
      <w:szCs w:val="20"/>
    </w:rPr>
  </w:style>
  <w:style w:type="paragraph" w:customStyle="1" w:styleId="37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0">
    <w:name w:val="5 Char Char Char Char Char Char Char Char Char Char"/>
    <w:basedOn w:val="1"/>
    <w:qFormat/>
    <w:uiPriority w:val="0"/>
  </w:style>
  <w:style w:type="paragraph" w:customStyle="1" w:styleId="381">
    <w:name w:val="Plain Text1"/>
    <w:basedOn w:val="1"/>
    <w:qFormat/>
    <w:uiPriority w:val="0"/>
    <w:pPr>
      <w:autoSpaceDE w:val="0"/>
      <w:autoSpaceDN w:val="0"/>
      <w:adjustRightInd w:val="0"/>
    </w:pPr>
    <w:rPr>
      <w:rFonts w:ascii="宋体" w:hAnsi="Tms Rmn"/>
      <w:kern w:val="0"/>
      <w:szCs w:val="20"/>
    </w:rPr>
  </w:style>
  <w:style w:type="paragraph" w:customStyle="1" w:styleId="382">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3">
    <w:name w:val="4"/>
    <w:basedOn w:val="1"/>
    <w:next w:val="31"/>
    <w:qFormat/>
    <w:uiPriority w:val="0"/>
    <w:pPr>
      <w:spacing w:line="420" w:lineRule="exact"/>
      <w:ind w:firstLine="409" w:firstLineChars="195"/>
    </w:pPr>
  </w:style>
  <w:style w:type="paragraph" w:customStyle="1" w:styleId="3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385">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86">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387">
    <w:name w:val="pa-10"/>
    <w:basedOn w:val="1"/>
    <w:qFormat/>
    <w:uiPriority w:val="0"/>
    <w:pPr>
      <w:widowControl/>
      <w:spacing w:before="169" w:after="169"/>
      <w:jc w:val="left"/>
    </w:pPr>
    <w:rPr>
      <w:rFonts w:ascii="宋体" w:hAnsi="宋体" w:cs="宋体"/>
      <w:kern w:val="0"/>
      <w:sz w:val="24"/>
    </w:rPr>
  </w:style>
  <w:style w:type="paragraph" w:customStyle="1" w:styleId="3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0">
    <w:name w:val="Char Char1 Char Char Char Char"/>
    <w:basedOn w:val="17"/>
    <w:qFormat/>
    <w:uiPriority w:val="0"/>
    <w:rPr>
      <w:rFonts w:ascii="Tahoma" w:hAnsi="Tahoma"/>
      <w:sz w:val="24"/>
    </w:rPr>
  </w:style>
  <w:style w:type="paragraph" w:customStyle="1" w:styleId="391">
    <w:name w:val="样式 标题 2 + (西文) 宋体 非加粗 居中"/>
    <w:basedOn w:val="3"/>
    <w:qFormat/>
    <w:uiPriority w:val="0"/>
    <w:pPr>
      <w:jc w:val="center"/>
    </w:pPr>
    <w:rPr>
      <w:rFonts w:ascii="宋体" w:hAnsi="宋体" w:eastAsia="宋体" w:cs="宋体"/>
      <w:b w:val="0"/>
      <w:bCs w:val="0"/>
      <w:spacing w:val="2"/>
      <w:sz w:val="28"/>
      <w:szCs w:val="20"/>
    </w:rPr>
  </w:style>
  <w:style w:type="paragraph" w:customStyle="1" w:styleId="392">
    <w:name w:val="Table Paragraph_file_671"/>
    <w:basedOn w:val="393"/>
    <w:qFormat/>
    <w:uiPriority w:val="1"/>
    <w:pPr>
      <w:autoSpaceDE w:val="0"/>
      <w:autoSpaceDN w:val="0"/>
      <w:adjustRightInd w:val="0"/>
      <w:jc w:val="left"/>
    </w:pPr>
    <w:rPr>
      <w:rFonts w:ascii="黑体" w:eastAsia="黑体" w:cs="黑体"/>
      <w:kern w:val="0"/>
      <w:sz w:val="24"/>
    </w:rPr>
  </w:style>
  <w:style w:type="paragraph" w:customStyle="1" w:styleId="393">
    <w:name w:val="Normal_file_671"/>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正文1"/>
    <w:qFormat/>
    <w:uiPriority w:val="0"/>
    <w:pPr>
      <w:jc w:val="both"/>
    </w:pPr>
    <w:rPr>
      <w:rFonts w:ascii="Times New Roman" w:hAnsi="Times New Roman" w:eastAsia="宋体" w:cs="Times New Roman"/>
      <w:lang w:val="en-US" w:eastAsia="zh-CN" w:bidi="ar-SA"/>
    </w:rPr>
  </w:style>
  <w:style w:type="paragraph" w:customStyle="1" w:styleId="395">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96">
    <w:name w:val="Header Odd"/>
    <w:basedOn w:val="35"/>
    <w:qFormat/>
    <w:uiPriority w:val="0"/>
    <w:pPr>
      <w:keepLines/>
      <w:widowControl/>
      <w:pBdr>
        <w:bottom w:val="none" w:color="auto" w:sz="0" w:space="0"/>
      </w:pBdr>
      <w:tabs>
        <w:tab w:val="right" w:pos="0"/>
        <w:tab w:val="center" w:pos="4320"/>
        <w:tab w:val="right" w:pos="8640"/>
      </w:tabs>
      <w:snapToGrid/>
      <w:jc w:val="right"/>
    </w:pPr>
    <w:rPr>
      <w:kern w:val="0"/>
      <w:sz w:val="20"/>
      <w:szCs w:val="10"/>
      <w:lang w:eastAsia="en-US"/>
    </w:rPr>
  </w:style>
  <w:style w:type="paragraph" w:customStyle="1" w:styleId="397">
    <w:name w:val="列出段落22"/>
    <w:basedOn w:val="1"/>
    <w:qFormat/>
    <w:uiPriority w:val="0"/>
    <w:pPr>
      <w:ind w:firstLine="420" w:firstLineChars="200"/>
    </w:pPr>
    <w:rPr>
      <w:sz w:val="24"/>
    </w:rPr>
  </w:style>
  <w:style w:type="paragraph" w:customStyle="1" w:styleId="39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399">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400">
    <w:name w:val="1"/>
    <w:basedOn w:val="1"/>
    <w:next w:val="28"/>
    <w:qFormat/>
    <w:uiPriority w:val="0"/>
    <w:rPr>
      <w:rFonts w:ascii="宋体" w:hAnsi="Courier New"/>
      <w:szCs w:val="20"/>
    </w:rPr>
  </w:style>
  <w:style w:type="paragraph" w:customStyle="1" w:styleId="401">
    <w:name w:val="文章附标题"/>
    <w:basedOn w:val="1"/>
    <w:next w:val="2"/>
    <w:qFormat/>
    <w:uiPriority w:val="0"/>
    <w:pPr>
      <w:widowControl/>
      <w:spacing w:before="187" w:after="175" w:line="374" w:lineRule="atLeast"/>
      <w:jc w:val="center"/>
      <w:textAlignment w:val="baseline"/>
    </w:pPr>
    <w:rPr>
      <w:color w:val="000000"/>
      <w:kern w:val="0"/>
      <w:sz w:val="36"/>
      <w:szCs w:val="20"/>
    </w:rPr>
  </w:style>
  <w:style w:type="paragraph" w:customStyle="1" w:styleId="40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07">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0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1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1">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13">
    <w:name w:val="文章总标题"/>
    <w:basedOn w:val="1"/>
    <w:next w:val="401"/>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14">
    <w:name w:val="pa-8"/>
    <w:basedOn w:val="1"/>
    <w:qFormat/>
    <w:uiPriority w:val="0"/>
    <w:pPr>
      <w:widowControl/>
      <w:spacing w:before="169" w:after="169"/>
      <w:jc w:val="left"/>
    </w:pPr>
    <w:rPr>
      <w:rFonts w:ascii="宋体" w:hAnsi="宋体" w:cs="宋体"/>
      <w:kern w:val="0"/>
      <w:sz w:val="24"/>
    </w:rPr>
  </w:style>
  <w:style w:type="paragraph" w:customStyle="1" w:styleId="4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7">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页眉 New New New New New New New"/>
    <w:basedOn w:val="376"/>
    <w:qFormat/>
    <w:uiPriority w:val="0"/>
    <w:pPr>
      <w:pBdr>
        <w:bottom w:val="single" w:color="auto" w:sz="6" w:space="1"/>
      </w:pBdr>
      <w:tabs>
        <w:tab w:val="center" w:pos="4153"/>
        <w:tab w:val="right" w:pos="8306"/>
      </w:tabs>
      <w:snapToGrid w:val="0"/>
      <w:jc w:val="center"/>
    </w:pPr>
    <w:rPr>
      <w:sz w:val="18"/>
      <w:szCs w:val="18"/>
    </w:rPr>
  </w:style>
  <w:style w:type="paragraph" w:customStyle="1" w:styleId="419">
    <w:name w:val="样式 标题 2H2h22nd levelTitre2l22Header 2节标题一级节名Level 2 He..."/>
    <w:basedOn w:val="3"/>
    <w:qFormat/>
    <w:uiPriority w:val="0"/>
    <w:pPr>
      <w:adjustRightInd w:val="0"/>
      <w:snapToGrid w:val="0"/>
      <w:spacing w:before="0" w:after="0" w:line="360" w:lineRule="auto"/>
    </w:pPr>
    <w:rPr>
      <w:rFonts w:ascii="Times New Roman" w:hAnsi="Times New Roman" w:eastAsia="宋体"/>
      <w:sz w:val="21"/>
      <w:szCs w:val="20"/>
    </w:rPr>
  </w:style>
  <w:style w:type="paragraph" w:customStyle="1" w:styleId="420">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1">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2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23">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4">
    <w:name w:val="p0"/>
    <w:basedOn w:val="1"/>
    <w:qFormat/>
    <w:uiPriority w:val="0"/>
    <w:pPr>
      <w:widowControl/>
    </w:pPr>
    <w:rPr>
      <w:kern w:val="0"/>
      <w:szCs w:val="21"/>
    </w:rPr>
  </w:style>
  <w:style w:type="paragraph" w:customStyle="1" w:styleId="42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27">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2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Char Char1 Char Char Char Char1"/>
    <w:basedOn w:val="17"/>
    <w:qFormat/>
    <w:uiPriority w:val="0"/>
    <w:rPr>
      <w:rFonts w:ascii="Tahoma" w:hAnsi="Tahoma"/>
      <w:sz w:val="24"/>
    </w:rPr>
  </w:style>
  <w:style w:type="paragraph" w:customStyle="1" w:styleId="43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3">
    <w:name w:val="_Style 35"/>
    <w:basedOn w:val="17"/>
    <w:qFormat/>
    <w:uiPriority w:val="0"/>
    <w:pPr>
      <w:widowControl/>
      <w:ind w:firstLine="454"/>
      <w:jc w:val="left"/>
    </w:pPr>
  </w:style>
  <w:style w:type="paragraph" w:customStyle="1" w:styleId="434">
    <w:name w:val="UserStyle_398"/>
    <w:basedOn w:val="1"/>
    <w:qFormat/>
    <w:uiPriority w:val="0"/>
    <w:pPr>
      <w:widowControl/>
      <w:textAlignment w:val="baseline"/>
    </w:pPr>
    <w:rPr>
      <w:rFonts w:ascii="宋体" w:hAnsi="宋体"/>
      <w:kern w:val="0"/>
      <w:szCs w:val="21"/>
    </w:rPr>
  </w:style>
  <w:style w:type="paragraph" w:customStyle="1" w:styleId="435">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6">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3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0">
    <w:name w:val="列出段落2"/>
    <w:basedOn w:val="1"/>
    <w:qFormat/>
    <w:uiPriority w:val="0"/>
    <w:pPr>
      <w:ind w:firstLine="420" w:firstLineChars="200"/>
    </w:pPr>
    <w:rPr>
      <w:kern w:val="0"/>
      <w:sz w:val="20"/>
      <w:szCs w:val="20"/>
    </w:rPr>
  </w:style>
  <w:style w:type="paragraph" w:customStyle="1" w:styleId="44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2">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44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5">
    <w:name w:val="页眉 New New New New"/>
    <w:basedOn w:val="446"/>
    <w:qFormat/>
    <w:uiPriority w:val="0"/>
    <w:pPr>
      <w:pBdr>
        <w:bottom w:val="single" w:color="auto" w:sz="6" w:space="1"/>
      </w:pBdr>
      <w:tabs>
        <w:tab w:val="center" w:pos="4153"/>
        <w:tab w:val="right" w:pos="8306"/>
      </w:tabs>
      <w:snapToGrid w:val="0"/>
      <w:jc w:val="center"/>
    </w:pPr>
    <w:rPr>
      <w:sz w:val="18"/>
      <w:szCs w:val="18"/>
    </w:rPr>
  </w:style>
  <w:style w:type="paragraph" w:customStyle="1" w:styleId="446">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8">
    <w:name w:val="样式1"/>
    <w:basedOn w:val="1"/>
    <w:qFormat/>
    <w:uiPriority w:val="0"/>
    <w:pPr>
      <w:spacing w:before="120" w:after="120" w:line="300" w:lineRule="auto"/>
    </w:pPr>
    <w:rPr>
      <w:rFonts w:ascii="宋体" w:hAnsi="宋体"/>
      <w:b/>
      <w:sz w:val="24"/>
      <w:szCs w:val="20"/>
    </w:rPr>
  </w:style>
  <w:style w:type="paragraph" w:customStyle="1" w:styleId="44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页脚 New New New New New New New New New"/>
    <w:basedOn w:val="443"/>
    <w:qFormat/>
    <w:uiPriority w:val="0"/>
    <w:pPr>
      <w:tabs>
        <w:tab w:val="center" w:pos="4153"/>
        <w:tab w:val="right" w:pos="8306"/>
      </w:tabs>
      <w:snapToGrid w:val="0"/>
      <w:jc w:val="left"/>
    </w:pPr>
    <w:rPr>
      <w:sz w:val="18"/>
      <w:szCs w:val="18"/>
    </w:rPr>
  </w:style>
  <w:style w:type="paragraph" w:customStyle="1" w:styleId="45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2">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453">
    <w:name w:val="Char Char Char Char Char Char Char Char Char"/>
    <w:basedOn w:val="1"/>
    <w:qFormat/>
    <w:uiPriority w:val="0"/>
    <w:pPr>
      <w:widowControl/>
      <w:spacing w:after="160" w:line="240" w:lineRule="exact"/>
      <w:jc w:val="left"/>
    </w:pPr>
    <w:rPr>
      <w:szCs w:val="20"/>
    </w:rPr>
  </w:style>
  <w:style w:type="paragraph" w:customStyle="1" w:styleId="4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6">
    <w:name w:val="页脚 New New New New New"/>
    <w:basedOn w:val="457"/>
    <w:qFormat/>
    <w:uiPriority w:val="0"/>
    <w:pPr>
      <w:tabs>
        <w:tab w:val="center" w:pos="4153"/>
        <w:tab w:val="right" w:pos="8306"/>
      </w:tabs>
      <w:snapToGrid w:val="0"/>
      <w:jc w:val="left"/>
    </w:pPr>
    <w:rPr>
      <w:sz w:val="18"/>
      <w:szCs w:val="18"/>
    </w:rPr>
  </w:style>
  <w:style w:type="paragraph" w:customStyle="1" w:styleId="45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8">
    <w:name w:val="pa-15"/>
    <w:basedOn w:val="1"/>
    <w:qFormat/>
    <w:uiPriority w:val="0"/>
    <w:pPr>
      <w:widowControl/>
      <w:spacing w:before="169" w:after="169"/>
      <w:jc w:val="left"/>
    </w:pPr>
    <w:rPr>
      <w:rFonts w:ascii="宋体" w:hAnsi="宋体" w:cs="宋体"/>
      <w:kern w:val="0"/>
      <w:sz w:val="24"/>
    </w:rPr>
  </w:style>
  <w:style w:type="paragraph" w:customStyle="1" w:styleId="459">
    <w:name w:val="Char Char Char Char Char Char1 Char"/>
    <w:basedOn w:val="1"/>
    <w:qFormat/>
    <w:uiPriority w:val="0"/>
    <w:pPr>
      <w:widowControl/>
      <w:spacing w:after="160" w:line="240" w:lineRule="exact"/>
      <w:jc w:val="left"/>
    </w:pPr>
  </w:style>
  <w:style w:type="paragraph" w:customStyle="1" w:styleId="46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6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6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464">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5">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466">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6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8">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6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Char Char Char Char"/>
    <w:basedOn w:val="17"/>
    <w:qFormat/>
    <w:uiPriority w:val="0"/>
    <w:pPr>
      <w:adjustRightInd w:val="0"/>
      <w:snapToGrid w:val="0"/>
      <w:spacing w:line="360" w:lineRule="auto"/>
    </w:pPr>
    <w:rPr>
      <w:rFonts w:ascii="Tahoma" w:hAnsi="Tahoma"/>
      <w:sz w:val="24"/>
    </w:rPr>
  </w:style>
  <w:style w:type="paragraph" w:customStyle="1" w:styleId="47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72">
    <w:name w:val="pa-9"/>
    <w:basedOn w:val="1"/>
    <w:qFormat/>
    <w:uiPriority w:val="0"/>
    <w:pPr>
      <w:widowControl/>
      <w:spacing w:before="169" w:after="169"/>
      <w:jc w:val="left"/>
    </w:pPr>
    <w:rPr>
      <w:rFonts w:ascii="宋体" w:hAnsi="宋体" w:cs="宋体"/>
      <w:kern w:val="0"/>
      <w:sz w:val="24"/>
    </w:rPr>
  </w:style>
  <w:style w:type="paragraph" w:customStyle="1" w:styleId="473">
    <w:name w:val="标题2"/>
    <w:basedOn w:val="3"/>
    <w:qFormat/>
    <w:uiPriority w:val="0"/>
    <w:pPr>
      <w:snapToGrid w:val="0"/>
      <w:spacing w:line="410" w:lineRule="auto"/>
    </w:pPr>
    <w:rPr>
      <w:rFonts w:ascii="Times New Roman" w:hAnsi="Times New Roman" w:eastAsia="宋体"/>
      <w:b w:val="0"/>
    </w:rPr>
  </w:style>
  <w:style w:type="paragraph" w:customStyle="1" w:styleId="47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5">
    <w:name w:val="页眉 New New New New New"/>
    <w:basedOn w:val="457"/>
    <w:qFormat/>
    <w:uiPriority w:val="0"/>
    <w:pPr>
      <w:pBdr>
        <w:bottom w:val="single" w:color="auto" w:sz="6" w:space="1"/>
      </w:pBdr>
      <w:tabs>
        <w:tab w:val="center" w:pos="4153"/>
        <w:tab w:val="right" w:pos="8306"/>
      </w:tabs>
      <w:snapToGrid w:val="0"/>
      <w:jc w:val="center"/>
    </w:pPr>
    <w:rPr>
      <w:sz w:val="18"/>
      <w:szCs w:val="18"/>
    </w:rPr>
  </w:style>
  <w:style w:type="paragraph" w:customStyle="1" w:styleId="476">
    <w:name w:val="彩色列表 - 强调文字颜色 11"/>
    <w:basedOn w:val="1"/>
    <w:qFormat/>
    <w:uiPriority w:val="0"/>
    <w:pPr>
      <w:spacing w:line="360" w:lineRule="auto"/>
      <w:ind w:firstLine="200" w:firstLineChars="200"/>
    </w:pPr>
    <w:rPr>
      <w:rFonts w:ascii="Calibri" w:hAnsi="Calibri"/>
    </w:rPr>
  </w:style>
  <w:style w:type="paragraph" w:customStyle="1" w:styleId="47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8">
    <w:name w:val="节标题"/>
    <w:basedOn w:val="1"/>
    <w:next w:val="378"/>
    <w:qFormat/>
    <w:uiPriority w:val="0"/>
    <w:pPr>
      <w:widowControl/>
      <w:spacing w:line="289" w:lineRule="atLeast"/>
      <w:jc w:val="center"/>
      <w:textAlignment w:val="baseline"/>
    </w:pPr>
    <w:rPr>
      <w:color w:val="000000"/>
      <w:kern w:val="0"/>
      <w:sz w:val="28"/>
      <w:szCs w:val="20"/>
    </w:rPr>
  </w:style>
  <w:style w:type="paragraph" w:customStyle="1" w:styleId="479">
    <w:name w:val="正文首行缩进两字符"/>
    <w:basedOn w:val="1"/>
    <w:qFormat/>
    <w:uiPriority w:val="0"/>
    <w:pPr>
      <w:spacing w:line="360" w:lineRule="auto"/>
      <w:ind w:firstLine="200" w:firstLineChars="200"/>
    </w:pPr>
  </w:style>
  <w:style w:type="paragraph" w:customStyle="1" w:styleId="480">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1">
    <w:name w:val="pa-7"/>
    <w:basedOn w:val="1"/>
    <w:qFormat/>
    <w:uiPriority w:val="0"/>
    <w:pPr>
      <w:widowControl/>
      <w:spacing w:before="169" w:after="169"/>
      <w:jc w:val="left"/>
    </w:pPr>
    <w:rPr>
      <w:rFonts w:ascii="宋体" w:hAnsi="宋体" w:cs="宋体"/>
      <w:kern w:val="0"/>
      <w:sz w:val="24"/>
    </w:rPr>
  </w:style>
  <w:style w:type="paragraph" w:customStyle="1" w:styleId="482">
    <w:name w:val="我的正文"/>
    <w:basedOn w:val="1"/>
    <w:qFormat/>
    <w:uiPriority w:val="0"/>
    <w:pPr>
      <w:spacing w:line="520" w:lineRule="exact"/>
      <w:ind w:firstLine="192" w:firstLineChars="192"/>
    </w:pPr>
    <w:rPr>
      <w:sz w:val="28"/>
      <w:szCs w:val="28"/>
    </w:rPr>
  </w:style>
  <w:style w:type="paragraph" w:customStyle="1" w:styleId="483">
    <w:name w:val="_Style 581"/>
    <w:basedOn w:val="2"/>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84">
    <w:name w:val="Body"/>
    <w:basedOn w:val="1"/>
    <w:qFormat/>
    <w:uiPriority w:val="0"/>
    <w:pPr>
      <w:widowControl/>
      <w:tabs>
        <w:tab w:val="left" w:pos="1980"/>
      </w:tabs>
      <w:spacing w:before="80" w:after="80" w:line="360" w:lineRule="auto"/>
      <w:jc w:val="center"/>
    </w:pPr>
    <w:rPr>
      <w:szCs w:val="21"/>
    </w:rPr>
  </w:style>
  <w:style w:type="paragraph" w:customStyle="1" w:styleId="48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6">
    <w:name w:val="样式 标题 3标题1.1二级节名h33rd level3l3Level 3 HeadH3heading 3 +..."/>
    <w:basedOn w:val="4"/>
    <w:qFormat/>
    <w:uiPriority w:val="0"/>
    <w:pPr>
      <w:spacing w:before="0" w:after="0" w:line="360" w:lineRule="auto"/>
      <w:jc w:val="left"/>
    </w:pPr>
    <w:rPr>
      <w:sz w:val="28"/>
      <w:szCs w:val="20"/>
    </w:rPr>
  </w:style>
  <w:style w:type="paragraph" w:customStyle="1" w:styleId="487">
    <w:name w:val="Char Char24"/>
    <w:basedOn w:val="1"/>
    <w:qFormat/>
    <w:uiPriority w:val="0"/>
    <w:pPr>
      <w:widowControl/>
      <w:spacing w:after="160" w:line="240" w:lineRule="exact"/>
      <w:jc w:val="left"/>
    </w:pPr>
  </w:style>
  <w:style w:type="paragraph" w:customStyle="1" w:styleId="48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9">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9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1">
    <w:name w:val="Body Text Indent_0"/>
    <w:basedOn w:val="1"/>
    <w:qFormat/>
    <w:uiPriority w:val="0"/>
    <w:pPr>
      <w:ind w:firstLine="830" w:firstLineChars="352"/>
    </w:pPr>
    <w:rPr>
      <w:rFonts w:ascii="宋体" w:hAnsi="Courier New"/>
      <w:szCs w:val="20"/>
    </w:rPr>
  </w:style>
  <w:style w:type="paragraph" w:customStyle="1" w:styleId="49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3">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94">
    <w:name w:val="页眉 New New New New New New"/>
    <w:basedOn w:val="388"/>
    <w:qFormat/>
    <w:uiPriority w:val="0"/>
    <w:pPr>
      <w:pBdr>
        <w:bottom w:val="single" w:color="auto" w:sz="6" w:space="1"/>
      </w:pBdr>
      <w:tabs>
        <w:tab w:val="center" w:pos="4153"/>
        <w:tab w:val="right" w:pos="8306"/>
      </w:tabs>
      <w:snapToGrid w:val="0"/>
      <w:jc w:val="center"/>
    </w:pPr>
    <w:rPr>
      <w:sz w:val="18"/>
      <w:szCs w:val="18"/>
    </w:rPr>
  </w:style>
  <w:style w:type="paragraph" w:customStyle="1" w:styleId="495">
    <w:name w:val="正文文本缩进 Char Char Char Char"/>
    <w:basedOn w:val="1"/>
    <w:qFormat/>
    <w:uiPriority w:val="0"/>
    <w:pPr>
      <w:ind w:firstLine="540"/>
    </w:pPr>
    <w:rPr>
      <w:rFonts w:hint="eastAsia" w:ascii="宋体" w:hAnsi="Courier New"/>
      <w:szCs w:val="20"/>
    </w:rPr>
  </w:style>
  <w:style w:type="paragraph" w:customStyle="1" w:styleId="496">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7">
    <w:name w:val="页眉 New New New"/>
    <w:basedOn w:val="377"/>
    <w:qFormat/>
    <w:uiPriority w:val="0"/>
    <w:pPr>
      <w:pBdr>
        <w:bottom w:val="single" w:color="auto" w:sz="6" w:space="1"/>
      </w:pBdr>
      <w:tabs>
        <w:tab w:val="center" w:pos="4153"/>
        <w:tab w:val="right" w:pos="8306"/>
      </w:tabs>
      <w:snapToGrid w:val="0"/>
      <w:jc w:val="center"/>
    </w:pPr>
    <w:rPr>
      <w:sz w:val="18"/>
      <w:szCs w:val="18"/>
    </w:rPr>
  </w:style>
  <w:style w:type="paragraph" w:customStyle="1" w:styleId="49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9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0">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01">
    <w:name w:val="pa-4"/>
    <w:basedOn w:val="1"/>
    <w:qFormat/>
    <w:uiPriority w:val="0"/>
    <w:pPr>
      <w:widowControl/>
      <w:spacing w:before="169" w:after="169"/>
      <w:jc w:val="left"/>
    </w:pPr>
    <w:rPr>
      <w:rFonts w:ascii="宋体" w:hAnsi="宋体" w:cs="宋体"/>
      <w:kern w:val="0"/>
      <w:sz w:val="24"/>
    </w:rPr>
  </w:style>
  <w:style w:type="paragraph" w:customStyle="1" w:styleId="50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03">
    <w:name w:val="表格"/>
    <w:basedOn w:val="1"/>
    <w:qFormat/>
    <w:uiPriority w:val="0"/>
    <w:pPr>
      <w:spacing w:line="400" w:lineRule="exact"/>
    </w:pPr>
    <w:rPr>
      <w:sz w:val="24"/>
    </w:rPr>
  </w:style>
  <w:style w:type="paragraph" w:customStyle="1" w:styleId="50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5">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06">
    <w:name w:val="pa-6"/>
    <w:basedOn w:val="1"/>
    <w:qFormat/>
    <w:uiPriority w:val="0"/>
    <w:pPr>
      <w:widowControl/>
      <w:spacing w:before="169" w:after="169"/>
      <w:jc w:val="left"/>
    </w:pPr>
    <w:rPr>
      <w:rFonts w:ascii="宋体" w:hAnsi="宋体" w:cs="宋体"/>
      <w:kern w:val="0"/>
      <w:sz w:val="24"/>
    </w:rPr>
  </w:style>
  <w:style w:type="paragraph" w:customStyle="1" w:styleId="507">
    <w:name w:val="默认段落字体 Para Char"/>
    <w:basedOn w:val="1"/>
    <w:qFormat/>
    <w:uiPriority w:val="0"/>
    <w:pPr>
      <w:adjustRightInd w:val="0"/>
      <w:spacing w:line="360" w:lineRule="auto"/>
    </w:pPr>
    <w:rPr>
      <w:szCs w:val="20"/>
    </w:rPr>
  </w:style>
  <w:style w:type="paragraph" w:customStyle="1" w:styleId="508">
    <w:name w:val="pa-12"/>
    <w:basedOn w:val="1"/>
    <w:qFormat/>
    <w:uiPriority w:val="0"/>
    <w:pPr>
      <w:widowControl/>
      <w:spacing w:before="169" w:after="169"/>
      <w:jc w:val="left"/>
    </w:pPr>
    <w:rPr>
      <w:rFonts w:ascii="宋体" w:hAnsi="宋体" w:cs="宋体"/>
      <w:kern w:val="0"/>
      <w:sz w:val="24"/>
    </w:rPr>
  </w:style>
  <w:style w:type="paragraph" w:customStyle="1" w:styleId="509">
    <w:name w:val="Bullets"/>
    <w:basedOn w:val="1"/>
    <w:qFormat/>
    <w:uiPriority w:val="0"/>
    <w:pPr>
      <w:widowControl/>
      <w:adjustRightInd w:val="0"/>
      <w:snapToGrid w:val="0"/>
      <w:spacing w:before="60" w:after="60"/>
    </w:pPr>
    <w:rPr>
      <w:kern w:val="0"/>
      <w:sz w:val="24"/>
      <w:lang w:val="en-GB"/>
    </w:rPr>
  </w:style>
  <w:style w:type="paragraph" w:customStyle="1" w:styleId="51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12">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13">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514">
    <w:name w:val="pa-11"/>
    <w:basedOn w:val="1"/>
    <w:qFormat/>
    <w:uiPriority w:val="0"/>
    <w:pPr>
      <w:widowControl/>
      <w:spacing w:before="169" w:after="169"/>
      <w:jc w:val="left"/>
    </w:pPr>
    <w:rPr>
      <w:rFonts w:ascii="宋体" w:hAnsi="宋体" w:cs="宋体"/>
      <w:kern w:val="0"/>
      <w:sz w:val="24"/>
    </w:rPr>
  </w:style>
  <w:style w:type="paragraph" w:customStyle="1" w:styleId="515">
    <w:name w:val="p16"/>
    <w:basedOn w:val="1"/>
    <w:qFormat/>
    <w:uiPriority w:val="0"/>
    <w:pPr>
      <w:widowControl/>
    </w:pPr>
    <w:rPr>
      <w:rFonts w:ascii="宋体" w:hAnsi="宋体" w:cs="宋体"/>
      <w:kern w:val="0"/>
      <w:szCs w:val="21"/>
    </w:rPr>
  </w:style>
  <w:style w:type="paragraph" w:customStyle="1" w:styleId="516">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7">
    <w:name w:val="页脚 New New New New New New New"/>
    <w:basedOn w:val="376"/>
    <w:qFormat/>
    <w:uiPriority w:val="0"/>
    <w:pPr>
      <w:tabs>
        <w:tab w:val="center" w:pos="4153"/>
        <w:tab w:val="right" w:pos="8306"/>
      </w:tabs>
      <w:snapToGrid w:val="0"/>
      <w:jc w:val="left"/>
    </w:pPr>
    <w:rPr>
      <w:sz w:val="18"/>
      <w:szCs w:val="18"/>
    </w:rPr>
  </w:style>
  <w:style w:type="paragraph" w:customStyle="1" w:styleId="51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9">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520">
    <w:name w:val="纯文本 New"/>
    <w:basedOn w:val="1"/>
    <w:qFormat/>
    <w:uiPriority w:val="0"/>
    <w:rPr>
      <w:rFonts w:ascii="宋体" w:hAnsi="Courier New" w:cs="Courier New"/>
      <w:szCs w:val="21"/>
    </w:rPr>
  </w:style>
  <w:style w:type="paragraph" w:customStyle="1" w:styleId="521">
    <w:name w:val="pa-14"/>
    <w:basedOn w:val="1"/>
    <w:qFormat/>
    <w:uiPriority w:val="0"/>
    <w:pPr>
      <w:widowControl/>
      <w:spacing w:before="169" w:after="169"/>
      <w:jc w:val="left"/>
    </w:pPr>
    <w:rPr>
      <w:rFonts w:ascii="宋体" w:hAnsi="宋体" w:cs="宋体"/>
      <w:kern w:val="0"/>
      <w:sz w:val="24"/>
    </w:rPr>
  </w:style>
  <w:style w:type="paragraph" w:customStyle="1" w:styleId="522">
    <w:name w:val="F2"/>
    <w:basedOn w:val="1"/>
    <w:qFormat/>
    <w:uiPriority w:val="0"/>
    <w:pPr>
      <w:autoSpaceDE w:val="0"/>
      <w:autoSpaceDN w:val="0"/>
      <w:adjustRightInd w:val="0"/>
      <w:ind w:firstLine="601"/>
    </w:pPr>
    <w:rPr>
      <w:kern w:val="0"/>
      <w:sz w:val="24"/>
      <w:szCs w:val="20"/>
    </w:rPr>
  </w:style>
  <w:style w:type="paragraph" w:customStyle="1" w:styleId="5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25">
    <w:name w:val="页脚 New"/>
    <w:basedOn w:val="526"/>
    <w:qFormat/>
    <w:uiPriority w:val="0"/>
    <w:pPr>
      <w:tabs>
        <w:tab w:val="center" w:pos="4153"/>
        <w:tab w:val="right" w:pos="8306"/>
      </w:tabs>
      <w:snapToGrid w:val="0"/>
      <w:jc w:val="left"/>
    </w:pPr>
    <w:rPr>
      <w:sz w:val="18"/>
      <w:szCs w:val="18"/>
    </w:rPr>
  </w:style>
  <w:style w:type="paragraph" w:customStyle="1" w:styleId="5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528">
    <w:name w:val="PlainText"/>
    <w:basedOn w:val="1"/>
    <w:qFormat/>
    <w:uiPriority w:val="0"/>
    <w:pPr>
      <w:widowControl/>
      <w:textAlignment w:val="baseline"/>
    </w:pPr>
    <w:rPr>
      <w:rFonts w:ascii="宋体" w:hAnsi="Courier New"/>
      <w:szCs w:val="21"/>
    </w:rPr>
  </w:style>
  <w:style w:type="paragraph" w:customStyle="1" w:styleId="529">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0">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31">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53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4">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6">
    <w:name w:val="Normal_0"/>
    <w:basedOn w:val="1"/>
    <w:qFormat/>
    <w:uiPriority w:val="0"/>
    <w:rPr>
      <w:rFonts w:eastAsia="Times New Roman" w:cs="宋体"/>
      <w:kern w:val="0"/>
      <w:szCs w:val="20"/>
      <w:lang w:eastAsia="en-US"/>
    </w:rPr>
  </w:style>
  <w:style w:type="paragraph" w:customStyle="1" w:styleId="537">
    <w:name w:val="Char"/>
    <w:basedOn w:val="17"/>
    <w:qFormat/>
    <w:uiPriority w:val="0"/>
    <w:pPr>
      <w:widowControl/>
      <w:ind w:firstLine="454"/>
      <w:jc w:val="left"/>
    </w:pPr>
    <w:rPr>
      <w:rFonts w:ascii="Tahoma" w:hAnsi="Tahoma" w:cs="宋体"/>
      <w:kern w:val="0"/>
      <w:sz w:val="24"/>
      <w:szCs w:val="20"/>
    </w:rPr>
  </w:style>
  <w:style w:type="paragraph" w:customStyle="1" w:styleId="538">
    <w:name w:val="页眉 New New New New New New New New New"/>
    <w:basedOn w:val="443"/>
    <w:qFormat/>
    <w:uiPriority w:val="0"/>
    <w:pPr>
      <w:pBdr>
        <w:bottom w:val="single" w:color="auto" w:sz="6" w:space="1"/>
      </w:pBdr>
      <w:tabs>
        <w:tab w:val="center" w:pos="4153"/>
        <w:tab w:val="right" w:pos="8306"/>
      </w:tabs>
      <w:snapToGrid w:val="0"/>
      <w:jc w:val="center"/>
    </w:pPr>
    <w:rPr>
      <w:sz w:val="18"/>
      <w:szCs w:val="18"/>
    </w:rPr>
  </w:style>
  <w:style w:type="paragraph" w:customStyle="1" w:styleId="539">
    <w:name w:val="_Style 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1">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42">
    <w:name w:val="Char11"/>
    <w:basedOn w:val="17"/>
    <w:qFormat/>
    <w:uiPriority w:val="0"/>
    <w:pPr>
      <w:widowControl/>
      <w:ind w:firstLine="454"/>
      <w:jc w:val="left"/>
    </w:pPr>
    <w:rPr>
      <w:rFonts w:ascii="Tahoma" w:hAnsi="Tahoma" w:cs="宋体"/>
      <w:kern w:val="0"/>
      <w:sz w:val="24"/>
      <w:szCs w:val="20"/>
    </w:rPr>
  </w:style>
  <w:style w:type="paragraph" w:customStyle="1" w:styleId="543">
    <w:name w:val="页脚 New New"/>
    <w:basedOn w:val="402"/>
    <w:qFormat/>
    <w:uiPriority w:val="0"/>
    <w:pPr>
      <w:tabs>
        <w:tab w:val="center" w:pos="4153"/>
        <w:tab w:val="right" w:pos="8306"/>
      </w:tabs>
      <w:snapToGrid w:val="0"/>
      <w:jc w:val="left"/>
    </w:pPr>
    <w:rPr>
      <w:sz w:val="18"/>
      <w:szCs w:val="18"/>
    </w:rPr>
  </w:style>
  <w:style w:type="paragraph" w:customStyle="1" w:styleId="54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45">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4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8">
    <w:name w:val="页眉 New New New New New New New New"/>
    <w:basedOn w:val="405"/>
    <w:qFormat/>
    <w:uiPriority w:val="0"/>
    <w:pPr>
      <w:pBdr>
        <w:bottom w:val="single" w:color="auto" w:sz="6" w:space="1"/>
      </w:pBdr>
      <w:tabs>
        <w:tab w:val="center" w:pos="4153"/>
        <w:tab w:val="right" w:pos="8306"/>
      </w:tabs>
      <w:snapToGrid w:val="0"/>
      <w:jc w:val="center"/>
    </w:pPr>
    <w:rPr>
      <w:sz w:val="18"/>
      <w:szCs w:val="18"/>
    </w:rPr>
  </w:style>
  <w:style w:type="paragraph" w:customStyle="1" w:styleId="549">
    <w:name w:val="_Style 601"/>
    <w:qFormat/>
    <w:uiPriority w:val="0"/>
    <w:rPr>
      <w:rFonts w:ascii="Times New Roman" w:hAnsi="Times New Roman" w:eastAsia="宋体" w:cs="Times New Roman"/>
      <w:kern w:val="2"/>
      <w:sz w:val="21"/>
      <w:szCs w:val="24"/>
      <w:lang w:val="en-US" w:eastAsia="zh-CN" w:bidi="ar-SA"/>
    </w:rPr>
  </w:style>
  <w:style w:type="paragraph" w:customStyle="1" w:styleId="550">
    <w:name w:val="纯文本 New New"/>
    <w:basedOn w:val="376"/>
    <w:qFormat/>
    <w:uiPriority w:val="0"/>
    <w:rPr>
      <w:rFonts w:ascii="宋体" w:hAnsi="Courier New" w:cs="Courier New"/>
      <w:szCs w:val="21"/>
    </w:rPr>
  </w:style>
  <w:style w:type="paragraph" w:customStyle="1" w:styleId="5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52">
    <w:name w:val="p15"/>
    <w:basedOn w:val="1"/>
    <w:qFormat/>
    <w:uiPriority w:val="0"/>
    <w:pPr>
      <w:widowControl/>
    </w:pPr>
    <w:rPr>
      <w:rFonts w:ascii="宋体" w:hAnsi="宋体" w:cs="宋体"/>
      <w:kern w:val="0"/>
      <w:szCs w:val="21"/>
    </w:rPr>
  </w:style>
  <w:style w:type="paragraph" w:customStyle="1" w:styleId="553">
    <w:name w:val="Char1 Char Char Char Char Char Char"/>
    <w:basedOn w:val="1"/>
    <w:qFormat/>
    <w:uiPriority w:val="0"/>
    <w:rPr>
      <w:rFonts w:ascii="Tahoma" w:hAnsi="Tahoma"/>
      <w:sz w:val="24"/>
      <w:szCs w:val="20"/>
    </w:rPr>
  </w:style>
  <w:style w:type="paragraph" w:customStyle="1" w:styleId="554">
    <w:name w:val="_Style 3"/>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Normal0"/>
    <w:qFormat/>
    <w:uiPriority w:val="0"/>
    <w:rPr>
      <w:rFonts w:ascii="Times New Roman" w:hAnsi="Times New Roman" w:eastAsia="宋体" w:cs="Times New Roman"/>
      <w:lang w:val="en-US" w:eastAsia="en-US" w:bidi="ar-SA"/>
    </w:rPr>
  </w:style>
  <w:style w:type="paragraph" w:customStyle="1" w:styleId="556">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557">
    <w:name w:val="项目5"/>
    <w:basedOn w:val="1"/>
    <w:qFormat/>
    <w:uiPriority w:val="0"/>
    <w:pPr>
      <w:tabs>
        <w:tab w:val="left" w:pos="360"/>
        <w:tab w:val="left" w:pos="874"/>
      </w:tabs>
      <w:spacing w:line="400" w:lineRule="exact"/>
      <w:jc w:val="left"/>
    </w:pPr>
    <w:rPr>
      <w:szCs w:val="20"/>
    </w:rPr>
  </w:style>
  <w:style w:type="paragraph" w:customStyle="1" w:styleId="55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59">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60">
    <w:name w:val="页脚 New New New New New New"/>
    <w:basedOn w:val="388"/>
    <w:qFormat/>
    <w:uiPriority w:val="0"/>
    <w:pPr>
      <w:tabs>
        <w:tab w:val="center" w:pos="4153"/>
        <w:tab w:val="right" w:pos="8306"/>
      </w:tabs>
      <w:snapToGrid w:val="0"/>
      <w:jc w:val="left"/>
    </w:pPr>
    <w:rPr>
      <w:sz w:val="18"/>
      <w:szCs w:val="18"/>
    </w:rPr>
  </w:style>
  <w:style w:type="paragraph" w:customStyle="1" w:styleId="561">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2">
    <w:name w:val="Char21"/>
    <w:basedOn w:val="1"/>
    <w:qFormat/>
    <w:uiPriority w:val="0"/>
    <w:rPr>
      <w:szCs w:val="20"/>
    </w:rPr>
  </w:style>
  <w:style w:type="paragraph" w:customStyle="1" w:styleId="563">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564">
    <w:name w:val="UserStyle_317"/>
    <w:basedOn w:val="1"/>
    <w:qFormat/>
    <w:uiPriority w:val="0"/>
    <w:pPr>
      <w:widowControl/>
      <w:ind w:firstLine="420" w:firstLineChars="200"/>
      <w:textAlignment w:val="baseline"/>
    </w:pPr>
    <w:rPr>
      <w:rFonts w:ascii="Calibri" w:hAnsi="Calibri"/>
      <w:szCs w:val="21"/>
    </w:rPr>
  </w:style>
  <w:style w:type="paragraph" w:customStyle="1" w:styleId="565">
    <w:name w:val="页眉 New New"/>
    <w:basedOn w:val="402"/>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招标标题1"/>
    <w:basedOn w:val="4"/>
    <w:qFormat/>
    <w:uiPriority w:val="0"/>
    <w:p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568">
    <w:name w:val="页脚 New New New"/>
    <w:basedOn w:val="377"/>
    <w:qFormat/>
    <w:uiPriority w:val="0"/>
    <w:pPr>
      <w:tabs>
        <w:tab w:val="center" w:pos="4153"/>
        <w:tab w:val="right" w:pos="8306"/>
      </w:tabs>
      <w:snapToGrid w:val="0"/>
      <w:jc w:val="left"/>
    </w:pPr>
    <w:rPr>
      <w:sz w:val="18"/>
      <w:szCs w:val="18"/>
    </w:rPr>
  </w:style>
  <w:style w:type="paragraph" w:customStyle="1" w:styleId="569">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paragraph1"/>
    <w:basedOn w:val="1"/>
    <w:qFormat/>
    <w:uiPriority w:val="0"/>
    <w:pPr>
      <w:spacing w:line="300" w:lineRule="auto"/>
      <w:ind w:firstLine="200" w:firstLineChars="200"/>
    </w:pPr>
    <w:rPr>
      <w:sz w:val="24"/>
    </w:rPr>
  </w:style>
  <w:style w:type="paragraph" w:customStyle="1" w:styleId="572">
    <w:name w:val="样式 首行缩进:  2 字符"/>
    <w:basedOn w:val="1"/>
    <w:qFormat/>
    <w:uiPriority w:val="0"/>
    <w:pPr>
      <w:spacing w:line="400" w:lineRule="exact"/>
      <w:ind w:firstLine="200" w:firstLineChars="200"/>
    </w:pPr>
    <w:rPr>
      <w:rFonts w:cs="宋体"/>
      <w:sz w:val="24"/>
    </w:rPr>
  </w:style>
  <w:style w:type="paragraph" w:customStyle="1" w:styleId="573">
    <w:name w:val="List Paragraph1"/>
    <w:basedOn w:val="1"/>
    <w:qFormat/>
    <w:uiPriority w:val="0"/>
    <w:pPr>
      <w:ind w:firstLine="420" w:firstLineChars="200"/>
    </w:pPr>
    <w:rPr>
      <w:rFonts w:ascii="Calibri" w:hAnsi="Calibri"/>
      <w:szCs w:val="22"/>
    </w:rPr>
  </w:style>
  <w:style w:type="paragraph" w:customStyle="1" w:styleId="574">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6">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7">
    <w:name w:val="默认段落字体 Para Char Char Char Char Char Char Char Char Char1 Char Char Char Char"/>
    <w:basedOn w:val="1"/>
    <w:qFormat/>
    <w:uiPriority w:val="0"/>
    <w:rPr>
      <w:rFonts w:ascii="Tahoma" w:hAnsi="Tahoma"/>
      <w:sz w:val="24"/>
      <w:szCs w:val="20"/>
    </w:rPr>
  </w:style>
  <w:style w:type="paragraph" w:customStyle="1" w:styleId="57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79">
    <w:name w:val="Char1"/>
    <w:basedOn w:val="1"/>
    <w:qFormat/>
    <w:uiPriority w:val="0"/>
    <w:rPr>
      <w:szCs w:val="21"/>
    </w:rPr>
  </w:style>
  <w:style w:type="paragraph" w:customStyle="1" w:styleId="58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82">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83">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84">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8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87">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90">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1">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92">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593">
    <w:name w:val="444"/>
    <w:basedOn w:val="1"/>
    <w:qFormat/>
    <w:uiPriority w:val="0"/>
    <w:pPr>
      <w:adjustRightInd w:val="0"/>
      <w:spacing w:line="312" w:lineRule="atLeast"/>
      <w:jc w:val="center"/>
      <w:textAlignment w:val="baseline"/>
    </w:pPr>
    <w:rPr>
      <w:b/>
      <w:kern w:val="0"/>
      <w:sz w:val="36"/>
      <w:szCs w:val="36"/>
    </w:rPr>
  </w:style>
  <w:style w:type="paragraph" w:customStyle="1" w:styleId="59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9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96">
    <w:name w:val="页眉 New"/>
    <w:basedOn w:val="526"/>
    <w:qFormat/>
    <w:uiPriority w:val="0"/>
    <w:pPr>
      <w:pBdr>
        <w:bottom w:val="single" w:color="auto" w:sz="6" w:space="1"/>
      </w:pBdr>
      <w:tabs>
        <w:tab w:val="center" w:pos="4153"/>
        <w:tab w:val="right" w:pos="8306"/>
      </w:tabs>
      <w:snapToGrid w:val="0"/>
      <w:jc w:val="center"/>
    </w:pPr>
    <w:rPr>
      <w:sz w:val="18"/>
      <w:szCs w:val="18"/>
    </w:rPr>
  </w:style>
  <w:style w:type="paragraph" w:customStyle="1" w:styleId="597">
    <w:name w:val="正文段"/>
    <w:basedOn w:val="1"/>
    <w:qFormat/>
    <w:uiPriority w:val="0"/>
    <w:pPr>
      <w:widowControl/>
      <w:snapToGrid w:val="0"/>
      <w:spacing w:afterLines="50"/>
      <w:ind w:firstLine="200" w:firstLineChars="200"/>
    </w:pPr>
    <w:rPr>
      <w:kern w:val="0"/>
      <w:sz w:val="24"/>
      <w:szCs w:val="20"/>
    </w:rPr>
  </w:style>
  <w:style w:type="paragraph" w:customStyle="1" w:styleId="598">
    <w:name w:val="_Style 33"/>
    <w:basedOn w:val="1"/>
    <w:qFormat/>
    <w:uiPriority w:val="0"/>
    <w:pPr>
      <w:widowControl/>
      <w:spacing w:after="160" w:line="240" w:lineRule="exact"/>
      <w:jc w:val="left"/>
    </w:pPr>
  </w:style>
  <w:style w:type="paragraph" w:customStyle="1" w:styleId="59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0">
    <w:name w:val="页脚 New New New New New New New New"/>
    <w:basedOn w:val="405"/>
    <w:qFormat/>
    <w:uiPriority w:val="0"/>
    <w:pPr>
      <w:tabs>
        <w:tab w:val="center" w:pos="4153"/>
        <w:tab w:val="right" w:pos="8306"/>
      </w:tabs>
      <w:snapToGrid w:val="0"/>
      <w:jc w:val="left"/>
    </w:pPr>
    <w:rPr>
      <w:sz w:val="18"/>
      <w:szCs w:val="18"/>
    </w:rPr>
  </w:style>
  <w:style w:type="paragraph" w:customStyle="1" w:styleId="601">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0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4">
    <w:name w:val="页脚 New New New New"/>
    <w:basedOn w:val="446"/>
    <w:qFormat/>
    <w:uiPriority w:val="0"/>
    <w:pPr>
      <w:tabs>
        <w:tab w:val="center" w:pos="4153"/>
        <w:tab w:val="right" w:pos="8306"/>
      </w:tabs>
      <w:snapToGrid w:val="0"/>
      <w:jc w:val="left"/>
    </w:pPr>
    <w:rPr>
      <w:sz w:val="18"/>
      <w:szCs w:val="18"/>
    </w:rPr>
  </w:style>
  <w:style w:type="paragraph" w:customStyle="1" w:styleId="60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0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08">
    <w:name w:val="无间隔1"/>
    <w:qFormat/>
    <w:uiPriority w:val="0"/>
    <w:rPr>
      <w:rFonts w:ascii="Times New Roman" w:hAnsi="Times New Roman" w:eastAsia="宋体" w:cs="Times New Roman"/>
      <w:sz w:val="22"/>
      <w:szCs w:val="22"/>
      <w:lang w:val="en-US" w:eastAsia="zh-CN" w:bidi="ar-SA"/>
    </w:rPr>
  </w:style>
  <w:style w:type="paragraph" w:customStyle="1" w:styleId="60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0">
    <w:name w:val="纯文本1"/>
    <w:basedOn w:val="1"/>
    <w:qFormat/>
    <w:uiPriority w:val="0"/>
    <w:rPr>
      <w:rFonts w:ascii="宋体" w:hAnsi="Courier New"/>
      <w:szCs w:val="21"/>
    </w:rPr>
  </w:style>
  <w:style w:type="paragraph" w:customStyle="1" w:styleId="61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12">
    <w:name w:val="Table Paragraph"/>
    <w:basedOn w:val="1"/>
    <w:qFormat/>
    <w:uiPriority w:val="1"/>
    <w:rPr>
      <w:rFonts w:ascii="宋体" w:hAnsi="宋体" w:cs="宋体"/>
    </w:rPr>
  </w:style>
  <w:style w:type="paragraph" w:customStyle="1" w:styleId="61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14">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61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616">
    <w:name w:val="Normal Table_file_671"/>
    <w:semiHidden/>
    <w:qFormat/>
    <w:uiPriority w:val="0"/>
    <w:tblPr>
      <w:tblCellMar>
        <w:top w:w="0" w:type="dxa"/>
        <w:left w:w="108" w:type="dxa"/>
        <w:bottom w:w="0" w:type="dxa"/>
        <w:right w:w="108" w:type="dxa"/>
      </w:tblCellMar>
    </w:tblPr>
  </w:style>
  <w:style w:type="paragraph" w:customStyle="1" w:styleId="617">
    <w:name w:val="样式 0正文 + 首行缩进:  2 字符1"/>
    <w:basedOn w:val="1"/>
    <w:qFormat/>
    <w:uiPriority w:val="99"/>
    <w:pPr>
      <w:spacing w:line="360" w:lineRule="auto"/>
      <w:ind w:firstLine="200" w:firstLineChars="200"/>
    </w:pPr>
    <w:rPr>
      <w:szCs w:val="20"/>
    </w:rPr>
  </w:style>
  <w:style w:type="paragraph" w:customStyle="1" w:styleId="61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619">
    <w:name w:val="font91"/>
    <w:basedOn w:val="57"/>
    <w:qFormat/>
    <w:uiPriority w:val="0"/>
    <w:rPr>
      <w:rFonts w:ascii="宋体" w:hAnsi="宋体" w:eastAsia="宋体" w:cs="宋体"/>
      <w:color w:val="000000"/>
      <w:sz w:val="24"/>
      <w:szCs w:val="24"/>
      <w:u w:val="none"/>
    </w:rPr>
  </w:style>
  <w:style w:type="character" w:customStyle="1" w:styleId="620">
    <w:name w:val="font101"/>
    <w:basedOn w:val="57"/>
    <w:qFormat/>
    <w:uiPriority w:val="0"/>
    <w:rPr>
      <w:rFonts w:hint="eastAsia" w:ascii="宋体" w:hAnsi="宋体" w:eastAsia="宋体" w:cs="宋体"/>
      <w:color w:val="000000"/>
      <w:sz w:val="24"/>
      <w:szCs w:val="24"/>
      <w:u w:val="none"/>
    </w:rPr>
  </w:style>
  <w:style w:type="paragraph" w:customStyle="1" w:styleId="621">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8840</Words>
  <Characters>50392</Characters>
  <Lines>419</Lines>
  <Paragraphs>118</Paragraphs>
  <TotalTime>17</TotalTime>
  <ScaleCrop>false</ScaleCrop>
  <LinksUpToDate>false</LinksUpToDate>
  <CharactersWithSpaces>59114</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2026-04-14T17:28:00Z</dcterms:created>
  <dc:creator>聂泉源</dc:creator>
  <cp:lastModifiedBy>黄何斌</cp:lastModifiedBy>
  <cp:lastPrinted>2026-06-09T10:02:40Z</cp:lastPrinted>
  <dcterms:modified xsi:type="dcterms:W3CDTF">2026-06-09T10:12:29Z</dcterms:modified>
  <dc:title>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6C87AB98AF59406FAD43757AE6CC1344_13</vt:lpwstr>
  </property>
  <property fmtid="{D5CDD505-2E9C-101B-9397-08002B2CF9AE}" pid="3" name="KSOProductBuildVer">
    <vt:lpwstr>2052-12.1.2.25882</vt:lpwstr>
  </property>
  <property fmtid="{D5CDD505-2E9C-101B-9397-08002B2CF9AE}" pid="4" name="KSOTemplateDocerSaveRecord">
    <vt:lpwstr>eyJoZGlkIjoiNjY5NDJlMTdmYThlNzBhY2MxODYxYmYyNzYzOTRkYmEiLCJ1c2VySWQiOiIyNTgxNzUzOTMifQ==</vt:lpwstr>
  </property>
</Properties>
</file>