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053"/>
        <w:gridCol w:w="6960"/>
      </w:tblGrid>
      <w:tr w14:paraId="4D8B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41" w:type="dxa"/>
            <w:vAlign w:val="center"/>
          </w:tcPr>
          <w:p w14:paraId="7ED0C5DB">
            <w:pPr>
              <w:jc w:val="center"/>
              <w:rPr>
                <w:rFonts w:hint="eastAsia" w:eastAsia="宋体"/>
                <w:b/>
                <w:bCs/>
                <w:vertAlign w:val="baseline"/>
                <w:lang w:val="en-US" w:eastAsia="zh-CN"/>
              </w:rPr>
            </w:pPr>
            <w:r>
              <w:rPr>
                <w:rFonts w:hint="eastAsia"/>
                <w:b/>
                <w:bCs/>
                <w:vertAlign w:val="baseline"/>
                <w:lang w:val="en-US" w:eastAsia="zh-CN"/>
              </w:rPr>
              <w:t>序号</w:t>
            </w:r>
          </w:p>
        </w:tc>
        <w:tc>
          <w:tcPr>
            <w:tcW w:w="2053" w:type="dxa"/>
            <w:vAlign w:val="center"/>
          </w:tcPr>
          <w:p w14:paraId="4835160C">
            <w:pPr>
              <w:jc w:val="center"/>
              <w:rPr>
                <w:rFonts w:hint="default" w:eastAsia="宋体"/>
                <w:b/>
                <w:bCs/>
                <w:vertAlign w:val="baseline"/>
                <w:lang w:val="en-US" w:eastAsia="zh-CN"/>
              </w:rPr>
            </w:pPr>
            <w:r>
              <w:rPr>
                <w:rFonts w:hint="eastAsia"/>
                <w:b/>
                <w:bCs/>
                <w:vertAlign w:val="baseline"/>
                <w:lang w:val="en-US" w:eastAsia="zh-CN"/>
              </w:rPr>
              <w:t>供应商名称</w:t>
            </w:r>
          </w:p>
        </w:tc>
        <w:tc>
          <w:tcPr>
            <w:tcW w:w="6960" w:type="dxa"/>
            <w:vAlign w:val="center"/>
          </w:tcPr>
          <w:p w14:paraId="2C03236B">
            <w:pPr>
              <w:jc w:val="center"/>
              <w:rPr>
                <w:rFonts w:hint="eastAsia" w:eastAsia="宋体"/>
                <w:b/>
                <w:bCs/>
                <w:vertAlign w:val="baseline"/>
                <w:lang w:val="en-US" w:eastAsia="zh-CN"/>
              </w:rPr>
            </w:pPr>
            <w:r>
              <w:rPr>
                <w:rFonts w:hint="eastAsia"/>
                <w:b/>
                <w:bCs/>
                <w:vertAlign w:val="baseline"/>
                <w:lang w:val="en-US" w:eastAsia="zh-CN"/>
              </w:rPr>
              <w:t>符合性审查不通过理由</w:t>
            </w:r>
          </w:p>
        </w:tc>
      </w:tr>
      <w:tr w14:paraId="0E409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18C4C6BC">
            <w:pPr>
              <w:jc w:val="center"/>
              <w:rPr>
                <w:rFonts w:hint="eastAsia" w:eastAsia="宋体"/>
                <w:vertAlign w:val="baseline"/>
                <w:lang w:val="en-US" w:eastAsia="zh-CN"/>
              </w:rPr>
            </w:pPr>
            <w:r>
              <w:rPr>
                <w:rFonts w:hint="eastAsia"/>
                <w:vertAlign w:val="baseline"/>
                <w:lang w:val="en-US" w:eastAsia="zh-CN"/>
              </w:rPr>
              <w:t>1</w:t>
            </w:r>
          </w:p>
        </w:tc>
        <w:tc>
          <w:tcPr>
            <w:tcW w:w="2053" w:type="dxa"/>
            <w:vAlign w:val="center"/>
          </w:tcPr>
          <w:p w14:paraId="7F40D231">
            <w:pPr>
              <w:jc w:val="center"/>
              <w:rPr>
                <w:vertAlign w:val="baseline"/>
              </w:rPr>
            </w:pPr>
            <w:r>
              <w:rPr>
                <w:rFonts w:hint="eastAsia"/>
                <w:vertAlign w:val="baseline"/>
              </w:rPr>
              <w:t>桂林明程建设工程有限公司</w:t>
            </w:r>
          </w:p>
        </w:tc>
        <w:tc>
          <w:tcPr>
            <w:tcW w:w="6960" w:type="dxa"/>
          </w:tcPr>
          <w:p w14:paraId="4547B638">
            <w:pPr>
              <w:rPr>
                <w:vertAlign w:val="baseline"/>
              </w:rPr>
            </w:pPr>
            <w:r>
              <w:rPr>
                <w:rFonts w:hint="eastAsia"/>
                <w:vertAlign w:val="baseline"/>
                <w:lang w:val="en-US" w:eastAsia="zh-CN"/>
              </w:rPr>
              <w:t>1.</w:t>
            </w:r>
            <w:r>
              <w:rPr>
                <w:rFonts w:hint="eastAsia"/>
                <w:vertAlign w:val="baseline"/>
              </w:rPr>
              <w:t>未按照磋商文件“第五章 工程量清单及图纸”2.6其他项目费须按下列规定报价： （1）暂列金额应按工程量清单中列出的金额填写；（3）暂估价应按工程量清单中列出的金额填写。 2.桂林明程建设工程有限公司提供的已标价工程量清单中暂列金额及暂估价未按工程量清单中列出的金额填写。</w:t>
            </w:r>
          </w:p>
        </w:tc>
      </w:tr>
      <w:tr w14:paraId="14EA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5407A6BF">
            <w:pPr>
              <w:jc w:val="center"/>
              <w:rPr>
                <w:rFonts w:hint="eastAsia" w:eastAsia="宋体"/>
                <w:vertAlign w:val="baseline"/>
                <w:lang w:val="en-US" w:eastAsia="zh-CN"/>
              </w:rPr>
            </w:pPr>
            <w:r>
              <w:rPr>
                <w:rFonts w:hint="eastAsia"/>
                <w:vertAlign w:val="baseline"/>
                <w:lang w:val="en-US" w:eastAsia="zh-CN"/>
              </w:rPr>
              <w:t>2</w:t>
            </w:r>
          </w:p>
        </w:tc>
        <w:tc>
          <w:tcPr>
            <w:tcW w:w="2053" w:type="dxa"/>
            <w:vAlign w:val="center"/>
          </w:tcPr>
          <w:p w14:paraId="178E6BEF">
            <w:pPr>
              <w:jc w:val="center"/>
              <w:rPr>
                <w:vertAlign w:val="baseline"/>
              </w:rPr>
            </w:pPr>
            <w:r>
              <w:rPr>
                <w:rFonts w:hint="eastAsia"/>
                <w:vertAlign w:val="baseline"/>
              </w:rPr>
              <w:t>广西英特装饰工程有限责任公司</w:t>
            </w:r>
          </w:p>
        </w:tc>
        <w:tc>
          <w:tcPr>
            <w:tcW w:w="6960" w:type="dxa"/>
          </w:tcPr>
          <w:p w14:paraId="5E3B5254">
            <w:pPr>
              <w:rPr>
                <w:vertAlign w:val="baseline"/>
              </w:rPr>
            </w:pPr>
            <w:r>
              <w:rPr>
                <w:rFonts w:hint="eastAsia"/>
                <w:vertAlign w:val="baseline"/>
                <w:lang w:val="en-US" w:eastAsia="zh-CN"/>
              </w:rPr>
              <w:t>1.</w:t>
            </w:r>
            <w:r>
              <w:rPr>
                <w:rFonts w:hint="eastAsia"/>
                <w:vertAlign w:val="baseline"/>
              </w:rPr>
              <w:t>未按照磋商文件“第五章 工程量清单及图纸”2. 招标控制价编制及磋商报价说明，2.11供应商所提供的已标价工程量清单中“ 分部分项工程和单价措施项目费用表”（表-08）所报各项目综合单价（包含首次报价、最后报价）超出本项目附件公布的“招标控 制价”中“分部分项工程和单价措施项目费用表”（表-08）相应项目的综合单价的，响应文件按无效处理（如本项目有要求并公布 了分项采购预算金额或者最高限价）。 2.广西英特装饰工程有限责任公司提供的已标价工程量清单中“分部分项工程和单价措施项目费用表”（表-08）序号76-83项所报综合单价，超出本项目附件公布的“招标控制价。</w:t>
            </w:r>
          </w:p>
        </w:tc>
      </w:tr>
      <w:tr w14:paraId="0CCA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091F981F">
            <w:pPr>
              <w:jc w:val="center"/>
              <w:rPr>
                <w:rFonts w:hint="eastAsia" w:eastAsia="宋体"/>
                <w:vertAlign w:val="baseline"/>
                <w:lang w:val="en-US" w:eastAsia="zh-CN"/>
              </w:rPr>
            </w:pPr>
            <w:r>
              <w:rPr>
                <w:rFonts w:hint="eastAsia"/>
                <w:vertAlign w:val="baseline"/>
                <w:lang w:val="en-US" w:eastAsia="zh-CN"/>
              </w:rPr>
              <w:t>3</w:t>
            </w:r>
          </w:p>
        </w:tc>
        <w:tc>
          <w:tcPr>
            <w:tcW w:w="2053" w:type="dxa"/>
            <w:vAlign w:val="center"/>
          </w:tcPr>
          <w:p w14:paraId="45A3B3C7">
            <w:pPr>
              <w:jc w:val="center"/>
              <w:rPr>
                <w:vertAlign w:val="baseline"/>
              </w:rPr>
            </w:pPr>
            <w:r>
              <w:rPr>
                <w:rFonts w:hint="eastAsia"/>
                <w:vertAlign w:val="baseline"/>
              </w:rPr>
              <w:t>广西三象建筑安装工程有限公司</w:t>
            </w:r>
          </w:p>
        </w:tc>
        <w:tc>
          <w:tcPr>
            <w:tcW w:w="6960" w:type="dxa"/>
          </w:tcPr>
          <w:p w14:paraId="5737F0BC">
            <w:pPr>
              <w:rPr>
                <w:vertAlign w:val="baseline"/>
              </w:rPr>
            </w:pPr>
            <w:r>
              <w:rPr>
                <w:rFonts w:hint="eastAsia"/>
                <w:vertAlign w:val="baseline"/>
                <w:lang w:val="en-US" w:eastAsia="zh-CN"/>
              </w:rPr>
              <w:t>1.</w:t>
            </w:r>
            <w:r>
              <w:rPr>
                <w:rFonts w:hint="eastAsia"/>
                <w:vertAlign w:val="baseline"/>
              </w:rPr>
              <w:t xml:space="preserve">未按照磋商文件“第五章 工程量清单及图纸”2.6其他项目费须按下列规定报价： （1）暂列金额应按工程量清单中列出的金额填写；（3）暂估价应按工程量清单中列出的金额填写。 2.广西三象建筑安装工程有限公司提供的已标价工程量清单中暂列金额及暂估价未按工程量清单中列出的金额填写。 </w:t>
            </w:r>
          </w:p>
        </w:tc>
      </w:tr>
      <w:tr w14:paraId="6876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vAlign w:val="center"/>
          </w:tcPr>
          <w:p w14:paraId="7C9AC42E">
            <w:pPr>
              <w:jc w:val="center"/>
              <w:rPr>
                <w:rFonts w:hint="eastAsia" w:eastAsia="宋体"/>
                <w:vertAlign w:val="baseline"/>
                <w:lang w:val="en-US" w:eastAsia="zh-CN"/>
              </w:rPr>
            </w:pPr>
            <w:r>
              <w:rPr>
                <w:rFonts w:hint="eastAsia"/>
                <w:vertAlign w:val="baseline"/>
                <w:lang w:val="en-US" w:eastAsia="zh-CN"/>
              </w:rPr>
              <w:t>4</w:t>
            </w:r>
          </w:p>
        </w:tc>
        <w:tc>
          <w:tcPr>
            <w:tcW w:w="2053" w:type="dxa"/>
            <w:vAlign w:val="center"/>
          </w:tcPr>
          <w:p w14:paraId="3EC33953">
            <w:pPr>
              <w:jc w:val="center"/>
              <w:rPr>
                <w:vertAlign w:val="baseline"/>
              </w:rPr>
            </w:pPr>
            <w:r>
              <w:rPr>
                <w:rFonts w:hint="eastAsia"/>
                <w:vertAlign w:val="baseline"/>
              </w:rPr>
              <w:t>广西茂仁建设工程有限公司</w:t>
            </w:r>
          </w:p>
        </w:tc>
        <w:tc>
          <w:tcPr>
            <w:tcW w:w="6960" w:type="dxa"/>
          </w:tcPr>
          <w:p w14:paraId="29FA0E51">
            <w:pPr>
              <w:rPr>
                <w:vertAlign w:val="baseline"/>
              </w:rPr>
            </w:pPr>
            <w:r>
              <w:rPr>
                <w:rFonts w:hint="eastAsia"/>
                <w:vertAlign w:val="baseline"/>
                <w:lang w:val="en-US" w:eastAsia="zh-CN"/>
              </w:rPr>
              <w:t>1.</w:t>
            </w:r>
            <w:bookmarkStart w:id="0" w:name="_GoBack"/>
            <w:bookmarkEnd w:id="0"/>
            <w:r>
              <w:rPr>
                <w:rFonts w:hint="eastAsia"/>
                <w:vertAlign w:val="baseline"/>
              </w:rPr>
              <w:t>未按照磋商文件“第五章 工程量清单及图纸”2. 招标控制价编制及磋商报价说明，2.11供应商所提供的已标价工程量清单中“分部分项工程和单价措施项目费用表”（表-08）所报各项目综合单价（包含首次报价、最后报价）超出本项目附件公布的“招标控制价”中“分部分项工程和单价措施项目费用表”（表-08）相应项目的综合单价的，响应文件按无效处理（如本项目有要求并公布了分项采购预算金额或者最高限价）。 2. 广西茂仁建设工程有限公司提供的已标价工程量清单中“分部分项工程和单价措施项目费用表”（表-08）序号23、25、36、37、38、39、52项所报综合单价，超出本项目附件公布的“招标控制价。</w:t>
            </w:r>
          </w:p>
        </w:tc>
      </w:tr>
    </w:tbl>
    <w:p w14:paraId="4729C511"/>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B0B08"/>
    <w:rsid w:val="02565708"/>
    <w:rsid w:val="204001F8"/>
    <w:rsid w:val="228B3546"/>
    <w:rsid w:val="22A85012"/>
    <w:rsid w:val="282B0B08"/>
    <w:rsid w:val="455F5B6A"/>
    <w:rsid w:val="4A4B43C2"/>
    <w:rsid w:val="4CF339D7"/>
    <w:rsid w:val="5A1530F9"/>
    <w:rsid w:val="643C226B"/>
    <w:rsid w:val="6AF76F0A"/>
    <w:rsid w:val="6DE84A40"/>
    <w:rsid w:val="7C1C7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qFormat/>
    <w:uiPriority w:val="0"/>
    <w:pPr>
      <w:keepNext/>
      <w:keepLines/>
      <w:spacing w:before="100" w:beforeLines="0" w:beforeAutospacing="0" w:after="90" w:afterLines="0" w:afterAutospacing="0" w:line="360" w:lineRule="auto"/>
      <w:outlineLvl w:val="0"/>
    </w:pPr>
    <w:rPr>
      <w:b/>
      <w:kern w:val="44"/>
      <w:sz w:val="32"/>
      <w:szCs w:val="32"/>
    </w:rPr>
  </w:style>
  <w:style w:type="paragraph" w:styleId="3">
    <w:name w:val="heading 2"/>
    <w:basedOn w:val="1"/>
    <w:next w:val="1"/>
    <w:semiHidden/>
    <w:unhideWhenUsed/>
    <w:qFormat/>
    <w:uiPriority w:val="0"/>
    <w:pPr>
      <w:keepNext/>
      <w:keepLines/>
      <w:spacing w:before="20" w:beforeLines="0" w:beforeAutospacing="0" w:after="20" w:afterLines="0" w:afterAutospacing="0" w:line="360" w:lineRule="auto"/>
      <w:outlineLvl w:val="1"/>
    </w:pPr>
    <w:rPr>
      <w:b/>
      <w:sz w:val="30"/>
      <w:szCs w:val="30"/>
    </w:rPr>
  </w:style>
  <w:style w:type="paragraph" w:styleId="4">
    <w:name w:val="heading 3"/>
    <w:basedOn w:val="1"/>
    <w:next w:val="1"/>
    <w:semiHidden/>
    <w:unhideWhenUsed/>
    <w:qFormat/>
    <w:uiPriority w:val="0"/>
    <w:pPr>
      <w:keepNext/>
      <w:keepLines/>
      <w:spacing w:before="20" w:beforeLines="0" w:beforeAutospacing="0" w:after="20" w:afterLines="0" w:afterAutospacing="0" w:line="360" w:lineRule="auto"/>
      <w:outlineLvl w:val="2"/>
    </w:pPr>
    <w:rPr>
      <w:b/>
      <w:sz w:val="28"/>
      <w:szCs w:val="28"/>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867</Words>
  <Characters>906</Characters>
  <Lines>0</Lines>
  <Paragraphs>0</Paragraphs>
  <TotalTime>9</TotalTime>
  <ScaleCrop>false</ScaleCrop>
  <LinksUpToDate>false</LinksUpToDate>
  <CharactersWithSpaces>923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2026-08-14T09:17:00Z</dcterms:created>
  <dc:creator>gxjlgl</dc:creator>
  <cp:lastModifiedBy>gxjlgl</cp:lastModifiedBy>
  <dcterms:modified xsi:type="dcterms:W3CDTF">2026-08-14T09:51:36Z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40863DC440BF4A7E9FE76C77F42E295B_11</vt:lpwstr>
  </property>
  <property fmtid="{D5CDD505-2E9C-101B-9397-08002B2CF9AE}" pid="4" name="KSOTemplateDocerSaveRecord">
    <vt:lpwstr>eyJoZGlkIjoiMzc1NTgzOTdlOTkwNTBjZDA2YzQwMDE4NDhiODdhYjEiLCJ1c2VySWQiOiI0NzAyOTQwNjYifQ==</vt:lpwstr>
  </property>
</Properties>
</file>